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footer40.xml" ContentType="application/vnd.openxmlformats-officedocument.wordprocessingml.foot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46.xml" ContentType="application/vnd.openxmlformats-officedocument.wordprocessingml.footer+xml"/>
  <Override PartName="/word/footer47.xml" ContentType="application/vnd.openxmlformats-officedocument.wordprocessingml.footer+xml"/>
  <Override PartName="/word/header48.xml" ContentType="application/vnd.openxmlformats-officedocument.wordprocessingml.header+xml"/>
  <Override PartName="/word/footer48.xml" ContentType="application/vnd.openxmlformats-officedocument.wordprocessingml.footer+xml"/>
  <Override PartName="/word/header49.xml" ContentType="application/vnd.openxmlformats-officedocument.wordprocessingml.header+xml"/>
  <Override PartName="/word/header50.xml" ContentType="application/vnd.openxmlformats-officedocument.wordprocessingml.header+xml"/>
  <Override PartName="/word/footer49.xml" ContentType="application/vnd.openxmlformats-officedocument.wordprocessingml.footer+xml"/>
  <Override PartName="/word/footer50.xml" ContentType="application/vnd.openxmlformats-officedocument.wordprocessingml.footer+xml"/>
  <Override PartName="/word/header51.xml" ContentType="application/vnd.openxmlformats-officedocument.wordprocessingml.header+xml"/>
  <Override PartName="/word/footer51.xml" ContentType="application/vnd.openxmlformats-officedocument.wordprocessingml.footer+xml"/>
  <Override PartName="/word/header52.xml" ContentType="application/vnd.openxmlformats-officedocument.wordprocessingml.header+xml"/>
  <Override PartName="/word/header53.xml" ContentType="application/vnd.openxmlformats-officedocument.wordprocessingml.header+xml"/>
  <Override PartName="/word/footer52.xml" ContentType="application/vnd.openxmlformats-officedocument.wordprocessingml.footer+xml"/>
  <Override PartName="/word/footer53.xml" ContentType="application/vnd.openxmlformats-officedocument.wordprocessingml.footer+xml"/>
  <Override PartName="/word/header54.xml" ContentType="application/vnd.openxmlformats-officedocument.wordprocessingml.header+xml"/>
  <Override PartName="/word/footer54.xml" ContentType="application/vnd.openxmlformats-officedocument.wordprocessingml.footer+xml"/>
  <Override PartName="/word/header55.xml" ContentType="application/vnd.openxmlformats-officedocument.wordprocessingml.header+xml"/>
  <Override PartName="/word/header56.xml" ContentType="application/vnd.openxmlformats-officedocument.wordprocessingml.header+xml"/>
  <Override PartName="/word/footer55.xml" ContentType="application/vnd.openxmlformats-officedocument.wordprocessingml.footer+xml"/>
  <Override PartName="/word/footer56.xml" ContentType="application/vnd.openxmlformats-officedocument.wordprocessingml.footer+xml"/>
  <Override PartName="/word/header57.xml" ContentType="application/vnd.openxmlformats-officedocument.wordprocessingml.header+xml"/>
  <Override PartName="/word/footer57.xml" ContentType="application/vnd.openxmlformats-officedocument.wordprocessingml.footer+xml"/>
  <Override PartName="/word/header58.xml" ContentType="application/vnd.openxmlformats-officedocument.wordprocessingml.header+xml"/>
  <Override PartName="/word/header59.xml" ContentType="application/vnd.openxmlformats-officedocument.wordprocessingml.header+xml"/>
  <Override PartName="/word/footer58.xml" ContentType="application/vnd.openxmlformats-officedocument.wordprocessingml.footer+xml"/>
  <Override PartName="/word/footer59.xml" ContentType="application/vnd.openxmlformats-officedocument.wordprocessingml.footer+xml"/>
  <Override PartName="/word/header60.xml" ContentType="application/vnd.openxmlformats-officedocument.wordprocessingml.header+xml"/>
  <Override PartName="/word/footer60.xml" ContentType="application/vnd.openxmlformats-officedocument.wordprocessingml.footer+xml"/>
  <Override PartName="/word/header61.xml" ContentType="application/vnd.openxmlformats-officedocument.wordprocessingml.header+xml"/>
  <Override PartName="/word/header62.xml" ContentType="application/vnd.openxmlformats-officedocument.wordprocessingml.header+xml"/>
  <Override PartName="/word/footer61.xml" ContentType="application/vnd.openxmlformats-officedocument.wordprocessingml.footer+xml"/>
  <Override PartName="/word/footer62.xml" ContentType="application/vnd.openxmlformats-officedocument.wordprocessingml.footer+xml"/>
  <Override PartName="/word/header63.xml" ContentType="application/vnd.openxmlformats-officedocument.wordprocessingml.header+xml"/>
  <Override PartName="/word/footer63.xml" ContentType="application/vnd.openxmlformats-officedocument.wordprocessingml.footer+xml"/>
  <Override PartName="/word/header64.xml" ContentType="application/vnd.openxmlformats-officedocument.wordprocessingml.header+xml"/>
  <Override PartName="/word/header65.xml" ContentType="application/vnd.openxmlformats-officedocument.wordprocessingml.header+xml"/>
  <Override PartName="/word/footer64.xml" ContentType="application/vnd.openxmlformats-officedocument.wordprocessingml.footer+xml"/>
  <Override PartName="/word/footer65.xml" ContentType="application/vnd.openxmlformats-officedocument.wordprocessingml.footer+xml"/>
  <Override PartName="/word/header66.xml" ContentType="application/vnd.openxmlformats-officedocument.wordprocessingml.header+xml"/>
  <Override PartName="/word/footer66.xml" ContentType="application/vnd.openxmlformats-officedocument.wordprocessingml.footer+xml"/>
  <Override PartName="/word/header67.xml" ContentType="application/vnd.openxmlformats-officedocument.wordprocessingml.header+xml"/>
  <Override PartName="/word/header68.xml" ContentType="application/vnd.openxmlformats-officedocument.wordprocessingml.header+xml"/>
  <Override PartName="/word/footer67.xml" ContentType="application/vnd.openxmlformats-officedocument.wordprocessingml.footer+xml"/>
  <Override PartName="/word/footer68.xml" ContentType="application/vnd.openxmlformats-officedocument.wordprocessingml.footer+xml"/>
  <Override PartName="/word/header69.xml" ContentType="application/vnd.openxmlformats-officedocument.wordprocessingml.header+xml"/>
  <Override PartName="/word/footer69.xml" ContentType="application/vnd.openxmlformats-officedocument.wordprocessingml.footer+xml"/>
  <Override PartName="/word/header70.xml" ContentType="application/vnd.openxmlformats-officedocument.wordprocessingml.header+xml"/>
  <Override PartName="/word/header71.xml" ContentType="application/vnd.openxmlformats-officedocument.wordprocessingml.header+xml"/>
  <Override PartName="/word/footer70.xml" ContentType="application/vnd.openxmlformats-officedocument.wordprocessingml.footer+xml"/>
  <Override PartName="/word/footer71.xml" ContentType="application/vnd.openxmlformats-officedocument.wordprocessingml.footer+xml"/>
  <Override PartName="/word/header72.xml" ContentType="application/vnd.openxmlformats-officedocument.wordprocessingml.header+xml"/>
  <Override PartName="/word/footer72.xml" ContentType="application/vnd.openxmlformats-officedocument.wordprocessingml.footer+xml"/>
  <Override PartName="/word/header73.xml" ContentType="application/vnd.openxmlformats-officedocument.wordprocessingml.header+xml"/>
  <Override PartName="/word/header74.xml" ContentType="application/vnd.openxmlformats-officedocument.wordprocessingml.header+xml"/>
  <Override PartName="/word/footer73.xml" ContentType="application/vnd.openxmlformats-officedocument.wordprocessingml.footer+xml"/>
  <Override PartName="/word/footer74.xml" ContentType="application/vnd.openxmlformats-officedocument.wordprocessingml.footer+xml"/>
  <Override PartName="/word/header75.xml" ContentType="application/vnd.openxmlformats-officedocument.wordprocessingml.header+xml"/>
  <Override PartName="/word/footer75.xml" ContentType="application/vnd.openxmlformats-officedocument.wordprocessingml.footer+xml"/>
  <Override PartName="/word/header76.xml" ContentType="application/vnd.openxmlformats-officedocument.wordprocessingml.header+xml"/>
  <Override PartName="/word/header77.xml" ContentType="application/vnd.openxmlformats-officedocument.wordprocessingml.header+xml"/>
  <Override PartName="/word/footer76.xml" ContentType="application/vnd.openxmlformats-officedocument.wordprocessingml.footer+xml"/>
  <Override PartName="/word/footer77.xml" ContentType="application/vnd.openxmlformats-officedocument.wordprocessingml.footer+xml"/>
  <Override PartName="/word/header78.xml" ContentType="application/vnd.openxmlformats-officedocument.wordprocessingml.header+xml"/>
  <Override PartName="/word/footer78.xml" ContentType="application/vnd.openxmlformats-officedocument.wordprocessingml.footer+xml"/>
  <Override PartName="/word/header79.xml" ContentType="application/vnd.openxmlformats-officedocument.wordprocessingml.header+xml"/>
  <Override PartName="/word/header80.xml" ContentType="application/vnd.openxmlformats-officedocument.wordprocessingml.header+xml"/>
  <Override PartName="/word/footer79.xml" ContentType="application/vnd.openxmlformats-officedocument.wordprocessingml.footer+xml"/>
  <Override PartName="/word/footer80.xml" ContentType="application/vnd.openxmlformats-officedocument.wordprocessingml.footer+xml"/>
  <Override PartName="/word/header81.xml" ContentType="application/vnd.openxmlformats-officedocument.wordprocessingml.header+xml"/>
  <Override PartName="/word/footer81.xml" ContentType="application/vnd.openxmlformats-officedocument.wordprocessingml.footer+xml"/>
  <Override PartName="/word/header82.xml" ContentType="application/vnd.openxmlformats-officedocument.wordprocessingml.header+xml"/>
  <Override PartName="/word/header83.xml" ContentType="application/vnd.openxmlformats-officedocument.wordprocessingml.header+xml"/>
  <Override PartName="/word/footer82.xml" ContentType="application/vnd.openxmlformats-officedocument.wordprocessingml.footer+xml"/>
  <Override PartName="/word/footer83.xml" ContentType="application/vnd.openxmlformats-officedocument.wordprocessingml.footer+xml"/>
  <Override PartName="/word/header84.xml" ContentType="application/vnd.openxmlformats-officedocument.wordprocessingml.header+xml"/>
  <Override PartName="/word/footer84.xml" ContentType="application/vnd.openxmlformats-officedocument.wordprocessingml.footer+xml"/>
  <Override PartName="/word/header85.xml" ContentType="application/vnd.openxmlformats-officedocument.wordprocessingml.header+xml"/>
  <Override PartName="/word/header86.xml" ContentType="application/vnd.openxmlformats-officedocument.wordprocessingml.header+xml"/>
  <Override PartName="/word/footer85.xml" ContentType="application/vnd.openxmlformats-officedocument.wordprocessingml.footer+xml"/>
  <Override PartName="/word/footer86.xml" ContentType="application/vnd.openxmlformats-officedocument.wordprocessingml.footer+xml"/>
  <Override PartName="/word/header87.xml" ContentType="application/vnd.openxmlformats-officedocument.wordprocessingml.header+xml"/>
  <Override PartName="/word/footer87.xml" ContentType="application/vnd.openxmlformats-officedocument.wordprocessingml.footer+xml"/>
  <Override PartName="/word/header88.xml" ContentType="application/vnd.openxmlformats-officedocument.wordprocessingml.header+xml"/>
  <Override PartName="/word/header89.xml" ContentType="application/vnd.openxmlformats-officedocument.wordprocessingml.header+xml"/>
  <Override PartName="/word/footer88.xml" ContentType="application/vnd.openxmlformats-officedocument.wordprocessingml.footer+xml"/>
  <Override PartName="/word/footer89.xml" ContentType="application/vnd.openxmlformats-officedocument.wordprocessingml.footer+xml"/>
  <Override PartName="/word/header90.xml" ContentType="application/vnd.openxmlformats-officedocument.wordprocessingml.header+xml"/>
  <Override PartName="/word/footer90.xml" ContentType="application/vnd.openxmlformats-officedocument.wordprocessingml.footer+xml"/>
  <Override PartName="/word/header91.xml" ContentType="application/vnd.openxmlformats-officedocument.wordprocessingml.header+xml"/>
  <Override PartName="/word/header92.xml" ContentType="application/vnd.openxmlformats-officedocument.wordprocessingml.header+xml"/>
  <Override PartName="/word/footer91.xml" ContentType="application/vnd.openxmlformats-officedocument.wordprocessingml.footer+xml"/>
  <Override PartName="/word/footer92.xml" ContentType="application/vnd.openxmlformats-officedocument.wordprocessingml.footer+xml"/>
  <Override PartName="/word/header93.xml" ContentType="application/vnd.openxmlformats-officedocument.wordprocessingml.header+xml"/>
  <Override PartName="/word/footer93.xml" ContentType="application/vnd.openxmlformats-officedocument.wordprocessingml.footer+xml"/>
  <Override PartName="/word/header94.xml" ContentType="application/vnd.openxmlformats-officedocument.wordprocessingml.header+xml"/>
  <Override PartName="/word/header95.xml" ContentType="application/vnd.openxmlformats-officedocument.wordprocessingml.header+xml"/>
  <Override PartName="/word/footer94.xml" ContentType="application/vnd.openxmlformats-officedocument.wordprocessingml.footer+xml"/>
  <Override PartName="/word/footer95.xml" ContentType="application/vnd.openxmlformats-officedocument.wordprocessingml.footer+xml"/>
  <Override PartName="/word/header96.xml" ContentType="application/vnd.openxmlformats-officedocument.wordprocessingml.header+xml"/>
  <Override PartName="/word/footer96.xml" ContentType="application/vnd.openxmlformats-officedocument.wordprocessingml.footer+xml"/>
  <Override PartName="/word/header97.xml" ContentType="application/vnd.openxmlformats-officedocument.wordprocessingml.header+xml"/>
  <Override PartName="/word/header98.xml" ContentType="application/vnd.openxmlformats-officedocument.wordprocessingml.header+xml"/>
  <Override PartName="/word/footer97.xml" ContentType="application/vnd.openxmlformats-officedocument.wordprocessingml.footer+xml"/>
  <Override PartName="/word/footer98.xml" ContentType="application/vnd.openxmlformats-officedocument.wordprocessingml.footer+xml"/>
  <Override PartName="/word/header99.xml" ContentType="application/vnd.openxmlformats-officedocument.wordprocessingml.header+xml"/>
  <Override PartName="/word/footer99.xml" ContentType="application/vnd.openxmlformats-officedocument.wordprocessingml.footer+xml"/>
  <Override PartName="/word/header100.xml" ContentType="application/vnd.openxmlformats-officedocument.wordprocessingml.header+xml"/>
  <Override PartName="/word/header101.xml" ContentType="application/vnd.openxmlformats-officedocument.wordprocessingml.header+xml"/>
  <Override PartName="/word/footer100.xml" ContentType="application/vnd.openxmlformats-officedocument.wordprocessingml.footer+xml"/>
  <Override PartName="/word/footer101.xml" ContentType="application/vnd.openxmlformats-officedocument.wordprocessingml.footer+xml"/>
  <Override PartName="/word/header102.xml" ContentType="application/vnd.openxmlformats-officedocument.wordprocessingml.header+xml"/>
  <Override PartName="/word/footer102.xml" ContentType="application/vnd.openxmlformats-officedocument.wordprocessingml.footer+xml"/>
  <Override PartName="/word/header103.xml" ContentType="application/vnd.openxmlformats-officedocument.wordprocessingml.header+xml"/>
  <Override PartName="/word/header104.xml" ContentType="application/vnd.openxmlformats-officedocument.wordprocessingml.header+xml"/>
  <Override PartName="/word/footer103.xml" ContentType="application/vnd.openxmlformats-officedocument.wordprocessingml.footer+xml"/>
  <Override PartName="/word/footer104.xml" ContentType="application/vnd.openxmlformats-officedocument.wordprocessingml.footer+xml"/>
  <Override PartName="/word/header105.xml" ContentType="application/vnd.openxmlformats-officedocument.wordprocessingml.header+xml"/>
  <Override PartName="/word/footer105.xml" ContentType="application/vnd.openxmlformats-officedocument.wordprocessingml.footer+xml"/>
  <Override PartName="/word/header106.xml" ContentType="application/vnd.openxmlformats-officedocument.wordprocessingml.header+xml"/>
  <Override PartName="/word/header107.xml" ContentType="application/vnd.openxmlformats-officedocument.wordprocessingml.header+xml"/>
  <Override PartName="/word/footer106.xml" ContentType="application/vnd.openxmlformats-officedocument.wordprocessingml.footer+xml"/>
  <Override PartName="/word/footer107.xml" ContentType="application/vnd.openxmlformats-officedocument.wordprocessingml.footer+xml"/>
  <Override PartName="/word/header108.xml" ContentType="application/vnd.openxmlformats-officedocument.wordprocessingml.header+xml"/>
  <Override PartName="/word/footer108.xml" ContentType="application/vnd.openxmlformats-officedocument.wordprocessingml.footer+xml"/>
  <Override PartName="/word/header109.xml" ContentType="application/vnd.openxmlformats-officedocument.wordprocessingml.header+xml"/>
  <Override PartName="/word/header110.xml" ContentType="application/vnd.openxmlformats-officedocument.wordprocessingml.header+xml"/>
  <Override PartName="/word/footer109.xml" ContentType="application/vnd.openxmlformats-officedocument.wordprocessingml.footer+xml"/>
  <Override PartName="/word/footer110.xml" ContentType="application/vnd.openxmlformats-officedocument.wordprocessingml.footer+xml"/>
  <Override PartName="/word/header111.xml" ContentType="application/vnd.openxmlformats-officedocument.wordprocessingml.header+xml"/>
  <Override PartName="/word/footer111.xml" ContentType="application/vnd.openxmlformats-officedocument.wordprocessingml.footer+xml"/>
  <Override PartName="/word/header112.xml" ContentType="application/vnd.openxmlformats-officedocument.wordprocessingml.header+xml"/>
  <Override PartName="/word/header113.xml" ContentType="application/vnd.openxmlformats-officedocument.wordprocessingml.header+xml"/>
  <Override PartName="/word/footer112.xml" ContentType="application/vnd.openxmlformats-officedocument.wordprocessingml.footer+xml"/>
  <Override PartName="/word/footer113.xml" ContentType="application/vnd.openxmlformats-officedocument.wordprocessingml.footer+xml"/>
  <Override PartName="/word/header114.xml" ContentType="application/vnd.openxmlformats-officedocument.wordprocessingml.header+xml"/>
  <Override PartName="/word/footer114.xml" ContentType="application/vnd.openxmlformats-officedocument.wordprocessingml.footer+xml"/>
  <Override PartName="/word/header115.xml" ContentType="application/vnd.openxmlformats-officedocument.wordprocessingml.header+xml"/>
  <Override PartName="/word/header116.xml" ContentType="application/vnd.openxmlformats-officedocument.wordprocessingml.header+xml"/>
  <Override PartName="/word/footer115.xml" ContentType="application/vnd.openxmlformats-officedocument.wordprocessingml.footer+xml"/>
  <Override PartName="/word/footer116.xml" ContentType="application/vnd.openxmlformats-officedocument.wordprocessingml.footer+xml"/>
  <Override PartName="/word/header117.xml" ContentType="application/vnd.openxmlformats-officedocument.wordprocessingml.header+xml"/>
  <Override PartName="/word/footer117.xml" ContentType="application/vnd.openxmlformats-officedocument.wordprocessingml.footer+xml"/>
  <Override PartName="/word/header118.xml" ContentType="application/vnd.openxmlformats-officedocument.wordprocessingml.header+xml"/>
  <Override PartName="/word/header119.xml" ContentType="application/vnd.openxmlformats-officedocument.wordprocessingml.header+xml"/>
  <Override PartName="/word/footer118.xml" ContentType="application/vnd.openxmlformats-officedocument.wordprocessingml.footer+xml"/>
  <Override PartName="/word/footer119.xml" ContentType="application/vnd.openxmlformats-officedocument.wordprocessingml.footer+xml"/>
  <Override PartName="/word/header120.xml" ContentType="application/vnd.openxmlformats-officedocument.wordprocessingml.header+xml"/>
  <Override PartName="/word/footer120.xml" ContentType="application/vnd.openxmlformats-officedocument.wordprocessingml.footer+xml"/>
  <Override PartName="/word/header121.xml" ContentType="application/vnd.openxmlformats-officedocument.wordprocessingml.header+xml"/>
  <Override PartName="/word/header122.xml" ContentType="application/vnd.openxmlformats-officedocument.wordprocessingml.header+xml"/>
  <Override PartName="/word/footer121.xml" ContentType="application/vnd.openxmlformats-officedocument.wordprocessingml.footer+xml"/>
  <Override PartName="/word/footer122.xml" ContentType="application/vnd.openxmlformats-officedocument.wordprocessingml.footer+xml"/>
  <Override PartName="/word/header123.xml" ContentType="application/vnd.openxmlformats-officedocument.wordprocessingml.header+xml"/>
  <Override PartName="/word/footer123.xml" ContentType="application/vnd.openxmlformats-officedocument.wordprocessingml.footer+xml"/>
  <Override PartName="/word/header124.xml" ContentType="application/vnd.openxmlformats-officedocument.wordprocessingml.header+xml"/>
  <Override PartName="/word/header125.xml" ContentType="application/vnd.openxmlformats-officedocument.wordprocessingml.header+xml"/>
  <Override PartName="/word/footer124.xml" ContentType="application/vnd.openxmlformats-officedocument.wordprocessingml.footer+xml"/>
  <Override PartName="/word/footer125.xml" ContentType="application/vnd.openxmlformats-officedocument.wordprocessingml.footer+xml"/>
  <Override PartName="/word/header126.xml" ContentType="application/vnd.openxmlformats-officedocument.wordprocessingml.header+xml"/>
  <Override PartName="/word/footer126.xml" ContentType="application/vnd.openxmlformats-officedocument.wordprocessingml.footer+xml"/>
  <Override PartName="/word/header127.xml" ContentType="application/vnd.openxmlformats-officedocument.wordprocessingml.header+xml"/>
  <Override PartName="/word/header128.xml" ContentType="application/vnd.openxmlformats-officedocument.wordprocessingml.header+xml"/>
  <Override PartName="/word/footer127.xml" ContentType="application/vnd.openxmlformats-officedocument.wordprocessingml.footer+xml"/>
  <Override PartName="/word/footer128.xml" ContentType="application/vnd.openxmlformats-officedocument.wordprocessingml.footer+xml"/>
  <Override PartName="/word/header129.xml" ContentType="application/vnd.openxmlformats-officedocument.wordprocessingml.header+xml"/>
  <Override PartName="/word/footer129.xml" ContentType="application/vnd.openxmlformats-officedocument.wordprocessingml.footer+xml"/>
  <Override PartName="/word/header130.xml" ContentType="application/vnd.openxmlformats-officedocument.wordprocessingml.header+xml"/>
  <Override PartName="/word/header131.xml" ContentType="application/vnd.openxmlformats-officedocument.wordprocessingml.header+xml"/>
  <Override PartName="/word/footer130.xml" ContentType="application/vnd.openxmlformats-officedocument.wordprocessingml.footer+xml"/>
  <Override PartName="/word/footer131.xml" ContentType="application/vnd.openxmlformats-officedocument.wordprocessingml.footer+xml"/>
  <Override PartName="/word/header132.xml" ContentType="application/vnd.openxmlformats-officedocument.wordprocessingml.header+xml"/>
  <Override PartName="/word/footer132.xml" ContentType="application/vnd.openxmlformats-officedocument.wordprocessingml.footer+xml"/>
  <Override PartName="/word/header133.xml" ContentType="application/vnd.openxmlformats-officedocument.wordprocessingml.header+xml"/>
  <Override PartName="/word/header134.xml" ContentType="application/vnd.openxmlformats-officedocument.wordprocessingml.header+xml"/>
  <Override PartName="/word/footer133.xml" ContentType="application/vnd.openxmlformats-officedocument.wordprocessingml.footer+xml"/>
  <Override PartName="/word/footer134.xml" ContentType="application/vnd.openxmlformats-officedocument.wordprocessingml.footer+xml"/>
  <Override PartName="/word/header135.xml" ContentType="application/vnd.openxmlformats-officedocument.wordprocessingml.header+xml"/>
  <Override PartName="/word/footer135.xml" ContentType="application/vnd.openxmlformats-officedocument.wordprocessingml.footer+xml"/>
  <Override PartName="/word/header136.xml" ContentType="application/vnd.openxmlformats-officedocument.wordprocessingml.header+xml"/>
  <Override PartName="/word/header137.xml" ContentType="application/vnd.openxmlformats-officedocument.wordprocessingml.header+xml"/>
  <Override PartName="/word/footer136.xml" ContentType="application/vnd.openxmlformats-officedocument.wordprocessingml.footer+xml"/>
  <Override PartName="/word/footer137.xml" ContentType="application/vnd.openxmlformats-officedocument.wordprocessingml.footer+xml"/>
  <Override PartName="/word/header138.xml" ContentType="application/vnd.openxmlformats-officedocument.wordprocessingml.header+xml"/>
  <Override PartName="/word/footer138.xml" ContentType="application/vnd.openxmlformats-officedocument.wordprocessingml.footer+xml"/>
  <Override PartName="/word/header139.xml" ContentType="application/vnd.openxmlformats-officedocument.wordprocessingml.header+xml"/>
  <Override PartName="/word/header140.xml" ContentType="application/vnd.openxmlformats-officedocument.wordprocessingml.header+xml"/>
  <Override PartName="/word/footer139.xml" ContentType="application/vnd.openxmlformats-officedocument.wordprocessingml.footer+xml"/>
  <Override PartName="/word/footer140.xml" ContentType="application/vnd.openxmlformats-officedocument.wordprocessingml.footer+xml"/>
  <Override PartName="/word/header141.xml" ContentType="application/vnd.openxmlformats-officedocument.wordprocessingml.header+xml"/>
  <Override PartName="/word/footer141.xml" ContentType="application/vnd.openxmlformats-officedocument.wordprocessingml.footer+xml"/>
  <Override PartName="/word/header142.xml" ContentType="application/vnd.openxmlformats-officedocument.wordprocessingml.header+xml"/>
  <Override PartName="/word/header143.xml" ContentType="application/vnd.openxmlformats-officedocument.wordprocessingml.header+xml"/>
  <Override PartName="/word/footer142.xml" ContentType="application/vnd.openxmlformats-officedocument.wordprocessingml.footer+xml"/>
  <Override PartName="/word/footer143.xml" ContentType="application/vnd.openxmlformats-officedocument.wordprocessingml.footer+xml"/>
  <Override PartName="/word/header144.xml" ContentType="application/vnd.openxmlformats-officedocument.wordprocessingml.header+xml"/>
  <Override PartName="/word/footer144.xml" ContentType="application/vnd.openxmlformats-officedocument.wordprocessingml.footer+xml"/>
  <Override PartName="/word/header145.xml" ContentType="application/vnd.openxmlformats-officedocument.wordprocessingml.header+xml"/>
  <Override PartName="/word/header146.xml" ContentType="application/vnd.openxmlformats-officedocument.wordprocessingml.header+xml"/>
  <Override PartName="/word/footer145.xml" ContentType="application/vnd.openxmlformats-officedocument.wordprocessingml.footer+xml"/>
  <Override PartName="/word/footer146.xml" ContentType="application/vnd.openxmlformats-officedocument.wordprocessingml.footer+xml"/>
  <Override PartName="/word/header147.xml" ContentType="application/vnd.openxmlformats-officedocument.wordprocessingml.header+xml"/>
  <Override PartName="/word/footer147.xml" ContentType="application/vnd.openxmlformats-officedocument.wordprocessingml.footer+xml"/>
  <Override PartName="/word/header148.xml" ContentType="application/vnd.openxmlformats-officedocument.wordprocessingml.header+xml"/>
  <Override PartName="/word/header149.xml" ContentType="application/vnd.openxmlformats-officedocument.wordprocessingml.header+xml"/>
  <Override PartName="/word/footer148.xml" ContentType="application/vnd.openxmlformats-officedocument.wordprocessingml.footer+xml"/>
  <Override PartName="/word/footer149.xml" ContentType="application/vnd.openxmlformats-officedocument.wordprocessingml.footer+xml"/>
  <Override PartName="/word/header150.xml" ContentType="application/vnd.openxmlformats-officedocument.wordprocessingml.header+xml"/>
  <Override PartName="/word/footer150.xml" ContentType="application/vnd.openxmlformats-officedocument.wordprocessingml.footer+xml"/>
  <Override PartName="/word/header151.xml" ContentType="application/vnd.openxmlformats-officedocument.wordprocessingml.header+xml"/>
  <Override PartName="/word/header152.xml" ContentType="application/vnd.openxmlformats-officedocument.wordprocessingml.header+xml"/>
  <Override PartName="/word/footer151.xml" ContentType="application/vnd.openxmlformats-officedocument.wordprocessingml.footer+xml"/>
  <Override PartName="/word/footer152.xml" ContentType="application/vnd.openxmlformats-officedocument.wordprocessingml.footer+xml"/>
  <Override PartName="/word/header153.xml" ContentType="application/vnd.openxmlformats-officedocument.wordprocessingml.header+xml"/>
  <Override PartName="/word/footer153.xml" ContentType="application/vnd.openxmlformats-officedocument.wordprocessingml.footer+xml"/>
  <Override PartName="/word/header154.xml" ContentType="application/vnd.openxmlformats-officedocument.wordprocessingml.header+xml"/>
  <Override PartName="/word/header155.xml" ContentType="application/vnd.openxmlformats-officedocument.wordprocessingml.header+xml"/>
  <Override PartName="/word/footer154.xml" ContentType="application/vnd.openxmlformats-officedocument.wordprocessingml.footer+xml"/>
  <Override PartName="/word/footer155.xml" ContentType="application/vnd.openxmlformats-officedocument.wordprocessingml.footer+xml"/>
  <Override PartName="/word/header156.xml" ContentType="application/vnd.openxmlformats-officedocument.wordprocessingml.header+xml"/>
  <Override PartName="/word/footer156.xml" ContentType="application/vnd.openxmlformats-officedocument.wordprocessingml.footer+xml"/>
  <Override PartName="/word/header157.xml" ContentType="application/vnd.openxmlformats-officedocument.wordprocessingml.header+xml"/>
  <Override PartName="/word/header158.xml" ContentType="application/vnd.openxmlformats-officedocument.wordprocessingml.header+xml"/>
  <Override PartName="/word/footer157.xml" ContentType="application/vnd.openxmlformats-officedocument.wordprocessingml.footer+xml"/>
  <Override PartName="/word/footer158.xml" ContentType="application/vnd.openxmlformats-officedocument.wordprocessingml.footer+xml"/>
  <Override PartName="/word/header159.xml" ContentType="application/vnd.openxmlformats-officedocument.wordprocessingml.header+xml"/>
  <Override PartName="/word/footer159.xml" ContentType="application/vnd.openxmlformats-officedocument.wordprocessingml.footer+xml"/>
  <Override PartName="/word/header160.xml" ContentType="application/vnd.openxmlformats-officedocument.wordprocessingml.header+xml"/>
  <Override PartName="/word/header161.xml" ContentType="application/vnd.openxmlformats-officedocument.wordprocessingml.header+xml"/>
  <Override PartName="/word/footer160.xml" ContentType="application/vnd.openxmlformats-officedocument.wordprocessingml.footer+xml"/>
  <Override PartName="/word/footer161.xml" ContentType="application/vnd.openxmlformats-officedocument.wordprocessingml.footer+xml"/>
  <Override PartName="/word/header162.xml" ContentType="application/vnd.openxmlformats-officedocument.wordprocessingml.header+xml"/>
  <Override PartName="/word/footer162.xml" ContentType="application/vnd.openxmlformats-officedocument.wordprocessingml.footer+xml"/>
  <Override PartName="/word/header163.xml" ContentType="application/vnd.openxmlformats-officedocument.wordprocessingml.header+xml"/>
  <Override PartName="/word/header164.xml" ContentType="application/vnd.openxmlformats-officedocument.wordprocessingml.header+xml"/>
  <Override PartName="/word/footer163.xml" ContentType="application/vnd.openxmlformats-officedocument.wordprocessingml.footer+xml"/>
  <Override PartName="/word/footer164.xml" ContentType="application/vnd.openxmlformats-officedocument.wordprocessingml.footer+xml"/>
  <Override PartName="/word/header165.xml" ContentType="application/vnd.openxmlformats-officedocument.wordprocessingml.header+xml"/>
  <Override PartName="/word/footer165.xml" ContentType="application/vnd.openxmlformats-officedocument.wordprocessingml.footer+xml"/>
  <Override PartName="/word/header166.xml" ContentType="application/vnd.openxmlformats-officedocument.wordprocessingml.header+xml"/>
  <Override PartName="/word/header167.xml" ContentType="application/vnd.openxmlformats-officedocument.wordprocessingml.header+xml"/>
  <Override PartName="/word/footer166.xml" ContentType="application/vnd.openxmlformats-officedocument.wordprocessingml.footer+xml"/>
  <Override PartName="/word/footer167.xml" ContentType="application/vnd.openxmlformats-officedocument.wordprocessingml.footer+xml"/>
  <Override PartName="/word/header168.xml" ContentType="application/vnd.openxmlformats-officedocument.wordprocessingml.header+xml"/>
  <Override PartName="/word/footer168.xml" ContentType="application/vnd.openxmlformats-officedocument.wordprocessingml.footer+xml"/>
  <Override PartName="/word/header169.xml" ContentType="application/vnd.openxmlformats-officedocument.wordprocessingml.header+xml"/>
  <Override PartName="/word/header170.xml" ContentType="application/vnd.openxmlformats-officedocument.wordprocessingml.header+xml"/>
  <Override PartName="/word/footer169.xml" ContentType="application/vnd.openxmlformats-officedocument.wordprocessingml.footer+xml"/>
  <Override PartName="/word/footer170.xml" ContentType="application/vnd.openxmlformats-officedocument.wordprocessingml.footer+xml"/>
  <Override PartName="/word/header171.xml" ContentType="application/vnd.openxmlformats-officedocument.wordprocessingml.header+xml"/>
  <Override PartName="/word/footer171.xml" ContentType="application/vnd.openxmlformats-officedocument.wordprocessingml.footer+xml"/>
  <Override PartName="/word/header172.xml" ContentType="application/vnd.openxmlformats-officedocument.wordprocessingml.header+xml"/>
  <Override PartName="/word/header173.xml" ContentType="application/vnd.openxmlformats-officedocument.wordprocessingml.header+xml"/>
  <Override PartName="/word/footer172.xml" ContentType="application/vnd.openxmlformats-officedocument.wordprocessingml.footer+xml"/>
  <Override PartName="/word/footer173.xml" ContentType="application/vnd.openxmlformats-officedocument.wordprocessingml.footer+xml"/>
  <Override PartName="/word/header174.xml" ContentType="application/vnd.openxmlformats-officedocument.wordprocessingml.header+xml"/>
  <Override PartName="/word/footer174.xml" ContentType="application/vnd.openxmlformats-officedocument.wordprocessingml.footer+xml"/>
  <Override PartName="/word/header175.xml" ContentType="application/vnd.openxmlformats-officedocument.wordprocessingml.header+xml"/>
  <Override PartName="/word/header176.xml" ContentType="application/vnd.openxmlformats-officedocument.wordprocessingml.header+xml"/>
  <Override PartName="/word/footer175.xml" ContentType="application/vnd.openxmlformats-officedocument.wordprocessingml.footer+xml"/>
  <Override PartName="/word/footer176.xml" ContentType="application/vnd.openxmlformats-officedocument.wordprocessingml.footer+xml"/>
  <Override PartName="/word/header177.xml" ContentType="application/vnd.openxmlformats-officedocument.wordprocessingml.header+xml"/>
  <Override PartName="/word/footer177.xml" ContentType="application/vnd.openxmlformats-officedocument.wordprocessingml.footer+xml"/>
  <Override PartName="/word/header178.xml" ContentType="application/vnd.openxmlformats-officedocument.wordprocessingml.header+xml"/>
  <Override PartName="/word/header179.xml" ContentType="application/vnd.openxmlformats-officedocument.wordprocessingml.header+xml"/>
  <Override PartName="/word/footer178.xml" ContentType="application/vnd.openxmlformats-officedocument.wordprocessingml.footer+xml"/>
  <Override PartName="/word/footer179.xml" ContentType="application/vnd.openxmlformats-officedocument.wordprocessingml.footer+xml"/>
  <Override PartName="/word/header180.xml" ContentType="application/vnd.openxmlformats-officedocument.wordprocessingml.header+xml"/>
  <Override PartName="/word/footer180.xml" ContentType="application/vnd.openxmlformats-officedocument.wordprocessingml.footer+xml"/>
  <Override PartName="/word/header181.xml" ContentType="application/vnd.openxmlformats-officedocument.wordprocessingml.header+xml"/>
  <Override PartName="/word/header182.xml" ContentType="application/vnd.openxmlformats-officedocument.wordprocessingml.header+xml"/>
  <Override PartName="/word/footer181.xml" ContentType="application/vnd.openxmlformats-officedocument.wordprocessingml.footer+xml"/>
  <Override PartName="/word/footer182.xml" ContentType="application/vnd.openxmlformats-officedocument.wordprocessingml.footer+xml"/>
  <Override PartName="/word/header183.xml" ContentType="application/vnd.openxmlformats-officedocument.wordprocessingml.header+xml"/>
  <Override PartName="/word/footer183.xml" ContentType="application/vnd.openxmlformats-officedocument.wordprocessingml.footer+xml"/>
  <Override PartName="/word/header184.xml" ContentType="application/vnd.openxmlformats-officedocument.wordprocessingml.header+xml"/>
  <Override PartName="/word/header185.xml" ContentType="application/vnd.openxmlformats-officedocument.wordprocessingml.header+xml"/>
  <Override PartName="/word/footer184.xml" ContentType="application/vnd.openxmlformats-officedocument.wordprocessingml.footer+xml"/>
  <Override PartName="/word/footer185.xml" ContentType="application/vnd.openxmlformats-officedocument.wordprocessingml.footer+xml"/>
  <Override PartName="/word/header186.xml" ContentType="application/vnd.openxmlformats-officedocument.wordprocessingml.header+xml"/>
  <Override PartName="/word/footer186.xml" ContentType="application/vnd.openxmlformats-officedocument.wordprocessingml.footer+xml"/>
  <Override PartName="/word/header187.xml" ContentType="application/vnd.openxmlformats-officedocument.wordprocessingml.header+xml"/>
  <Override PartName="/word/header188.xml" ContentType="application/vnd.openxmlformats-officedocument.wordprocessingml.header+xml"/>
  <Override PartName="/word/footer187.xml" ContentType="application/vnd.openxmlformats-officedocument.wordprocessingml.footer+xml"/>
  <Override PartName="/word/footer188.xml" ContentType="application/vnd.openxmlformats-officedocument.wordprocessingml.footer+xml"/>
  <Override PartName="/word/header189.xml" ContentType="application/vnd.openxmlformats-officedocument.wordprocessingml.header+xml"/>
  <Override PartName="/word/footer189.xml" ContentType="application/vnd.openxmlformats-officedocument.wordprocessingml.footer+xml"/>
  <Override PartName="/word/header190.xml" ContentType="application/vnd.openxmlformats-officedocument.wordprocessingml.header+xml"/>
  <Override PartName="/word/header191.xml" ContentType="application/vnd.openxmlformats-officedocument.wordprocessingml.header+xml"/>
  <Override PartName="/word/footer190.xml" ContentType="application/vnd.openxmlformats-officedocument.wordprocessingml.footer+xml"/>
  <Override PartName="/word/footer191.xml" ContentType="application/vnd.openxmlformats-officedocument.wordprocessingml.footer+xml"/>
  <Override PartName="/word/header192.xml" ContentType="application/vnd.openxmlformats-officedocument.wordprocessingml.header+xml"/>
  <Override PartName="/word/footer192.xml" ContentType="application/vnd.openxmlformats-officedocument.wordprocessingml.footer+xml"/>
  <Override PartName="/word/header193.xml" ContentType="application/vnd.openxmlformats-officedocument.wordprocessingml.header+xml"/>
  <Override PartName="/word/header194.xml" ContentType="application/vnd.openxmlformats-officedocument.wordprocessingml.header+xml"/>
  <Override PartName="/word/footer193.xml" ContentType="application/vnd.openxmlformats-officedocument.wordprocessingml.footer+xml"/>
  <Override PartName="/word/footer194.xml" ContentType="application/vnd.openxmlformats-officedocument.wordprocessingml.footer+xml"/>
  <Override PartName="/word/header195.xml" ContentType="application/vnd.openxmlformats-officedocument.wordprocessingml.header+xml"/>
  <Override PartName="/word/footer195.xml" ContentType="application/vnd.openxmlformats-officedocument.wordprocessingml.footer+xml"/>
  <Override PartName="/word/header196.xml" ContentType="application/vnd.openxmlformats-officedocument.wordprocessingml.header+xml"/>
  <Override PartName="/word/header197.xml" ContentType="application/vnd.openxmlformats-officedocument.wordprocessingml.header+xml"/>
  <Override PartName="/word/footer196.xml" ContentType="application/vnd.openxmlformats-officedocument.wordprocessingml.footer+xml"/>
  <Override PartName="/word/footer197.xml" ContentType="application/vnd.openxmlformats-officedocument.wordprocessingml.footer+xml"/>
  <Override PartName="/word/header198.xml" ContentType="application/vnd.openxmlformats-officedocument.wordprocessingml.header+xml"/>
  <Override PartName="/word/footer198.xml" ContentType="application/vnd.openxmlformats-officedocument.wordprocessingml.footer+xml"/>
  <Override PartName="/word/header199.xml" ContentType="application/vnd.openxmlformats-officedocument.wordprocessingml.header+xml"/>
  <Override PartName="/word/header200.xml" ContentType="application/vnd.openxmlformats-officedocument.wordprocessingml.header+xml"/>
  <Override PartName="/word/footer199.xml" ContentType="application/vnd.openxmlformats-officedocument.wordprocessingml.footer+xml"/>
  <Override PartName="/word/footer200.xml" ContentType="application/vnd.openxmlformats-officedocument.wordprocessingml.footer+xml"/>
  <Override PartName="/word/header201.xml" ContentType="application/vnd.openxmlformats-officedocument.wordprocessingml.header+xml"/>
  <Override PartName="/word/footer201.xml" ContentType="application/vnd.openxmlformats-officedocument.wordprocessingml.footer+xml"/>
  <Override PartName="/word/header202.xml" ContentType="application/vnd.openxmlformats-officedocument.wordprocessingml.header+xml"/>
  <Override PartName="/word/header203.xml" ContentType="application/vnd.openxmlformats-officedocument.wordprocessingml.header+xml"/>
  <Override PartName="/word/footer202.xml" ContentType="application/vnd.openxmlformats-officedocument.wordprocessingml.footer+xml"/>
  <Override PartName="/word/footer203.xml" ContentType="application/vnd.openxmlformats-officedocument.wordprocessingml.footer+xml"/>
  <Override PartName="/word/header204.xml" ContentType="application/vnd.openxmlformats-officedocument.wordprocessingml.header+xml"/>
  <Override PartName="/word/footer204.xml" ContentType="application/vnd.openxmlformats-officedocument.wordprocessingml.footer+xml"/>
  <Override PartName="/word/header205.xml" ContentType="application/vnd.openxmlformats-officedocument.wordprocessingml.header+xml"/>
  <Override PartName="/word/header206.xml" ContentType="application/vnd.openxmlformats-officedocument.wordprocessingml.header+xml"/>
  <Override PartName="/word/footer205.xml" ContentType="application/vnd.openxmlformats-officedocument.wordprocessingml.footer+xml"/>
  <Override PartName="/word/footer206.xml" ContentType="application/vnd.openxmlformats-officedocument.wordprocessingml.footer+xml"/>
  <Override PartName="/word/header207.xml" ContentType="application/vnd.openxmlformats-officedocument.wordprocessingml.header+xml"/>
  <Override PartName="/word/footer207.xml" ContentType="application/vnd.openxmlformats-officedocument.wordprocessingml.footer+xml"/>
  <Override PartName="/word/header208.xml" ContentType="application/vnd.openxmlformats-officedocument.wordprocessingml.header+xml"/>
  <Override PartName="/word/header209.xml" ContentType="application/vnd.openxmlformats-officedocument.wordprocessingml.header+xml"/>
  <Override PartName="/word/footer208.xml" ContentType="application/vnd.openxmlformats-officedocument.wordprocessingml.footer+xml"/>
  <Override PartName="/word/footer209.xml" ContentType="application/vnd.openxmlformats-officedocument.wordprocessingml.footer+xml"/>
  <Override PartName="/word/header210.xml" ContentType="application/vnd.openxmlformats-officedocument.wordprocessingml.header+xml"/>
  <Override PartName="/word/footer210.xml" ContentType="application/vnd.openxmlformats-officedocument.wordprocessingml.footer+xml"/>
  <Override PartName="/word/header211.xml" ContentType="application/vnd.openxmlformats-officedocument.wordprocessingml.header+xml"/>
  <Override PartName="/word/header212.xml" ContentType="application/vnd.openxmlformats-officedocument.wordprocessingml.header+xml"/>
  <Override PartName="/word/footer211.xml" ContentType="application/vnd.openxmlformats-officedocument.wordprocessingml.footer+xml"/>
  <Override PartName="/word/footer212.xml" ContentType="application/vnd.openxmlformats-officedocument.wordprocessingml.footer+xml"/>
  <Override PartName="/word/header213.xml" ContentType="application/vnd.openxmlformats-officedocument.wordprocessingml.header+xml"/>
  <Override PartName="/word/footer213.xml" ContentType="application/vnd.openxmlformats-officedocument.wordprocessingml.footer+xml"/>
  <Override PartName="/word/header214.xml" ContentType="application/vnd.openxmlformats-officedocument.wordprocessingml.header+xml"/>
  <Override PartName="/word/header215.xml" ContentType="application/vnd.openxmlformats-officedocument.wordprocessingml.header+xml"/>
  <Override PartName="/word/footer214.xml" ContentType="application/vnd.openxmlformats-officedocument.wordprocessingml.footer+xml"/>
  <Override PartName="/word/footer215.xml" ContentType="application/vnd.openxmlformats-officedocument.wordprocessingml.footer+xml"/>
  <Override PartName="/word/header216.xml" ContentType="application/vnd.openxmlformats-officedocument.wordprocessingml.header+xml"/>
  <Override PartName="/word/footer216.xml" ContentType="application/vnd.openxmlformats-officedocument.wordprocessingml.footer+xml"/>
  <Override PartName="/word/header217.xml" ContentType="application/vnd.openxmlformats-officedocument.wordprocessingml.header+xml"/>
  <Override PartName="/word/header218.xml" ContentType="application/vnd.openxmlformats-officedocument.wordprocessingml.header+xml"/>
  <Override PartName="/word/footer217.xml" ContentType="application/vnd.openxmlformats-officedocument.wordprocessingml.footer+xml"/>
  <Override PartName="/word/footer218.xml" ContentType="application/vnd.openxmlformats-officedocument.wordprocessingml.footer+xml"/>
  <Override PartName="/word/header219.xml" ContentType="application/vnd.openxmlformats-officedocument.wordprocessingml.header+xml"/>
  <Override PartName="/word/footer219.xml" ContentType="application/vnd.openxmlformats-officedocument.wordprocessingml.footer+xml"/>
  <Override PartName="/word/header220.xml" ContentType="application/vnd.openxmlformats-officedocument.wordprocessingml.header+xml"/>
  <Override PartName="/word/header221.xml" ContentType="application/vnd.openxmlformats-officedocument.wordprocessingml.header+xml"/>
  <Override PartName="/word/footer220.xml" ContentType="application/vnd.openxmlformats-officedocument.wordprocessingml.footer+xml"/>
  <Override PartName="/word/footer221.xml" ContentType="application/vnd.openxmlformats-officedocument.wordprocessingml.footer+xml"/>
  <Override PartName="/word/header222.xml" ContentType="application/vnd.openxmlformats-officedocument.wordprocessingml.header+xml"/>
  <Override PartName="/word/footer222.xml" ContentType="application/vnd.openxmlformats-officedocument.wordprocessingml.footer+xml"/>
  <Override PartName="/word/header223.xml" ContentType="application/vnd.openxmlformats-officedocument.wordprocessingml.header+xml"/>
  <Override PartName="/word/header224.xml" ContentType="application/vnd.openxmlformats-officedocument.wordprocessingml.header+xml"/>
  <Override PartName="/word/footer223.xml" ContentType="application/vnd.openxmlformats-officedocument.wordprocessingml.footer+xml"/>
  <Override PartName="/word/footer224.xml" ContentType="application/vnd.openxmlformats-officedocument.wordprocessingml.footer+xml"/>
  <Override PartName="/word/header225.xml" ContentType="application/vnd.openxmlformats-officedocument.wordprocessingml.header+xml"/>
  <Override PartName="/word/footer22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A7ECEA" w14:textId="4A4BC6AF" w:rsidR="00C45D59" w:rsidRDefault="00113552" w:rsidP="00113552">
      <w:pPr>
        <w:pStyle w:val="Pagedecouverture"/>
        <w:rPr>
          <w:noProof/>
        </w:rPr>
      </w:pPr>
      <w:bookmarkStart w:id="0" w:name="LW_BM_COVERPAGE"/>
      <w:r>
        <w:rPr>
          <w:noProof/>
        </w:rPr>
        <w:pict w14:anchorId="513EF18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9E9DDDB9-E96C-4FBB-B89C-A73B0F22BAA5" style="width:455.25pt;height:387pt">
            <v:imagedata r:id="rId11" o:title=""/>
          </v:shape>
        </w:pict>
      </w:r>
    </w:p>
    <w:bookmarkEnd w:id="0"/>
    <w:p w14:paraId="5FADCECE" w14:textId="77777777" w:rsidR="00C45D59" w:rsidRDefault="00C45D59">
      <w:pPr>
        <w:rPr>
          <w:noProof/>
        </w:rPr>
        <w:sectPr w:rsidR="00C45D59" w:rsidSect="00113552">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2"/>
          <w:cols w:space="720"/>
          <w:docGrid w:linePitch="360"/>
        </w:sectPr>
      </w:pPr>
    </w:p>
    <w:p w14:paraId="26C976AB" w14:textId="77777777" w:rsidR="00C45D59" w:rsidRDefault="009B0962">
      <w:pPr>
        <w:pStyle w:val="P68B1DB1-Normal1"/>
        <w:spacing w:before="120" w:after="120" w:line="240" w:lineRule="auto"/>
        <w:jc w:val="center"/>
        <w:rPr>
          <w:bCs/>
          <w:noProof/>
        </w:rPr>
      </w:pPr>
      <w:bookmarkStart w:id="1" w:name="_GoBack"/>
      <w:bookmarkEnd w:id="1"/>
      <w:r>
        <w:rPr>
          <w:noProof/>
        </w:rPr>
        <w:lastRenderedPageBreak/>
        <w:t>ANEXĂ</w:t>
      </w:r>
    </w:p>
    <w:p w14:paraId="19DA4ADA" w14:textId="77777777" w:rsidR="00C45D59" w:rsidRDefault="00C45D59">
      <w:pPr>
        <w:spacing w:before="120" w:after="120" w:line="240" w:lineRule="auto"/>
        <w:jc w:val="center"/>
        <w:rPr>
          <w:rFonts w:ascii="Times New Roman" w:hAnsi="Times New Roman" w:cs="Times New Roman"/>
          <w:b/>
          <w:bCs/>
          <w:noProof/>
        </w:rPr>
      </w:pPr>
    </w:p>
    <w:p w14:paraId="667640AB" w14:textId="77777777" w:rsidR="00C45D59" w:rsidRDefault="009B0962">
      <w:pPr>
        <w:pStyle w:val="P68B1DB1-Normal2"/>
        <w:keepNext/>
        <w:tabs>
          <w:tab w:val="num" w:pos="850"/>
        </w:tabs>
        <w:spacing w:before="360" w:after="0" w:line="259" w:lineRule="auto"/>
        <w:jc w:val="both"/>
        <w:outlineLvl w:val="0"/>
        <w:rPr>
          <w:noProof/>
        </w:rPr>
      </w:pPr>
      <w:r>
        <w:rPr>
          <w:noProof/>
        </w:rPr>
        <w:t>SECȚIUNEA 1: REFORME ȘI INVESTIȚII INCLUSE ÎN PLANUL DE REDRESARE ȘI REZILIENȚĂ</w:t>
      </w:r>
    </w:p>
    <w:p w14:paraId="619BD828" w14:textId="77777777" w:rsidR="00C45D59" w:rsidRDefault="00C45D59">
      <w:pPr>
        <w:spacing w:before="120" w:after="120" w:line="240" w:lineRule="auto"/>
        <w:jc w:val="both"/>
        <w:rPr>
          <w:rFonts w:ascii="Times New Roman" w:hAnsi="Times New Roman" w:cs="Times New Roman"/>
          <w:noProof/>
          <w:sz w:val="24"/>
        </w:rPr>
      </w:pPr>
    </w:p>
    <w:p w14:paraId="32C04FEC" w14:textId="77777777" w:rsidR="00C45D59" w:rsidRDefault="009B0962">
      <w:pPr>
        <w:pStyle w:val="P68B1DB1-ListParagraph3"/>
        <w:keepNext/>
        <w:numPr>
          <w:ilvl w:val="0"/>
          <w:numId w:val="19"/>
        </w:numPr>
        <w:spacing w:before="240" w:after="240" w:line="259" w:lineRule="auto"/>
        <w:ind w:left="714" w:hanging="357"/>
        <w:contextualSpacing w:val="0"/>
        <w:jc w:val="both"/>
        <w:outlineLvl w:val="1"/>
        <w:rPr>
          <w:noProof/>
        </w:rPr>
      </w:pPr>
      <w:r>
        <w:rPr>
          <w:noProof/>
        </w:rPr>
        <w:t xml:space="preserve">Descrierea reformelor și a investițiilor </w:t>
      </w:r>
    </w:p>
    <w:p w14:paraId="16C6DEF6" w14:textId="30574468" w:rsidR="00C45D59" w:rsidRDefault="009B0962">
      <w:pPr>
        <w:pStyle w:val="P68B1DB1-ListParagraph4"/>
        <w:numPr>
          <w:ilvl w:val="0"/>
          <w:numId w:val="20"/>
        </w:numPr>
        <w:spacing w:before="240" w:after="120" w:line="240" w:lineRule="auto"/>
        <w:ind w:left="363" w:hanging="357"/>
        <w:jc w:val="both"/>
        <w:outlineLvl w:val="3"/>
        <w:rPr>
          <w:rFonts w:cs="Times New Roman"/>
          <w:bCs/>
          <w:noProof/>
        </w:rPr>
      </w:pPr>
      <w:r>
        <w:rPr>
          <w:noProof/>
        </w:rPr>
        <w:t xml:space="preserve">COMPONENTA 1.1: </w:t>
      </w:r>
      <w:r w:rsidR="00185705">
        <w:rPr>
          <w:noProof/>
        </w:rPr>
        <w:t>POWER UP</w:t>
      </w:r>
    </w:p>
    <w:p w14:paraId="66644F1E" w14:textId="3A0E66B1" w:rsidR="00C45D59" w:rsidRDefault="009B0962">
      <w:pPr>
        <w:pStyle w:val="P68B1DB1-Normal5"/>
        <w:jc w:val="both"/>
        <w:rPr>
          <w:noProof/>
        </w:rPr>
      </w:pPr>
      <w:r>
        <w:rPr>
          <w:noProof/>
        </w:rPr>
        <w:t>Această componentă a planului de redresare și reziliență al Greciei vizează reforme și investiții menite să sporească ponderea surselor regenerabile de energie în sistemul de energie electrică și să faciliteze procesul de decarbonizare al Greciei. Reformele simplifică normele de acordare a licențelor pentru investițiile în energia din surse regenerabile, eficientizează piața energiei electrice și asigură sustenabilitatea financiară a schemelor de sprijin. Componenta include, de asemenea, investiții-cheie în rețele pentru a finaliza interconectarea cu insulele Ciclade și pentru a face distribuția energiei electrice mai ecologică și mai capabilă să absoarbă o pondere mai mare de energie din surse regenerabile. Sistemele de stocare sprijină, de asemenea, decarbonizarea economiei prin acumularea excedentului de energie electrică din surse regenerabile. Reabilitarea terenurilor este sprijinită, de asemenea, în zonele utilizate în prezent ca mine de lignit, ca etapă a procesului de tranziție justă în teritoriile cele mai afectate de eliminarea treptată a lignitului. Componenta este în conformitate cu Planul național privind energia și clima (PNEC) și sprijină abordarea recomandărilor specifice fiecărei țări privind investițiile publice și private (Recomandarea specifică fiecărei țări nr. 3 din 2020 și Recomandarea specifică fiecărei țări nr. 2 din 2019). Se preconizează că nicio măsură din cadrul acestei componente nu prejudiciază în mod semnificativ obiectivele de mediu în sensul articolului 17 din Regulamentul (UE) 2020/852, ținând seama de descrierea măsurilor și a etapelor de atenuare prevăzute în planul de redresare și reziliență în conformitate cu Orientările tehnice privind aplicarea principiului de „a nu prejudicia în mod semnificativ” (2021/C58/01).</w:t>
      </w:r>
    </w:p>
    <w:p w14:paraId="313C243E" w14:textId="77777777" w:rsidR="00C45D59" w:rsidRDefault="009B0962">
      <w:pPr>
        <w:pStyle w:val="P68B1DB1-Normal6"/>
        <w:spacing w:before="120" w:after="120" w:line="240" w:lineRule="auto"/>
        <w:jc w:val="both"/>
        <w:rPr>
          <w:rFonts w:cs="Times New Roman"/>
          <w:noProof/>
        </w:rPr>
      </w:pPr>
      <w:r>
        <w:rPr>
          <w:noProof/>
        </w:rPr>
        <w:t>A.1. Descrierea reformelor și a investițiilor pentru sprijinul financiar nerambursabil</w:t>
      </w:r>
    </w:p>
    <w:p w14:paraId="6B47190A" w14:textId="77777777" w:rsidR="00C45D59" w:rsidRDefault="009B0962">
      <w:pPr>
        <w:pStyle w:val="P68B1DB1-Normal5"/>
        <w:spacing w:before="120" w:after="120" w:line="240" w:lineRule="auto"/>
        <w:jc w:val="both"/>
        <w:rPr>
          <w:rFonts w:cs="Times New Roman"/>
          <w:noProof/>
        </w:rPr>
      </w:pPr>
      <w:r>
        <w:rPr>
          <w:b/>
          <w:noProof/>
        </w:rPr>
        <w:t xml:space="preserve">Investiții: </w:t>
      </w:r>
      <w:r>
        <w:rPr>
          <w:noProof/>
        </w:rPr>
        <w:t>Sprijin pentru instalarea de sisteme de stocare pentru a îmbunătăți pătrunderea energiei din surse regenerabile (SRE) (identificatorul măsurii: 16926)</w:t>
      </w:r>
    </w:p>
    <w:p w14:paraId="21988F84" w14:textId="77777777" w:rsidR="00C45D59" w:rsidRDefault="009B0962">
      <w:pPr>
        <w:pStyle w:val="P68B1DB1-Normal7"/>
        <w:spacing w:before="120" w:after="120" w:line="240" w:lineRule="auto"/>
        <w:jc w:val="both"/>
        <w:rPr>
          <w:rFonts w:cs="Times New Roman"/>
          <w:noProof/>
        </w:rPr>
      </w:pPr>
      <w:r>
        <w:rPr>
          <w:noProof/>
        </w:rPr>
        <w:t>Obiectivul măsurii este de a atenua congestionarea rețelei și de a spori flexibilitatea sistemului de energie electrică. Măsura constă în instalarea de sisteme de stocare a energiei pe bază de baterii și în construirea unui sistem de stocare a hidroenergiei prin pompare.</w:t>
      </w:r>
    </w:p>
    <w:p w14:paraId="74C69098" w14:textId="77777777" w:rsidR="00C45D59" w:rsidRDefault="009B0962">
      <w:pPr>
        <w:pStyle w:val="P68B1DB1-Normal5"/>
        <w:spacing w:before="120" w:after="120" w:line="240" w:lineRule="auto"/>
        <w:jc w:val="both"/>
        <w:rPr>
          <w:noProof/>
        </w:rPr>
      </w:pPr>
      <w:r>
        <w:rPr>
          <w:b/>
          <w:noProof/>
        </w:rPr>
        <w:t xml:space="preserve">Investiții: Acțiuni de </w:t>
      </w:r>
      <w:r>
        <w:rPr>
          <w:noProof/>
        </w:rPr>
        <w:t>revitalizare în teritoriile vizate de tranziția justă (identificatorul măsurii: 16871)</w:t>
      </w:r>
    </w:p>
    <w:p w14:paraId="339E7DE7" w14:textId="77777777" w:rsidR="00C55687" w:rsidRDefault="00C55687" w:rsidP="00C55687">
      <w:pPr>
        <w:rPr>
          <w:rFonts w:ascii="Times New Roman" w:hAnsi="Times New Roman"/>
          <w:noProof/>
          <w:sz w:val="24"/>
        </w:rPr>
      </w:pPr>
    </w:p>
    <w:p w14:paraId="51FF58D7" w14:textId="77777777" w:rsidR="00C55687" w:rsidRPr="00C55687" w:rsidRDefault="00C55687" w:rsidP="00C55687">
      <w:pPr>
        <w:jc w:val="right"/>
        <w:rPr>
          <w:noProof/>
        </w:rPr>
      </w:pPr>
    </w:p>
    <w:p w14:paraId="00A608AA" w14:textId="77777777" w:rsidR="00C45D59" w:rsidRDefault="009B0962">
      <w:pPr>
        <w:pStyle w:val="P68B1DB1-Normal7"/>
        <w:spacing w:before="120" w:after="120" w:line="240" w:lineRule="auto"/>
        <w:jc w:val="both"/>
        <w:rPr>
          <w:rFonts w:cs="Times New Roman"/>
          <w:noProof/>
        </w:rPr>
      </w:pPr>
      <w:r>
        <w:rPr>
          <w:noProof/>
        </w:rPr>
        <w:lastRenderedPageBreak/>
        <w:t xml:space="preserve">Obiectivul măsurii este revitalizarea teritoriilor vizate de tranziția justă. Măsura constă în granturi pentru finanțarea reabilitării terenurilor în zonele transferate ale fostelor mine de lignit din Macedonia de Vest și Megalopolis. </w:t>
      </w:r>
    </w:p>
    <w:p w14:paraId="7CA71588" w14:textId="77777777" w:rsidR="00C45D59" w:rsidRDefault="009B0962">
      <w:pPr>
        <w:pStyle w:val="P68B1DB1-Normal5"/>
        <w:spacing w:before="120" w:after="120" w:line="240" w:lineRule="auto"/>
        <w:jc w:val="both"/>
        <w:rPr>
          <w:rFonts w:cs="Times New Roman"/>
          <w:noProof/>
        </w:rPr>
      </w:pPr>
      <w:r>
        <w:rPr>
          <w:b/>
          <w:noProof/>
        </w:rPr>
        <w:t>Investiții:</w:t>
      </w:r>
      <w:r>
        <w:rPr>
          <w:noProof/>
        </w:rPr>
        <w:t xml:space="preserve"> Intervenții pentru interconectarea rețelelor de energie electrică ale insulelor și investiții în rețeaua de energie electrică (identificatorul măsurii: 16870)</w:t>
      </w:r>
    </w:p>
    <w:p w14:paraId="30F1EFF4" w14:textId="0BD75AF7" w:rsidR="00C45D59" w:rsidRDefault="009B0962">
      <w:pPr>
        <w:pStyle w:val="P68B1DB1-Normal8"/>
        <w:spacing w:before="120" w:after="120" w:line="240" w:lineRule="auto"/>
        <w:jc w:val="both"/>
        <w:rPr>
          <w:rFonts w:ascii="Times New Roman" w:hAnsi="Times New Roman"/>
          <w:noProof/>
        </w:rPr>
      </w:pPr>
      <w:r>
        <w:rPr>
          <w:rFonts w:ascii="Times New Roman" w:hAnsi="Times New Roman"/>
          <w:noProof/>
        </w:rPr>
        <w:t xml:space="preserve">Obiectivul măsurii este de a investi în securitatea sistemului energetic prin interconectarea insulelor și realizarea de investiții în rețeaua de energie electrică. Investiția constă în construirea interconexiunii electrice a Insulelor Ciclade (faza D), modernizarea centrului de foarte înaltă tensiune (EHVC) Koumoundouros </w:t>
      </w:r>
      <w:r>
        <w:rPr>
          <w:rFonts w:ascii="Times New Roman" w:hAnsi="Times New Roman" w:cs="Times New Roman"/>
          <w:noProof/>
          <w:color w:val="000000" w:themeColor="text1"/>
        </w:rPr>
        <w:t>și instalarea de turnuri de transmisie pentru construirea unei linii aeriene care leagă</w:t>
      </w:r>
      <w:r>
        <w:rPr>
          <w:rFonts w:ascii="Times New Roman" w:hAnsi="Times New Roman"/>
          <w:noProof/>
        </w:rPr>
        <w:t xml:space="preserve"> centrul de </w:t>
      </w:r>
      <w:r>
        <w:rPr>
          <w:rFonts w:ascii="Times New Roman" w:eastAsiaTheme="minorEastAsia" w:hAnsi="Times New Roman" w:cs="Times New Roman"/>
          <w:noProof/>
        </w:rPr>
        <w:t xml:space="preserve">foarte înaltă tensiune (EHVC) Corint și EHVC Koumoundouros. </w:t>
      </w:r>
    </w:p>
    <w:p w14:paraId="4C8F3816" w14:textId="77777777" w:rsidR="00C45D59" w:rsidRDefault="009B0962">
      <w:pPr>
        <w:pStyle w:val="P68B1DB1-Normal7"/>
        <w:spacing w:before="120" w:after="120" w:line="240" w:lineRule="auto"/>
        <w:jc w:val="both"/>
        <w:rPr>
          <w:rFonts w:cs="Times New Roman"/>
          <w:noProof/>
        </w:rPr>
      </w:pPr>
      <w:r>
        <w:rPr>
          <w:b/>
          <w:noProof/>
        </w:rPr>
        <w:t xml:space="preserve">Investiții: Modernizările rețelei operatorului elen de rețea de distribuție a </w:t>
      </w:r>
      <w:r>
        <w:rPr>
          <w:noProof/>
        </w:rPr>
        <w:t>energiei electrice (HEDNO), cu scopul de a spori reziliența și de a proteja mediul (identificatorul măsurii: 16901)</w:t>
      </w:r>
    </w:p>
    <w:p w14:paraId="2D6772AB" w14:textId="77777777" w:rsidR="00C45D59" w:rsidRDefault="009B0962">
      <w:pPr>
        <w:pStyle w:val="P68B1DB1-Normal7"/>
        <w:spacing w:before="120" w:after="120" w:line="240" w:lineRule="auto"/>
        <w:jc w:val="both"/>
        <w:rPr>
          <w:rFonts w:cs="Times New Roman"/>
          <w:noProof/>
        </w:rPr>
      </w:pPr>
      <w:r>
        <w:rPr>
          <w:noProof/>
        </w:rPr>
        <w:t>Investiția constă în împământarea și redirecționarea rețelei de distribuție a energiei electrice în așezări de importanță deosebită din punct de vedere cultural sau turistic, precum și în zone urbane, acordându-se prioritate zonelor în care infrastructura este vulnerabilă la condiții meteorologice extreme. Scopul său este de a îmbunătăți reziliența rețelei de distribuție și de a contribui la protecția mediului. Punerea în aplicare a investiției se finalizează până la 31 decembrie 2025.</w:t>
      </w:r>
    </w:p>
    <w:p w14:paraId="74A6D951" w14:textId="011E7A33" w:rsidR="00C45D59" w:rsidRDefault="009B0962">
      <w:pPr>
        <w:pStyle w:val="P68B1DB1-Normal7"/>
        <w:spacing w:before="120" w:after="120" w:line="240" w:lineRule="auto"/>
        <w:jc w:val="both"/>
        <w:rPr>
          <w:rFonts w:cs="Times New Roman"/>
          <w:noProof/>
        </w:rPr>
      </w:pPr>
      <w:r>
        <w:rPr>
          <w:b/>
          <w:noProof/>
        </w:rPr>
        <w:t>Investiții:</w:t>
      </w:r>
      <w:r>
        <w:rPr>
          <w:noProof/>
        </w:rPr>
        <w:t xml:space="preserve"> Modernizări ale rețelei operatorului elen al rețelei de distribuție a energiei electrice (HEDNO) (identificatorul măsurii: 16900)</w:t>
      </w:r>
    </w:p>
    <w:p w14:paraId="3FEBF867" w14:textId="77777777" w:rsidR="00C45D59" w:rsidRDefault="009B0962">
      <w:pPr>
        <w:pStyle w:val="P68B1DB1-Normal7"/>
        <w:spacing w:before="120" w:after="120" w:line="240" w:lineRule="auto"/>
        <w:jc w:val="both"/>
        <w:rPr>
          <w:rFonts w:cs="Times New Roman"/>
          <w:noProof/>
        </w:rPr>
      </w:pPr>
      <w:r>
        <w:rPr>
          <w:noProof/>
        </w:rPr>
        <w:t xml:space="preserve">Obiectivul măsurii este de a sprijini reziliența și fiabilitatea rețelei de distribuție a energiei electrice. Măsura constă în înlocuirea conductoarelor necultivate din rețeaua aeriană, instalarea de acoperiri izolante și împământarea sau redirecționarea liniilor de energie electrică în zonele forestiere și în zonele urbane. </w:t>
      </w:r>
    </w:p>
    <w:p w14:paraId="5AA56A8C" w14:textId="77777777" w:rsidR="00C45D59" w:rsidRDefault="009B0962">
      <w:pPr>
        <w:pStyle w:val="P68B1DB1-Normal7"/>
        <w:spacing w:before="120" w:after="120" w:line="240" w:lineRule="auto"/>
        <w:jc w:val="both"/>
        <w:rPr>
          <w:rFonts w:cs="Times New Roman"/>
          <w:noProof/>
        </w:rPr>
      </w:pPr>
      <w:r>
        <w:rPr>
          <w:b/>
          <w:noProof/>
        </w:rPr>
        <w:t>Investiții:</w:t>
      </w:r>
      <w:r>
        <w:rPr>
          <w:noProof/>
        </w:rPr>
        <w:t xml:space="preserve"> Stațiile electrice de înaltă tensiune/medie tensiune ale operatorului elen al rețelei de distribuție a energiei electrice (HEDNO) (identificatorul măsurii: 16899)</w:t>
      </w:r>
    </w:p>
    <w:p w14:paraId="16F5629D" w14:textId="730B3BB1" w:rsidR="00C45D59" w:rsidRDefault="009B0962">
      <w:pPr>
        <w:pStyle w:val="P68B1DB1-Normal7"/>
        <w:spacing w:before="120" w:after="120" w:line="240" w:lineRule="auto"/>
        <w:jc w:val="both"/>
        <w:rPr>
          <w:noProof/>
        </w:rPr>
      </w:pPr>
      <w:r>
        <w:rPr>
          <w:noProof/>
        </w:rPr>
        <w:t xml:space="preserve">Obiectivul măsurii este de a atenua congestia rețelei de distribuție a energiei electrice. Măsura constă în creșterea capacității stațiilor electrice existente ale rețelei. </w:t>
      </w:r>
    </w:p>
    <w:p w14:paraId="5ED4EE23" w14:textId="77777777" w:rsidR="00C45D59" w:rsidRDefault="009B0962">
      <w:pPr>
        <w:pStyle w:val="P68B1DB1-Normal7"/>
        <w:spacing w:before="120" w:after="120" w:line="240" w:lineRule="auto"/>
        <w:jc w:val="both"/>
        <w:rPr>
          <w:rFonts w:cs="Times New Roman"/>
          <w:noProof/>
        </w:rPr>
      </w:pPr>
      <w:r>
        <w:rPr>
          <w:b/>
          <w:noProof/>
        </w:rPr>
        <w:t>Reformă:</w:t>
      </w:r>
      <w:r>
        <w:rPr>
          <w:noProof/>
        </w:rPr>
        <w:t xml:space="preserve"> Restructurarea și consolidarea veniturilor din contul de energie din surse regenerabile – cogenerare de energie termică și electrică (RES-CHP) (măsura ID: 16865)</w:t>
      </w:r>
    </w:p>
    <w:p w14:paraId="29C08B09" w14:textId="77777777" w:rsidR="00C45D59" w:rsidRDefault="009B0962">
      <w:pPr>
        <w:pStyle w:val="P68B1DB1-Normal5"/>
        <w:spacing w:before="120" w:after="120" w:line="240" w:lineRule="auto"/>
        <w:jc w:val="both"/>
        <w:rPr>
          <w:noProof/>
        </w:rPr>
      </w:pPr>
      <w:r>
        <w:rPr>
          <w:noProof/>
        </w:rPr>
        <w:t xml:space="preserve">Reforma constă în: (a) restructurarea structurii de remunerare existente pentru producătorii de SRE, prin crearea de noi unități SRE (date în exploatare după 1 ianuarie 2021) a unui nou cont de cogenerare SRE care să îl înlocuiască pe cel actual, completat de noi mecanisme care să garanteze viabilitatea financiară atât a conturilor existente, cât și a celor noi de cogenerare SRE; și (b) introducerea unui sistem de comercializare a garanțiilor de origine, a unei „taxe pe COVID-19” extraordinare pentru producătorii și furnizorii de SRE și a unei „taxe pe carbon” permanente pentru motorină. Măsurile asigură viabilitatea capacității existente instalate de SRE și facilitează finanțarea de noi proiecte în domeniul SRE, întrucât orice intrări/ieșiri neașteptate care conduc la un impact negativ asupra contului (conturilor) SRE sunt abordate prin intermediul comisioanelor regulamentare care sunt transferate clienților. </w:t>
      </w:r>
    </w:p>
    <w:p w14:paraId="5AA29556" w14:textId="77777777" w:rsidR="00C45D59" w:rsidRDefault="009B0962">
      <w:pPr>
        <w:pStyle w:val="P68B1DB1-Normal5"/>
        <w:spacing w:before="120" w:after="120" w:line="240" w:lineRule="auto"/>
        <w:jc w:val="both"/>
        <w:rPr>
          <w:rFonts w:cs="Times New Roman"/>
          <w:noProof/>
        </w:rPr>
      </w:pPr>
      <w:r>
        <w:rPr>
          <w:noProof/>
        </w:rPr>
        <w:t>Punerea în aplicare a reformei, inclusiv o creștere cu 3 gigawați a capacității de producție de energie electrică din surse regenerabile de energie, se finalizează până la 30 iunie 2025.</w:t>
      </w:r>
    </w:p>
    <w:p w14:paraId="2A47DF82" w14:textId="77777777" w:rsidR="00C45D59" w:rsidRDefault="009B0962">
      <w:pPr>
        <w:pStyle w:val="P68B1DB1-Normal5"/>
        <w:spacing w:before="120" w:after="120" w:line="240" w:lineRule="auto"/>
        <w:jc w:val="both"/>
        <w:rPr>
          <w:rFonts w:cs="Times New Roman"/>
          <w:noProof/>
        </w:rPr>
      </w:pPr>
      <w:r>
        <w:rPr>
          <w:b/>
          <w:noProof/>
        </w:rPr>
        <w:t>Reformă:</w:t>
      </w:r>
      <w:r>
        <w:rPr>
          <w:noProof/>
        </w:rPr>
        <w:t xml:space="preserve"> Să raționalizeze funcționarea eficientă a noului model de piață a energiei electrice și dezvoltarea de noi centrale SRE pentru a atinge obiectivele PNEC prin punerea în aplicare a mecanismului de monitorizare, participarea consumului dispecerizabil și o reformă amplă a procedurii de acordare a licențelor pentru noile SRE (identificatorul măsurii: 16860)</w:t>
      </w:r>
    </w:p>
    <w:p w14:paraId="22563AD8" w14:textId="34C6963F" w:rsidR="00C45D59" w:rsidRDefault="009B0962">
      <w:pPr>
        <w:pStyle w:val="P68B1DB1-Normal7"/>
        <w:spacing w:before="120" w:after="120" w:line="240" w:lineRule="auto"/>
        <w:jc w:val="both"/>
        <w:rPr>
          <w:rFonts w:cs="Times New Roman"/>
          <w:noProof/>
        </w:rPr>
      </w:pPr>
      <w:r>
        <w:rPr>
          <w:noProof/>
        </w:rPr>
        <w:t>Reforma</w:t>
      </w:r>
      <w:r w:rsidR="00185705">
        <w:rPr>
          <w:noProof/>
        </w:rPr>
        <w:t xml:space="preserve"> </w:t>
      </w:r>
      <w:r>
        <w:rPr>
          <w:noProof/>
        </w:rPr>
        <w:t>constă în raționalizarea cadrului de acordare a licențelor pentru SRE, inclusiv simplificarea și digitalizarea procedurilor, timpii de răspuns administrativ scurți și obligatorii și procedurile de responsabilizare pentru întârzierile inutile, reducerea documentației și a procedurilor necesare, precum și un nou cadru specific pentru centralele SRE offshore. Scopul este de a accelera dublarea capacității instalate de SRE, având în vedere renunțarea treptată la lignit în Grecia.</w:t>
      </w:r>
    </w:p>
    <w:p w14:paraId="611C4848" w14:textId="77777777" w:rsidR="00C45D59" w:rsidRDefault="009B0962">
      <w:pPr>
        <w:pStyle w:val="P68B1DB1-Normal5"/>
        <w:spacing w:before="120" w:after="120" w:line="240" w:lineRule="auto"/>
        <w:jc w:val="both"/>
        <w:rPr>
          <w:rFonts w:cs="Times New Roman"/>
          <w:noProof/>
        </w:rPr>
      </w:pPr>
      <w:r>
        <w:rPr>
          <w:noProof/>
        </w:rPr>
        <w:t xml:space="preserve">În cele din urmă, reforma instituie, de asemenea, un sistem de monitorizare a pieței pentru autoritatea națională de reglementare (RAE) și participarea răspunsului părții de consum (DSR) pe piața de echilibrare. </w:t>
      </w:r>
    </w:p>
    <w:p w14:paraId="150DEDDE" w14:textId="77777777" w:rsidR="00C45D59" w:rsidRDefault="009B0962">
      <w:pPr>
        <w:pStyle w:val="P68B1DB1-Normal5"/>
        <w:spacing w:before="120" w:after="120" w:line="240" w:lineRule="auto"/>
        <w:jc w:val="both"/>
        <w:rPr>
          <w:rFonts w:cs="Times New Roman"/>
          <w:noProof/>
        </w:rPr>
      </w:pPr>
      <w:r>
        <w:rPr>
          <w:noProof/>
        </w:rPr>
        <w:t>Punerea în aplicare a reformei se finalizează până la 30 iunie 2022.</w:t>
      </w:r>
    </w:p>
    <w:p w14:paraId="1E8674BB" w14:textId="77777777" w:rsidR="00C45D59" w:rsidRDefault="00C45D59">
      <w:pPr>
        <w:spacing w:before="120" w:after="120" w:line="240" w:lineRule="auto"/>
        <w:jc w:val="both"/>
        <w:rPr>
          <w:rFonts w:ascii="Times New Roman" w:hAnsi="Times New Roman" w:cs="Times New Roman"/>
          <w:noProof/>
          <w:sz w:val="24"/>
          <w:szCs w:val="24"/>
        </w:rPr>
      </w:pPr>
    </w:p>
    <w:p w14:paraId="4FA25E44" w14:textId="43873E09" w:rsidR="00C45D59" w:rsidRDefault="009B0962">
      <w:pPr>
        <w:pStyle w:val="NormalWeb"/>
        <w:spacing w:before="120" w:after="120" w:line="240" w:lineRule="auto"/>
        <w:jc w:val="both"/>
        <w:rPr>
          <w:noProof/>
        </w:rPr>
      </w:pPr>
      <w:r>
        <w:rPr>
          <w:b/>
          <w:noProof/>
        </w:rPr>
        <w:t>Investiții</w:t>
      </w:r>
      <w:r>
        <w:rPr>
          <w:noProof/>
        </w:rPr>
        <w:t>: Contribuția DES ADMIE la majorarea capitalului social al IPTO (măsura ID 16880)</w:t>
      </w:r>
    </w:p>
    <w:p w14:paraId="77989269" w14:textId="0FCCC29E" w:rsidR="00C45D59" w:rsidRDefault="009B0962">
      <w:pPr>
        <w:pStyle w:val="NormalWeb"/>
        <w:spacing w:before="120" w:after="120" w:line="240" w:lineRule="auto"/>
        <w:jc w:val="both"/>
        <w:rPr>
          <w:noProof/>
        </w:rPr>
      </w:pPr>
      <w:r>
        <w:rPr>
          <w:noProof/>
        </w:rPr>
        <w:t>Obiectivul măsurii este de a contribui la majorarea capitalului social cu 1 miliarde EUR al operatorului independent de transport al energiei electrice (IPTO). Măsura constă în transferul unei sume de 370.9 milioane EUR de la Grecia către DES ADMIE (entitate care deține acțiuni în numele statului elen în cadrul IPTO) pentru a contribui la majorarea capitalului social al IPTO, inclusiv prin intermediul ADMIE Holding.</w:t>
      </w:r>
    </w:p>
    <w:p w14:paraId="72103474" w14:textId="77777777" w:rsidR="00C45D59" w:rsidRDefault="00C45D59">
      <w:pPr>
        <w:rPr>
          <w:rFonts w:ascii="Times New Roman" w:hAnsi="Times New Roman" w:cs="Times New Roman"/>
          <w:b/>
          <w:noProof/>
          <w:sz w:val="24"/>
          <w:szCs w:val="24"/>
        </w:rPr>
      </w:pPr>
    </w:p>
    <w:p w14:paraId="149BCEC9" w14:textId="2C53B9F5" w:rsidR="00C45D59" w:rsidRDefault="00C45D59">
      <w:pPr>
        <w:rPr>
          <w:rFonts w:ascii="Times New Roman" w:hAnsi="Times New Roman" w:cs="Times New Roman"/>
          <w:noProof/>
          <w:sz w:val="24"/>
          <w:szCs w:val="24"/>
        </w:rPr>
        <w:sectPr w:rsidR="00C45D59" w:rsidSect="0067105D">
          <w:headerReference w:type="even" r:id="rId18"/>
          <w:headerReference w:type="default" r:id="rId19"/>
          <w:footerReference w:type="even" r:id="rId20"/>
          <w:footerReference w:type="default" r:id="rId21"/>
          <w:headerReference w:type="first" r:id="rId22"/>
          <w:footerReference w:type="first" r:id="rId23"/>
          <w:pgSz w:w="11907" w:h="16839"/>
          <w:pgMar w:top="1134" w:right="1134" w:bottom="1134" w:left="1134" w:header="567" w:footer="567" w:gutter="0"/>
          <w:pgNumType w:start="2"/>
          <w:cols w:space="720"/>
          <w:docGrid w:linePitch="360"/>
        </w:sectPr>
      </w:pPr>
    </w:p>
    <w:p w14:paraId="6FD8F1AA" w14:textId="77777777" w:rsidR="00C45D59" w:rsidRDefault="009B0962">
      <w:pPr>
        <w:pStyle w:val="P68B1DB1-Normal6"/>
        <w:keepNext/>
        <w:keepLines/>
        <w:spacing w:before="240" w:after="0" w:line="240" w:lineRule="auto"/>
        <w:jc w:val="both"/>
        <w:outlineLvl w:val="4"/>
        <w:rPr>
          <w:rFonts w:ascii="Cambria" w:eastAsia="Times New Roman" w:hAnsi="Cambria"/>
          <w:noProof/>
          <w:color w:val="365F91"/>
        </w:rPr>
      </w:pPr>
      <w:r>
        <w:rPr>
          <w:noProof/>
        </w:rPr>
        <w:t>A.2. Jaloane, ținte, indicatori și calendarul de monitorizare și implementare aplicabile sprijinului financiar nerambursabil</w:t>
      </w:r>
    </w:p>
    <w:p w14:paraId="70BC0B3A" w14:textId="77777777" w:rsidR="00C45D59" w:rsidRDefault="009B0962">
      <w:pPr>
        <w:pStyle w:val="P68B1DB1-Normal9"/>
        <w:keepNext/>
        <w:keepLines/>
        <w:spacing w:before="240" w:after="0" w:line="240" w:lineRule="auto"/>
        <w:jc w:val="both"/>
        <w:outlineLvl w:val="4"/>
        <w:rPr>
          <w:rFonts w:eastAsia="Times New Roman"/>
          <w:noProof/>
        </w:rPr>
      </w:pPr>
      <w:r>
        <w:rPr>
          <w:noProof/>
        </w:rPr>
        <w:t>Principala investiție 1: Intervenții pentru interconectarea rețelelor de energie electrică ale insulelor și modernizarea rețelei de energie electrică</w:t>
      </w:r>
    </w:p>
    <w:tbl>
      <w:tblPr>
        <w:tblW w:w="1491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4"/>
        <w:gridCol w:w="1950"/>
        <w:gridCol w:w="1173"/>
        <w:gridCol w:w="1513"/>
        <w:gridCol w:w="1690"/>
        <w:gridCol w:w="951"/>
        <w:gridCol w:w="1047"/>
        <w:gridCol w:w="651"/>
        <w:gridCol w:w="896"/>
        <w:gridCol w:w="10"/>
        <w:gridCol w:w="887"/>
        <w:gridCol w:w="3411"/>
      </w:tblGrid>
      <w:tr w:rsidR="00C45D59" w14:paraId="78786DB4" w14:textId="77777777" w:rsidTr="00185705">
        <w:trPr>
          <w:trHeight w:val="675"/>
          <w:tblHeader/>
        </w:trPr>
        <w:tc>
          <w:tcPr>
            <w:tcW w:w="734" w:type="dxa"/>
            <w:vMerge w:val="restart"/>
            <w:shd w:val="clear" w:color="auto" w:fill="BDD7EE"/>
            <w:vAlign w:val="center"/>
            <w:hideMark/>
          </w:tcPr>
          <w:p w14:paraId="7907B5AA" w14:textId="33C4524D" w:rsidR="00C45D59" w:rsidRDefault="009B0962">
            <w:pPr>
              <w:pStyle w:val="P68B1DB1-Normal10"/>
              <w:spacing w:before="120" w:after="120" w:line="240" w:lineRule="auto"/>
              <w:jc w:val="center"/>
              <w:rPr>
                <w:noProof/>
              </w:rPr>
            </w:pPr>
            <w:r>
              <w:rPr>
                <w:noProof/>
              </w:rPr>
              <w:t>Nr</w:t>
            </w:r>
            <w:r w:rsidR="00185705">
              <w:rPr>
                <w:noProof/>
              </w:rPr>
              <w:t>. crt.</w:t>
            </w:r>
          </w:p>
        </w:tc>
        <w:tc>
          <w:tcPr>
            <w:tcW w:w="1950" w:type="dxa"/>
            <w:vMerge w:val="restart"/>
            <w:shd w:val="clear" w:color="auto" w:fill="BDD7EE"/>
            <w:vAlign w:val="center"/>
            <w:hideMark/>
          </w:tcPr>
          <w:p w14:paraId="37D135DE" w14:textId="77777777" w:rsidR="00C45D59" w:rsidRDefault="009B0962">
            <w:pPr>
              <w:pStyle w:val="P68B1DB1-Normal10"/>
              <w:spacing w:before="120" w:after="120" w:line="240" w:lineRule="auto"/>
              <w:jc w:val="center"/>
              <w:rPr>
                <w:rFonts w:cs="Times New Roman"/>
                <w:noProof/>
                <w:sz w:val="24"/>
              </w:rPr>
            </w:pPr>
            <w:r>
              <w:rPr>
                <w:noProof/>
              </w:rPr>
              <w:t>Măsură conexă (reformă sau investiții)</w:t>
            </w:r>
          </w:p>
        </w:tc>
        <w:tc>
          <w:tcPr>
            <w:tcW w:w="1173" w:type="dxa"/>
            <w:vMerge w:val="restart"/>
            <w:shd w:val="clear" w:color="auto" w:fill="BDD7EE"/>
            <w:vAlign w:val="center"/>
            <w:hideMark/>
          </w:tcPr>
          <w:p w14:paraId="700C49E8" w14:textId="77777777" w:rsidR="00C45D59" w:rsidRDefault="009B0962">
            <w:pPr>
              <w:pStyle w:val="P68B1DB1-Normal10"/>
              <w:spacing w:before="120" w:after="120" w:line="240" w:lineRule="auto"/>
              <w:jc w:val="center"/>
              <w:rPr>
                <w:rFonts w:cs="Times New Roman"/>
                <w:noProof/>
                <w:sz w:val="24"/>
              </w:rPr>
            </w:pPr>
            <w:r>
              <w:rPr>
                <w:noProof/>
              </w:rPr>
              <w:t>Etapă/Obiectiv</w:t>
            </w:r>
          </w:p>
        </w:tc>
        <w:tc>
          <w:tcPr>
            <w:tcW w:w="1513" w:type="dxa"/>
            <w:vMerge w:val="restart"/>
            <w:shd w:val="clear" w:color="auto" w:fill="BDD7EE"/>
            <w:vAlign w:val="center"/>
            <w:hideMark/>
          </w:tcPr>
          <w:p w14:paraId="227C3554" w14:textId="77777777" w:rsidR="00C45D59" w:rsidRDefault="009B0962">
            <w:pPr>
              <w:pStyle w:val="P68B1DB1-Normal10"/>
              <w:spacing w:before="120" w:after="120" w:line="240" w:lineRule="auto"/>
              <w:jc w:val="center"/>
              <w:rPr>
                <w:rFonts w:cs="Times New Roman"/>
                <w:noProof/>
                <w:sz w:val="24"/>
              </w:rPr>
            </w:pPr>
            <w:r>
              <w:rPr>
                <w:noProof/>
              </w:rPr>
              <w:t>Nume</w:t>
            </w:r>
          </w:p>
        </w:tc>
        <w:tc>
          <w:tcPr>
            <w:tcW w:w="1690" w:type="dxa"/>
            <w:vMerge w:val="restart"/>
            <w:shd w:val="clear" w:color="auto" w:fill="BDD7EE"/>
            <w:vAlign w:val="center"/>
            <w:hideMark/>
          </w:tcPr>
          <w:p w14:paraId="1216AEA9" w14:textId="77777777" w:rsidR="00C45D59" w:rsidRDefault="009B0962">
            <w:pPr>
              <w:pStyle w:val="P68B1DB1-Normal10"/>
              <w:spacing w:before="120" w:after="120" w:line="240" w:lineRule="auto"/>
              <w:jc w:val="center"/>
              <w:rPr>
                <w:rFonts w:cs="Times New Roman"/>
                <w:noProof/>
                <w:sz w:val="24"/>
              </w:rPr>
            </w:pPr>
            <w:r>
              <w:rPr>
                <w:noProof/>
              </w:rPr>
              <w:t>Indicatori calitativi (pentru obiectivele de etapă)</w:t>
            </w:r>
          </w:p>
        </w:tc>
        <w:tc>
          <w:tcPr>
            <w:tcW w:w="2649" w:type="dxa"/>
            <w:gridSpan w:val="3"/>
            <w:shd w:val="clear" w:color="auto" w:fill="BDD7EE"/>
            <w:vAlign w:val="center"/>
            <w:hideMark/>
          </w:tcPr>
          <w:p w14:paraId="0B374664" w14:textId="77777777" w:rsidR="00C45D59" w:rsidRDefault="009B0962">
            <w:pPr>
              <w:pStyle w:val="P68B1DB1-Normal10"/>
              <w:spacing w:before="120" w:after="120" w:line="240" w:lineRule="auto"/>
              <w:jc w:val="center"/>
              <w:rPr>
                <w:rFonts w:cs="Times New Roman"/>
                <w:noProof/>
                <w:sz w:val="24"/>
              </w:rPr>
            </w:pPr>
            <w:r>
              <w:rPr>
                <w:noProof/>
              </w:rPr>
              <w:t xml:space="preserve">Indicatori cantitativi </w:t>
            </w:r>
            <w:r>
              <w:rPr>
                <w:noProof/>
              </w:rPr>
              <w:br/>
              <w:t>(pentru obiective)</w:t>
            </w:r>
          </w:p>
        </w:tc>
        <w:tc>
          <w:tcPr>
            <w:tcW w:w="1793" w:type="dxa"/>
            <w:gridSpan w:val="3"/>
            <w:shd w:val="clear" w:color="auto" w:fill="BDD7EE"/>
            <w:vAlign w:val="center"/>
            <w:hideMark/>
          </w:tcPr>
          <w:p w14:paraId="62941842" w14:textId="77777777" w:rsidR="00C45D59" w:rsidRDefault="009B0962">
            <w:pPr>
              <w:pStyle w:val="P68B1DB1-Normal10"/>
              <w:spacing w:before="120" w:after="120" w:line="240" w:lineRule="auto"/>
              <w:jc w:val="center"/>
              <w:rPr>
                <w:rFonts w:cs="Times New Roman"/>
                <w:noProof/>
                <w:sz w:val="24"/>
              </w:rPr>
            </w:pPr>
            <w:r>
              <w:rPr>
                <w:noProof/>
              </w:rPr>
              <w:t>Calendar orientativ pentru finalizare</w:t>
            </w:r>
          </w:p>
        </w:tc>
        <w:tc>
          <w:tcPr>
            <w:tcW w:w="3411" w:type="dxa"/>
            <w:vMerge w:val="restart"/>
            <w:shd w:val="clear" w:color="auto" w:fill="BDD7EE"/>
            <w:vAlign w:val="center"/>
            <w:hideMark/>
          </w:tcPr>
          <w:p w14:paraId="66738313" w14:textId="77777777" w:rsidR="00C45D59" w:rsidRDefault="009B0962">
            <w:pPr>
              <w:pStyle w:val="P68B1DB1-Normal10"/>
              <w:spacing w:before="120" w:after="120" w:line="240" w:lineRule="auto"/>
              <w:rPr>
                <w:rFonts w:cs="Times New Roman"/>
                <w:noProof/>
                <w:sz w:val="24"/>
              </w:rPr>
            </w:pPr>
            <w:r>
              <w:rPr>
                <w:noProof/>
              </w:rPr>
              <w:t>Descrierea fiecărui jalon și a fiecărei ținte</w:t>
            </w:r>
          </w:p>
        </w:tc>
      </w:tr>
      <w:tr w:rsidR="00C45D59" w14:paraId="64B9D64C" w14:textId="77777777" w:rsidTr="00185705">
        <w:trPr>
          <w:trHeight w:val="268"/>
          <w:tblHeader/>
        </w:trPr>
        <w:tc>
          <w:tcPr>
            <w:tcW w:w="734" w:type="dxa"/>
            <w:vMerge/>
            <w:vAlign w:val="center"/>
          </w:tcPr>
          <w:p w14:paraId="3F15919F" w14:textId="77777777" w:rsidR="00C45D59" w:rsidRDefault="00C45D59">
            <w:pPr>
              <w:spacing w:before="120" w:after="120" w:line="240" w:lineRule="auto"/>
              <w:jc w:val="center"/>
              <w:rPr>
                <w:rFonts w:ascii="Times New Roman" w:eastAsia="Times New Roman" w:hAnsi="Times New Roman" w:cs="Times New Roman"/>
                <w:b/>
                <w:bCs/>
                <w:noProof/>
                <w:sz w:val="18"/>
                <w:szCs w:val="18"/>
              </w:rPr>
            </w:pPr>
          </w:p>
        </w:tc>
        <w:tc>
          <w:tcPr>
            <w:tcW w:w="1950" w:type="dxa"/>
            <w:vMerge/>
            <w:vAlign w:val="center"/>
          </w:tcPr>
          <w:p w14:paraId="398044B9" w14:textId="77777777" w:rsidR="00C45D59" w:rsidRDefault="00C45D59">
            <w:pPr>
              <w:spacing w:before="120" w:after="120" w:line="240" w:lineRule="auto"/>
              <w:jc w:val="center"/>
              <w:rPr>
                <w:rFonts w:ascii="Times New Roman" w:eastAsia="Times New Roman" w:hAnsi="Times New Roman" w:cs="Times New Roman"/>
                <w:b/>
                <w:bCs/>
                <w:noProof/>
                <w:sz w:val="18"/>
                <w:szCs w:val="18"/>
              </w:rPr>
            </w:pPr>
          </w:p>
        </w:tc>
        <w:tc>
          <w:tcPr>
            <w:tcW w:w="1173" w:type="dxa"/>
            <w:vMerge/>
            <w:vAlign w:val="center"/>
          </w:tcPr>
          <w:p w14:paraId="08D93D62" w14:textId="77777777" w:rsidR="00C45D59" w:rsidRDefault="00C45D59">
            <w:pPr>
              <w:spacing w:before="120" w:after="120" w:line="240" w:lineRule="auto"/>
              <w:jc w:val="center"/>
              <w:rPr>
                <w:rFonts w:ascii="Times New Roman" w:eastAsia="Times New Roman" w:hAnsi="Times New Roman" w:cs="Times New Roman"/>
                <w:b/>
                <w:bCs/>
                <w:noProof/>
                <w:sz w:val="18"/>
                <w:szCs w:val="18"/>
              </w:rPr>
            </w:pPr>
          </w:p>
        </w:tc>
        <w:tc>
          <w:tcPr>
            <w:tcW w:w="1513" w:type="dxa"/>
            <w:vMerge/>
            <w:vAlign w:val="center"/>
          </w:tcPr>
          <w:p w14:paraId="111499B8" w14:textId="77777777" w:rsidR="00C45D59" w:rsidRDefault="00C45D59">
            <w:pPr>
              <w:spacing w:before="120" w:after="120" w:line="240" w:lineRule="auto"/>
              <w:jc w:val="center"/>
              <w:rPr>
                <w:rFonts w:ascii="Times New Roman" w:eastAsia="Times New Roman" w:hAnsi="Times New Roman" w:cs="Times New Roman"/>
                <w:b/>
                <w:bCs/>
                <w:noProof/>
                <w:sz w:val="18"/>
                <w:szCs w:val="18"/>
              </w:rPr>
            </w:pPr>
          </w:p>
        </w:tc>
        <w:tc>
          <w:tcPr>
            <w:tcW w:w="1690" w:type="dxa"/>
            <w:vMerge/>
            <w:vAlign w:val="center"/>
          </w:tcPr>
          <w:p w14:paraId="5E59D566" w14:textId="77777777" w:rsidR="00C45D59" w:rsidRDefault="00C45D59">
            <w:pPr>
              <w:spacing w:before="120" w:after="120" w:line="240" w:lineRule="auto"/>
              <w:jc w:val="center"/>
              <w:rPr>
                <w:rFonts w:ascii="Times New Roman" w:eastAsia="Times New Roman" w:hAnsi="Times New Roman" w:cs="Times New Roman"/>
                <w:b/>
                <w:bCs/>
                <w:noProof/>
                <w:sz w:val="18"/>
                <w:szCs w:val="18"/>
              </w:rPr>
            </w:pPr>
          </w:p>
        </w:tc>
        <w:tc>
          <w:tcPr>
            <w:tcW w:w="951" w:type="dxa"/>
            <w:shd w:val="clear" w:color="auto" w:fill="BDD7EE"/>
            <w:vAlign w:val="center"/>
          </w:tcPr>
          <w:p w14:paraId="375C94AE" w14:textId="77777777" w:rsidR="00C45D59" w:rsidRDefault="009B0962">
            <w:pPr>
              <w:pStyle w:val="P68B1DB1-Normal10"/>
              <w:spacing w:before="120" w:after="120" w:line="240" w:lineRule="auto"/>
              <w:jc w:val="center"/>
              <w:rPr>
                <w:rFonts w:eastAsia="Times New Roman" w:cs="Times New Roman"/>
                <w:bCs/>
                <w:noProof/>
                <w:szCs w:val="18"/>
              </w:rPr>
            </w:pPr>
            <w:r>
              <w:rPr>
                <w:noProof/>
              </w:rPr>
              <w:t>Unitatea de măsură</w:t>
            </w:r>
          </w:p>
        </w:tc>
        <w:tc>
          <w:tcPr>
            <w:tcW w:w="1047" w:type="dxa"/>
            <w:shd w:val="clear" w:color="auto" w:fill="BDD7EE"/>
            <w:vAlign w:val="center"/>
          </w:tcPr>
          <w:p w14:paraId="75C09CE4" w14:textId="77777777" w:rsidR="00C45D59" w:rsidRDefault="009B0962">
            <w:pPr>
              <w:pStyle w:val="P68B1DB1-Normal10"/>
              <w:spacing w:before="120" w:after="120" w:line="240" w:lineRule="auto"/>
              <w:jc w:val="center"/>
              <w:rPr>
                <w:rFonts w:eastAsia="Times New Roman" w:cs="Times New Roman"/>
                <w:bCs/>
                <w:noProof/>
                <w:szCs w:val="18"/>
              </w:rPr>
            </w:pPr>
            <w:r>
              <w:rPr>
                <w:noProof/>
              </w:rPr>
              <w:t>Situația de referință</w:t>
            </w:r>
          </w:p>
        </w:tc>
        <w:tc>
          <w:tcPr>
            <w:tcW w:w="651" w:type="dxa"/>
            <w:shd w:val="clear" w:color="auto" w:fill="BDD7EE"/>
            <w:vAlign w:val="center"/>
          </w:tcPr>
          <w:p w14:paraId="794FD42E" w14:textId="77777777" w:rsidR="00C45D59" w:rsidRDefault="009B0962">
            <w:pPr>
              <w:pStyle w:val="P68B1DB1-Normal10"/>
              <w:spacing w:before="120" w:after="120" w:line="240" w:lineRule="auto"/>
              <w:jc w:val="center"/>
              <w:rPr>
                <w:rFonts w:eastAsia="Times New Roman" w:cs="Times New Roman"/>
                <w:bCs/>
                <w:noProof/>
                <w:szCs w:val="18"/>
              </w:rPr>
            </w:pPr>
            <w:r>
              <w:rPr>
                <w:noProof/>
              </w:rPr>
              <w:t>Obiectiv</w:t>
            </w:r>
          </w:p>
        </w:tc>
        <w:tc>
          <w:tcPr>
            <w:tcW w:w="896" w:type="dxa"/>
            <w:shd w:val="clear" w:color="auto" w:fill="BDD7EE"/>
            <w:vAlign w:val="center"/>
          </w:tcPr>
          <w:p w14:paraId="068BE492" w14:textId="77777777" w:rsidR="00C45D59" w:rsidRDefault="009B0962">
            <w:pPr>
              <w:pStyle w:val="P68B1DB1-Normal10"/>
              <w:spacing w:before="120" w:after="120" w:line="240" w:lineRule="auto"/>
              <w:jc w:val="center"/>
              <w:rPr>
                <w:rFonts w:eastAsia="Times New Roman" w:cs="Times New Roman"/>
                <w:bCs/>
                <w:noProof/>
                <w:szCs w:val="18"/>
              </w:rPr>
            </w:pPr>
            <w:r>
              <w:rPr>
                <w:noProof/>
              </w:rPr>
              <w:t>Trimestru</w:t>
            </w:r>
          </w:p>
        </w:tc>
        <w:tc>
          <w:tcPr>
            <w:tcW w:w="897" w:type="dxa"/>
            <w:gridSpan w:val="2"/>
            <w:shd w:val="clear" w:color="auto" w:fill="BDD7EE"/>
            <w:vAlign w:val="center"/>
          </w:tcPr>
          <w:p w14:paraId="3FCC7241" w14:textId="77777777" w:rsidR="00C45D59" w:rsidRDefault="009B0962">
            <w:pPr>
              <w:pStyle w:val="P68B1DB1-Normal10"/>
              <w:spacing w:before="120" w:after="120" w:line="240" w:lineRule="auto"/>
              <w:jc w:val="center"/>
              <w:rPr>
                <w:rFonts w:eastAsia="Times New Roman" w:cs="Times New Roman"/>
                <w:bCs/>
                <w:noProof/>
                <w:szCs w:val="18"/>
              </w:rPr>
            </w:pPr>
            <w:r>
              <w:rPr>
                <w:noProof/>
              </w:rPr>
              <w:t>Anul</w:t>
            </w:r>
          </w:p>
        </w:tc>
        <w:tc>
          <w:tcPr>
            <w:tcW w:w="3411" w:type="dxa"/>
            <w:vMerge/>
            <w:vAlign w:val="center"/>
          </w:tcPr>
          <w:p w14:paraId="214810D1" w14:textId="77777777" w:rsidR="00C45D59" w:rsidRDefault="00C45D59">
            <w:pPr>
              <w:spacing w:before="120" w:after="120" w:line="240" w:lineRule="auto"/>
              <w:jc w:val="center"/>
              <w:rPr>
                <w:rFonts w:ascii="Times New Roman" w:eastAsia="Times New Roman" w:hAnsi="Times New Roman" w:cs="Times New Roman"/>
                <w:b/>
                <w:bCs/>
                <w:noProof/>
                <w:sz w:val="18"/>
                <w:szCs w:val="18"/>
              </w:rPr>
            </w:pPr>
          </w:p>
        </w:tc>
      </w:tr>
      <w:tr w:rsidR="00C45D59" w14:paraId="6FB8DF87" w14:textId="77777777" w:rsidTr="00185705">
        <w:tc>
          <w:tcPr>
            <w:tcW w:w="734" w:type="dxa"/>
            <w:shd w:val="clear" w:color="auto" w:fill="C6EFCE"/>
            <w:noWrap/>
          </w:tcPr>
          <w:p w14:paraId="485F208A" w14:textId="77777777" w:rsidR="00C45D59" w:rsidRDefault="009B0962">
            <w:pPr>
              <w:pStyle w:val="P68B1DB1-Normal11"/>
              <w:spacing w:after="0" w:line="240" w:lineRule="auto"/>
              <w:rPr>
                <w:rFonts w:eastAsia="Times New Roman" w:cs="Times New Roman"/>
                <w:noProof/>
              </w:rPr>
            </w:pPr>
            <w:r>
              <w:rPr>
                <w:noProof/>
              </w:rPr>
              <w:t>1</w:t>
            </w:r>
          </w:p>
        </w:tc>
        <w:tc>
          <w:tcPr>
            <w:tcW w:w="1950" w:type="dxa"/>
            <w:shd w:val="clear" w:color="auto" w:fill="C6EFCE"/>
            <w:noWrap/>
          </w:tcPr>
          <w:p w14:paraId="04701C70" w14:textId="77777777" w:rsidR="00C45D59" w:rsidRDefault="009B0962">
            <w:pPr>
              <w:pStyle w:val="P68B1DB1-Normal12"/>
              <w:spacing w:after="0" w:line="240" w:lineRule="auto"/>
              <w:rPr>
                <w:rFonts w:eastAsia="Times New Roman"/>
                <w:noProof/>
              </w:rPr>
            </w:pPr>
            <w:r>
              <w:rPr>
                <w:noProof/>
              </w:rPr>
              <w:t>1-1.1. Alimentare cu energie electrică – 16870_Intervenții pentru interconectarea rețelelor de energie electrică ale insulelor și modernizarea rețelei de energie electrică</w:t>
            </w:r>
          </w:p>
        </w:tc>
        <w:tc>
          <w:tcPr>
            <w:tcW w:w="1173" w:type="dxa"/>
            <w:shd w:val="clear" w:color="auto" w:fill="C6EFCE"/>
            <w:noWrap/>
          </w:tcPr>
          <w:p w14:paraId="5BFFA10B" w14:textId="77777777" w:rsidR="00C45D59" w:rsidRDefault="009B0962">
            <w:pPr>
              <w:pStyle w:val="P68B1DB1-Normal12"/>
              <w:spacing w:after="0" w:line="240" w:lineRule="auto"/>
              <w:rPr>
                <w:rFonts w:eastAsia="Times New Roman"/>
                <w:noProof/>
              </w:rPr>
            </w:pPr>
            <w:r>
              <w:rPr>
                <w:noProof/>
              </w:rPr>
              <w:t>Etapă</w:t>
            </w:r>
          </w:p>
        </w:tc>
        <w:tc>
          <w:tcPr>
            <w:tcW w:w="1513" w:type="dxa"/>
            <w:shd w:val="clear" w:color="auto" w:fill="C6EFCE"/>
            <w:noWrap/>
          </w:tcPr>
          <w:p w14:paraId="78D21136" w14:textId="77777777" w:rsidR="00C45D59" w:rsidRDefault="009B0962">
            <w:pPr>
              <w:pStyle w:val="P68B1DB1-Normal12"/>
              <w:spacing w:after="0" w:line="240" w:lineRule="auto"/>
              <w:rPr>
                <w:rFonts w:eastAsia="Times New Roman"/>
                <w:noProof/>
              </w:rPr>
            </w:pPr>
            <w:r>
              <w:rPr>
                <w:noProof/>
              </w:rPr>
              <w:t>Interconectarea insulelor – atribuirea contractelor</w:t>
            </w:r>
          </w:p>
        </w:tc>
        <w:tc>
          <w:tcPr>
            <w:tcW w:w="1690" w:type="dxa"/>
            <w:shd w:val="clear" w:color="auto" w:fill="C6EFCE"/>
            <w:noWrap/>
          </w:tcPr>
          <w:p w14:paraId="2DEB4C3D" w14:textId="77777777" w:rsidR="00C45D59" w:rsidRDefault="009B0962">
            <w:pPr>
              <w:pStyle w:val="P68B1DB1-Normal12"/>
              <w:spacing w:after="120" w:line="240" w:lineRule="auto"/>
              <w:rPr>
                <w:rFonts w:eastAsia="Times New Roman"/>
                <w:noProof/>
              </w:rPr>
            </w:pPr>
            <w:r>
              <w:rPr>
                <w:noProof/>
              </w:rPr>
              <w:t>Notificarea atribuirii tuturor contractelor</w:t>
            </w:r>
          </w:p>
        </w:tc>
        <w:tc>
          <w:tcPr>
            <w:tcW w:w="951" w:type="dxa"/>
            <w:shd w:val="clear" w:color="auto" w:fill="C6EFCE"/>
            <w:noWrap/>
          </w:tcPr>
          <w:p w14:paraId="36D8914F" w14:textId="77777777" w:rsidR="00C45D59" w:rsidRDefault="00C45D59">
            <w:pPr>
              <w:spacing w:after="0" w:line="240" w:lineRule="auto"/>
              <w:rPr>
                <w:rFonts w:ascii="Times New Roman" w:eastAsia="Times New Roman" w:hAnsi="Times New Roman" w:cs="Times New Roman"/>
                <w:noProof/>
                <w:sz w:val="18"/>
                <w:szCs w:val="18"/>
              </w:rPr>
            </w:pPr>
          </w:p>
        </w:tc>
        <w:tc>
          <w:tcPr>
            <w:tcW w:w="1047" w:type="dxa"/>
            <w:shd w:val="clear" w:color="auto" w:fill="C6EFCE"/>
            <w:noWrap/>
          </w:tcPr>
          <w:p w14:paraId="2D4B52AD" w14:textId="77777777" w:rsidR="00C45D59" w:rsidRDefault="00C45D59">
            <w:pPr>
              <w:spacing w:after="0" w:line="240" w:lineRule="auto"/>
              <w:rPr>
                <w:rFonts w:ascii="Times New Roman" w:eastAsia="Times New Roman" w:hAnsi="Times New Roman" w:cs="Times New Roman"/>
                <w:noProof/>
                <w:sz w:val="18"/>
                <w:szCs w:val="18"/>
              </w:rPr>
            </w:pPr>
          </w:p>
        </w:tc>
        <w:tc>
          <w:tcPr>
            <w:tcW w:w="651" w:type="dxa"/>
            <w:shd w:val="clear" w:color="auto" w:fill="C6EFCE"/>
            <w:noWrap/>
          </w:tcPr>
          <w:p w14:paraId="3DAF7B8F" w14:textId="77777777" w:rsidR="00C45D59" w:rsidRDefault="00C45D59">
            <w:pPr>
              <w:spacing w:after="0" w:line="240" w:lineRule="auto"/>
              <w:rPr>
                <w:rFonts w:ascii="Times New Roman" w:eastAsia="Times New Roman" w:hAnsi="Times New Roman" w:cs="Times New Roman"/>
                <w:noProof/>
                <w:sz w:val="18"/>
                <w:szCs w:val="18"/>
              </w:rPr>
            </w:pPr>
          </w:p>
        </w:tc>
        <w:tc>
          <w:tcPr>
            <w:tcW w:w="906" w:type="dxa"/>
            <w:gridSpan w:val="2"/>
            <w:shd w:val="clear" w:color="auto" w:fill="C6EFCE"/>
            <w:noWrap/>
          </w:tcPr>
          <w:p w14:paraId="1023E615" w14:textId="77777777" w:rsidR="00C45D59" w:rsidRDefault="009B0962">
            <w:pPr>
              <w:pStyle w:val="P68B1DB1-Normal12"/>
              <w:spacing w:after="120" w:line="240" w:lineRule="auto"/>
              <w:rPr>
                <w:rFonts w:eastAsia="Times New Roman"/>
                <w:noProof/>
              </w:rPr>
            </w:pPr>
            <w:r>
              <w:rPr>
                <w:noProof/>
              </w:rPr>
              <w:t>Î2</w:t>
            </w:r>
          </w:p>
        </w:tc>
        <w:tc>
          <w:tcPr>
            <w:tcW w:w="887" w:type="dxa"/>
            <w:shd w:val="clear" w:color="auto" w:fill="C6EFCE"/>
            <w:noWrap/>
          </w:tcPr>
          <w:p w14:paraId="4C3E71E5" w14:textId="77777777" w:rsidR="00C45D59" w:rsidRDefault="009B0962">
            <w:pPr>
              <w:pStyle w:val="P68B1DB1-Normal12"/>
              <w:spacing w:after="120" w:line="240" w:lineRule="auto"/>
              <w:rPr>
                <w:rFonts w:eastAsia="Times New Roman"/>
                <w:noProof/>
              </w:rPr>
            </w:pPr>
            <w:r>
              <w:rPr>
                <w:noProof/>
              </w:rPr>
              <w:t>2023</w:t>
            </w:r>
          </w:p>
        </w:tc>
        <w:tc>
          <w:tcPr>
            <w:tcW w:w="3411" w:type="dxa"/>
            <w:shd w:val="clear" w:color="auto" w:fill="C6EFCE"/>
            <w:noWrap/>
          </w:tcPr>
          <w:p w14:paraId="12A435DC" w14:textId="77777777" w:rsidR="00C45D59" w:rsidRDefault="009B0962">
            <w:pPr>
              <w:pStyle w:val="P68B1DB1-Normal12"/>
              <w:spacing w:after="0" w:line="240" w:lineRule="auto"/>
              <w:rPr>
                <w:rFonts w:eastAsia="Times New Roman"/>
                <w:noProof/>
              </w:rPr>
            </w:pPr>
            <w:r>
              <w:rPr>
                <w:noProof/>
              </w:rPr>
              <w:t>Notificarea atribuirii tuturor contractelor de către operatorul independent de transport de energie electrică (IPTO) pentru instalarea completă a:</w:t>
            </w:r>
          </w:p>
          <w:p w14:paraId="40B30054" w14:textId="77777777" w:rsidR="00C45D59" w:rsidRDefault="009B0962">
            <w:pPr>
              <w:pStyle w:val="P68B1DB1-Normal12"/>
              <w:spacing w:after="0" w:line="240" w:lineRule="auto"/>
              <w:rPr>
                <w:rFonts w:eastAsia="Times New Roman"/>
                <w:noProof/>
              </w:rPr>
            </w:pPr>
            <w:r>
              <w:rPr>
                <w:noProof/>
              </w:rPr>
              <w:t>1) conexiune prin cablu Naxos – Thira;</w:t>
            </w:r>
          </w:p>
          <w:p w14:paraId="2E207454" w14:textId="77777777" w:rsidR="00C45D59" w:rsidRDefault="009B0962">
            <w:pPr>
              <w:pStyle w:val="P68B1DB1-Normal12"/>
              <w:spacing w:after="0" w:line="240" w:lineRule="auto"/>
              <w:rPr>
                <w:rFonts w:eastAsia="Times New Roman"/>
                <w:noProof/>
              </w:rPr>
            </w:pPr>
            <w:r>
              <w:rPr>
                <w:noProof/>
              </w:rPr>
              <w:t>2) cablu de foarte înaltă tensiune (EHVC) Koumoundoros – Korinthos (părțile 1 și 2); și</w:t>
            </w:r>
          </w:p>
          <w:p w14:paraId="2E1B7DE1" w14:textId="77777777" w:rsidR="00C45D59" w:rsidRDefault="009B0962">
            <w:pPr>
              <w:pStyle w:val="P68B1DB1-Normal12"/>
              <w:spacing w:after="0" w:line="240" w:lineRule="auto"/>
              <w:rPr>
                <w:rFonts w:eastAsia="Times New Roman"/>
                <w:noProof/>
              </w:rPr>
            </w:pPr>
            <w:r>
              <w:rPr>
                <w:noProof/>
              </w:rPr>
              <w:t>3) stațiile electrice Milos, Folegandros, Serifos și conexiunile prin cablu Lavrio-Serifos, Serifos-Milos, Milos-Folegandros, Folegandros-Thira.</w:t>
            </w:r>
          </w:p>
        </w:tc>
      </w:tr>
      <w:tr w:rsidR="00C45D59" w14:paraId="28CCD133" w14:textId="77777777" w:rsidTr="00185705">
        <w:tc>
          <w:tcPr>
            <w:tcW w:w="734" w:type="dxa"/>
            <w:shd w:val="clear" w:color="auto" w:fill="C6EFCE"/>
            <w:noWrap/>
            <w:hideMark/>
          </w:tcPr>
          <w:p w14:paraId="22642020" w14:textId="77777777" w:rsidR="00C45D59" w:rsidRDefault="009B0962">
            <w:pPr>
              <w:pStyle w:val="P68B1DB1-Normal12"/>
              <w:spacing w:before="120" w:after="120" w:line="240" w:lineRule="auto"/>
              <w:rPr>
                <w:noProof/>
                <w:sz w:val="24"/>
                <w:szCs w:val="24"/>
              </w:rPr>
            </w:pPr>
            <w:r>
              <w:rPr>
                <w:noProof/>
              </w:rPr>
              <w:t>3</w:t>
            </w:r>
          </w:p>
        </w:tc>
        <w:tc>
          <w:tcPr>
            <w:tcW w:w="1950" w:type="dxa"/>
            <w:shd w:val="clear" w:color="auto" w:fill="C6EFCE"/>
            <w:noWrap/>
            <w:hideMark/>
          </w:tcPr>
          <w:p w14:paraId="76313C9F" w14:textId="77777777" w:rsidR="00C45D59" w:rsidRDefault="009B0962">
            <w:pPr>
              <w:pStyle w:val="P68B1DB1-Normal13"/>
              <w:spacing w:after="120" w:line="240" w:lineRule="auto"/>
              <w:rPr>
                <w:noProof/>
                <w:sz w:val="24"/>
              </w:rPr>
            </w:pPr>
            <w:r>
              <w:rPr>
                <w:noProof/>
              </w:rPr>
              <w:t>1-1.1. Energie electrică – 16870_Intervenții pentru interconectarea rețelelor de energie electrică ale insulelor și investiții în rețeaua de energie electrică</w:t>
            </w:r>
          </w:p>
        </w:tc>
        <w:tc>
          <w:tcPr>
            <w:tcW w:w="1173" w:type="dxa"/>
            <w:shd w:val="clear" w:color="auto" w:fill="C6EFCE"/>
            <w:noWrap/>
            <w:hideMark/>
          </w:tcPr>
          <w:p w14:paraId="59EF8729" w14:textId="77777777" w:rsidR="00C45D59" w:rsidRDefault="009B0962">
            <w:pPr>
              <w:pStyle w:val="P68B1DB1-Normal13"/>
              <w:spacing w:after="120" w:line="240" w:lineRule="auto"/>
              <w:rPr>
                <w:noProof/>
                <w:sz w:val="24"/>
              </w:rPr>
            </w:pPr>
            <w:r>
              <w:rPr>
                <w:noProof/>
              </w:rPr>
              <w:t>Etapă</w:t>
            </w:r>
          </w:p>
        </w:tc>
        <w:tc>
          <w:tcPr>
            <w:tcW w:w="1513" w:type="dxa"/>
            <w:shd w:val="clear" w:color="auto" w:fill="C6EFCE"/>
            <w:noWrap/>
            <w:hideMark/>
          </w:tcPr>
          <w:p w14:paraId="55212335" w14:textId="77777777" w:rsidR="00C45D59" w:rsidRDefault="009B0962">
            <w:pPr>
              <w:pStyle w:val="P68B1DB1-Normal13"/>
              <w:spacing w:after="120" w:line="240" w:lineRule="auto"/>
              <w:rPr>
                <w:noProof/>
                <w:sz w:val="24"/>
              </w:rPr>
            </w:pPr>
            <w:r>
              <w:rPr>
                <w:noProof/>
              </w:rPr>
              <w:t xml:space="preserve">Interconectarea insulelor </w:t>
            </w:r>
          </w:p>
        </w:tc>
        <w:tc>
          <w:tcPr>
            <w:tcW w:w="1690" w:type="dxa"/>
            <w:shd w:val="clear" w:color="auto" w:fill="C6EFCE"/>
            <w:noWrap/>
            <w:hideMark/>
          </w:tcPr>
          <w:p w14:paraId="735096FF" w14:textId="77777777" w:rsidR="00C45D59" w:rsidRDefault="009B0962">
            <w:pPr>
              <w:pStyle w:val="P68B1DB1-Normal13"/>
              <w:spacing w:after="120" w:line="240" w:lineRule="auto"/>
              <w:rPr>
                <w:noProof/>
                <w:sz w:val="24"/>
              </w:rPr>
            </w:pPr>
            <w:r>
              <w:rPr>
                <w:noProof/>
              </w:rPr>
              <w:t>Finalizarea lucrărilor, certificată de IPTO</w:t>
            </w:r>
          </w:p>
        </w:tc>
        <w:tc>
          <w:tcPr>
            <w:tcW w:w="951" w:type="dxa"/>
            <w:shd w:val="clear" w:color="auto" w:fill="C6EFCE"/>
            <w:noWrap/>
            <w:hideMark/>
          </w:tcPr>
          <w:p w14:paraId="75BDA04E" w14:textId="77777777" w:rsidR="00C45D59" w:rsidRDefault="009B0962">
            <w:pPr>
              <w:pStyle w:val="P68B1DB1-Normal13"/>
              <w:spacing w:after="120" w:line="240" w:lineRule="auto"/>
              <w:rPr>
                <w:noProof/>
                <w:sz w:val="24"/>
              </w:rPr>
            </w:pPr>
            <w:r>
              <w:rPr>
                <w:noProof/>
              </w:rPr>
              <w:t xml:space="preserve"> </w:t>
            </w:r>
          </w:p>
        </w:tc>
        <w:tc>
          <w:tcPr>
            <w:tcW w:w="1047" w:type="dxa"/>
            <w:shd w:val="clear" w:color="auto" w:fill="C6EFCE"/>
            <w:noWrap/>
            <w:hideMark/>
          </w:tcPr>
          <w:p w14:paraId="06BBD14B" w14:textId="77777777" w:rsidR="00C45D59" w:rsidRDefault="009B0962">
            <w:pPr>
              <w:pStyle w:val="P68B1DB1-Normal13"/>
              <w:spacing w:after="120" w:line="240" w:lineRule="auto"/>
              <w:rPr>
                <w:noProof/>
                <w:sz w:val="24"/>
              </w:rPr>
            </w:pPr>
            <w:r>
              <w:rPr>
                <w:noProof/>
              </w:rPr>
              <w:t xml:space="preserve"> </w:t>
            </w:r>
          </w:p>
        </w:tc>
        <w:tc>
          <w:tcPr>
            <w:tcW w:w="651" w:type="dxa"/>
            <w:shd w:val="clear" w:color="auto" w:fill="C6EFCE"/>
            <w:noWrap/>
            <w:hideMark/>
          </w:tcPr>
          <w:p w14:paraId="6E58CE95" w14:textId="77777777" w:rsidR="00C45D59" w:rsidRDefault="009B0962">
            <w:pPr>
              <w:pStyle w:val="P68B1DB1-Normal13"/>
              <w:spacing w:after="120" w:line="240" w:lineRule="auto"/>
              <w:rPr>
                <w:noProof/>
                <w:sz w:val="24"/>
              </w:rPr>
            </w:pPr>
            <w:r>
              <w:rPr>
                <w:noProof/>
              </w:rPr>
              <w:t xml:space="preserve"> </w:t>
            </w:r>
          </w:p>
        </w:tc>
        <w:tc>
          <w:tcPr>
            <w:tcW w:w="906" w:type="dxa"/>
            <w:gridSpan w:val="2"/>
            <w:shd w:val="clear" w:color="auto" w:fill="C6EFCE"/>
            <w:noWrap/>
            <w:hideMark/>
          </w:tcPr>
          <w:p w14:paraId="5FFA2E00" w14:textId="77777777" w:rsidR="00C45D59" w:rsidRDefault="009B0962">
            <w:pPr>
              <w:pStyle w:val="P68B1DB1-Normal13"/>
              <w:spacing w:after="120" w:line="240" w:lineRule="auto"/>
              <w:rPr>
                <w:noProof/>
                <w:sz w:val="24"/>
              </w:rPr>
            </w:pPr>
            <w:r>
              <w:rPr>
                <w:noProof/>
              </w:rPr>
              <w:t>Î4</w:t>
            </w:r>
          </w:p>
        </w:tc>
        <w:tc>
          <w:tcPr>
            <w:tcW w:w="887" w:type="dxa"/>
            <w:shd w:val="clear" w:color="auto" w:fill="C6EFCE"/>
            <w:noWrap/>
            <w:hideMark/>
          </w:tcPr>
          <w:p w14:paraId="1BC3AA37" w14:textId="77777777" w:rsidR="00C45D59" w:rsidRDefault="009B0962">
            <w:pPr>
              <w:pStyle w:val="P68B1DB1-Normal13"/>
              <w:spacing w:after="120" w:line="240" w:lineRule="auto"/>
              <w:rPr>
                <w:noProof/>
                <w:sz w:val="24"/>
              </w:rPr>
            </w:pPr>
            <w:r>
              <w:rPr>
                <w:noProof/>
              </w:rPr>
              <w:t>2025 </w:t>
            </w:r>
          </w:p>
        </w:tc>
        <w:tc>
          <w:tcPr>
            <w:tcW w:w="3411" w:type="dxa"/>
            <w:shd w:val="clear" w:color="auto" w:fill="C6EFCE"/>
            <w:noWrap/>
            <w:hideMark/>
          </w:tcPr>
          <w:p w14:paraId="3C65CF41" w14:textId="304A6AA8" w:rsidR="00C45D59" w:rsidRDefault="009B0962">
            <w:pPr>
              <w:pStyle w:val="P68B1DB1-Normal12"/>
              <w:spacing w:after="120" w:line="240" w:lineRule="auto"/>
              <w:rPr>
                <w:noProof/>
              </w:rPr>
            </w:pPr>
            <w:r>
              <w:rPr>
                <w:noProof/>
              </w:rPr>
              <w:t xml:space="preserve">Construirea interconectării Cicladelor (faza D), modernizarea EHVC Koumoundouros GIS 400 kV și instalarea a 170 noi turnuri de transmisie și conductoare pe 39 turnuri de transmisie (o nouă linie de transmisie sau realinieri) pentru linia aeriană care leagă EHVC Corint și EHVC Koumoundouros. </w:t>
            </w:r>
          </w:p>
        </w:tc>
      </w:tr>
    </w:tbl>
    <w:p w14:paraId="54824A2C" w14:textId="77777777" w:rsidR="00C45D59" w:rsidRDefault="00C45D59">
      <w:pPr>
        <w:keepNext/>
        <w:keepLines/>
        <w:spacing w:before="240" w:after="240" w:line="240" w:lineRule="auto"/>
        <w:jc w:val="both"/>
        <w:outlineLvl w:val="4"/>
        <w:rPr>
          <w:rFonts w:ascii="Cambria" w:hAnsi="Cambria"/>
          <w:noProof/>
          <w:color w:val="365F91"/>
          <w:sz w:val="24"/>
        </w:rPr>
        <w:sectPr w:rsidR="00C45D59">
          <w:headerReference w:type="even" r:id="rId24"/>
          <w:headerReference w:type="default" r:id="rId25"/>
          <w:footerReference w:type="even" r:id="rId26"/>
          <w:footerReference w:type="default" r:id="rId27"/>
          <w:headerReference w:type="first" r:id="rId28"/>
          <w:footerReference w:type="first" r:id="rId29"/>
          <w:pgSz w:w="16839" w:h="11907" w:orient="landscape"/>
          <w:pgMar w:top="1134" w:right="1134" w:bottom="1134" w:left="1134" w:header="567" w:footer="567" w:gutter="0"/>
          <w:cols w:space="720"/>
          <w:docGrid w:linePitch="360"/>
        </w:sectPr>
      </w:pPr>
    </w:p>
    <w:p w14:paraId="2564601D" w14:textId="77777777" w:rsidR="00C45D59" w:rsidRDefault="009B0962">
      <w:pPr>
        <w:pStyle w:val="P68B1DB1-Normal9"/>
        <w:keepNext/>
        <w:keepLines/>
        <w:spacing w:before="240" w:after="240" w:line="240" w:lineRule="auto"/>
        <w:jc w:val="both"/>
        <w:outlineLvl w:val="4"/>
        <w:rPr>
          <w:rFonts w:eastAsia="Times New Roman"/>
          <w:noProof/>
        </w:rPr>
      </w:pPr>
      <w:r>
        <w:rPr>
          <w:noProof/>
        </w:rPr>
        <w:t>Reforma cheie 1: Restructurarea și îmbunătățirea veniturilor din contul de SRC-CHP – Raționalizarea funcționării eficiente a noului model de piață a energiei electrice și dezvoltarea de noi centrale SRE pentru a atinge obiectivele PNEC prin punerea în aplicare a mecanismului de monitorizare, participarea consumului dispecerizabil și o reformă amplă a procedurii de acordare a licențelor pentru noile SRE</w:t>
      </w:r>
    </w:p>
    <w:tbl>
      <w:tblPr>
        <w:tblW w:w="14787" w:type="dxa"/>
        <w:tblLook w:val="04A0" w:firstRow="1" w:lastRow="0" w:firstColumn="1" w:lastColumn="0" w:noHBand="0" w:noVBand="1"/>
      </w:tblPr>
      <w:tblGrid>
        <w:gridCol w:w="641"/>
        <w:gridCol w:w="1933"/>
        <w:gridCol w:w="1355"/>
        <w:gridCol w:w="1434"/>
        <w:gridCol w:w="1522"/>
        <w:gridCol w:w="1171"/>
        <w:gridCol w:w="936"/>
        <w:gridCol w:w="854"/>
        <w:gridCol w:w="992"/>
        <w:gridCol w:w="901"/>
        <w:gridCol w:w="3048"/>
      </w:tblGrid>
      <w:tr w:rsidR="00C45D59" w14:paraId="74992913" w14:textId="77777777" w:rsidTr="00185705">
        <w:trPr>
          <w:trHeight w:val="699"/>
          <w:tblHeader/>
        </w:trPr>
        <w:tc>
          <w:tcPr>
            <w:tcW w:w="648" w:type="dxa"/>
            <w:vMerge w:val="restart"/>
            <w:tcBorders>
              <w:top w:val="single" w:sz="4" w:space="0" w:color="auto"/>
              <w:left w:val="single" w:sz="4" w:space="0" w:color="auto"/>
              <w:bottom w:val="single" w:sz="4" w:space="0" w:color="auto"/>
              <w:right w:val="single" w:sz="4" w:space="0" w:color="auto"/>
            </w:tcBorders>
            <w:shd w:val="clear" w:color="auto" w:fill="B8CCE4"/>
            <w:noWrap/>
            <w:vAlign w:val="center"/>
          </w:tcPr>
          <w:p w14:paraId="16C8021E" w14:textId="5470F18D" w:rsidR="00C45D59" w:rsidRDefault="009B0962">
            <w:pPr>
              <w:pStyle w:val="P68B1DB1-Normal10"/>
              <w:spacing w:after="0" w:line="240" w:lineRule="auto"/>
              <w:jc w:val="center"/>
              <w:rPr>
                <w:rFonts w:eastAsia="Times New Roman" w:cs="Times New Roman"/>
                <w:noProof/>
                <w:color w:val="006100"/>
                <w:szCs w:val="18"/>
              </w:rPr>
            </w:pPr>
            <w:r>
              <w:rPr>
                <w:noProof/>
              </w:rPr>
              <w:t>Nr</w:t>
            </w:r>
            <w:r w:rsidR="00185705">
              <w:rPr>
                <w:noProof/>
              </w:rPr>
              <w:t>. crt</w:t>
            </w:r>
            <w:r>
              <w:rPr>
                <w:noProof/>
              </w:rPr>
              <w:t>.</w:t>
            </w:r>
          </w:p>
        </w:tc>
        <w:tc>
          <w:tcPr>
            <w:tcW w:w="1964" w:type="dxa"/>
            <w:vMerge w:val="restart"/>
            <w:tcBorders>
              <w:top w:val="single" w:sz="4" w:space="0" w:color="auto"/>
              <w:left w:val="single" w:sz="4" w:space="0" w:color="auto"/>
              <w:bottom w:val="single" w:sz="4" w:space="0" w:color="auto"/>
              <w:right w:val="single" w:sz="4" w:space="0" w:color="auto"/>
            </w:tcBorders>
            <w:shd w:val="clear" w:color="auto" w:fill="B8CCE4"/>
            <w:noWrap/>
            <w:vAlign w:val="center"/>
          </w:tcPr>
          <w:p w14:paraId="1205FA9D" w14:textId="77777777" w:rsidR="00C45D59" w:rsidRDefault="009B0962">
            <w:pPr>
              <w:pStyle w:val="P68B1DB1-Normal10"/>
              <w:spacing w:after="0" w:line="240" w:lineRule="auto"/>
              <w:jc w:val="center"/>
              <w:rPr>
                <w:rFonts w:eastAsia="Times New Roman" w:cs="Times New Roman"/>
                <w:noProof/>
                <w:color w:val="006100"/>
                <w:szCs w:val="18"/>
              </w:rPr>
            </w:pPr>
            <w:r>
              <w:rPr>
                <w:noProof/>
              </w:rPr>
              <w:t>Măsură conexă (reformă sau investiții)</w:t>
            </w:r>
          </w:p>
        </w:tc>
        <w:tc>
          <w:tcPr>
            <w:tcW w:w="1308" w:type="dxa"/>
            <w:vMerge w:val="restart"/>
            <w:tcBorders>
              <w:top w:val="single" w:sz="4" w:space="0" w:color="auto"/>
              <w:left w:val="single" w:sz="4" w:space="0" w:color="auto"/>
              <w:bottom w:val="single" w:sz="4" w:space="0" w:color="auto"/>
              <w:right w:val="single" w:sz="4" w:space="0" w:color="auto"/>
            </w:tcBorders>
            <w:shd w:val="clear" w:color="auto" w:fill="B8CCE4"/>
            <w:noWrap/>
            <w:vAlign w:val="center"/>
          </w:tcPr>
          <w:p w14:paraId="0A6C17FB" w14:textId="77777777" w:rsidR="00C45D59" w:rsidRDefault="009B0962">
            <w:pPr>
              <w:pStyle w:val="P68B1DB1-Normal10"/>
              <w:spacing w:after="0" w:line="240" w:lineRule="auto"/>
              <w:jc w:val="center"/>
              <w:rPr>
                <w:rFonts w:eastAsia="Times New Roman" w:cs="Times New Roman"/>
                <w:noProof/>
                <w:color w:val="006100"/>
                <w:szCs w:val="18"/>
              </w:rPr>
            </w:pPr>
            <w:r>
              <w:rPr>
                <w:noProof/>
              </w:rPr>
              <w:t>Etapă/Obiectiv</w:t>
            </w:r>
          </w:p>
        </w:tc>
        <w:tc>
          <w:tcPr>
            <w:tcW w:w="1384" w:type="dxa"/>
            <w:vMerge w:val="restart"/>
            <w:tcBorders>
              <w:top w:val="single" w:sz="4" w:space="0" w:color="auto"/>
              <w:left w:val="nil"/>
              <w:bottom w:val="single" w:sz="4" w:space="0" w:color="auto"/>
              <w:right w:val="single" w:sz="4" w:space="0" w:color="auto"/>
            </w:tcBorders>
            <w:shd w:val="clear" w:color="auto" w:fill="B8CCE4"/>
            <w:noWrap/>
            <w:vAlign w:val="center"/>
          </w:tcPr>
          <w:p w14:paraId="6FE09B79" w14:textId="77777777" w:rsidR="00C45D59" w:rsidRDefault="009B0962">
            <w:pPr>
              <w:pStyle w:val="P68B1DB1-Normal10"/>
              <w:spacing w:after="0" w:line="240" w:lineRule="auto"/>
              <w:jc w:val="center"/>
              <w:rPr>
                <w:rFonts w:eastAsia="Times New Roman" w:cs="Times New Roman"/>
                <w:noProof/>
                <w:color w:val="006100"/>
                <w:szCs w:val="18"/>
              </w:rPr>
            </w:pPr>
            <w:r>
              <w:rPr>
                <w:noProof/>
              </w:rPr>
              <w:t>Nume</w:t>
            </w:r>
          </w:p>
        </w:tc>
        <w:tc>
          <w:tcPr>
            <w:tcW w:w="1546" w:type="dxa"/>
            <w:vMerge w:val="restart"/>
            <w:tcBorders>
              <w:top w:val="single" w:sz="4" w:space="0" w:color="auto"/>
              <w:left w:val="single" w:sz="4" w:space="0" w:color="auto"/>
              <w:bottom w:val="single" w:sz="4" w:space="0" w:color="auto"/>
              <w:right w:val="single" w:sz="4" w:space="0" w:color="auto"/>
            </w:tcBorders>
            <w:shd w:val="clear" w:color="auto" w:fill="B8CCE4"/>
            <w:noWrap/>
            <w:vAlign w:val="center"/>
          </w:tcPr>
          <w:p w14:paraId="16B96001" w14:textId="77777777" w:rsidR="00C45D59" w:rsidRDefault="009B0962">
            <w:pPr>
              <w:pStyle w:val="P68B1DB1-Normal10"/>
              <w:spacing w:after="0" w:line="240" w:lineRule="auto"/>
              <w:jc w:val="center"/>
              <w:rPr>
                <w:rFonts w:eastAsia="Times New Roman" w:cs="Times New Roman"/>
                <w:noProof/>
                <w:color w:val="006100"/>
                <w:szCs w:val="18"/>
              </w:rPr>
            </w:pPr>
            <w:r>
              <w:rPr>
                <w:noProof/>
              </w:rPr>
              <w:t>Indicatori calitativi (pentru obiectivele de etapă)</w:t>
            </w:r>
          </w:p>
        </w:tc>
        <w:tc>
          <w:tcPr>
            <w:tcW w:w="2965" w:type="dxa"/>
            <w:gridSpan w:val="3"/>
            <w:tcBorders>
              <w:top w:val="single" w:sz="4" w:space="0" w:color="auto"/>
              <w:left w:val="nil"/>
              <w:bottom w:val="single" w:sz="4" w:space="0" w:color="auto"/>
              <w:right w:val="single" w:sz="4" w:space="0" w:color="auto"/>
            </w:tcBorders>
            <w:shd w:val="clear" w:color="auto" w:fill="B8CCE4"/>
            <w:noWrap/>
            <w:vAlign w:val="center"/>
          </w:tcPr>
          <w:p w14:paraId="60A4C155" w14:textId="77777777" w:rsidR="00C45D59" w:rsidRDefault="009B0962">
            <w:pPr>
              <w:pStyle w:val="P68B1DB1-Normal10"/>
              <w:spacing w:after="0" w:line="240" w:lineRule="auto"/>
              <w:jc w:val="center"/>
              <w:rPr>
                <w:rFonts w:eastAsia="Times New Roman" w:cs="Times New Roman"/>
                <w:noProof/>
                <w:color w:val="006100"/>
                <w:szCs w:val="18"/>
              </w:rPr>
            </w:pPr>
            <w:r>
              <w:rPr>
                <w:noProof/>
              </w:rPr>
              <w:t>Indicatori cantitativi (pentru ținte)</w:t>
            </w:r>
          </w:p>
        </w:tc>
        <w:tc>
          <w:tcPr>
            <w:tcW w:w="1873" w:type="dxa"/>
            <w:gridSpan w:val="2"/>
            <w:tcBorders>
              <w:top w:val="single" w:sz="4" w:space="0" w:color="auto"/>
              <w:left w:val="nil"/>
              <w:bottom w:val="single" w:sz="4" w:space="0" w:color="auto"/>
              <w:right w:val="single" w:sz="4" w:space="0" w:color="auto"/>
            </w:tcBorders>
            <w:shd w:val="clear" w:color="auto" w:fill="B8CCE4"/>
            <w:noWrap/>
            <w:vAlign w:val="center"/>
          </w:tcPr>
          <w:p w14:paraId="2B99B1D9" w14:textId="77777777" w:rsidR="00C45D59" w:rsidRDefault="009B0962">
            <w:pPr>
              <w:pStyle w:val="P68B1DB1-Normal10"/>
              <w:spacing w:after="0" w:line="240" w:lineRule="auto"/>
              <w:jc w:val="center"/>
              <w:rPr>
                <w:rFonts w:eastAsia="Times New Roman" w:cs="Times New Roman"/>
                <w:noProof/>
                <w:color w:val="006100"/>
                <w:szCs w:val="18"/>
              </w:rPr>
            </w:pPr>
            <w:r>
              <w:rPr>
                <w:noProof/>
              </w:rPr>
              <w:t>Calendar orientativ pentru finalizare</w:t>
            </w:r>
          </w:p>
        </w:tc>
        <w:tc>
          <w:tcPr>
            <w:tcW w:w="3099" w:type="dxa"/>
            <w:vMerge w:val="restart"/>
            <w:tcBorders>
              <w:top w:val="single" w:sz="4" w:space="0" w:color="auto"/>
              <w:left w:val="nil"/>
              <w:bottom w:val="single" w:sz="4" w:space="0" w:color="auto"/>
              <w:right w:val="single" w:sz="4" w:space="0" w:color="auto"/>
            </w:tcBorders>
            <w:shd w:val="clear" w:color="auto" w:fill="B8CCE4"/>
            <w:noWrap/>
            <w:vAlign w:val="center"/>
          </w:tcPr>
          <w:p w14:paraId="42488EC0" w14:textId="77777777" w:rsidR="00C45D59" w:rsidRDefault="009B0962">
            <w:pPr>
              <w:pStyle w:val="P68B1DB1-Normal10"/>
              <w:spacing w:after="0" w:line="240" w:lineRule="auto"/>
              <w:jc w:val="center"/>
              <w:rPr>
                <w:rFonts w:eastAsia="Times New Roman" w:cs="Times New Roman"/>
                <w:noProof/>
                <w:color w:val="006100"/>
                <w:szCs w:val="18"/>
              </w:rPr>
            </w:pPr>
            <w:r>
              <w:rPr>
                <w:noProof/>
              </w:rPr>
              <w:t>Descrierea fiecărui jalon și a fiecărei ținte</w:t>
            </w:r>
          </w:p>
        </w:tc>
      </w:tr>
      <w:tr w:rsidR="00C45D59" w14:paraId="6A39D204" w14:textId="77777777" w:rsidTr="00185705">
        <w:trPr>
          <w:trHeight w:val="557"/>
          <w:tblHeader/>
        </w:trPr>
        <w:tc>
          <w:tcPr>
            <w:tcW w:w="648" w:type="dxa"/>
            <w:vMerge/>
            <w:tcBorders>
              <w:top w:val="single" w:sz="4" w:space="0" w:color="auto"/>
              <w:left w:val="single" w:sz="4" w:space="0" w:color="auto"/>
              <w:bottom w:val="single" w:sz="4" w:space="0" w:color="auto"/>
              <w:right w:val="single" w:sz="4" w:space="0" w:color="auto"/>
            </w:tcBorders>
            <w:shd w:val="clear" w:color="auto" w:fill="B8CCE4"/>
            <w:noWrap/>
            <w:vAlign w:val="center"/>
          </w:tcPr>
          <w:p w14:paraId="32C9A920" w14:textId="77777777" w:rsidR="00C45D59" w:rsidRDefault="00C45D59">
            <w:pPr>
              <w:spacing w:after="0" w:line="240" w:lineRule="auto"/>
              <w:rPr>
                <w:rFonts w:ascii="Times New Roman" w:eastAsia="Times New Roman" w:hAnsi="Times New Roman" w:cs="Times New Roman"/>
                <w:b/>
                <w:bCs/>
                <w:noProof/>
                <w:sz w:val="18"/>
                <w:szCs w:val="18"/>
              </w:rPr>
            </w:pPr>
          </w:p>
        </w:tc>
        <w:tc>
          <w:tcPr>
            <w:tcW w:w="1964" w:type="dxa"/>
            <w:vMerge/>
            <w:tcBorders>
              <w:top w:val="single" w:sz="4" w:space="0" w:color="auto"/>
              <w:left w:val="single" w:sz="4" w:space="0" w:color="auto"/>
              <w:bottom w:val="single" w:sz="4" w:space="0" w:color="auto"/>
              <w:right w:val="single" w:sz="4" w:space="0" w:color="auto"/>
            </w:tcBorders>
            <w:shd w:val="clear" w:color="auto" w:fill="B8CCE4"/>
            <w:noWrap/>
            <w:vAlign w:val="center"/>
          </w:tcPr>
          <w:p w14:paraId="7D6A07C3" w14:textId="77777777" w:rsidR="00C45D59" w:rsidRDefault="00C45D59">
            <w:pPr>
              <w:spacing w:after="0" w:line="240" w:lineRule="auto"/>
              <w:rPr>
                <w:rFonts w:ascii="Times New Roman" w:eastAsia="Times New Roman" w:hAnsi="Times New Roman" w:cs="Times New Roman"/>
                <w:b/>
                <w:bCs/>
                <w:noProof/>
                <w:sz w:val="18"/>
                <w:szCs w:val="18"/>
              </w:rPr>
            </w:pPr>
          </w:p>
        </w:tc>
        <w:tc>
          <w:tcPr>
            <w:tcW w:w="1308" w:type="dxa"/>
            <w:vMerge/>
            <w:tcBorders>
              <w:top w:val="single" w:sz="4" w:space="0" w:color="auto"/>
              <w:left w:val="single" w:sz="4" w:space="0" w:color="auto"/>
              <w:bottom w:val="single" w:sz="4" w:space="0" w:color="auto"/>
              <w:right w:val="single" w:sz="4" w:space="0" w:color="auto"/>
            </w:tcBorders>
            <w:shd w:val="clear" w:color="auto" w:fill="B8CCE4"/>
            <w:noWrap/>
            <w:vAlign w:val="center"/>
          </w:tcPr>
          <w:p w14:paraId="67B8CD8E" w14:textId="77777777" w:rsidR="00C45D59" w:rsidRDefault="00C45D59">
            <w:pPr>
              <w:spacing w:after="0" w:line="240" w:lineRule="auto"/>
              <w:rPr>
                <w:rFonts w:ascii="Times New Roman" w:eastAsia="Times New Roman" w:hAnsi="Times New Roman" w:cs="Times New Roman"/>
                <w:b/>
                <w:bCs/>
                <w:noProof/>
                <w:sz w:val="18"/>
                <w:szCs w:val="18"/>
              </w:rPr>
            </w:pPr>
          </w:p>
        </w:tc>
        <w:tc>
          <w:tcPr>
            <w:tcW w:w="1384" w:type="dxa"/>
            <w:vMerge/>
            <w:tcBorders>
              <w:top w:val="single" w:sz="4" w:space="0" w:color="auto"/>
              <w:left w:val="nil"/>
              <w:bottom w:val="single" w:sz="4" w:space="0" w:color="auto"/>
              <w:right w:val="single" w:sz="4" w:space="0" w:color="auto"/>
            </w:tcBorders>
            <w:shd w:val="clear" w:color="auto" w:fill="B8CCE4"/>
            <w:noWrap/>
            <w:vAlign w:val="center"/>
          </w:tcPr>
          <w:p w14:paraId="37B2BB65" w14:textId="77777777" w:rsidR="00C45D59" w:rsidRDefault="00C45D59">
            <w:pPr>
              <w:spacing w:after="0" w:line="240" w:lineRule="auto"/>
              <w:rPr>
                <w:rFonts w:ascii="Times New Roman" w:eastAsia="Times New Roman" w:hAnsi="Times New Roman" w:cs="Times New Roman"/>
                <w:b/>
                <w:bCs/>
                <w:noProof/>
                <w:sz w:val="18"/>
                <w:szCs w:val="18"/>
              </w:rPr>
            </w:pPr>
          </w:p>
        </w:tc>
        <w:tc>
          <w:tcPr>
            <w:tcW w:w="1546" w:type="dxa"/>
            <w:vMerge/>
            <w:tcBorders>
              <w:top w:val="single" w:sz="4" w:space="0" w:color="auto"/>
              <w:left w:val="single" w:sz="4" w:space="0" w:color="auto"/>
              <w:bottom w:val="single" w:sz="4" w:space="0" w:color="auto"/>
              <w:right w:val="single" w:sz="4" w:space="0" w:color="auto"/>
            </w:tcBorders>
            <w:shd w:val="clear" w:color="auto" w:fill="B8CCE4"/>
            <w:noWrap/>
            <w:vAlign w:val="center"/>
          </w:tcPr>
          <w:p w14:paraId="5ECBE05D" w14:textId="77777777" w:rsidR="00C45D59" w:rsidRDefault="00C45D59">
            <w:pPr>
              <w:spacing w:after="0" w:line="240" w:lineRule="auto"/>
              <w:rPr>
                <w:rFonts w:ascii="Times New Roman" w:eastAsia="Times New Roman" w:hAnsi="Times New Roman" w:cs="Times New Roman"/>
                <w:b/>
                <w:bCs/>
                <w:noProof/>
                <w:sz w:val="18"/>
                <w:szCs w:val="18"/>
              </w:rPr>
            </w:pPr>
          </w:p>
        </w:tc>
        <w:tc>
          <w:tcPr>
            <w:tcW w:w="1188" w:type="dxa"/>
            <w:tcBorders>
              <w:top w:val="single" w:sz="4" w:space="0" w:color="auto"/>
              <w:left w:val="nil"/>
              <w:bottom w:val="single" w:sz="4" w:space="0" w:color="auto"/>
              <w:right w:val="single" w:sz="4" w:space="0" w:color="auto"/>
            </w:tcBorders>
            <w:shd w:val="clear" w:color="auto" w:fill="B8CCE4"/>
            <w:noWrap/>
            <w:vAlign w:val="center"/>
          </w:tcPr>
          <w:p w14:paraId="4E6B4559" w14:textId="77777777" w:rsidR="00C45D59" w:rsidRDefault="009B0962">
            <w:pPr>
              <w:pStyle w:val="P68B1DB1-Normal10"/>
              <w:spacing w:after="0" w:line="240" w:lineRule="auto"/>
              <w:jc w:val="center"/>
              <w:rPr>
                <w:rFonts w:eastAsia="Times New Roman" w:cs="Times New Roman"/>
                <w:bCs/>
                <w:noProof/>
                <w:szCs w:val="18"/>
              </w:rPr>
            </w:pPr>
            <w:r>
              <w:rPr>
                <w:noProof/>
              </w:rPr>
              <w:t>Unitatea de măsură</w:t>
            </w:r>
          </w:p>
        </w:tc>
        <w:tc>
          <w:tcPr>
            <w:tcW w:w="949" w:type="dxa"/>
            <w:tcBorders>
              <w:top w:val="single" w:sz="4" w:space="0" w:color="auto"/>
              <w:left w:val="nil"/>
              <w:bottom w:val="single" w:sz="4" w:space="0" w:color="auto"/>
              <w:right w:val="single" w:sz="4" w:space="0" w:color="auto"/>
            </w:tcBorders>
            <w:shd w:val="clear" w:color="auto" w:fill="B8CCE4"/>
            <w:vAlign w:val="center"/>
          </w:tcPr>
          <w:p w14:paraId="045040F3" w14:textId="77777777" w:rsidR="00C45D59" w:rsidRDefault="009B0962">
            <w:pPr>
              <w:pStyle w:val="P68B1DB1-Normal10"/>
              <w:spacing w:after="0" w:line="240" w:lineRule="auto"/>
              <w:jc w:val="center"/>
              <w:rPr>
                <w:rFonts w:eastAsia="Times New Roman" w:cs="Times New Roman"/>
                <w:bCs/>
                <w:noProof/>
                <w:szCs w:val="18"/>
              </w:rPr>
            </w:pPr>
            <w:r>
              <w:rPr>
                <w:noProof/>
              </w:rPr>
              <w:t>Situația de referință</w:t>
            </w:r>
          </w:p>
        </w:tc>
        <w:tc>
          <w:tcPr>
            <w:tcW w:w="828" w:type="dxa"/>
            <w:tcBorders>
              <w:top w:val="single" w:sz="4" w:space="0" w:color="auto"/>
              <w:left w:val="nil"/>
              <w:bottom w:val="single" w:sz="4" w:space="0" w:color="auto"/>
              <w:right w:val="single" w:sz="4" w:space="0" w:color="auto"/>
            </w:tcBorders>
            <w:shd w:val="clear" w:color="auto" w:fill="B8CCE4"/>
            <w:vAlign w:val="center"/>
          </w:tcPr>
          <w:p w14:paraId="15D8670C" w14:textId="77777777" w:rsidR="00C45D59" w:rsidRDefault="009B0962">
            <w:pPr>
              <w:pStyle w:val="P68B1DB1-Normal10"/>
              <w:spacing w:after="0" w:line="240" w:lineRule="auto"/>
              <w:jc w:val="center"/>
              <w:rPr>
                <w:rFonts w:eastAsia="Times New Roman" w:cs="Times New Roman"/>
                <w:bCs/>
                <w:noProof/>
                <w:szCs w:val="18"/>
              </w:rPr>
            </w:pPr>
            <w:r>
              <w:rPr>
                <w:noProof/>
              </w:rPr>
              <w:t>Obiectiv</w:t>
            </w:r>
          </w:p>
        </w:tc>
        <w:tc>
          <w:tcPr>
            <w:tcW w:w="960" w:type="dxa"/>
            <w:tcBorders>
              <w:top w:val="single" w:sz="4" w:space="0" w:color="auto"/>
              <w:left w:val="nil"/>
              <w:bottom w:val="single" w:sz="4" w:space="0" w:color="auto"/>
              <w:right w:val="single" w:sz="4" w:space="0" w:color="auto"/>
            </w:tcBorders>
            <w:shd w:val="clear" w:color="auto" w:fill="B8CCE4"/>
            <w:noWrap/>
            <w:vAlign w:val="center"/>
          </w:tcPr>
          <w:p w14:paraId="29F5F6C0" w14:textId="77777777" w:rsidR="00C45D59" w:rsidRDefault="009B0962">
            <w:pPr>
              <w:pStyle w:val="P68B1DB1-Normal10"/>
              <w:spacing w:after="0" w:line="240" w:lineRule="auto"/>
              <w:jc w:val="center"/>
              <w:rPr>
                <w:rFonts w:eastAsia="Times New Roman" w:cs="Times New Roman"/>
                <w:bCs/>
                <w:noProof/>
                <w:szCs w:val="18"/>
              </w:rPr>
            </w:pPr>
            <w:r>
              <w:rPr>
                <w:noProof/>
              </w:rPr>
              <w:t>Trimestru</w:t>
            </w:r>
          </w:p>
        </w:tc>
        <w:tc>
          <w:tcPr>
            <w:tcW w:w="913" w:type="dxa"/>
            <w:tcBorders>
              <w:top w:val="single" w:sz="4" w:space="0" w:color="auto"/>
              <w:left w:val="nil"/>
              <w:bottom w:val="single" w:sz="4" w:space="0" w:color="auto"/>
              <w:right w:val="single" w:sz="4" w:space="0" w:color="auto"/>
            </w:tcBorders>
            <w:shd w:val="clear" w:color="auto" w:fill="B8CCE4"/>
            <w:vAlign w:val="center"/>
          </w:tcPr>
          <w:p w14:paraId="5C07F0DA" w14:textId="77777777" w:rsidR="00C45D59" w:rsidRDefault="009B0962">
            <w:pPr>
              <w:pStyle w:val="P68B1DB1-Normal10"/>
              <w:spacing w:after="0" w:line="240" w:lineRule="auto"/>
              <w:jc w:val="center"/>
              <w:rPr>
                <w:rFonts w:eastAsia="Times New Roman" w:cs="Times New Roman"/>
                <w:bCs/>
                <w:noProof/>
                <w:szCs w:val="18"/>
              </w:rPr>
            </w:pPr>
            <w:r>
              <w:rPr>
                <w:noProof/>
              </w:rPr>
              <w:t>Anul</w:t>
            </w:r>
          </w:p>
        </w:tc>
        <w:tc>
          <w:tcPr>
            <w:tcW w:w="3099" w:type="dxa"/>
            <w:vMerge/>
            <w:tcBorders>
              <w:top w:val="single" w:sz="4" w:space="0" w:color="auto"/>
              <w:left w:val="nil"/>
              <w:bottom w:val="single" w:sz="4" w:space="0" w:color="auto"/>
              <w:right w:val="single" w:sz="4" w:space="0" w:color="auto"/>
            </w:tcBorders>
            <w:shd w:val="clear" w:color="auto" w:fill="B8CCE4"/>
            <w:noWrap/>
          </w:tcPr>
          <w:p w14:paraId="37AFB183" w14:textId="77777777" w:rsidR="00C45D59" w:rsidRDefault="00C45D59">
            <w:pPr>
              <w:spacing w:after="0" w:line="240" w:lineRule="auto"/>
              <w:rPr>
                <w:rFonts w:ascii="Times New Roman" w:eastAsia="Times New Roman" w:hAnsi="Times New Roman" w:cs="Times New Roman"/>
                <w:b/>
                <w:bCs/>
                <w:noProof/>
                <w:sz w:val="18"/>
                <w:szCs w:val="18"/>
              </w:rPr>
            </w:pPr>
          </w:p>
        </w:tc>
      </w:tr>
      <w:tr w:rsidR="00C45D59" w14:paraId="2C41CE57" w14:textId="77777777" w:rsidTr="00185705">
        <w:tc>
          <w:tcPr>
            <w:tcW w:w="648" w:type="dxa"/>
            <w:tcBorders>
              <w:top w:val="single" w:sz="4" w:space="0" w:color="auto"/>
              <w:left w:val="single" w:sz="4" w:space="0" w:color="auto"/>
              <w:bottom w:val="single" w:sz="4" w:space="0" w:color="auto"/>
              <w:right w:val="single" w:sz="4" w:space="0" w:color="auto"/>
            </w:tcBorders>
            <w:shd w:val="clear" w:color="auto" w:fill="C6EFCE"/>
            <w:noWrap/>
          </w:tcPr>
          <w:p w14:paraId="473AE514" w14:textId="77777777" w:rsidR="00C45D59" w:rsidRDefault="009B0962">
            <w:pPr>
              <w:pStyle w:val="P68B1DB1-Normal12"/>
              <w:spacing w:after="0" w:line="240" w:lineRule="auto"/>
              <w:rPr>
                <w:rFonts w:eastAsia="Times New Roman"/>
                <w:noProof/>
              </w:rPr>
            </w:pPr>
            <w:r>
              <w:rPr>
                <w:noProof/>
              </w:rPr>
              <w:t>4</w:t>
            </w:r>
          </w:p>
        </w:tc>
        <w:tc>
          <w:tcPr>
            <w:tcW w:w="1964" w:type="dxa"/>
            <w:tcBorders>
              <w:top w:val="single" w:sz="4" w:space="0" w:color="auto"/>
              <w:left w:val="nil"/>
              <w:bottom w:val="single" w:sz="4" w:space="0" w:color="auto"/>
              <w:right w:val="single" w:sz="4" w:space="0" w:color="auto"/>
            </w:tcBorders>
            <w:shd w:val="clear" w:color="auto" w:fill="C6EFCE"/>
            <w:noWrap/>
          </w:tcPr>
          <w:p w14:paraId="3973133F" w14:textId="77777777" w:rsidR="00C45D59" w:rsidRDefault="009B0962">
            <w:pPr>
              <w:pStyle w:val="P68B1DB1-Normal12"/>
              <w:spacing w:after="0" w:line="240" w:lineRule="auto"/>
              <w:rPr>
                <w:rFonts w:eastAsia="Times New Roman"/>
                <w:noProof/>
              </w:rPr>
            </w:pPr>
            <w:r>
              <w:rPr>
                <w:noProof/>
              </w:rPr>
              <w:t>1-1.1. Accelerarea – 16865_Restructurarea și consolidarea veniturilor din contul de cogenerare SRE</w:t>
            </w:r>
          </w:p>
        </w:tc>
        <w:tc>
          <w:tcPr>
            <w:tcW w:w="1308" w:type="dxa"/>
            <w:tcBorders>
              <w:top w:val="single" w:sz="4" w:space="0" w:color="auto"/>
              <w:left w:val="nil"/>
              <w:bottom w:val="single" w:sz="4" w:space="0" w:color="auto"/>
              <w:right w:val="single" w:sz="4" w:space="0" w:color="auto"/>
            </w:tcBorders>
            <w:shd w:val="clear" w:color="auto" w:fill="C6EFCE"/>
            <w:noWrap/>
          </w:tcPr>
          <w:p w14:paraId="0EB62FB5" w14:textId="77777777" w:rsidR="00C45D59" w:rsidRDefault="009B0962">
            <w:pPr>
              <w:pStyle w:val="P68B1DB1-Normal12"/>
              <w:spacing w:after="0" w:line="240" w:lineRule="auto"/>
              <w:rPr>
                <w:rFonts w:eastAsia="Times New Roman"/>
                <w:noProof/>
              </w:rPr>
            </w:pPr>
            <w:r>
              <w:rPr>
                <w:noProof/>
              </w:rPr>
              <w:t>Etapă</w:t>
            </w:r>
          </w:p>
        </w:tc>
        <w:tc>
          <w:tcPr>
            <w:tcW w:w="1384" w:type="dxa"/>
            <w:tcBorders>
              <w:top w:val="single" w:sz="4" w:space="0" w:color="auto"/>
              <w:left w:val="nil"/>
              <w:bottom w:val="single" w:sz="4" w:space="0" w:color="auto"/>
              <w:right w:val="single" w:sz="4" w:space="0" w:color="auto"/>
            </w:tcBorders>
            <w:shd w:val="clear" w:color="auto" w:fill="C6EFCE"/>
            <w:noWrap/>
          </w:tcPr>
          <w:p w14:paraId="7E50E1BB" w14:textId="77777777" w:rsidR="00C45D59" w:rsidRDefault="009B0962">
            <w:pPr>
              <w:pStyle w:val="P68B1DB1-Normal12"/>
              <w:spacing w:after="0" w:line="240" w:lineRule="auto"/>
              <w:rPr>
                <w:rFonts w:eastAsia="Times New Roman"/>
                <w:noProof/>
              </w:rPr>
            </w:pPr>
            <w:r>
              <w:rPr>
                <w:noProof/>
              </w:rPr>
              <w:t>Contul RES – legislație de modificare a L. 4001/2011; intrarea în vigoare a tuturor deciziilor relevante, inclusiv a codurilor, ale ministerelor, ale autorității naționale de reglementare (RAE) și ale administratorului surselor regenerabile de energie și al garanțiilor de origine (DAPEEP).</w:t>
            </w:r>
          </w:p>
        </w:tc>
        <w:tc>
          <w:tcPr>
            <w:tcW w:w="1546" w:type="dxa"/>
            <w:tcBorders>
              <w:top w:val="single" w:sz="4" w:space="0" w:color="auto"/>
              <w:left w:val="nil"/>
              <w:bottom w:val="single" w:sz="4" w:space="0" w:color="auto"/>
              <w:right w:val="single" w:sz="4" w:space="0" w:color="auto"/>
            </w:tcBorders>
            <w:shd w:val="clear" w:color="auto" w:fill="C6EFCE"/>
            <w:noWrap/>
          </w:tcPr>
          <w:p w14:paraId="7FF0BEDD" w14:textId="77777777" w:rsidR="00C45D59" w:rsidRDefault="009B0962">
            <w:pPr>
              <w:pStyle w:val="P68B1DB1-Normal12"/>
              <w:spacing w:after="0" w:line="240" w:lineRule="auto"/>
              <w:rPr>
                <w:rFonts w:eastAsia="Times New Roman"/>
                <w:noProof/>
              </w:rPr>
            </w:pPr>
            <w:r>
              <w:rPr>
                <w:noProof/>
              </w:rPr>
              <w:t>Intrarea în vigoare a legislației și a deciziilor executive relevante.</w:t>
            </w:r>
          </w:p>
        </w:tc>
        <w:tc>
          <w:tcPr>
            <w:tcW w:w="1188" w:type="dxa"/>
            <w:tcBorders>
              <w:top w:val="single" w:sz="4" w:space="0" w:color="auto"/>
              <w:left w:val="nil"/>
              <w:bottom w:val="single" w:sz="4" w:space="0" w:color="auto"/>
              <w:right w:val="single" w:sz="4" w:space="0" w:color="auto"/>
            </w:tcBorders>
            <w:shd w:val="clear" w:color="auto" w:fill="C6EFCE"/>
            <w:noWrap/>
          </w:tcPr>
          <w:p w14:paraId="51D70EE8"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949" w:type="dxa"/>
            <w:tcBorders>
              <w:top w:val="single" w:sz="4" w:space="0" w:color="auto"/>
              <w:left w:val="nil"/>
              <w:bottom w:val="single" w:sz="4" w:space="0" w:color="auto"/>
              <w:right w:val="single" w:sz="4" w:space="0" w:color="auto"/>
            </w:tcBorders>
            <w:shd w:val="clear" w:color="auto" w:fill="C6EFCE"/>
            <w:noWrap/>
          </w:tcPr>
          <w:p w14:paraId="4263C667"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28" w:type="dxa"/>
            <w:tcBorders>
              <w:top w:val="single" w:sz="4" w:space="0" w:color="auto"/>
              <w:left w:val="nil"/>
              <w:bottom w:val="single" w:sz="4" w:space="0" w:color="auto"/>
              <w:right w:val="single" w:sz="4" w:space="0" w:color="auto"/>
            </w:tcBorders>
            <w:shd w:val="clear" w:color="auto" w:fill="C6EFCE"/>
            <w:noWrap/>
          </w:tcPr>
          <w:p w14:paraId="08BF3B62"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960" w:type="dxa"/>
            <w:tcBorders>
              <w:top w:val="single" w:sz="4" w:space="0" w:color="auto"/>
              <w:left w:val="nil"/>
              <w:bottom w:val="single" w:sz="4" w:space="0" w:color="auto"/>
              <w:right w:val="single" w:sz="4" w:space="0" w:color="auto"/>
            </w:tcBorders>
            <w:shd w:val="clear" w:color="auto" w:fill="C6EFCE"/>
            <w:noWrap/>
          </w:tcPr>
          <w:p w14:paraId="2B55C989" w14:textId="77777777" w:rsidR="00C45D59" w:rsidRDefault="009B0962">
            <w:pPr>
              <w:pStyle w:val="P68B1DB1-Normal12"/>
              <w:spacing w:after="0" w:line="240" w:lineRule="auto"/>
              <w:rPr>
                <w:rFonts w:eastAsia="Times New Roman"/>
                <w:noProof/>
              </w:rPr>
            </w:pPr>
            <w:r>
              <w:rPr>
                <w:noProof/>
              </w:rPr>
              <w:t>Î2</w:t>
            </w:r>
          </w:p>
        </w:tc>
        <w:tc>
          <w:tcPr>
            <w:tcW w:w="913" w:type="dxa"/>
            <w:tcBorders>
              <w:top w:val="single" w:sz="4" w:space="0" w:color="auto"/>
              <w:left w:val="nil"/>
              <w:bottom w:val="single" w:sz="4" w:space="0" w:color="auto"/>
              <w:right w:val="single" w:sz="4" w:space="0" w:color="auto"/>
            </w:tcBorders>
            <w:shd w:val="clear" w:color="auto" w:fill="C6EFCE"/>
            <w:noWrap/>
          </w:tcPr>
          <w:p w14:paraId="152169AF" w14:textId="77777777" w:rsidR="00C45D59" w:rsidRDefault="009B0962">
            <w:pPr>
              <w:pStyle w:val="P68B1DB1-Normal12"/>
              <w:spacing w:after="0" w:line="240" w:lineRule="auto"/>
              <w:rPr>
                <w:rFonts w:eastAsia="Times New Roman"/>
                <w:noProof/>
              </w:rPr>
            </w:pPr>
            <w:r>
              <w:rPr>
                <w:noProof/>
              </w:rPr>
              <w:t>2022</w:t>
            </w:r>
          </w:p>
        </w:tc>
        <w:tc>
          <w:tcPr>
            <w:tcW w:w="3099" w:type="dxa"/>
            <w:tcBorders>
              <w:top w:val="single" w:sz="4" w:space="0" w:color="auto"/>
              <w:left w:val="nil"/>
              <w:bottom w:val="single" w:sz="4" w:space="0" w:color="auto"/>
              <w:right w:val="single" w:sz="4" w:space="0" w:color="auto"/>
            </w:tcBorders>
            <w:shd w:val="clear" w:color="auto" w:fill="C6EFCE"/>
            <w:noWrap/>
          </w:tcPr>
          <w:p w14:paraId="3DE01B0B" w14:textId="77777777" w:rsidR="00C45D59" w:rsidRDefault="009B0962">
            <w:pPr>
              <w:pStyle w:val="P68B1DB1-Normal12"/>
              <w:spacing w:after="0" w:line="240" w:lineRule="auto"/>
              <w:rPr>
                <w:rFonts w:eastAsia="Times New Roman"/>
                <w:noProof/>
              </w:rPr>
            </w:pPr>
            <w:r>
              <w:rPr>
                <w:noProof/>
              </w:rPr>
              <w:t>1) crearea noului cont al surselor regenerabile de energie (SRE) pentru unitățile puse în funcțiune începând cu 1 ianuarie 2021, inclusiv modificarea legislației, a deciziei ministeriale și a deciziilor de reglementare (coduri). Noul cont SRE va include mecanisme de asigurare a viabilității sale financiare, inclusiv în cazul unor dezechilibre neprevăzute.</w:t>
            </w:r>
          </w:p>
          <w:p w14:paraId="597A3EE0" w14:textId="77777777" w:rsidR="00C45D59" w:rsidRDefault="00C45D59">
            <w:pPr>
              <w:spacing w:after="0" w:line="240" w:lineRule="auto"/>
              <w:rPr>
                <w:rFonts w:ascii="Times New Roman" w:eastAsia="Times New Roman" w:hAnsi="Times New Roman" w:cs="Times New Roman"/>
                <w:noProof/>
                <w:color w:val="006100"/>
                <w:sz w:val="18"/>
                <w:szCs w:val="18"/>
              </w:rPr>
            </w:pPr>
          </w:p>
          <w:p w14:paraId="41CAF4F6" w14:textId="77777777" w:rsidR="00C45D59" w:rsidRDefault="009B0962">
            <w:pPr>
              <w:pStyle w:val="P68B1DB1-Normal12"/>
              <w:spacing w:after="0" w:line="240" w:lineRule="auto"/>
              <w:rPr>
                <w:rFonts w:eastAsia="Times New Roman"/>
                <w:noProof/>
              </w:rPr>
            </w:pPr>
            <w:r>
              <w:rPr>
                <w:noProof/>
              </w:rPr>
              <w:t>2) intrarea în vigoare a unui sistem de comercializare a garanțiilor de origine care să permită consumatorilor să sprijine în mod voluntar energia electrică din surse regenerabile.</w:t>
            </w:r>
          </w:p>
          <w:p w14:paraId="22245630" w14:textId="77777777" w:rsidR="00C45D59" w:rsidRDefault="009B0962">
            <w:pPr>
              <w:pStyle w:val="P68B1DB1-Normal12"/>
              <w:spacing w:after="0" w:line="240" w:lineRule="auto"/>
              <w:rPr>
                <w:rFonts w:eastAsia="Times New Roman"/>
                <w:noProof/>
              </w:rPr>
            </w:pPr>
            <w:r>
              <w:rPr>
                <w:noProof/>
              </w:rPr>
              <w:t xml:space="preserve">Sistemul garanțiilor de origine (GO) include: </w:t>
            </w:r>
          </w:p>
          <w:p w14:paraId="670B3A97" w14:textId="77777777" w:rsidR="00C45D59" w:rsidRDefault="009B0962">
            <w:pPr>
              <w:pStyle w:val="P68B1DB1-Normal12"/>
              <w:numPr>
                <w:ilvl w:val="0"/>
                <w:numId w:val="21"/>
              </w:numPr>
              <w:spacing w:before="120" w:after="0" w:line="259" w:lineRule="auto"/>
              <w:contextualSpacing/>
              <w:jc w:val="both"/>
              <w:rPr>
                <w:rFonts w:eastAsia="Times New Roman"/>
                <w:noProof/>
              </w:rPr>
            </w:pPr>
            <w:r>
              <w:rPr>
                <w:noProof/>
              </w:rPr>
              <w:t>Adoptarea unui sistem de emitere/licitare a garanțiilor de origine pentru SRE cu tarife fixe</w:t>
            </w:r>
          </w:p>
          <w:p w14:paraId="34D393D0" w14:textId="77777777" w:rsidR="00C45D59" w:rsidRDefault="009B0962">
            <w:pPr>
              <w:pStyle w:val="P68B1DB1-Normal12"/>
              <w:numPr>
                <w:ilvl w:val="0"/>
                <w:numId w:val="21"/>
              </w:numPr>
              <w:spacing w:before="120" w:after="0" w:line="259" w:lineRule="auto"/>
              <w:contextualSpacing/>
              <w:jc w:val="both"/>
              <w:rPr>
                <w:rFonts w:eastAsia="Times New Roman"/>
                <w:noProof/>
              </w:rPr>
            </w:pPr>
            <w:r>
              <w:rPr>
                <w:noProof/>
              </w:rPr>
              <w:t>Acreditarea produselor cu amănuntul „verzi”</w:t>
            </w:r>
          </w:p>
          <w:p w14:paraId="5DBCBA3E" w14:textId="1A9B91D4" w:rsidR="00C45D59" w:rsidRDefault="009B0962">
            <w:pPr>
              <w:pStyle w:val="P68B1DB1-Normal12"/>
              <w:numPr>
                <w:ilvl w:val="0"/>
                <w:numId w:val="21"/>
              </w:numPr>
              <w:spacing w:before="120" w:after="0" w:line="259" w:lineRule="auto"/>
              <w:contextualSpacing/>
              <w:jc w:val="both"/>
              <w:rPr>
                <w:rFonts w:eastAsia="Times New Roman"/>
                <w:noProof/>
              </w:rPr>
            </w:pPr>
            <w:r>
              <w:rPr>
                <w:noProof/>
              </w:rPr>
              <w:t xml:space="preserve">Acreditarea standardelor „întreprinderilor ecologice”. </w:t>
            </w:r>
          </w:p>
        </w:tc>
      </w:tr>
      <w:tr w:rsidR="00C45D59" w14:paraId="3299E0A7" w14:textId="77777777" w:rsidTr="00185705">
        <w:tc>
          <w:tcPr>
            <w:tcW w:w="648" w:type="dxa"/>
            <w:tcBorders>
              <w:top w:val="nil"/>
              <w:left w:val="single" w:sz="4" w:space="0" w:color="auto"/>
              <w:bottom w:val="single" w:sz="4" w:space="0" w:color="auto"/>
              <w:right w:val="single" w:sz="4" w:space="0" w:color="auto"/>
            </w:tcBorders>
            <w:shd w:val="clear" w:color="auto" w:fill="C6EFCE"/>
            <w:noWrap/>
          </w:tcPr>
          <w:p w14:paraId="7395B612" w14:textId="77777777" w:rsidR="00C45D59" w:rsidRDefault="009B0962">
            <w:pPr>
              <w:pStyle w:val="P68B1DB1-Normal12"/>
              <w:spacing w:after="0" w:line="240" w:lineRule="auto"/>
              <w:rPr>
                <w:rFonts w:eastAsia="Times New Roman"/>
                <w:noProof/>
              </w:rPr>
            </w:pPr>
            <w:r>
              <w:rPr>
                <w:noProof/>
              </w:rPr>
              <w:t>5</w:t>
            </w:r>
          </w:p>
        </w:tc>
        <w:tc>
          <w:tcPr>
            <w:tcW w:w="1964" w:type="dxa"/>
            <w:tcBorders>
              <w:top w:val="nil"/>
              <w:left w:val="nil"/>
              <w:bottom w:val="single" w:sz="4" w:space="0" w:color="auto"/>
              <w:right w:val="single" w:sz="4" w:space="0" w:color="auto"/>
            </w:tcBorders>
            <w:shd w:val="clear" w:color="auto" w:fill="C6EFCE"/>
            <w:noWrap/>
          </w:tcPr>
          <w:p w14:paraId="5176C1E8" w14:textId="77777777" w:rsidR="00C45D59" w:rsidRDefault="009B0962">
            <w:pPr>
              <w:pStyle w:val="P68B1DB1-Normal12"/>
              <w:spacing w:after="0" w:line="240" w:lineRule="auto"/>
              <w:rPr>
                <w:rFonts w:eastAsia="Times New Roman"/>
                <w:noProof/>
              </w:rPr>
            </w:pPr>
            <w:r>
              <w:rPr>
                <w:noProof/>
              </w:rPr>
              <w:t>1-1.1. Accelerarea – 16860_Raționalizarea funcționării eficiente a noului model de piață a energiei electrice și dezvoltarea de noi centrale SRE pentru a atinge obiectivele PNEC prin punerea în aplicare a mecanismului de monitorizare, participarea consumului dispecerizabil și o reformă amplă a procedurii de acordare a licențelor pentru noile SRE</w:t>
            </w:r>
          </w:p>
        </w:tc>
        <w:tc>
          <w:tcPr>
            <w:tcW w:w="1308" w:type="dxa"/>
            <w:tcBorders>
              <w:top w:val="nil"/>
              <w:left w:val="nil"/>
              <w:bottom w:val="single" w:sz="4" w:space="0" w:color="auto"/>
              <w:right w:val="single" w:sz="4" w:space="0" w:color="auto"/>
            </w:tcBorders>
            <w:shd w:val="clear" w:color="auto" w:fill="C6EFCE"/>
            <w:noWrap/>
          </w:tcPr>
          <w:p w14:paraId="53F9B460" w14:textId="77777777" w:rsidR="00C45D59" w:rsidRDefault="009B0962">
            <w:pPr>
              <w:pStyle w:val="P68B1DB1-Normal12"/>
              <w:spacing w:after="0" w:line="240" w:lineRule="auto"/>
              <w:rPr>
                <w:rFonts w:eastAsia="Times New Roman"/>
                <w:noProof/>
              </w:rPr>
            </w:pPr>
            <w:r>
              <w:rPr>
                <w:noProof/>
              </w:rPr>
              <w:t>Etapă</w:t>
            </w:r>
          </w:p>
        </w:tc>
        <w:tc>
          <w:tcPr>
            <w:tcW w:w="1384" w:type="dxa"/>
            <w:tcBorders>
              <w:top w:val="nil"/>
              <w:left w:val="nil"/>
              <w:bottom w:val="single" w:sz="4" w:space="0" w:color="auto"/>
              <w:right w:val="single" w:sz="4" w:space="0" w:color="auto"/>
            </w:tcBorders>
            <w:shd w:val="clear" w:color="auto" w:fill="C6EFCE"/>
            <w:noWrap/>
          </w:tcPr>
          <w:p w14:paraId="2D89B193" w14:textId="77777777" w:rsidR="00C45D59" w:rsidRDefault="009B0962">
            <w:pPr>
              <w:pStyle w:val="P68B1DB1-Normal12"/>
              <w:spacing w:after="0" w:line="240" w:lineRule="auto"/>
              <w:rPr>
                <w:rFonts w:eastAsia="Times New Roman"/>
                <w:noProof/>
              </w:rPr>
            </w:pPr>
            <w:r>
              <w:rPr>
                <w:noProof/>
              </w:rPr>
              <w:t>Contul SRE – reforme ale pieței și simplificarea acordării de licențe</w:t>
            </w:r>
          </w:p>
        </w:tc>
        <w:tc>
          <w:tcPr>
            <w:tcW w:w="1546" w:type="dxa"/>
            <w:tcBorders>
              <w:top w:val="nil"/>
              <w:left w:val="nil"/>
              <w:bottom w:val="single" w:sz="4" w:space="0" w:color="auto"/>
              <w:right w:val="single" w:sz="4" w:space="0" w:color="auto"/>
            </w:tcBorders>
            <w:shd w:val="clear" w:color="auto" w:fill="C6EFCE"/>
            <w:noWrap/>
          </w:tcPr>
          <w:p w14:paraId="166E210F" w14:textId="77777777" w:rsidR="00C45D59" w:rsidRDefault="009B0962">
            <w:pPr>
              <w:pStyle w:val="P68B1DB1-Normal12"/>
              <w:spacing w:after="0" w:line="240" w:lineRule="auto"/>
              <w:rPr>
                <w:rFonts w:eastAsia="Times New Roman"/>
                <w:noProof/>
              </w:rPr>
            </w:pPr>
            <w:r>
              <w:rPr>
                <w:noProof/>
              </w:rPr>
              <w:t>Intrarea în vigoare a întregii legislații relevante, inclusiv a deciziilor ministeriale, și a cadrului de reglementare de către RAE și DAPEEP</w:t>
            </w:r>
          </w:p>
        </w:tc>
        <w:tc>
          <w:tcPr>
            <w:tcW w:w="1188" w:type="dxa"/>
            <w:tcBorders>
              <w:top w:val="nil"/>
              <w:left w:val="nil"/>
              <w:bottom w:val="single" w:sz="4" w:space="0" w:color="auto"/>
              <w:right w:val="single" w:sz="4" w:space="0" w:color="auto"/>
            </w:tcBorders>
            <w:shd w:val="clear" w:color="auto" w:fill="C6EFCE"/>
            <w:noWrap/>
          </w:tcPr>
          <w:p w14:paraId="19F6E8F6"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949" w:type="dxa"/>
            <w:tcBorders>
              <w:top w:val="nil"/>
              <w:left w:val="nil"/>
              <w:bottom w:val="single" w:sz="4" w:space="0" w:color="auto"/>
              <w:right w:val="single" w:sz="4" w:space="0" w:color="auto"/>
            </w:tcBorders>
            <w:shd w:val="clear" w:color="auto" w:fill="C6EFCE"/>
            <w:noWrap/>
          </w:tcPr>
          <w:p w14:paraId="3053D4CC"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28" w:type="dxa"/>
            <w:tcBorders>
              <w:top w:val="nil"/>
              <w:left w:val="nil"/>
              <w:bottom w:val="single" w:sz="4" w:space="0" w:color="auto"/>
              <w:right w:val="single" w:sz="4" w:space="0" w:color="auto"/>
            </w:tcBorders>
            <w:shd w:val="clear" w:color="auto" w:fill="C6EFCE"/>
            <w:noWrap/>
          </w:tcPr>
          <w:p w14:paraId="1B176F20"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960" w:type="dxa"/>
            <w:tcBorders>
              <w:top w:val="nil"/>
              <w:left w:val="nil"/>
              <w:bottom w:val="single" w:sz="4" w:space="0" w:color="auto"/>
              <w:right w:val="single" w:sz="4" w:space="0" w:color="auto"/>
            </w:tcBorders>
            <w:shd w:val="clear" w:color="auto" w:fill="C6EFCE"/>
            <w:noWrap/>
          </w:tcPr>
          <w:p w14:paraId="6D0EF05F" w14:textId="77777777" w:rsidR="00C45D59" w:rsidRDefault="009B0962">
            <w:pPr>
              <w:pStyle w:val="P68B1DB1-Normal12"/>
              <w:spacing w:after="0" w:line="240" w:lineRule="auto"/>
              <w:rPr>
                <w:rFonts w:eastAsia="Times New Roman"/>
                <w:noProof/>
              </w:rPr>
            </w:pPr>
            <w:r>
              <w:rPr>
                <w:noProof/>
              </w:rPr>
              <w:t>Î2</w:t>
            </w:r>
          </w:p>
        </w:tc>
        <w:tc>
          <w:tcPr>
            <w:tcW w:w="913" w:type="dxa"/>
            <w:tcBorders>
              <w:top w:val="nil"/>
              <w:left w:val="nil"/>
              <w:bottom w:val="single" w:sz="4" w:space="0" w:color="auto"/>
              <w:right w:val="single" w:sz="4" w:space="0" w:color="auto"/>
            </w:tcBorders>
            <w:shd w:val="clear" w:color="auto" w:fill="C6EFCE"/>
            <w:noWrap/>
          </w:tcPr>
          <w:p w14:paraId="71284CDE" w14:textId="77777777" w:rsidR="00C45D59" w:rsidRDefault="009B0962">
            <w:pPr>
              <w:pStyle w:val="P68B1DB1-Normal12"/>
              <w:spacing w:after="0" w:line="240" w:lineRule="auto"/>
              <w:rPr>
                <w:rFonts w:eastAsia="Times New Roman"/>
                <w:noProof/>
              </w:rPr>
            </w:pPr>
            <w:r>
              <w:rPr>
                <w:noProof/>
              </w:rPr>
              <w:t>2022</w:t>
            </w:r>
          </w:p>
        </w:tc>
        <w:tc>
          <w:tcPr>
            <w:tcW w:w="3099" w:type="dxa"/>
            <w:tcBorders>
              <w:top w:val="nil"/>
              <w:left w:val="nil"/>
              <w:bottom w:val="single" w:sz="4" w:space="0" w:color="auto"/>
              <w:right w:val="single" w:sz="4" w:space="0" w:color="auto"/>
            </w:tcBorders>
            <w:shd w:val="clear" w:color="auto" w:fill="C6EFCE"/>
            <w:noWrap/>
          </w:tcPr>
          <w:p w14:paraId="3219D144" w14:textId="77777777" w:rsidR="00C45D59" w:rsidRDefault="009B0962">
            <w:pPr>
              <w:pStyle w:val="P68B1DB1-Normal12"/>
              <w:spacing w:after="0" w:line="240" w:lineRule="auto"/>
              <w:rPr>
                <w:rFonts w:eastAsia="Times New Roman"/>
                <w:noProof/>
              </w:rPr>
            </w:pPr>
            <w:r>
              <w:rPr>
                <w:noProof/>
              </w:rPr>
              <w:t>1) instituirea și funcționarea deplină a unui mecanism de monitorizare și supraveghere a pieței, precum și participarea deplină a răspunsului părții de consum la piața de echilibrare.</w:t>
            </w:r>
          </w:p>
          <w:p w14:paraId="237DF7D8" w14:textId="77777777" w:rsidR="00C45D59" w:rsidRDefault="009B0962">
            <w:pPr>
              <w:pStyle w:val="P68B1DB1-Normal12"/>
              <w:spacing w:after="0" w:line="240" w:lineRule="auto"/>
              <w:rPr>
                <w:rFonts w:eastAsia="Times New Roman"/>
                <w:noProof/>
              </w:rPr>
            </w:pPr>
            <w:r>
              <w:rPr>
                <w:noProof/>
              </w:rPr>
              <w:t>2) finalizarea reformei privind simplificarea acordării de licențe pentru SRE, inclusiv simplificarea și digitalizarea procedurilor, timpii de răspuns administrativ scurți și obligatorii și procedurile de responsabilizare pentru întârzierile inutile, reducerea documentației și a procedurilor necesare, precum și un nou cadru specific pentru centralele SRE offshore.</w:t>
            </w:r>
          </w:p>
        </w:tc>
      </w:tr>
      <w:tr w:rsidR="00C45D59" w14:paraId="3E0B6270" w14:textId="77777777" w:rsidTr="00185705">
        <w:tc>
          <w:tcPr>
            <w:tcW w:w="648" w:type="dxa"/>
            <w:tcBorders>
              <w:top w:val="nil"/>
              <w:left w:val="single" w:sz="4" w:space="0" w:color="auto"/>
              <w:bottom w:val="single" w:sz="4" w:space="0" w:color="auto"/>
              <w:right w:val="single" w:sz="4" w:space="0" w:color="auto"/>
            </w:tcBorders>
            <w:shd w:val="clear" w:color="auto" w:fill="C6EFCE"/>
            <w:noWrap/>
          </w:tcPr>
          <w:p w14:paraId="544C2F93" w14:textId="77777777" w:rsidR="00C45D59" w:rsidRDefault="009B0962">
            <w:pPr>
              <w:pStyle w:val="P68B1DB1-Normal12"/>
              <w:spacing w:after="0" w:line="240" w:lineRule="auto"/>
              <w:rPr>
                <w:rFonts w:eastAsia="Times New Roman"/>
                <w:noProof/>
              </w:rPr>
            </w:pPr>
            <w:r>
              <w:rPr>
                <w:noProof/>
              </w:rPr>
              <w:t>6</w:t>
            </w:r>
          </w:p>
        </w:tc>
        <w:tc>
          <w:tcPr>
            <w:tcW w:w="1964" w:type="dxa"/>
            <w:tcBorders>
              <w:top w:val="nil"/>
              <w:left w:val="nil"/>
              <w:bottom w:val="single" w:sz="4" w:space="0" w:color="auto"/>
              <w:right w:val="single" w:sz="4" w:space="0" w:color="auto"/>
            </w:tcBorders>
            <w:shd w:val="clear" w:color="auto" w:fill="C6EFCE"/>
            <w:noWrap/>
          </w:tcPr>
          <w:p w14:paraId="09C9EA21" w14:textId="77777777" w:rsidR="00C45D59" w:rsidRDefault="009B0962">
            <w:pPr>
              <w:pStyle w:val="P68B1DB1-Normal12"/>
              <w:spacing w:after="0" w:line="240" w:lineRule="auto"/>
              <w:rPr>
                <w:rFonts w:eastAsia="Times New Roman"/>
                <w:noProof/>
              </w:rPr>
            </w:pPr>
            <w:r>
              <w:rPr>
                <w:noProof/>
              </w:rPr>
              <w:t>1-1.1. Accelerarea – 16865_Restructurarea și consolidarea veniturilor din contul de cogenerare SRE</w:t>
            </w:r>
          </w:p>
        </w:tc>
        <w:tc>
          <w:tcPr>
            <w:tcW w:w="1308" w:type="dxa"/>
            <w:tcBorders>
              <w:top w:val="nil"/>
              <w:left w:val="nil"/>
              <w:bottom w:val="single" w:sz="4" w:space="0" w:color="auto"/>
              <w:right w:val="single" w:sz="4" w:space="0" w:color="auto"/>
            </w:tcBorders>
            <w:shd w:val="clear" w:color="auto" w:fill="C6EFCE"/>
            <w:noWrap/>
          </w:tcPr>
          <w:p w14:paraId="2227B1A8" w14:textId="77777777" w:rsidR="00C45D59" w:rsidRDefault="009B0962">
            <w:pPr>
              <w:pStyle w:val="P68B1DB1-Normal12"/>
              <w:spacing w:after="0" w:line="240" w:lineRule="auto"/>
              <w:rPr>
                <w:rFonts w:eastAsia="Times New Roman"/>
                <w:noProof/>
              </w:rPr>
            </w:pPr>
            <w:r>
              <w:rPr>
                <w:noProof/>
              </w:rPr>
              <w:t>Țintă</w:t>
            </w:r>
          </w:p>
        </w:tc>
        <w:tc>
          <w:tcPr>
            <w:tcW w:w="1384" w:type="dxa"/>
            <w:tcBorders>
              <w:top w:val="nil"/>
              <w:left w:val="nil"/>
              <w:bottom w:val="single" w:sz="4" w:space="0" w:color="auto"/>
              <w:right w:val="single" w:sz="4" w:space="0" w:color="auto"/>
            </w:tcBorders>
            <w:shd w:val="clear" w:color="auto" w:fill="C6EFCE"/>
            <w:noWrap/>
          </w:tcPr>
          <w:p w14:paraId="67D74050" w14:textId="77777777" w:rsidR="00C45D59" w:rsidRDefault="009B0962">
            <w:pPr>
              <w:pStyle w:val="P68B1DB1-Normal12"/>
              <w:spacing w:after="0" w:line="240" w:lineRule="auto"/>
              <w:rPr>
                <w:rFonts w:eastAsia="Times New Roman"/>
                <w:noProof/>
              </w:rPr>
            </w:pPr>
            <w:r>
              <w:rPr>
                <w:noProof/>
              </w:rPr>
              <w:t>Contul SRE – obiectivul de creștere a capacității 1</w:t>
            </w:r>
          </w:p>
        </w:tc>
        <w:tc>
          <w:tcPr>
            <w:tcW w:w="1546" w:type="dxa"/>
            <w:tcBorders>
              <w:top w:val="nil"/>
              <w:left w:val="nil"/>
              <w:bottom w:val="single" w:sz="4" w:space="0" w:color="auto"/>
              <w:right w:val="single" w:sz="4" w:space="0" w:color="auto"/>
            </w:tcBorders>
            <w:shd w:val="clear" w:color="auto" w:fill="C6EFCE"/>
            <w:noWrap/>
          </w:tcPr>
          <w:p w14:paraId="47CB2570"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188" w:type="dxa"/>
            <w:tcBorders>
              <w:top w:val="nil"/>
              <w:left w:val="nil"/>
              <w:bottom w:val="single" w:sz="4" w:space="0" w:color="auto"/>
              <w:right w:val="single" w:sz="4" w:space="0" w:color="auto"/>
            </w:tcBorders>
            <w:shd w:val="clear" w:color="auto" w:fill="C6EFCE"/>
            <w:noWrap/>
          </w:tcPr>
          <w:p w14:paraId="57681480" w14:textId="77777777" w:rsidR="00C45D59" w:rsidRDefault="009B0962">
            <w:pPr>
              <w:pStyle w:val="P68B1DB1-Normal12"/>
              <w:spacing w:after="0" w:line="240" w:lineRule="auto"/>
              <w:rPr>
                <w:rFonts w:eastAsia="Times New Roman"/>
                <w:noProof/>
              </w:rPr>
            </w:pPr>
            <w:r>
              <w:rPr>
                <w:noProof/>
              </w:rPr>
              <w:t>Capacitate nouă (GW) de surse regenerabile de energie pusă în funcțiune</w:t>
            </w:r>
          </w:p>
        </w:tc>
        <w:tc>
          <w:tcPr>
            <w:tcW w:w="949" w:type="dxa"/>
            <w:tcBorders>
              <w:top w:val="nil"/>
              <w:left w:val="nil"/>
              <w:bottom w:val="single" w:sz="4" w:space="0" w:color="auto"/>
              <w:right w:val="single" w:sz="4" w:space="0" w:color="auto"/>
            </w:tcBorders>
            <w:shd w:val="clear" w:color="auto" w:fill="C6EFCE"/>
            <w:noWrap/>
          </w:tcPr>
          <w:p w14:paraId="4EE75208" w14:textId="77777777" w:rsidR="00C45D59" w:rsidRDefault="009B0962">
            <w:pPr>
              <w:pStyle w:val="P68B1DB1-Normal12"/>
              <w:spacing w:after="0" w:line="240" w:lineRule="auto"/>
              <w:rPr>
                <w:rFonts w:eastAsia="Times New Roman"/>
                <w:noProof/>
              </w:rPr>
            </w:pPr>
            <w:r>
              <w:rPr>
                <w:noProof/>
              </w:rPr>
              <w:t>0</w:t>
            </w:r>
          </w:p>
        </w:tc>
        <w:tc>
          <w:tcPr>
            <w:tcW w:w="828" w:type="dxa"/>
            <w:tcBorders>
              <w:top w:val="nil"/>
              <w:left w:val="nil"/>
              <w:bottom w:val="single" w:sz="4" w:space="0" w:color="auto"/>
              <w:right w:val="single" w:sz="4" w:space="0" w:color="auto"/>
            </w:tcBorders>
            <w:shd w:val="clear" w:color="auto" w:fill="C6EFCE"/>
            <w:noWrap/>
          </w:tcPr>
          <w:p w14:paraId="1B42ED73" w14:textId="77777777" w:rsidR="00C45D59" w:rsidRDefault="009B0962">
            <w:pPr>
              <w:pStyle w:val="P68B1DB1-Normal12"/>
              <w:spacing w:after="0" w:line="240" w:lineRule="auto"/>
              <w:rPr>
                <w:rFonts w:eastAsia="Times New Roman"/>
                <w:noProof/>
              </w:rPr>
            </w:pPr>
            <w:r>
              <w:rPr>
                <w:noProof/>
              </w:rPr>
              <w:t>1</w:t>
            </w:r>
          </w:p>
        </w:tc>
        <w:tc>
          <w:tcPr>
            <w:tcW w:w="960" w:type="dxa"/>
            <w:tcBorders>
              <w:top w:val="nil"/>
              <w:left w:val="nil"/>
              <w:bottom w:val="single" w:sz="4" w:space="0" w:color="auto"/>
              <w:right w:val="single" w:sz="4" w:space="0" w:color="auto"/>
            </w:tcBorders>
            <w:shd w:val="clear" w:color="auto" w:fill="C6EFCE"/>
            <w:noWrap/>
          </w:tcPr>
          <w:p w14:paraId="719C27DF" w14:textId="77777777" w:rsidR="00C45D59" w:rsidRDefault="009B0962">
            <w:pPr>
              <w:pStyle w:val="P68B1DB1-Normal12"/>
              <w:spacing w:after="0" w:line="240" w:lineRule="auto"/>
              <w:rPr>
                <w:rFonts w:eastAsia="Times New Roman"/>
                <w:noProof/>
              </w:rPr>
            </w:pPr>
            <w:r>
              <w:rPr>
                <w:noProof/>
              </w:rPr>
              <w:t>Î2</w:t>
            </w:r>
          </w:p>
        </w:tc>
        <w:tc>
          <w:tcPr>
            <w:tcW w:w="913" w:type="dxa"/>
            <w:tcBorders>
              <w:top w:val="nil"/>
              <w:left w:val="nil"/>
              <w:bottom w:val="single" w:sz="4" w:space="0" w:color="auto"/>
              <w:right w:val="single" w:sz="4" w:space="0" w:color="auto"/>
            </w:tcBorders>
            <w:shd w:val="clear" w:color="auto" w:fill="C6EFCE"/>
            <w:noWrap/>
          </w:tcPr>
          <w:p w14:paraId="0EB280B7" w14:textId="77777777" w:rsidR="00C45D59" w:rsidRDefault="009B0962">
            <w:pPr>
              <w:pStyle w:val="P68B1DB1-Normal12"/>
              <w:spacing w:after="0" w:line="240" w:lineRule="auto"/>
              <w:rPr>
                <w:rFonts w:eastAsia="Times New Roman"/>
                <w:noProof/>
              </w:rPr>
            </w:pPr>
            <w:r>
              <w:rPr>
                <w:noProof/>
              </w:rPr>
              <w:t>2023</w:t>
            </w:r>
          </w:p>
        </w:tc>
        <w:tc>
          <w:tcPr>
            <w:tcW w:w="3099" w:type="dxa"/>
            <w:tcBorders>
              <w:top w:val="nil"/>
              <w:left w:val="nil"/>
              <w:bottom w:val="single" w:sz="4" w:space="0" w:color="auto"/>
              <w:right w:val="single" w:sz="4" w:space="0" w:color="auto"/>
            </w:tcBorders>
            <w:shd w:val="clear" w:color="auto" w:fill="C6EFCE"/>
            <w:noWrap/>
          </w:tcPr>
          <w:p w14:paraId="710092C4" w14:textId="77777777" w:rsidR="00C45D59" w:rsidRDefault="009B0962">
            <w:pPr>
              <w:pStyle w:val="P68B1DB1-Normal12"/>
              <w:spacing w:after="0" w:line="240" w:lineRule="auto"/>
              <w:rPr>
                <w:rFonts w:eastAsia="Times New Roman"/>
                <w:noProof/>
              </w:rPr>
            </w:pPr>
            <w:r>
              <w:rPr>
                <w:noProof/>
              </w:rPr>
              <w:t>Noua capacitate SRE instalată și operațională</w:t>
            </w:r>
          </w:p>
        </w:tc>
      </w:tr>
      <w:tr w:rsidR="00C45D59" w14:paraId="64FF008B" w14:textId="77777777" w:rsidTr="00185705">
        <w:tc>
          <w:tcPr>
            <w:tcW w:w="648" w:type="dxa"/>
            <w:tcBorders>
              <w:top w:val="nil"/>
              <w:left w:val="single" w:sz="4" w:space="0" w:color="auto"/>
              <w:bottom w:val="single" w:sz="4" w:space="0" w:color="auto"/>
              <w:right w:val="single" w:sz="4" w:space="0" w:color="auto"/>
            </w:tcBorders>
            <w:shd w:val="clear" w:color="auto" w:fill="C6EFCE"/>
            <w:noWrap/>
            <w:hideMark/>
          </w:tcPr>
          <w:p w14:paraId="55CC38A1" w14:textId="77777777" w:rsidR="00C45D59" w:rsidRDefault="009B0962">
            <w:pPr>
              <w:pStyle w:val="P68B1DB1-Normal12"/>
              <w:spacing w:after="0" w:line="240" w:lineRule="auto"/>
              <w:rPr>
                <w:rFonts w:eastAsia="Times New Roman"/>
                <w:noProof/>
              </w:rPr>
            </w:pPr>
            <w:r>
              <w:rPr>
                <w:noProof/>
              </w:rPr>
              <w:t> 7</w:t>
            </w:r>
          </w:p>
        </w:tc>
        <w:tc>
          <w:tcPr>
            <w:tcW w:w="1964" w:type="dxa"/>
            <w:tcBorders>
              <w:top w:val="nil"/>
              <w:left w:val="nil"/>
              <w:bottom w:val="single" w:sz="4" w:space="0" w:color="auto"/>
              <w:right w:val="single" w:sz="4" w:space="0" w:color="auto"/>
            </w:tcBorders>
            <w:shd w:val="clear" w:color="auto" w:fill="C6EFCE"/>
            <w:noWrap/>
          </w:tcPr>
          <w:p w14:paraId="16A55F71" w14:textId="77777777" w:rsidR="00C45D59" w:rsidRDefault="009B0962">
            <w:pPr>
              <w:pStyle w:val="P68B1DB1-Normal12"/>
              <w:spacing w:after="0" w:line="240" w:lineRule="auto"/>
              <w:rPr>
                <w:rFonts w:eastAsia="Times New Roman"/>
                <w:noProof/>
              </w:rPr>
            </w:pPr>
            <w:r>
              <w:rPr>
                <w:noProof/>
              </w:rPr>
              <w:t>1-1.1. Accelerarea – 16865_Restructurarea și consolidarea veniturilor din contul de cogenerare SRE</w:t>
            </w:r>
          </w:p>
        </w:tc>
        <w:tc>
          <w:tcPr>
            <w:tcW w:w="1308" w:type="dxa"/>
            <w:tcBorders>
              <w:top w:val="nil"/>
              <w:left w:val="nil"/>
              <w:bottom w:val="single" w:sz="4" w:space="0" w:color="auto"/>
              <w:right w:val="single" w:sz="4" w:space="0" w:color="auto"/>
            </w:tcBorders>
            <w:shd w:val="clear" w:color="auto" w:fill="C6EFCE"/>
            <w:noWrap/>
            <w:hideMark/>
          </w:tcPr>
          <w:p w14:paraId="614B3B8E" w14:textId="77777777" w:rsidR="00C45D59" w:rsidRDefault="009B0962">
            <w:pPr>
              <w:pStyle w:val="P68B1DB1-Normal12"/>
              <w:spacing w:after="0" w:line="240" w:lineRule="auto"/>
              <w:rPr>
                <w:rFonts w:eastAsia="Times New Roman"/>
                <w:noProof/>
              </w:rPr>
            </w:pPr>
            <w:r>
              <w:rPr>
                <w:noProof/>
              </w:rPr>
              <w:t> Țintă</w:t>
            </w:r>
          </w:p>
        </w:tc>
        <w:tc>
          <w:tcPr>
            <w:tcW w:w="1384" w:type="dxa"/>
            <w:tcBorders>
              <w:top w:val="nil"/>
              <w:left w:val="nil"/>
              <w:bottom w:val="single" w:sz="4" w:space="0" w:color="auto"/>
              <w:right w:val="single" w:sz="4" w:space="0" w:color="auto"/>
            </w:tcBorders>
            <w:shd w:val="clear" w:color="auto" w:fill="C6EFCE"/>
            <w:noWrap/>
            <w:hideMark/>
          </w:tcPr>
          <w:p w14:paraId="1E3897B2" w14:textId="77777777" w:rsidR="00C45D59" w:rsidRDefault="009B0962">
            <w:pPr>
              <w:pStyle w:val="P68B1DB1-Normal12"/>
              <w:spacing w:after="0" w:line="240" w:lineRule="auto"/>
              <w:rPr>
                <w:rFonts w:eastAsia="Times New Roman"/>
                <w:noProof/>
              </w:rPr>
            </w:pPr>
            <w:r>
              <w:rPr>
                <w:noProof/>
              </w:rPr>
              <w:t>Contul SRE – obiectivul de creștere a capacității 2</w:t>
            </w:r>
          </w:p>
        </w:tc>
        <w:tc>
          <w:tcPr>
            <w:tcW w:w="1546" w:type="dxa"/>
            <w:tcBorders>
              <w:top w:val="nil"/>
              <w:left w:val="nil"/>
              <w:bottom w:val="single" w:sz="4" w:space="0" w:color="auto"/>
              <w:right w:val="single" w:sz="4" w:space="0" w:color="auto"/>
            </w:tcBorders>
            <w:shd w:val="clear" w:color="auto" w:fill="C6EFCE"/>
            <w:noWrap/>
            <w:hideMark/>
          </w:tcPr>
          <w:p w14:paraId="7C204AB9" w14:textId="77777777" w:rsidR="00C45D59" w:rsidRDefault="009B0962">
            <w:pPr>
              <w:pStyle w:val="P68B1DB1-Normal12"/>
              <w:spacing w:after="0" w:line="240" w:lineRule="auto"/>
              <w:rPr>
                <w:rFonts w:eastAsia="Times New Roman"/>
                <w:noProof/>
              </w:rPr>
            </w:pPr>
            <w:r>
              <w:rPr>
                <w:noProof/>
              </w:rPr>
              <w:t xml:space="preserve"> </w:t>
            </w:r>
          </w:p>
        </w:tc>
        <w:tc>
          <w:tcPr>
            <w:tcW w:w="1188" w:type="dxa"/>
            <w:tcBorders>
              <w:top w:val="nil"/>
              <w:left w:val="nil"/>
              <w:bottom w:val="single" w:sz="4" w:space="0" w:color="auto"/>
              <w:right w:val="single" w:sz="4" w:space="0" w:color="auto"/>
            </w:tcBorders>
            <w:shd w:val="clear" w:color="auto" w:fill="C6EFCE"/>
            <w:noWrap/>
            <w:hideMark/>
          </w:tcPr>
          <w:p w14:paraId="7DDF8AD9" w14:textId="77777777" w:rsidR="00C45D59" w:rsidRDefault="009B0962">
            <w:pPr>
              <w:pStyle w:val="P68B1DB1-Normal12"/>
              <w:spacing w:after="0" w:line="240" w:lineRule="auto"/>
              <w:rPr>
                <w:rFonts w:eastAsia="Times New Roman"/>
                <w:noProof/>
              </w:rPr>
            </w:pPr>
            <w:r>
              <w:rPr>
                <w:noProof/>
              </w:rPr>
              <w:t>Capacitate nouă (GW) de surse regenerabile de energie pusă în funcțiune</w:t>
            </w:r>
          </w:p>
        </w:tc>
        <w:tc>
          <w:tcPr>
            <w:tcW w:w="949" w:type="dxa"/>
            <w:tcBorders>
              <w:top w:val="nil"/>
              <w:left w:val="nil"/>
              <w:bottom w:val="single" w:sz="4" w:space="0" w:color="auto"/>
              <w:right w:val="single" w:sz="4" w:space="0" w:color="auto"/>
            </w:tcBorders>
            <w:shd w:val="clear" w:color="auto" w:fill="C6EFCE"/>
            <w:noWrap/>
            <w:hideMark/>
          </w:tcPr>
          <w:p w14:paraId="03DE998D" w14:textId="77777777" w:rsidR="00C45D59" w:rsidRDefault="009B0962">
            <w:pPr>
              <w:pStyle w:val="P68B1DB1-Normal12"/>
              <w:spacing w:after="0" w:line="240" w:lineRule="auto"/>
              <w:rPr>
                <w:rFonts w:eastAsia="Times New Roman"/>
                <w:noProof/>
              </w:rPr>
            </w:pPr>
            <w:r>
              <w:rPr>
                <w:noProof/>
              </w:rPr>
              <w:t> 1</w:t>
            </w:r>
          </w:p>
        </w:tc>
        <w:tc>
          <w:tcPr>
            <w:tcW w:w="828" w:type="dxa"/>
            <w:tcBorders>
              <w:top w:val="nil"/>
              <w:left w:val="nil"/>
              <w:bottom w:val="single" w:sz="4" w:space="0" w:color="auto"/>
              <w:right w:val="single" w:sz="4" w:space="0" w:color="auto"/>
            </w:tcBorders>
            <w:shd w:val="clear" w:color="auto" w:fill="C6EFCE"/>
            <w:noWrap/>
            <w:hideMark/>
          </w:tcPr>
          <w:p w14:paraId="0DB56D4C" w14:textId="77777777" w:rsidR="00C45D59" w:rsidRDefault="009B0962">
            <w:pPr>
              <w:pStyle w:val="P68B1DB1-Normal12"/>
              <w:spacing w:after="0" w:line="240" w:lineRule="auto"/>
              <w:rPr>
                <w:rFonts w:eastAsia="Times New Roman"/>
                <w:noProof/>
              </w:rPr>
            </w:pPr>
            <w:r>
              <w:rPr>
                <w:noProof/>
              </w:rPr>
              <w:t>2</w:t>
            </w:r>
          </w:p>
        </w:tc>
        <w:tc>
          <w:tcPr>
            <w:tcW w:w="960" w:type="dxa"/>
            <w:tcBorders>
              <w:top w:val="nil"/>
              <w:left w:val="nil"/>
              <w:bottom w:val="single" w:sz="4" w:space="0" w:color="auto"/>
              <w:right w:val="single" w:sz="4" w:space="0" w:color="auto"/>
            </w:tcBorders>
            <w:shd w:val="clear" w:color="auto" w:fill="C6EFCE"/>
            <w:noWrap/>
            <w:hideMark/>
          </w:tcPr>
          <w:p w14:paraId="042EC37F" w14:textId="77777777" w:rsidR="00C45D59" w:rsidRDefault="009B0962">
            <w:pPr>
              <w:pStyle w:val="P68B1DB1-Normal12"/>
              <w:spacing w:after="0" w:line="240" w:lineRule="auto"/>
              <w:rPr>
                <w:rFonts w:eastAsia="Times New Roman"/>
                <w:noProof/>
              </w:rPr>
            </w:pPr>
            <w:r>
              <w:rPr>
                <w:noProof/>
              </w:rPr>
              <w:t>Î2</w:t>
            </w:r>
          </w:p>
        </w:tc>
        <w:tc>
          <w:tcPr>
            <w:tcW w:w="913" w:type="dxa"/>
            <w:tcBorders>
              <w:top w:val="nil"/>
              <w:left w:val="nil"/>
              <w:bottom w:val="single" w:sz="4" w:space="0" w:color="auto"/>
              <w:right w:val="single" w:sz="4" w:space="0" w:color="auto"/>
            </w:tcBorders>
            <w:shd w:val="clear" w:color="auto" w:fill="C6EFCE"/>
            <w:noWrap/>
            <w:hideMark/>
          </w:tcPr>
          <w:p w14:paraId="110E8C2C" w14:textId="77777777" w:rsidR="00C45D59" w:rsidRDefault="009B0962">
            <w:pPr>
              <w:pStyle w:val="P68B1DB1-Normal12"/>
              <w:spacing w:after="0" w:line="240" w:lineRule="auto"/>
              <w:rPr>
                <w:rFonts w:eastAsia="Times New Roman"/>
                <w:noProof/>
              </w:rPr>
            </w:pPr>
            <w:r>
              <w:rPr>
                <w:noProof/>
              </w:rPr>
              <w:t>2024</w:t>
            </w:r>
          </w:p>
        </w:tc>
        <w:tc>
          <w:tcPr>
            <w:tcW w:w="3099" w:type="dxa"/>
            <w:tcBorders>
              <w:top w:val="nil"/>
              <w:left w:val="nil"/>
              <w:bottom w:val="single" w:sz="4" w:space="0" w:color="auto"/>
              <w:right w:val="single" w:sz="4" w:space="0" w:color="auto"/>
            </w:tcBorders>
            <w:shd w:val="clear" w:color="auto" w:fill="C6EFCE"/>
            <w:noWrap/>
            <w:hideMark/>
          </w:tcPr>
          <w:p w14:paraId="76242DD3" w14:textId="77777777" w:rsidR="00C45D59" w:rsidRDefault="009B0962">
            <w:pPr>
              <w:pStyle w:val="P68B1DB1-Normal12"/>
              <w:spacing w:after="0" w:line="240" w:lineRule="auto"/>
              <w:rPr>
                <w:rFonts w:eastAsia="Times New Roman"/>
                <w:noProof/>
              </w:rPr>
            </w:pPr>
            <w:r>
              <w:rPr>
                <w:noProof/>
              </w:rPr>
              <w:t>Noua capacitate SRE instalată și operațională</w:t>
            </w:r>
          </w:p>
        </w:tc>
      </w:tr>
      <w:tr w:rsidR="00C45D59" w14:paraId="7C6258A9" w14:textId="77777777" w:rsidTr="00185705">
        <w:trPr>
          <w:trHeight w:val="1362"/>
        </w:trPr>
        <w:tc>
          <w:tcPr>
            <w:tcW w:w="648" w:type="dxa"/>
            <w:tcBorders>
              <w:top w:val="nil"/>
              <w:left w:val="single" w:sz="4" w:space="0" w:color="auto"/>
              <w:bottom w:val="single" w:sz="4" w:space="0" w:color="auto"/>
              <w:right w:val="single" w:sz="4" w:space="0" w:color="auto"/>
            </w:tcBorders>
            <w:shd w:val="clear" w:color="auto" w:fill="C6EFCE"/>
            <w:noWrap/>
            <w:hideMark/>
          </w:tcPr>
          <w:p w14:paraId="25C4CF4E" w14:textId="77777777" w:rsidR="00C45D59" w:rsidRDefault="009B0962">
            <w:pPr>
              <w:pStyle w:val="P68B1DB1-Normal12"/>
              <w:spacing w:after="0" w:line="240" w:lineRule="auto"/>
              <w:rPr>
                <w:rFonts w:eastAsia="Times New Roman"/>
                <w:noProof/>
              </w:rPr>
            </w:pPr>
            <w:r>
              <w:rPr>
                <w:noProof/>
              </w:rPr>
              <w:t> 8</w:t>
            </w:r>
          </w:p>
        </w:tc>
        <w:tc>
          <w:tcPr>
            <w:tcW w:w="1964" w:type="dxa"/>
            <w:tcBorders>
              <w:top w:val="nil"/>
              <w:left w:val="nil"/>
              <w:bottom w:val="single" w:sz="4" w:space="0" w:color="auto"/>
              <w:right w:val="single" w:sz="4" w:space="0" w:color="auto"/>
            </w:tcBorders>
            <w:shd w:val="clear" w:color="auto" w:fill="C6EFCE"/>
            <w:noWrap/>
          </w:tcPr>
          <w:p w14:paraId="0A51B204" w14:textId="77777777" w:rsidR="00C45D59" w:rsidRDefault="009B0962">
            <w:pPr>
              <w:pStyle w:val="P68B1DB1-Normal12"/>
              <w:spacing w:after="0" w:line="240" w:lineRule="auto"/>
              <w:rPr>
                <w:rFonts w:eastAsia="Times New Roman"/>
                <w:noProof/>
              </w:rPr>
            </w:pPr>
            <w:r>
              <w:rPr>
                <w:noProof/>
              </w:rPr>
              <w:t>1-1.1. Accelerarea – 16865_Restructurarea și consolidarea veniturilor din contul de cogenerare SRE</w:t>
            </w:r>
          </w:p>
        </w:tc>
        <w:tc>
          <w:tcPr>
            <w:tcW w:w="1308" w:type="dxa"/>
            <w:tcBorders>
              <w:top w:val="nil"/>
              <w:left w:val="nil"/>
              <w:bottom w:val="single" w:sz="4" w:space="0" w:color="auto"/>
              <w:right w:val="single" w:sz="4" w:space="0" w:color="auto"/>
            </w:tcBorders>
            <w:shd w:val="clear" w:color="auto" w:fill="C6EFCE"/>
            <w:noWrap/>
            <w:hideMark/>
          </w:tcPr>
          <w:p w14:paraId="7B26EC49" w14:textId="77777777" w:rsidR="00C45D59" w:rsidRDefault="009B0962">
            <w:pPr>
              <w:pStyle w:val="P68B1DB1-Normal12"/>
              <w:spacing w:after="0" w:line="240" w:lineRule="auto"/>
              <w:rPr>
                <w:rFonts w:eastAsia="Times New Roman"/>
                <w:noProof/>
              </w:rPr>
            </w:pPr>
            <w:r>
              <w:rPr>
                <w:noProof/>
              </w:rPr>
              <w:t> Țintă</w:t>
            </w:r>
          </w:p>
        </w:tc>
        <w:tc>
          <w:tcPr>
            <w:tcW w:w="1384" w:type="dxa"/>
            <w:tcBorders>
              <w:top w:val="nil"/>
              <w:left w:val="nil"/>
              <w:bottom w:val="single" w:sz="4" w:space="0" w:color="auto"/>
              <w:right w:val="single" w:sz="4" w:space="0" w:color="auto"/>
            </w:tcBorders>
            <w:shd w:val="clear" w:color="auto" w:fill="C6EFCE"/>
            <w:noWrap/>
            <w:hideMark/>
          </w:tcPr>
          <w:p w14:paraId="1F43AC80" w14:textId="77777777" w:rsidR="00C45D59" w:rsidRDefault="009B0962">
            <w:pPr>
              <w:pStyle w:val="P68B1DB1-Normal12"/>
              <w:spacing w:after="0" w:line="240" w:lineRule="auto"/>
              <w:rPr>
                <w:rFonts w:eastAsia="Times New Roman"/>
                <w:noProof/>
              </w:rPr>
            </w:pPr>
            <w:r>
              <w:rPr>
                <w:noProof/>
              </w:rPr>
              <w:t>Contul SRE – obiectivul de creștere a capacității 3 </w:t>
            </w:r>
          </w:p>
        </w:tc>
        <w:tc>
          <w:tcPr>
            <w:tcW w:w="1546" w:type="dxa"/>
            <w:tcBorders>
              <w:top w:val="nil"/>
              <w:left w:val="nil"/>
              <w:bottom w:val="single" w:sz="4" w:space="0" w:color="auto"/>
              <w:right w:val="single" w:sz="4" w:space="0" w:color="auto"/>
            </w:tcBorders>
            <w:shd w:val="clear" w:color="auto" w:fill="C6EFCE"/>
            <w:noWrap/>
            <w:hideMark/>
          </w:tcPr>
          <w:p w14:paraId="023D6745" w14:textId="77777777" w:rsidR="00C45D59" w:rsidRDefault="009B0962">
            <w:pPr>
              <w:pStyle w:val="P68B1DB1-Normal12"/>
              <w:spacing w:after="0" w:line="240" w:lineRule="auto"/>
              <w:rPr>
                <w:rFonts w:eastAsia="Times New Roman"/>
                <w:noProof/>
              </w:rPr>
            </w:pPr>
            <w:r>
              <w:rPr>
                <w:noProof/>
              </w:rPr>
              <w:t xml:space="preserve"> </w:t>
            </w:r>
          </w:p>
        </w:tc>
        <w:tc>
          <w:tcPr>
            <w:tcW w:w="1188" w:type="dxa"/>
            <w:tcBorders>
              <w:top w:val="nil"/>
              <w:left w:val="nil"/>
              <w:bottom w:val="single" w:sz="4" w:space="0" w:color="auto"/>
              <w:right w:val="single" w:sz="4" w:space="0" w:color="auto"/>
            </w:tcBorders>
            <w:shd w:val="clear" w:color="auto" w:fill="C6EFCE"/>
            <w:noWrap/>
            <w:hideMark/>
          </w:tcPr>
          <w:p w14:paraId="08AF8176" w14:textId="77777777" w:rsidR="00C45D59" w:rsidRDefault="009B0962">
            <w:pPr>
              <w:pStyle w:val="P68B1DB1-Normal12"/>
              <w:spacing w:after="0" w:line="240" w:lineRule="auto"/>
              <w:rPr>
                <w:rFonts w:eastAsia="Times New Roman"/>
                <w:noProof/>
              </w:rPr>
            </w:pPr>
            <w:r>
              <w:rPr>
                <w:noProof/>
              </w:rPr>
              <w:t>Capacitate nouă (GW) de surse regenerabile de energie pusă în funcțiune</w:t>
            </w:r>
          </w:p>
        </w:tc>
        <w:tc>
          <w:tcPr>
            <w:tcW w:w="949" w:type="dxa"/>
            <w:tcBorders>
              <w:top w:val="nil"/>
              <w:left w:val="nil"/>
              <w:bottom w:val="single" w:sz="4" w:space="0" w:color="auto"/>
              <w:right w:val="single" w:sz="4" w:space="0" w:color="auto"/>
            </w:tcBorders>
            <w:shd w:val="clear" w:color="auto" w:fill="C6EFCE"/>
            <w:noWrap/>
            <w:hideMark/>
          </w:tcPr>
          <w:p w14:paraId="5006329B" w14:textId="77777777" w:rsidR="00C45D59" w:rsidRDefault="009B0962">
            <w:pPr>
              <w:pStyle w:val="P68B1DB1-Normal12"/>
              <w:spacing w:after="0" w:line="240" w:lineRule="auto"/>
              <w:rPr>
                <w:rFonts w:eastAsia="Times New Roman"/>
                <w:noProof/>
              </w:rPr>
            </w:pPr>
            <w:r>
              <w:rPr>
                <w:noProof/>
              </w:rPr>
              <w:t> 2</w:t>
            </w:r>
          </w:p>
        </w:tc>
        <w:tc>
          <w:tcPr>
            <w:tcW w:w="828" w:type="dxa"/>
            <w:tcBorders>
              <w:top w:val="nil"/>
              <w:left w:val="nil"/>
              <w:bottom w:val="single" w:sz="4" w:space="0" w:color="auto"/>
              <w:right w:val="single" w:sz="4" w:space="0" w:color="auto"/>
            </w:tcBorders>
            <w:shd w:val="clear" w:color="auto" w:fill="C6EFCE"/>
            <w:noWrap/>
            <w:hideMark/>
          </w:tcPr>
          <w:p w14:paraId="18D0519F" w14:textId="77777777" w:rsidR="00C45D59" w:rsidRDefault="009B0962">
            <w:pPr>
              <w:pStyle w:val="P68B1DB1-Normal12"/>
              <w:spacing w:after="0" w:line="240" w:lineRule="auto"/>
              <w:rPr>
                <w:rFonts w:eastAsia="Times New Roman"/>
                <w:noProof/>
              </w:rPr>
            </w:pPr>
            <w:r>
              <w:rPr>
                <w:noProof/>
              </w:rPr>
              <w:t>3</w:t>
            </w:r>
          </w:p>
        </w:tc>
        <w:tc>
          <w:tcPr>
            <w:tcW w:w="960" w:type="dxa"/>
            <w:tcBorders>
              <w:top w:val="nil"/>
              <w:left w:val="nil"/>
              <w:bottom w:val="single" w:sz="4" w:space="0" w:color="auto"/>
              <w:right w:val="single" w:sz="4" w:space="0" w:color="auto"/>
            </w:tcBorders>
            <w:shd w:val="clear" w:color="auto" w:fill="C6EFCE"/>
            <w:noWrap/>
            <w:hideMark/>
          </w:tcPr>
          <w:p w14:paraId="0AD80BD8" w14:textId="77777777" w:rsidR="00C45D59" w:rsidRDefault="009B0962">
            <w:pPr>
              <w:pStyle w:val="P68B1DB1-Normal12"/>
              <w:spacing w:after="0" w:line="240" w:lineRule="auto"/>
              <w:rPr>
                <w:rFonts w:eastAsia="Times New Roman"/>
                <w:noProof/>
              </w:rPr>
            </w:pPr>
            <w:r>
              <w:rPr>
                <w:noProof/>
              </w:rPr>
              <w:t>Î2</w:t>
            </w:r>
          </w:p>
        </w:tc>
        <w:tc>
          <w:tcPr>
            <w:tcW w:w="913" w:type="dxa"/>
            <w:tcBorders>
              <w:top w:val="nil"/>
              <w:left w:val="nil"/>
              <w:bottom w:val="single" w:sz="4" w:space="0" w:color="auto"/>
              <w:right w:val="single" w:sz="4" w:space="0" w:color="auto"/>
            </w:tcBorders>
            <w:shd w:val="clear" w:color="auto" w:fill="C6EFCE"/>
            <w:noWrap/>
            <w:hideMark/>
          </w:tcPr>
          <w:p w14:paraId="1D4B1119" w14:textId="77777777" w:rsidR="00C45D59" w:rsidRDefault="009B0962">
            <w:pPr>
              <w:pStyle w:val="P68B1DB1-Normal12"/>
              <w:spacing w:after="0" w:line="240" w:lineRule="auto"/>
              <w:rPr>
                <w:rFonts w:eastAsia="Times New Roman"/>
                <w:noProof/>
              </w:rPr>
            </w:pPr>
            <w:r>
              <w:rPr>
                <w:noProof/>
              </w:rPr>
              <w:t>2024</w:t>
            </w:r>
          </w:p>
        </w:tc>
        <w:tc>
          <w:tcPr>
            <w:tcW w:w="3099" w:type="dxa"/>
            <w:tcBorders>
              <w:top w:val="nil"/>
              <w:left w:val="nil"/>
              <w:bottom w:val="single" w:sz="4" w:space="0" w:color="auto"/>
              <w:right w:val="single" w:sz="4" w:space="0" w:color="auto"/>
            </w:tcBorders>
            <w:shd w:val="clear" w:color="auto" w:fill="C6EFCE"/>
            <w:noWrap/>
            <w:hideMark/>
          </w:tcPr>
          <w:p w14:paraId="63DBA553" w14:textId="77777777" w:rsidR="00C45D59" w:rsidRDefault="009B0962">
            <w:pPr>
              <w:pStyle w:val="P68B1DB1-Normal12"/>
              <w:spacing w:after="0" w:line="240" w:lineRule="auto"/>
              <w:rPr>
                <w:rFonts w:eastAsia="Times New Roman"/>
                <w:noProof/>
              </w:rPr>
            </w:pPr>
            <w:r>
              <w:rPr>
                <w:noProof/>
              </w:rPr>
              <w:t>Noua capacitate SRE instalată și operațională</w:t>
            </w:r>
          </w:p>
        </w:tc>
      </w:tr>
    </w:tbl>
    <w:p w14:paraId="63F040BB" w14:textId="77777777" w:rsidR="00C45D59" w:rsidRDefault="00C45D59">
      <w:pPr>
        <w:keepNext/>
        <w:keepLines/>
        <w:spacing w:before="40" w:after="0" w:line="240" w:lineRule="auto"/>
        <w:jc w:val="both"/>
        <w:outlineLvl w:val="4"/>
        <w:rPr>
          <w:rFonts w:ascii="Cambria" w:hAnsi="Cambria"/>
          <w:noProof/>
          <w:color w:val="365F91"/>
          <w:sz w:val="24"/>
        </w:rPr>
      </w:pPr>
    </w:p>
    <w:p w14:paraId="12F03129" w14:textId="77777777" w:rsidR="00C45D59" w:rsidRDefault="009B0962">
      <w:pPr>
        <w:pStyle w:val="P68B1DB1-Normal9"/>
        <w:spacing w:after="0" w:line="240" w:lineRule="auto"/>
        <w:rPr>
          <w:noProof/>
        </w:rPr>
      </w:pPr>
      <w:r>
        <w:rPr>
          <w:noProof/>
        </w:rPr>
        <w:br w:type="page"/>
      </w:r>
    </w:p>
    <w:p w14:paraId="239AA29A" w14:textId="77777777" w:rsidR="00C45D59" w:rsidRDefault="009B0962">
      <w:pPr>
        <w:pStyle w:val="P68B1DB1-Normal9"/>
        <w:keepNext/>
        <w:keepLines/>
        <w:spacing w:before="40" w:after="0" w:line="240" w:lineRule="auto"/>
        <w:jc w:val="both"/>
        <w:outlineLvl w:val="4"/>
        <w:rPr>
          <w:rFonts w:eastAsia="Times New Roman"/>
          <w:noProof/>
        </w:rPr>
      </w:pPr>
      <w:r>
        <w:rPr>
          <w:noProof/>
        </w:rPr>
        <w:t>Grupul 1: Alimentare</w:t>
      </w:r>
    </w:p>
    <w:p w14:paraId="7E5CA3F7" w14:textId="77777777" w:rsidR="00C45D59" w:rsidRDefault="009B0962">
      <w:pPr>
        <w:pStyle w:val="P68B1DB1-Normal5"/>
        <w:spacing w:before="120" w:after="120" w:line="240" w:lineRule="auto"/>
        <w:rPr>
          <w:rFonts w:cs="Times New Roman"/>
          <w:noProof/>
        </w:rPr>
      </w:pPr>
      <w:r>
        <w:rPr>
          <w:noProof/>
        </w:rPr>
        <w:t>Măsurile incluse în acest grup sunt:</w:t>
      </w:r>
    </w:p>
    <w:p w14:paraId="430B3982" w14:textId="77777777" w:rsidR="00C45D59" w:rsidRDefault="009B0962">
      <w:pPr>
        <w:spacing w:before="120" w:after="120" w:line="240" w:lineRule="auto"/>
        <w:rPr>
          <w:rFonts w:ascii="Times New Roman" w:hAnsi="Times New Roman" w:cs="Times New Roman"/>
          <w:noProof/>
          <w:sz w:val="24"/>
        </w:rPr>
      </w:pPr>
      <w:r>
        <w:rPr>
          <w:rFonts w:ascii="Times New Roman" w:hAnsi="Times New Roman"/>
          <w:noProof/>
          <w:sz w:val="24"/>
        </w:rPr>
        <w:t>●</w:t>
      </w:r>
      <w:r>
        <w:rPr>
          <w:noProof/>
        </w:rPr>
        <w:t xml:space="preserve"> </w:t>
      </w:r>
      <w:r>
        <w:rPr>
          <w:rFonts w:ascii="Times New Roman" w:hAnsi="Times New Roman"/>
          <w:noProof/>
          <w:sz w:val="24"/>
        </w:rPr>
        <w:t>Sprijinirea instalării de sisteme de stocare pentru a îmbunătăți pătrunderea SRE (ID: 16926)</w:t>
      </w:r>
    </w:p>
    <w:p w14:paraId="20AA16F5" w14:textId="77777777" w:rsidR="00C45D59" w:rsidRDefault="009B0962">
      <w:pPr>
        <w:spacing w:before="120" w:after="120" w:line="240" w:lineRule="auto"/>
        <w:rPr>
          <w:rFonts w:ascii="Times New Roman" w:hAnsi="Times New Roman" w:cs="Times New Roman"/>
          <w:noProof/>
          <w:sz w:val="24"/>
        </w:rPr>
      </w:pPr>
      <w:r>
        <w:rPr>
          <w:rFonts w:ascii="Times New Roman" w:hAnsi="Times New Roman"/>
          <w:noProof/>
          <w:sz w:val="24"/>
        </w:rPr>
        <w:t>●</w:t>
      </w:r>
      <w:r>
        <w:rPr>
          <w:noProof/>
        </w:rPr>
        <w:t xml:space="preserve"> </w:t>
      </w:r>
      <w:r>
        <w:rPr>
          <w:rFonts w:ascii="Times New Roman" w:hAnsi="Times New Roman"/>
          <w:noProof/>
          <w:sz w:val="24"/>
        </w:rPr>
        <w:t>Acțiuni de revitalizare a celor mai afectate teritorii (teritorii aflate în tranziție justă) (ID: 16871)</w:t>
      </w:r>
    </w:p>
    <w:p w14:paraId="383F699B" w14:textId="77777777" w:rsidR="00C45D59" w:rsidRDefault="009B0962">
      <w:pPr>
        <w:spacing w:before="120" w:after="120" w:line="240" w:lineRule="auto"/>
        <w:rPr>
          <w:rFonts w:ascii="Times New Roman" w:hAnsi="Times New Roman" w:cs="Times New Roman"/>
          <w:noProof/>
          <w:sz w:val="24"/>
        </w:rPr>
      </w:pPr>
      <w:r>
        <w:rPr>
          <w:rFonts w:ascii="Times New Roman" w:hAnsi="Times New Roman"/>
          <w:noProof/>
          <w:sz w:val="24"/>
        </w:rPr>
        <w:t>●</w:t>
      </w:r>
      <w:r>
        <w:rPr>
          <w:noProof/>
        </w:rPr>
        <w:t xml:space="preserve"> </w:t>
      </w:r>
      <w:r>
        <w:rPr>
          <w:rFonts w:ascii="Times New Roman" w:hAnsi="Times New Roman"/>
          <w:noProof/>
          <w:sz w:val="24"/>
        </w:rPr>
        <w:t>Modernizări ale rețelei HEDNO menite să sporească reziliența și să protejeze mediul (ID: 16901)</w:t>
      </w:r>
    </w:p>
    <w:p w14:paraId="73C3266A" w14:textId="6119979E" w:rsidR="00C45D59" w:rsidRDefault="009B0962">
      <w:pPr>
        <w:pStyle w:val="P68B1DB1-Normal14"/>
        <w:spacing w:before="120" w:after="120" w:line="240" w:lineRule="auto"/>
        <w:rPr>
          <w:rFonts w:ascii="Times New Roman" w:hAnsi="Times New Roman" w:cs="Times New Roman"/>
          <w:noProof/>
        </w:rPr>
      </w:pPr>
      <w:r>
        <w:rPr>
          <w:rFonts w:ascii="Times New Roman" w:hAnsi="Times New Roman"/>
          <w:noProof/>
        </w:rPr>
        <w:t>●</w:t>
      </w:r>
      <w:r>
        <w:rPr>
          <w:rFonts w:ascii="Times New Roman" w:hAnsi="Times New Roman" w:cs="Times New Roman"/>
          <w:noProof/>
          <w:szCs w:val="24"/>
        </w:rPr>
        <w:tab/>
        <w:t>Modernizări ale rețelei HEDNO (ID: 16900)</w:t>
      </w:r>
    </w:p>
    <w:p w14:paraId="20A598CF" w14:textId="2DDA76D8" w:rsidR="00C45D59" w:rsidRDefault="009B0962">
      <w:pPr>
        <w:spacing w:before="120" w:after="120" w:line="240" w:lineRule="auto"/>
        <w:rPr>
          <w:rFonts w:ascii="Times New Roman" w:hAnsi="Times New Roman" w:cs="Times New Roman"/>
          <w:noProof/>
          <w:sz w:val="24"/>
        </w:rPr>
      </w:pPr>
      <w:r>
        <w:rPr>
          <w:rFonts w:ascii="Times New Roman" w:hAnsi="Times New Roman"/>
          <w:noProof/>
          <w:sz w:val="24"/>
        </w:rPr>
        <w:t>●</w:t>
      </w:r>
      <w:r>
        <w:rPr>
          <w:noProof/>
        </w:rPr>
        <w:t xml:space="preserve"> </w:t>
      </w:r>
      <w:r>
        <w:rPr>
          <w:rFonts w:ascii="Times New Roman" w:hAnsi="Times New Roman"/>
          <w:noProof/>
          <w:sz w:val="24"/>
        </w:rPr>
        <w:t>Operatorul elen al rețelei de distribuție a energiei electrice (HEDNO) Substații de înaltă tensiune/de tensiune medie (ID: 16899)</w:t>
      </w:r>
    </w:p>
    <w:tbl>
      <w:tblPr>
        <w:tblW w:w="147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7"/>
        <w:gridCol w:w="2008"/>
        <w:gridCol w:w="1338"/>
        <w:gridCol w:w="1173"/>
        <w:gridCol w:w="1509"/>
        <w:gridCol w:w="1301"/>
        <w:gridCol w:w="904"/>
        <w:gridCol w:w="845"/>
        <w:gridCol w:w="980"/>
        <w:gridCol w:w="703"/>
        <w:gridCol w:w="3229"/>
      </w:tblGrid>
      <w:tr w:rsidR="00C45D59" w14:paraId="7762C1C1" w14:textId="77777777">
        <w:trPr>
          <w:trHeight w:val="679"/>
          <w:tblHeader/>
          <w:jc w:val="center"/>
        </w:trPr>
        <w:tc>
          <w:tcPr>
            <w:tcW w:w="817" w:type="dxa"/>
            <w:vMerge w:val="restart"/>
            <w:shd w:val="clear" w:color="auto" w:fill="BDD7EE"/>
            <w:vAlign w:val="center"/>
            <w:hideMark/>
          </w:tcPr>
          <w:p w14:paraId="0BE4110C" w14:textId="120F9529" w:rsidR="00C45D59" w:rsidRDefault="009B0962">
            <w:pPr>
              <w:pStyle w:val="P68B1DB1-Normal10"/>
              <w:spacing w:after="0" w:line="240" w:lineRule="auto"/>
              <w:jc w:val="center"/>
              <w:rPr>
                <w:rFonts w:eastAsia="Times New Roman" w:cs="Times New Roman"/>
                <w:bCs/>
                <w:noProof/>
                <w:szCs w:val="18"/>
              </w:rPr>
            </w:pPr>
            <w:r>
              <w:rPr>
                <w:noProof/>
              </w:rPr>
              <w:t>Nr</w:t>
            </w:r>
            <w:r w:rsidR="00185705">
              <w:rPr>
                <w:noProof/>
              </w:rPr>
              <w:t>.</w:t>
            </w:r>
            <w:r>
              <w:rPr>
                <w:noProof/>
              </w:rPr>
              <w:br/>
            </w:r>
            <w:r w:rsidR="00185705">
              <w:rPr>
                <w:noProof/>
              </w:rPr>
              <w:t>crt.</w:t>
            </w:r>
          </w:p>
        </w:tc>
        <w:tc>
          <w:tcPr>
            <w:tcW w:w="2069" w:type="dxa"/>
            <w:vMerge w:val="restart"/>
            <w:shd w:val="clear" w:color="auto" w:fill="BDD7EE"/>
            <w:vAlign w:val="center"/>
            <w:hideMark/>
          </w:tcPr>
          <w:p w14:paraId="476EB6A7" w14:textId="77777777" w:rsidR="00C45D59" w:rsidRDefault="009B0962">
            <w:pPr>
              <w:pStyle w:val="P68B1DB1-Normal15"/>
              <w:spacing w:after="0" w:line="240" w:lineRule="auto"/>
              <w:jc w:val="center"/>
              <w:rPr>
                <w:rFonts w:eastAsia="Times New Roman"/>
                <w:bCs/>
                <w:noProof/>
              </w:rPr>
            </w:pPr>
            <w:r>
              <w:rPr>
                <w:noProof/>
              </w:rPr>
              <w:t>Măsură conexă (reformă sau investiții)</w:t>
            </w:r>
          </w:p>
        </w:tc>
        <w:tc>
          <w:tcPr>
            <w:tcW w:w="1094" w:type="dxa"/>
            <w:vMerge w:val="restart"/>
            <w:shd w:val="clear" w:color="auto" w:fill="BDD7EE"/>
            <w:vAlign w:val="center"/>
            <w:hideMark/>
          </w:tcPr>
          <w:p w14:paraId="7D61EE78" w14:textId="77777777" w:rsidR="00C45D59" w:rsidRDefault="009B0962">
            <w:pPr>
              <w:pStyle w:val="P68B1DB1-Normal15"/>
              <w:spacing w:after="0" w:line="240" w:lineRule="auto"/>
              <w:jc w:val="center"/>
              <w:rPr>
                <w:rFonts w:eastAsia="Times New Roman"/>
                <w:bCs/>
                <w:noProof/>
              </w:rPr>
            </w:pPr>
            <w:r>
              <w:rPr>
                <w:noProof/>
              </w:rPr>
              <w:t>Etapă/Obiectiv</w:t>
            </w:r>
          </w:p>
        </w:tc>
        <w:tc>
          <w:tcPr>
            <w:tcW w:w="1206" w:type="dxa"/>
            <w:vMerge w:val="restart"/>
            <w:shd w:val="clear" w:color="auto" w:fill="BDD7EE"/>
            <w:vAlign w:val="center"/>
            <w:hideMark/>
          </w:tcPr>
          <w:p w14:paraId="31066E93" w14:textId="77777777" w:rsidR="00C45D59" w:rsidRDefault="009B0962">
            <w:pPr>
              <w:pStyle w:val="P68B1DB1-Normal15"/>
              <w:spacing w:after="0" w:line="240" w:lineRule="auto"/>
              <w:jc w:val="center"/>
              <w:rPr>
                <w:rFonts w:eastAsia="Times New Roman"/>
                <w:bCs/>
                <w:noProof/>
              </w:rPr>
            </w:pPr>
            <w:r>
              <w:rPr>
                <w:noProof/>
              </w:rPr>
              <w:t>Nume</w:t>
            </w:r>
          </w:p>
        </w:tc>
        <w:tc>
          <w:tcPr>
            <w:tcW w:w="1553" w:type="dxa"/>
            <w:vMerge w:val="restart"/>
            <w:shd w:val="clear" w:color="auto" w:fill="BDD7EE"/>
            <w:vAlign w:val="center"/>
            <w:hideMark/>
          </w:tcPr>
          <w:p w14:paraId="5ECCD657" w14:textId="77777777" w:rsidR="00C45D59" w:rsidRDefault="009B0962">
            <w:pPr>
              <w:pStyle w:val="P68B1DB1-Normal15"/>
              <w:spacing w:after="0" w:line="240" w:lineRule="auto"/>
              <w:jc w:val="center"/>
              <w:rPr>
                <w:rFonts w:eastAsia="Times New Roman"/>
                <w:bCs/>
                <w:noProof/>
              </w:rPr>
            </w:pPr>
            <w:r>
              <w:rPr>
                <w:noProof/>
              </w:rPr>
              <w:t>Indicatori calitativi (pentru obiectivele de etapă)</w:t>
            </w:r>
          </w:p>
        </w:tc>
        <w:tc>
          <w:tcPr>
            <w:tcW w:w="3070" w:type="dxa"/>
            <w:gridSpan w:val="3"/>
            <w:shd w:val="clear" w:color="auto" w:fill="BDD7EE"/>
            <w:vAlign w:val="center"/>
            <w:hideMark/>
          </w:tcPr>
          <w:p w14:paraId="7347B8BF" w14:textId="77777777" w:rsidR="00C45D59" w:rsidRDefault="009B0962">
            <w:pPr>
              <w:pStyle w:val="P68B1DB1-Normal15"/>
              <w:spacing w:after="0" w:line="240" w:lineRule="auto"/>
              <w:jc w:val="center"/>
              <w:rPr>
                <w:rFonts w:eastAsia="Times New Roman"/>
                <w:bCs/>
                <w:noProof/>
              </w:rPr>
            </w:pPr>
            <w:r>
              <w:rPr>
                <w:noProof/>
              </w:rPr>
              <w:t xml:space="preserve">Indicatori cantitativi </w:t>
            </w:r>
            <w:r>
              <w:rPr>
                <w:noProof/>
              </w:rPr>
              <w:br/>
              <w:t>(pentru obiective)</w:t>
            </w:r>
          </w:p>
        </w:tc>
        <w:tc>
          <w:tcPr>
            <w:tcW w:w="1642" w:type="dxa"/>
            <w:gridSpan w:val="2"/>
            <w:shd w:val="clear" w:color="auto" w:fill="BDD7EE"/>
            <w:vAlign w:val="center"/>
            <w:hideMark/>
          </w:tcPr>
          <w:p w14:paraId="21875BDE" w14:textId="77777777" w:rsidR="00C45D59" w:rsidRDefault="009B0962">
            <w:pPr>
              <w:pStyle w:val="P68B1DB1-Normal15"/>
              <w:spacing w:after="0" w:line="240" w:lineRule="auto"/>
              <w:jc w:val="center"/>
              <w:rPr>
                <w:rFonts w:eastAsia="Times New Roman"/>
                <w:bCs/>
                <w:noProof/>
              </w:rPr>
            </w:pPr>
            <w:r>
              <w:rPr>
                <w:noProof/>
              </w:rPr>
              <w:t xml:space="preserve">Calendar orientativ pentru finalizare </w:t>
            </w:r>
          </w:p>
        </w:tc>
        <w:tc>
          <w:tcPr>
            <w:tcW w:w="3331" w:type="dxa"/>
            <w:vMerge w:val="restart"/>
            <w:shd w:val="clear" w:color="auto" w:fill="BDD7EE"/>
            <w:vAlign w:val="center"/>
            <w:hideMark/>
          </w:tcPr>
          <w:p w14:paraId="60DC1D73" w14:textId="77777777" w:rsidR="00C45D59" w:rsidRDefault="009B0962">
            <w:pPr>
              <w:pStyle w:val="P68B1DB1-Normal15"/>
              <w:spacing w:after="0" w:line="240" w:lineRule="auto"/>
              <w:jc w:val="center"/>
              <w:rPr>
                <w:rFonts w:eastAsia="Times New Roman"/>
                <w:bCs/>
                <w:noProof/>
              </w:rPr>
            </w:pPr>
            <w:r>
              <w:rPr>
                <w:noProof/>
              </w:rPr>
              <w:t>Descrierea fiecărui jalon și a fiecărei ținte</w:t>
            </w:r>
          </w:p>
        </w:tc>
      </w:tr>
      <w:tr w:rsidR="00C45D59" w14:paraId="2376F889" w14:textId="77777777">
        <w:trPr>
          <w:trHeight w:val="593"/>
          <w:tblHeader/>
          <w:jc w:val="center"/>
        </w:trPr>
        <w:tc>
          <w:tcPr>
            <w:tcW w:w="817" w:type="dxa"/>
            <w:vMerge/>
            <w:vAlign w:val="center"/>
            <w:hideMark/>
          </w:tcPr>
          <w:p w14:paraId="22B0086B" w14:textId="77777777" w:rsidR="00C45D59" w:rsidRDefault="00C45D59">
            <w:pPr>
              <w:spacing w:after="0" w:line="240" w:lineRule="auto"/>
              <w:rPr>
                <w:rFonts w:ascii="Times New Roman" w:eastAsia="Times New Roman" w:hAnsi="Times New Roman" w:cs="Times New Roman"/>
                <w:b/>
                <w:bCs/>
                <w:noProof/>
                <w:sz w:val="18"/>
                <w:szCs w:val="18"/>
              </w:rPr>
            </w:pPr>
          </w:p>
        </w:tc>
        <w:tc>
          <w:tcPr>
            <w:tcW w:w="2069" w:type="dxa"/>
            <w:vMerge/>
            <w:vAlign w:val="center"/>
            <w:hideMark/>
          </w:tcPr>
          <w:p w14:paraId="563FBBB9" w14:textId="77777777" w:rsidR="00C45D59" w:rsidRDefault="00C45D59">
            <w:pPr>
              <w:spacing w:after="0" w:line="240" w:lineRule="auto"/>
              <w:rPr>
                <w:rFonts w:ascii="Times New Roman" w:eastAsia="Times New Roman" w:hAnsi="Times New Roman" w:cs="Times New Roman"/>
                <w:b/>
                <w:bCs/>
                <w:noProof/>
                <w:sz w:val="18"/>
                <w:szCs w:val="18"/>
              </w:rPr>
            </w:pPr>
          </w:p>
        </w:tc>
        <w:tc>
          <w:tcPr>
            <w:tcW w:w="1094" w:type="dxa"/>
            <w:vMerge/>
            <w:vAlign w:val="center"/>
            <w:hideMark/>
          </w:tcPr>
          <w:p w14:paraId="661193A7" w14:textId="77777777" w:rsidR="00C45D59" w:rsidRDefault="00C45D59">
            <w:pPr>
              <w:spacing w:after="0" w:line="240" w:lineRule="auto"/>
              <w:rPr>
                <w:rFonts w:ascii="Times New Roman" w:eastAsia="Times New Roman" w:hAnsi="Times New Roman" w:cs="Times New Roman"/>
                <w:b/>
                <w:bCs/>
                <w:noProof/>
                <w:sz w:val="18"/>
                <w:szCs w:val="18"/>
              </w:rPr>
            </w:pPr>
          </w:p>
        </w:tc>
        <w:tc>
          <w:tcPr>
            <w:tcW w:w="1206" w:type="dxa"/>
            <w:vMerge/>
            <w:vAlign w:val="center"/>
            <w:hideMark/>
          </w:tcPr>
          <w:p w14:paraId="4B5A59A4" w14:textId="77777777" w:rsidR="00C45D59" w:rsidRDefault="00C45D59">
            <w:pPr>
              <w:spacing w:after="0" w:line="240" w:lineRule="auto"/>
              <w:rPr>
                <w:rFonts w:ascii="Times New Roman" w:eastAsia="Times New Roman" w:hAnsi="Times New Roman" w:cs="Times New Roman"/>
                <w:b/>
                <w:bCs/>
                <w:noProof/>
                <w:sz w:val="18"/>
                <w:szCs w:val="18"/>
              </w:rPr>
            </w:pPr>
          </w:p>
        </w:tc>
        <w:tc>
          <w:tcPr>
            <w:tcW w:w="1553" w:type="dxa"/>
            <w:vMerge/>
            <w:vAlign w:val="center"/>
            <w:hideMark/>
          </w:tcPr>
          <w:p w14:paraId="642DB89A" w14:textId="77777777" w:rsidR="00C45D59" w:rsidRDefault="00C45D59">
            <w:pPr>
              <w:spacing w:after="0" w:line="240" w:lineRule="auto"/>
              <w:rPr>
                <w:rFonts w:ascii="Times New Roman" w:eastAsia="Times New Roman" w:hAnsi="Times New Roman" w:cs="Times New Roman"/>
                <w:b/>
                <w:bCs/>
                <w:noProof/>
                <w:sz w:val="18"/>
                <w:szCs w:val="18"/>
              </w:rPr>
            </w:pPr>
          </w:p>
        </w:tc>
        <w:tc>
          <w:tcPr>
            <w:tcW w:w="1338" w:type="dxa"/>
            <w:shd w:val="clear" w:color="auto" w:fill="BDD7EE"/>
            <w:vAlign w:val="center"/>
            <w:hideMark/>
          </w:tcPr>
          <w:p w14:paraId="490FC57C" w14:textId="77777777" w:rsidR="00C45D59" w:rsidRDefault="009B0962">
            <w:pPr>
              <w:pStyle w:val="P68B1DB1-Normal15"/>
              <w:spacing w:after="0" w:line="240" w:lineRule="auto"/>
              <w:jc w:val="center"/>
              <w:rPr>
                <w:rFonts w:eastAsia="Times New Roman"/>
                <w:bCs/>
                <w:noProof/>
              </w:rPr>
            </w:pPr>
            <w:r>
              <w:rPr>
                <w:noProof/>
              </w:rPr>
              <w:t>Unitatea de măsură</w:t>
            </w:r>
          </w:p>
        </w:tc>
        <w:tc>
          <w:tcPr>
            <w:tcW w:w="927" w:type="dxa"/>
            <w:shd w:val="clear" w:color="auto" w:fill="BDD7EE"/>
            <w:vAlign w:val="center"/>
            <w:hideMark/>
          </w:tcPr>
          <w:p w14:paraId="7D180235" w14:textId="77777777" w:rsidR="00C45D59" w:rsidRDefault="009B0962">
            <w:pPr>
              <w:pStyle w:val="P68B1DB1-Normal15"/>
              <w:spacing w:after="0" w:line="240" w:lineRule="auto"/>
              <w:jc w:val="center"/>
              <w:rPr>
                <w:rFonts w:eastAsia="Times New Roman"/>
                <w:bCs/>
                <w:noProof/>
              </w:rPr>
            </w:pPr>
            <w:r>
              <w:rPr>
                <w:noProof/>
              </w:rPr>
              <w:t xml:space="preserve">Situația de referință </w:t>
            </w:r>
          </w:p>
        </w:tc>
        <w:tc>
          <w:tcPr>
            <w:tcW w:w="805" w:type="dxa"/>
            <w:shd w:val="clear" w:color="auto" w:fill="BDD7EE"/>
            <w:vAlign w:val="center"/>
            <w:hideMark/>
          </w:tcPr>
          <w:p w14:paraId="1D199521" w14:textId="77777777" w:rsidR="00C45D59" w:rsidRDefault="009B0962">
            <w:pPr>
              <w:pStyle w:val="P68B1DB1-Normal15"/>
              <w:spacing w:after="0" w:line="240" w:lineRule="auto"/>
              <w:jc w:val="center"/>
              <w:rPr>
                <w:rFonts w:eastAsia="Times New Roman"/>
                <w:bCs/>
                <w:noProof/>
              </w:rPr>
            </w:pPr>
            <w:r>
              <w:rPr>
                <w:noProof/>
              </w:rPr>
              <w:t xml:space="preserve">Obiectiv </w:t>
            </w:r>
          </w:p>
        </w:tc>
        <w:tc>
          <w:tcPr>
            <w:tcW w:w="922" w:type="dxa"/>
            <w:shd w:val="clear" w:color="auto" w:fill="BDD7EE"/>
            <w:vAlign w:val="center"/>
            <w:hideMark/>
          </w:tcPr>
          <w:p w14:paraId="797ADFC9" w14:textId="77777777" w:rsidR="00C45D59" w:rsidRDefault="009B0962">
            <w:pPr>
              <w:pStyle w:val="P68B1DB1-Normal15"/>
              <w:spacing w:after="0" w:line="240" w:lineRule="auto"/>
              <w:jc w:val="center"/>
              <w:rPr>
                <w:rFonts w:eastAsia="Times New Roman"/>
                <w:bCs/>
                <w:noProof/>
              </w:rPr>
            </w:pPr>
            <w:r>
              <w:rPr>
                <w:noProof/>
              </w:rPr>
              <w:t>Trimestru</w:t>
            </w:r>
          </w:p>
        </w:tc>
        <w:tc>
          <w:tcPr>
            <w:tcW w:w="720" w:type="dxa"/>
            <w:shd w:val="clear" w:color="auto" w:fill="BDD7EE"/>
            <w:vAlign w:val="center"/>
            <w:hideMark/>
          </w:tcPr>
          <w:p w14:paraId="79E82930" w14:textId="77777777" w:rsidR="00C45D59" w:rsidRDefault="009B0962">
            <w:pPr>
              <w:pStyle w:val="P68B1DB1-Normal15"/>
              <w:spacing w:after="0" w:line="240" w:lineRule="auto"/>
              <w:jc w:val="center"/>
              <w:rPr>
                <w:rFonts w:eastAsia="Times New Roman"/>
                <w:bCs/>
                <w:noProof/>
              </w:rPr>
            </w:pPr>
            <w:r>
              <w:rPr>
                <w:noProof/>
              </w:rPr>
              <w:t>Anul</w:t>
            </w:r>
          </w:p>
        </w:tc>
        <w:tc>
          <w:tcPr>
            <w:tcW w:w="3331" w:type="dxa"/>
            <w:vMerge/>
            <w:vAlign w:val="center"/>
            <w:hideMark/>
          </w:tcPr>
          <w:p w14:paraId="5A810A5A" w14:textId="77777777" w:rsidR="00C45D59" w:rsidRDefault="00C45D59">
            <w:pPr>
              <w:spacing w:after="0" w:line="240" w:lineRule="auto"/>
              <w:rPr>
                <w:rFonts w:ascii="Times New Roman" w:eastAsia="Times New Roman" w:hAnsi="Times New Roman" w:cs="Times New Roman"/>
                <w:b/>
                <w:bCs/>
                <w:noProof/>
                <w:sz w:val="18"/>
                <w:szCs w:val="18"/>
              </w:rPr>
            </w:pPr>
          </w:p>
        </w:tc>
      </w:tr>
      <w:tr w:rsidR="00C45D59" w14:paraId="2C075B51" w14:textId="77777777">
        <w:trPr>
          <w:jc w:val="center"/>
        </w:trPr>
        <w:tc>
          <w:tcPr>
            <w:tcW w:w="817" w:type="dxa"/>
            <w:shd w:val="clear" w:color="auto" w:fill="C6EFCE"/>
            <w:noWrap/>
          </w:tcPr>
          <w:p w14:paraId="26297171" w14:textId="77777777" w:rsidR="00C45D59" w:rsidRDefault="009B0962">
            <w:pPr>
              <w:pStyle w:val="P68B1DB1-Normal12"/>
              <w:spacing w:after="0" w:line="240" w:lineRule="auto"/>
              <w:rPr>
                <w:rFonts w:eastAsia="Times New Roman"/>
                <w:noProof/>
              </w:rPr>
            </w:pPr>
            <w:r>
              <w:rPr>
                <w:noProof/>
              </w:rPr>
              <w:t>9</w:t>
            </w:r>
          </w:p>
        </w:tc>
        <w:tc>
          <w:tcPr>
            <w:tcW w:w="2069" w:type="dxa"/>
            <w:shd w:val="clear" w:color="auto" w:fill="C6EFCE"/>
            <w:noWrap/>
          </w:tcPr>
          <w:p w14:paraId="1EF1D571" w14:textId="77777777" w:rsidR="00C45D59" w:rsidRDefault="009B0962">
            <w:pPr>
              <w:pStyle w:val="P68B1DB1-Normal12"/>
              <w:spacing w:after="0" w:line="240" w:lineRule="auto"/>
              <w:rPr>
                <w:rFonts w:eastAsia="Times New Roman"/>
                <w:noProof/>
              </w:rPr>
            </w:pPr>
            <w:r>
              <w:rPr>
                <w:noProof/>
              </w:rPr>
              <w:t>1-1.1. Accelerarea – 16871_Acțiuni de revitalizare a celor mai afectate teritorii (teritorii aflate în tranziție justă)</w:t>
            </w:r>
          </w:p>
        </w:tc>
        <w:tc>
          <w:tcPr>
            <w:tcW w:w="1094" w:type="dxa"/>
            <w:shd w:val="clear" w:color="auto" w:fill="C6EFCE"/>
            <w:noWrap/>
          </w:tcPr>
          <w:p w14:paraId="3E961E47" w14:textId="77777777" w:rsidR="00C45D59" w:rsidRDefault="009B0962">
            <w:pPr>
              <w:pStyle w:val="P68B1DB1-Normal12"/>
              <w:spacing w:after="0" w:line="240" w:lineRule="auto"/>
              <w:rPr>
                <w:rFonts w:eastAsia="Times New Roman"/>
                <w:noProof/>
              </w:rPr>
            </w:pPr>
            <w:r>
              <w:rPr>
                <w:noProof/>
              </w:rPr>
              <w:t>Etapă</w:t>
            </w:r>
          </w:p>
        </w:tc>
        <w:tc>
          <w:tcPr>
            <w:tcW w:w="1206" w:type="dxa"/>
            <w:shd w:val="clear" w:color="auto" w:fill="C6EFCE"/>
            <w:noWrap/>
          </w:tcPr>
          <w:p w14:paraId="2014558C" w14:textId="77777777" w:rsidR="00C45D59" w:rsidRDefault="009B0962">
            <w:pPr>
              <w:pStyle w:val="P68B1DB1-Normal12"/>
              <w:spacing w:after="0" w:line="240" w:lineRule="auto"/>
              <w:rPr>
                <w:rFonts w:eastAsia="Times New Roman"/>
                <w:noProof/>
              </w:rPr>
            </w:pPr>
            <w:r>
              <w:rPr>
                <w:noProof/>
              </w:rPr>
              <w:t>Reabilitarea terenurilor – lege-cadru</w:t>
            </w:r>
          </w:p>
        </w:tc>
        <w:tc>
          <w:tcPr>
            <w:tcW w:w="1553" w:type="dxa"/>
            <w:shd w:val="clear" w:color="auto" w:fill="C6EFCE"/>
            <w:noWrap/>
          </w:tcPr>
          <w:p w14:paraId="4722A7D6" w14:textId="77777777" w:rsidR="00C45D59" w:rsidRDefault="009B0962">
            <w:pPr>
              <w:pStyle w:val="P68B1DB1-Normal12"/>
              <w:spacing w:after="0" w:line="240" w:lineRule="auto"/>
              <w:rPr>
                <w:rFonts w:eastAsia="Times New Roman"/>
                <w:noProof/>
              </w:rPr>
            </w:pPr>
            <w:r>
              <w:rPr>
                <w:noProof/>
              </w:rPr>
              <w:t>Intrare în vigoare</w:t>
            </w:r>
          </w:p>
        </w:tc>
        <w:tc>
          <w:tcPr>
            <w:tcW w:w="1338" w:type="dxa"/>
            <w:shd w:val="clear" w:color="auto" w:fill="C6EFCE"/>
            <w:noWrap/>
          </w:tcPr>
          <w:p w14:paraId="178D9DA1"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927" w:type="dxa"/>
            <w:shd w:val="clear" w:color="auto" w:fill="C6EFCE"/>
            <w:noWrap/>
          </w:tcPr>
          <w:p w14:paraId="2EE4D7A5"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05" w:type="dxa"/>
            <w:shd w:val="clear" w:color="auto" w:fill="C6EFCE"/>
            <w:noWrap/>
          </w:tcPr>
          <w:p w14:paraId="1C31AA96"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922" w:type="dxa"/>
            <w:shd w:val="clear" w:color="auto" w:fill="C6EFCE"/>
            <w:noWrap/>
          </w:tcPr>
          <w:p w14:paraId="386A0792" w14:textId="77777777" w:rsidR="00C45D59" w:rsidRDefault="009B0962">
            <w:pPr>
              <w:pStyle w:val="P68B1DB1-Normal12"/>
              <w:spacing w:after="0" w:line="240" w:lineRule="auto"/>
              <w:rPr>
                <w:rFonts w:eastAsia="Times New Roman"/>
                <w:noProof/>
              </w:rPr>
            </w:pPr>
            <w:r>
              <w:rPr>
                <w:noProof/>
              </w:rPr>
              <w:t>Î1</w:t>
            </w:r>
          </w:p>
        </w:tc>
        <w:tc>
          <w:tcPr>
            <w:tcW w:w="720" w:type="dxa"/>
            <w:shd w:val="clear" w:color="auto" w:fill="C6EFCE"/>
            <w:noWrap/>
          </w:tcPr>
          <w:p w14:paraId="56B14607" w14:textId="77777777" w:rsidR="00C45D59" w:rsidRDefault="009B0962">
            <w:pPr>
              <w:pStyle w:val="P68B1DB1-Normal12"/>
              <w:spacing w:after="0" w:line="240" w:lineRule="auto"/>
              <w:rPr>
                <w:rFonts w:eastAsia="Times New Roman"/>
                <w:noProof/>
              </w:rPr>
            </w:pPr>
            <w:r>
              <w:rPr>
                <w:noProof/>
              </w:rPr>
              <w:t>2022</w:t>
            </w:r>
          </w:p>
        </w:tc>
        <w:tc>
          <w:tcPr>
            <w:tcW w:w="3331" w:type="dxa"/>
            <w:shd w:val="clear" w:color="auto" w:fill="C6EFCE"/>
            <w:noWrap/>
          </w:tcPr>
          <w:p w14:paraId="69D85A26" w14:textId="77777777" w:rsidR="00C45D59" w:rsidRDefault="009B0962">
            <w:pPr>
              <w:pStyle w:val="P68B1DB1-Normal12"/>
              <w:spacing w:after="0" w:line="240" w:lineRule="auto"/>
              <w:rPr>
                <w:rFonts w:eastAsia="Times New Roman"/>
                <w:noProof/>
              </w:rPr>
            </w:pPr>
            <w:r>
              <w:rPr>
                <w:noProof/>
              </w:rPr>
              <w:t>Aprobarea și intrarea în vigoare a legii privind contractele din programul-cadru care stabilește zonele geografice care urmează să fie transferate de la Public Power Corporation către stat, conținutul studiilor proiectelor, repartizarea responsabilităților între toate părțile implicate, mecanismele de guvernanță, calendarul de punere în aplicare și bugetul.</w:t>
            </w:r>
          </w:p>
        </w:tc>
      </w:tr>
      <w:tr w:rsidR="00C45D59" w14:paraId="18957338" w14:textId="77777777">
        <w:trPr>
          <w:jc w:val="center"/>
        </w:trPr>
        <w:tc>
          <w:tcPr>
            <w:tcW w:w="817" w:type="dxa"/>
            <w:shd w:val="clear" w:color="auto" w:fill="C6EFCE"/>
            <w:noWrap/>
          </w:tcPr>
          <w:p w14:paraId="31470167" w14:textId="77777777" w:rsidR="00C45D59" w:rsidRDefault="009B0962">
            <w:pPr>
              <w:pStyle w:val="P68B1DB1-Normal12"/>
              <w:spacing w:after="0" w:line="240" w:lineRule="auto"/>
              <w:rPr>
                <w:rFonts w:eastAsia="Times New Roman"/>
                <w:noProof/>
              </w:rPr>
            </w:pPr>
            <w:r>
              <w:rPr>
                <w:noProof/>
              </w:rPr>
              <w:t>10</w:t>
            </w:r>
          </w:p>
        </w:tc>
        <w:tc>
          <w:tcPr>
            <w:tcW w:w="2069" w:type="dxa"/>
            <w:shd w:val="clear" w:color="auto" w:fill="C6EFCE"/>
            <w:noWrap/>
          </w:tcPr>
          <w:p w14:paraId="0C0D9121" w14:textId="77777777" w:rsidR="00C45D59" w:rsidRDefault="009B0962">
            <w:pPr>
              <w:pStyle w:val="P68B1DB1-Normal12"/>
              <w:spacing w:after="0" w:line="240" w:lineRule="auto"/>
              <w:rPr>
                <w:noProof/>
              </w:rPr>
            </w:pPr>
            <w:r>
              <w:rPr>
                <w:noProof/>
              </w:rPr>
              <w:t>1-1.1. Accelerarea – 16871_Acțiuni de revitalizare a celor mai afectate teritorii (teritorii aflate în tranziție justă)</w:t>
            </w:r>
          </w:p>
        </w:tc>
        <w:tc>
          <w:tcPr>
            <w:tcW w:w="1094" w:type="dxa"/>
            <w:shd w:val="clear" w:color="auto" w:fill="C6EFCE"/>
            <w:noWrap/>
          </w:tcPr>
          <w:p w14:paraId="7F85681D" w14:textId="77777777" w:rsidR="00C45D59" w:rsidRDefault="009B0962">
            <w:pPr>
              <w:pStyle w:val="P68B1DB1-Normal12"/>
              <w:spacing w:after="0" w:line="240" w:lineRule="auto"/>
              <w:rPr>
                <w:rFonts w:eastAsia="Times New Roman"/>
                <w:noProof/>
              </w:rPr>
            </w:pPr>
            <w:r>
              <w:rPr>
                <w:noProof/>
              </w:rPr>
              <w:t>Etapă</w:t>
            </w:r>
          </w:p>
        </w:tc>
        <w:tc>
          <w:tcPr>
            <w:tcW w:w="1206" w:type="dxa"/>
            <w:shd w:val="clear" w:color="auto" w:fill="C6EFCE"/>
            <w:noWrap/>
          </w:tcPr>
          <w:p w14:paraId="3BF82B87" w14:textId="77777777" w:rsidR="00C45D59" w:rsidRDefault="009B0962">
            <w:pPr>
              <w:pStyle w:val="P68B1DB1-Normal12"/>
              <w:spacing w:after="0" w:line="240" w:lineRule="auto"/>
              <w:rPr>
                <w:rFonts w:eastAsia="Times New Roman"/>
                <w:noProof/>
              </w:rPr>
            </w:pPr>
            <w:r>
              <w:rPr>
                <w:noProof/>
              </w:rPr>
              <w:t>Reabilitarea terenurilor – planuri urbane</w:t>
            </w:r>
          </w:p>
        </w:tc>
        <w:tc>
          <w:tcPr>
            <w:tcW w:w="1553" w:type="dxa"/>
            <w:shd w:val="clear" w:color="auto" w:fill="C6EFCE"/>
            <w:noWrap/>
          </w:tcPr>
          <w:p w14:paraId="3AAAB1C9" w14:textId="77777777" w:rsidR="00C45D59" w:rsidRDefault="009B0962">
            <w:pPr>
              <w:pStyle w:val="P68B1DB1-Normal12"/>
              <w:spacing w:after="0" w:line="240" w:lineRule="auto"/>
              <w:rPr>
                <w:rFonts w:eastAsia="Times New Roman"/>
                <w:noProof/>
              </w:rPr>
            </w:pPr>
            <w:r>
              <w:rPr>
                <w:noProof/>
              </w:rPr>
              <w:t>Aprobarea planurilor urbane speciale de către Consiliul central pentru probleme de planificare urbană și litigii; Reabilitarea terenului (ha) finalizată și certificată de certificatorul independent</w:t>
            </w:r>
          </w:p>
        </w:tc>
        <w:tc>
          <w:tcPr>
            <w:tcW w:w="1338" w:type="dxa"/>
            <w:shd w:val="clear" w:color="auto" w:fill="C6EFCE"/>
            <w:noWrap/>
          </w:tcPr>
          <w:p w14:paraId="41733A65"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927" w:type="dxa"/>
            <w:shd w:val="clear" w:color="auto" w:fill="C6EFCE"/>
            <w:noWrap/>
          </w:tcPr>
          <w:p w14:paraId="7C940E61"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05" w:type="dxa"/>
            <w:shd w:val="clear" w:color="auto" w:fill="C6EFCE"/>
            <w:noWrap/>
          </w:tcPr>
          <w:p w14:paraId="56F88956"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922" w:type="dxa"/>
            <w:shd w:val="clear" w:color="auto" w:fill="C6EFCE"/>
            <w:noWrap/>
          </w:tcPr>
          <w:p w14:paraId="17B989E0" w14:textId="77777777" w:rsidR="00C45D59" w:rsidRDefault="009B0962">
            <w:pPr>
              <w:pStyle w:val="P68B1DB1-Normal12"/>
              <w:spacing w:after="0" w:line="240" w:lineRule="auto"/>
              <w:rPr>
                <w:rFonts w:eastAsia="Times New Roman"/>
                <w:noProof/>
              </w:rPr>
            </w:pPr>
            <w:r>
              <w:rPr>
                <w:noProof/>
              </w:rPr>
              <w:t>Î1</w:t>
            </w:r>
          </w:p>
        </w:tc>
        <w:tc>
          <w:tcPr>
            <w:tcW w:w="720" w:type="dxa"/>
            <w:shd w:val="clear" w:color="auto" w:fill="C6EFCE"/>
            <w:noWrap/>
          </w:tcPr>
          <w:p w14:paraId="43EB23DA" w14:textId="77777777" w:rsidR="00C45D59" w:rsidRDefault="009B0962">
            <w:pPr>
              <w:pStyle w:val="P68B1DB1-Normal12"/>
              <w:spacing w:after="0" w:line="240" w:lineRule="auto"/>
              <w:rPr>
                <w:rFonts w:eastAsia="Times New Roman"/>
                <w:noProof/>
              </w:rPr>
            </w:pPr>
            <w:r>
              <w:rPr>
                <w:noProof/>
              </w:rPr>
              <w:t>2024</w:t>
            </w:r>
          </w:p>
        </w:tc>
        <w:tc>
          <w:tcPr>
            <w:tcW w:w="3331" w:type="dxa"/>
            <w:shd w:val="clear" w:color="auto" w:fill="C6EFCE"/>
            <w:noWrap/>
          </w:tcPr>
          <w:p w14:paraId="2ECB34FE" w14:textId="77777777" w:rsidR="00C45D59" w:rsidRDefault="009B0962">
            <w:pPr>
              <w:pStyle w:val="P68B1DB1-Normal12"/>
              <w:spacing w:after="0" w:line="240" w:lineRule="auto"/>
              <w:rPr>
                <w:rFonts w:eastAsia="Times New Roman"/>
                <w:noProof/>
              </w:rPr>
            </w:pPr>
            <w:r>
              <w:rPr>
                <w:noProof/>
              </w:rPr>
              <w:t>1) aprobarea planurilor urbane speciale de către Consiliul central pentru probleme de planificare urbană și litigii. Planurile urbane speciale definesc utilizările permise ale terenurilor, condițiile generale de construcție și restricțiile, precum și orice altă măsură, termen sau restricție necesară.</w:t>
            </w:r>
          </w:p>
          <w:p w14:paraId="44BCC319" w14:textId="77777777" w:rsidR="00C45D59" w:rsidRDefault="009B0962">
            <w:pPr>
              <w:pStyle w:val="P68B1DB1-Normal12"/>
              <w:spacing w:after="0" w:line="240" w:lineRule="auto"/>
              <w:rPr>
                <w:rFonts w:eastAsia="Times New Roman"/>
                <w:noProof/>
              </w:rPr>
            </w:pPr>
            <w:r>
              <w:rPr>
                <w:noProof/>
              </w:rPr>
              <w:t xml:space="preserve">2) apelul PPC SA (în conformitate cu articolul 6.5.3 din acordul-cadru – ratificat prin Legea 4956/2022) către părțile contractante pentru acceptarea a 5 438 ha de teren refăcut sau neperturbat, urmată de certificarea de către certificatorul independent. </w:t>
            </w:r>
          </w:p>
        </w:tc>
      </w:tr>
      <w:tr w:rsidR="00C45D59" w14:paraId="1FF5A84B" w14:textId="77777777">
        <w:trPr>
          <w:jc w:val="center"/>
        </w:trPr>
        <w:tc>
          <w:tcPr>
            <w:tcW w:w="817" w:type="dxa"/>
            <w:shd w:val="clear" w:color="auto" w:fill="C6EFCE"/>
            <w:noWrap/>
          </w:tcPr>
          <w:p w14:paraId="3871FCB7" w14:textId="77777777" w:rsidR="00C45D59" w:rsidRDefault="009B0962">
            <w:pPr>
              <w:pStyle w:val="P68B1DB1-Normal12"/>
              <w:spacing w:after="0" w:line="240" w:lineRule="auto"/>
              <w:rPr>
                <w:rFonts w:eastAsia="Times New Roman"/>
                <w:noProof/>
              </w:rPr>
            </w:pPr>
            <w:r>
              <w:rPr>
                <w:noProof/>
              </w:rPr>
              <w:t>11</w:t>
            </w:r>
          </w:p>
        </w:tc>
        <w:tc>
          <w:tcPr>
            <w:tcW w:w="2069" w:type="dxa"/>
            <w:shd w:val="clear" w:color="auto" w:fill="C6EFCE"/>
            <w:noWrap/>
          </w:tcPr>
          <w:p w14:paraId="07F8DC5D" w14:textId="77777777" w:rsidR="00C45D59" w:rsidRDefault="009B0962">
            <w:pPr>
              <w:pStyle w:val="P68B1DB1-Normal12"/>
              <w:spacing w:after="0" w:line="240" w:lineRule="auto"/>
              <w:rPr>
                <w:rFonts w:eastAsia="Times New Roman"/>
                <w:noProof/>
              </w:rPr>
            </w:pPr>
            <w:r>
              <w:rPr>
                <w:noProof/>
              </w:rPr>
              <w:t>1-1.1. Alimentare cu energie electrică – 16926_Sprijin pentru instalarea de sisteme de stocare pentru a îmbunătăți pătrunderea SRE</w:t>
            </w:r>
          </w:p>
        </w:tc>
        <w:tc>
          <w:tcPr>
            <w:tcW w:w="1094" w:type="dxa"/>
            <w:shd w:val="clear" w:color="auto" w:fill="C6EFCE"/>
            <w:noWrap/>
          </w:tcPr>
          <w:p w14:paraId="712A9421" w14:textId="77777777" w:rsidR="00C45D59" w:rsidRDefault="009B0962">
            <w:pPr>
              <w:pStyle w:val="P68B1DB1-Normal12"/>
              <w:spacing w:after="0" w:line="240" w:lineRule="auto"/>
              <w:rPr>
                <w:rFonts w:eastAsia="Times New Roman"/>
                <w:noProof/>
              </w:rPr>
            </w:pPr>
            <w:r>
              <w:rPr>
                <w:noProof/>
              </w:rPr>
              <w:t>Etapă</w:t>
            </w:r>
          </w:p>
        </w:tc>
        <w:tc>
          <w:tcPr>
            <w:tcW w:w="1206" w:type="dxa"/>
            <w:shd w:val="clear" w:color="auto" w:fill="C6EFCE"/>
            <w:noWrap/>
          </w:tcPr>
          <w:p w14:paraId="0981A69C" w14:textId="77777777" w:rsidR="00C45D59" w:rsidRDefault="009B0962">
            <w:pPr>
              <w:pStyle w:val="P68B1DB1-Normal12"/>
              <w:spacing w:after="0" w:line="240" w:lineRule="auto"/>
              <w:rPr>
                <w:rFonts w:eastAsia="Times New Roman"/>
                <w:noProof/>
              </w:rPr>
            </w:pPr>
            <w:r>
              <w:rPr>
                <w:noProof/>
              </w:rPr>
              <w:t>Depozitare – contracte</w:t>
            </w:r>
          </w:p>
        </w:tc>
        <w:tc>
          <w:tcPr>
            <w:tcW w:w="1553" w:type="dxa"/>
            <w:shd w:val="clear" w:color="auto" w:fill="C6EFCE"/>
            <w:noWrap/>
          </w:tcPr>
          <w:p w14:paraId="4DE16272" w14:textId="77777777" w:rsidR="00C45D59" w:rsidRDefault="009B0962">
            <w:pPr>
              <w:pStyle w:val="P68B1DB1-Normal12"/>
              <w:spacing w:after="0" w:line="240" w:lineRule="auto"/>
              <w:rPr>
                <w:rFonts w:eastAsia="Times New Roman"/>
                <w:noProof/>
              </w:rPr>
            </w:pPr>
            <w:r>
              <w:rPr>
                <w:noProof/>
              </w:rPr>
              <w:t>Notificarea atribuirii tuturor contractelor</w:t>
            </w:r>
          </w:p>
        </w:tc>
        <w:tc>
          <w:tcPr>
            <w:tcW w:w="1338" w:type="dxa"/>
            <w:shd w:val="clear" w:color="auto" w:fill="C6EFCE"/>
            <w:noWrap/>
          </w:tcPr>
          <w:p w14:paraId="5A8A9CF5"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927" w:type="dxa"/>
            <w:shd w:val="clear" w:color="auto" w:fill="C6EFCE"/>
            <w:noWrap/>
          </w:tcPr>
          <w:p w14:paraId="12B45247"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05" w:type="dxa"/>
            <w:shd w:val="clear" w:color="auto" w:fill="C6EFCE"/>
            <w:noWrap/>
          </w:tcPr>
          <w:p w14:paraId="2AC51728"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922" w:type="dxa"/>
            <w:shd w:val="clear" w:color="auto" w:fill="C6EFCE"/>
            <w:noWrap/>
          </w:tcPr>
          <w:p w14:paraId="66161732" w14:textId="77777777" w:rsidR="00C45D59" w:rsidRDefault="009B0962">
            <w:pPr>
              <w:pStyle w:val="P68B1DB1-Normal12"/>
              <w:spacing w:after="0" w:line="240" w:lineRule="auto"/>
              <w:rPr>
                <w:rFonts w:eastAsia="Times New Roman"/>
                <w:noProof/>
              </w:rPr>
            </w:pPr>
            <w:r>
              <w:rPr>
                <w:noProof/>
              </w:rPr>
              <w:t>Î2</w:t>
            </w:r>
          </w:p>
        </w:tc>
        <w:tc>
          <w:tcPr>
            <w:tcW w:w="720" w:type="dxa"/>
            <w:shd w:val="clear" w:color="auto" w:fill="C6EFCE"/>
            <w:noWrap/>
          </w:tcPr>
          <w:p w14:paraId="7884C5CF" w14:textId="77777777" w:rsidR="00C45D59" w:rsidRDefault="009B0962">
            <w:pPr>
              <w:pStyle w:val="P68B1DB1-Normal12"/>
              <w:spacing w:after="0" w:line="240" w:lineRule="auto"/>
              <w:rPr>
                <w:rFonts w:eastAsia="Times New Roman"/>
                <w:noProof/>
              </w:rPr>
            </w:pPr>
            <w:r>
              <w:rPr>
                <w:noProof/>
              </w:rPr>
              <w:t>2023</w:t>
            </w:r>
          </w:p>
        </w:tc>
        <w:tc>
          <w:tcPr>
            <w:tcW w:w="3331" w:type="dxa"/>
            <w:shd w:val="clear" w:color="auto" w:fill="C6EFCE"/>
            <w:noWrap/>
          </w:tcPr>
          <w:p w14:paraId="18A57E94" w14:textId="77777777" w:rsidR="00C45D59" w:rsidRDefault="009B0962">
            <w:pPr>
              <w:pStyle w:val="P68B1DB1-Normal12"/>
              <w:spacing w:after="0" w:line="240" w:lineRule="auto"/>
              <w:rPr>
                <w:rFonts w:eastAsia="Times New Roman"/>
                <w:noProof/>
              </w:rPr>
            </w:pPr>
            <w:r>
              <w:rPr>
                <w:noProof/>
              </w:rPr>
              <w:t>Notificarea atribuirii tuturor contractelor pentru proiectele selectate (și anume, pe lângă depozitul hidrografic de lungă durată Amfilochia Pumped Hydro, care este selectat printr-un proces individual), pentru o capacitate totală de până la 700 MW (și o capacitate minimă de 500 MW).</w:t>
            </w:r>
          </w:p>
        </w:tc>
      </w:tr>
      <w:tr w:rsidR="00C45D59" w14:paraId="79B52FE8" w14:textId="77777777">
        <w:trPr>
          <w:jc w:val="center"/>
        </w:trPr>
        <w:tc>
          <w:tcPr>
            <w:tcW w:w="817" w:type="dxa"/>
            <w:shd w:val="clear" w:color="auto" w:fill="C6EFCE"/>
            <w:noWrap/>
          </w:tcPr>
          <w:p w14:paraId="2E460563" w14:textId="77777777" w:rsidR="00C45D59" w:rsidRDefault="009B0962">
            <w:pPr>
              <w:pStyle w:val="P68B1DB1-Normal12"/>
              <w:spacing w:after="0" w:line="240" w:lineRule="auto"/>
              <w:rPr>
                <w:rFonts w:eastAsia="Times New Roman"/>
                <w:noProof/>
              </w:rPr>
            </w:pPr>
            <w:r>
              <w:rPr>
                <w:noProof/>
              </w:rPr>
              <w:t>12</w:t>
            </w:r>
          </w:p>
        </w:tc>
        <w:tc>
          <w:tcPr>
            <w:tcW w:w="2069" w:type="dxa"/>
            <w:shd w:val="clear" w:color="auto" w:fill="C6EFCE"/>
            <w:noWrap/>
          </w:tcPr>
          <w:p w14:paraId="4F496D06" w14:textId="77777777" w:rsidR="00C45D59" w:rsidRDefault="009B0962">
            <w:pPr>
              <w:pStyle w:val="P68B1DB1-Normal12"/>
              <w:spacing w:after="0" w:line="240" w:lineRule="auto"/>
              <w:rPr>
                <w:rFonts w:eastAsia="Times New Roman"/>
                <w:noProof/>
              </w:rPr>
            </w:pPr>
            <w:r>
              <w:rPr>
                <w:noProof/>
              </w:rPr>
              <w:t>1-1.1. Accelerarea – 16901_Modernizarea rețelei HEDNO cu scopul de a spori reziliența și de a proteja mediul</w:t>
            </w:r>
          </w:p>
        </w:tc>
        <w:tc>
          <w:tcPr>
            <w:tcW w:w="1094" w:type="dxa"/>
            <w:shd w:val="clear" w:color="auto" w:fill="C6EFCE"/>
            <w:noWrap/>
          </w:tcPr>
          <w:p w14:paraId="4EE852A6" w14:textId="77777777" w:rsidR="00C45D59" w:rsidRDefault="009B0962">
            <w:pPr>
              <w:pStyle w:val="P68B1DB1-Normal12"/>
              <w:spacing w:after="0" w:line="240" w:lineRule="auto"/>
              <w:rPr>
                <w:rFonts w:eastAsia="Times New Roman"/>
                <w:noProof/>
              </w:rPr>
            </w:pPr>
            <w:r>
              <w:rPr>
                <w:noProof/>
              </w:rPr>
              <w:t>Etapă</w:t>
            </w:r>
          </w:p>
        </w:tc>
        <w:tc>
          <w:tcPr>
            <w:tcW w:w="1206" w:type="dxa"/>
            <w:shd w:val="clear" w:color="auto" w:fill="C6EFCE"/>
            <w:noWrap/>
          </w:tcPr>
          <w:p w14:paraId="41B7917B" w14:textId="77777777" w:rsidR="00C45D59" w:rsidRDefault="009B0962">
            <w:pPr>
              <w:pStyle w:val="P68B1DB1-Normal12"/>
              <w:spacing w:after="0" w:line="240" w:lineRule="auto"/>
              <w:rPr>
                <w:rFonts w:eastAsia="Times New Roman"/>
                <w:noProof/>
              </w:rPr>
            </w:pPr>
            <w:r>
              <w:rPr>
                <w:noProof/>
              </w:rPr>
              <w:t>HEDNO – contracte 1</w:t>
            </w:r>
          </w:p>
        </w:tc>
        <w:tc>
          <w:tcPr>
            <w:tcW w:w="1553" w:type="dxa"/>
            <w:shd w:val="clear" w:color="auto" w:fill="C6EFCE"/>
            <w:noWrap/>
          </w:tcPr>
          <w:p w14:paraId="3A54FA18" w14:textId="77777777" w:rsidR="00C45D59" w:rsidRDefault="009B0962">
            <w:pPr>
              <w:pStyle w:val="P68B1DB1-Normal12"/>
              <w:spacing w:after="0" w:line="240" w:lineRule="auto"/>
              <w:rPr>
                <w:rFonts w:eastAsia="Times New Roman"/>
                <w:noProof/>
              </w:rPr>
            </w:pPr>
            <w:r>
              <w:rPr>
                <w:noProof/>
              </w:rPr>
              <w:t>Notificarea atribuirii tuturor contractelor</w:t>
            </w:r>
          </w:p>
        </w:tc>
        <w:tc>
          <w:tcPr>
            <w:tcW w:w="1338" w:type="dxa"/>
            <w:shd w:val="clear" w:color="auto" w:fill="C6EFCE"/>
            <w:noWrap/>
          </w:tcPr>
          <w:p w14:paraId="690B3F76"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927" w:type="dxa"/>
            <w:shd w:val="clear" w:color="auto" w:fill="C6EFCE"/>
            <w:noWrap/>
          </w:tcPr>
          <w:p w14:paraId="6F8E7C6A"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05" w:type="dxa"/>
            <w:shd w:val="clear" w:color="auto" w:fill="C6EFCE"/>
            <w:noWrap/>
          </w:tcPr>
          <w:p w14:paraId="4847D396"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922" w:type="dxa"/>
            <w:shd w:val="clear" w:color="auto" w:fill="C6EFCE"/>
            <w:noWrap/>
          </w:tcPr>
          <w:p w14:paraId="068CFCAF" w14:textId="77777777" w:rsidR="00C45D59" w:rsidRDefault="009B0962">
            <w:pPr>
              <w:pStyle w:val="P68B1DB1-Normal12"/>
              <w:spacing w:after="0" w:line="240" w:lineRule="auto"/>
              <w:rPr>
                <w:rFonts w:eastAsia="Times New Roman"/>
                <w:noProof/>
              </w:rPr>
            </w:pPr>
            <w:r>
              <w:rPr>
                <w:noProof/>
              </w:rPr>
              <w:t>Î4</w:t>
            </w:r>
          </w:p>
        </w:tc>
        <w:tc>
          <w:tcPr>
            <w:tcW w:w="720" w:type="dxa"/>
            <w:shd w:val="clear" w:color="auto" w:fill="C6EFCE"/>
            <w:noWrap/>
          </w:tcPr>
          <w:p w14:paraId="69C67B38" w14:textId="77777777" w:rsidR="00C45D59" w:rsidRDefault="009B0962">
            <w:pPr>
              <w:pStyle w:val="P68B1DB1-Normal12"/>
              <w:spacing w:after="0" w:line="240" w:lineRule="auto"/>
              <w:rPr>
                <w:rFonts w:eastAsia="Times New Roman"/>
                <w:noProof/>
              </w:rPr>
            </w:pPr>
            <w:r>
              <w:rPr>
                <w:noProof/>
              </w:rPr>
              <w:t>2023</w:t>
            </w:r>
          </w:p>
        </w:tc>
        <w:tc>
          <w:tcPr>
            <w:tcW w:w="3331" w:type="dxa"/>
            <w:shd w:val="clear" w:color="auto" w:fill="C6EFCE"/>
            <w:noWrap/>
          </w:tcPr>
          <w:p w14:paraId="7E7215A4" w14:textId="2379533C" w:rsidR="00C45D59" w:rsidRDefault="009B0962">
            <w:pPr>
              <w:pStyle w:val="P68B1DB1-Normal12"/>
              <w:spacing w:after="0" w:line="240" w:lineRule="auto"/>
              <w:rPr>
                <w:rFonts w:eastAsia="Times New Roman"/>
                <w:noProof/>
              </w:rPr>
            </w:pPr>
            <w:r>
              <w:rPr>
                <w:noProof/>
              </w:rPr>
              <w:t>Notificarea atribuirii tuturor contractelor legate de proiectele operatorului elen al rețelei de distribuție a energiei electrice (HEDNO) privind modernizările pentru reziliență și mediu, care urmărește să faciliteze pătrunderea în continuare a energiei din surse regenerabile și să îmbunătățească fiabilitatea și reziliența rețelei, protejând în același timp mediul.</w:t>
            </w:r>
          </w:p>
        </w:tc>
      </w:tr>
      <w:tr w:rsidR="00C45D59" w14:paraId="5B0C090F" w14:textId="77777777">
        <w:trPr>
          <w:jc w:val="center"/>
        </w:trPr>
        <w:tc>
          <w:tcPr>
            <w:tcW w:w="817" w:type="dxa"/>
            <w:shd w:val="clear" w:color="auto" w:fill="C6EFCE"/>
            <w:noWrap/>
          </w:tcPr>
          <w:p w14:paraId="36FBD6E3" w14:textId="77777777" w:rsidR="00C45D59" w:rsidRDefault="009B0962">
            <w:pPr>
              <w:pStyle w:val="P68B1DB1-Normal12"/>
              <w:spacing w:after="0" w:line="240" w:lineRule="auto"/>
              <w:rPr>
                <w:rFonts w:eastAsia="Times New Roman"/>
                <w:noProof/>
              </w:rPr>
            </w:pPr>
            <w:r>
              <w:rPr>
                <w:noProof/>
              </w:rPr>
              <w:t>13</w:t>
            </w:r>
          </w:p>
        </w:tc>
        <w:tc>
          <w:tcPr>
            <w:tcW w:w="2069" w:type="dxa"/>
            <w:shd w:val="clear" w:color="auto" w:fill="C6EFCE"/>
            <w:noWrap/>
          </w:tcPr>
          <w:p w14:paraId="766F82D3" w14:textId="19D6D0EB" w:rsidR="00C45D59" w:rsidRDefault="009B0962">
            <w:pPr>
              <w:pStyle w:val="P68B1DB1-Normal12"/>
              <w:spacing w:after="0" w:line="240" w:lineRule="auto"/>
              <w:rPr>
                <w:rFonts w:eastAsia="Times New Roman"/>
                <w:noProof/>
              </w:rPr>
            </w:pPr>
            <w:r>
              <w:rPr>
                <w:noProof/>
              </w:rPr>
              <w:t>1-1.1. Accelerarea alimentării cu energie electrică – 16900__Modernizarea rețelei HEDNO</w:t>
            </w:r>
          </w:p>
        </w:tc>
        <w:tc>
          <w:tcPr>
            <w:tcW w:w="1094" w:type="dxa"/>
            <w:shd w:val="clear" w:color="auto" w:fill="C6EFCE"/>
            <w:noWrap/>
          </w:tcPr>
          <w:p w14:paraId="2EFAD9FB" w14:textId="77777777" w:rsidR="00C45D59" w:rsidRDefault="009B0962">
            <w:pPr>
              <w:pStyle w:val="P68B1DB1-Normal12"/>
              <w:spacing w:after="0" w:line="240" w:lineRule="auto"/>
              <w:rPr>
                <w:rFonts w:eastAsia="Times New Roman"/>
                <w:noProof/>
              </w:rPr>
            </w:pPr>
            <w:r>
              <w:rPr>
                <w:noProof/>
              </w:rPr>
              <w:t>Etapă</w:t>
            </w:r>
          </w:p>
        </w:tc>
        <w:tc>
          <w:tcPr>
            <w:tcW w:w="1206" w:type="dxa"/>
            <w:shd w:val="clear" w:color="auto" w:fill="C6EFCE"/>
            <w:noWrap/>
          </w:tcPr>
          <w:p w14:paraId="68893970" w14:textId="77777777" w:rsidR="00C45D59" w:rsidRDefault="009B0962">
            <w:pPr>
              <w:pStyle w:val="P68B1DB1-Normal12"/>
              <w:spacing w:after="0" w:line="240" w:lineRule="auto"/>
              <w:rPr>
                <w:rFonts w:eastAsia="Times New Roman"/>
                <w:noProof/>
              </w:rPr>
            </w:pPr>
            <w:r>
              <w:rPr>
                <w:noProof/>
              </w:rPr>
              <w:t>HEDNO – contracte 2</w:t>
            </w:r>
          </w:p>
        </w:tc>
        <w:tc>
          <w:tcPr>
            <w:tcW w:w="1553" w:type="dxa"/>
            <w:shd w:val="clear" w:color="auto" w:fill="C6EFCE"/>
            <w:noWrap/>
          </w:tcPr>
          <w:p w14:paraId="736D73EC" w14:textId="77777777" w:rsidR="00C45D59" w:rsidRDefault="009B0962">
            <w:pPr>
              <w:pStyle w:val="P68B1DB1-Normal12"/>
              <w:spacing w:after="0" w:line="240" w:lineRule="auto"/>
              <w:rPr>
                <w:rFonts w:eastAsia="Times New Roman"/>
                <w:noProof/>
              </w:rPr>
            </w:pPr>
            <w:r>
              <w:rPr>
                <w:noProof/>
              </w:rPr>
              <w:t>Notificarea atribuirii tuturor contractelor</w:t>
            </w:r>
          </w:p>
        </w:tc>
        <w:tc>
          <w:tcPr>
            <w:tcW w:w="1338" w:type="dxa"/>
            <w:shd w:val="clear" w:color="auto" w:fill="C6EFCE"/>
            <w:noWrap/>
          </w:tcPr>
          <w:p w14:paraId="490516B3"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927" w:type="dxa"/>
            <w:shd w:val="clear" w:color="auto" w:fill="C6EFCE"/>
            <w:noWrap/>
          </w:tcPr>
          <w:p w14:paraId="6344B581"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05" w:type="dxa"/>
            <w:shd w:val="clear" w:color="auto" w:fill="C6EFCE"/>
            <w:noWrap/>
          </w:tcPr>
          <w:p w14:paraId="5DF405F4"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922" w:type="dxa"/>
            <w:shd w:val="clear" w:color="auto" w:fill="C6EFCE"/>
            <w:noWrap/>
          </w:tcPr>
          <w:p w14:paraId="759557A6" w14:textId="77777777" w:rsidR="00C45D59" w:rsidRDefault="009B0962">
            <w:pPr>
              <w:pStyle w:val="P68B1DB1-Normal12"/>
              <w:spacing w:after="0" w:line="240" w:lineRule="auto"/>
              <w:rPr>
                <w:rFonts w:eastAsia="Times New Roman"/>
                <w:noProof/>
              </w:rPr>
            </w:pPr>
            <w:r>
              <w:rPr>
                <w:noProof/>
              </w:rPr>
              <w:t>Î4</w:t>
            </w:r>
          </w:p>
        </w:tc>
        <w:tc>
          <w:tcPr>
            <w:tcW w:w="720" w:type="dxa"/>
            <w:shd w:val="clear" w:color="auto" w:fill="C6EFCE"/>
            <w:noWrap/>
          </w:tcPr>
          <w:p w14:paraId="7D507EBA" w14:textId="77777777" w:rsidR="00C45D59" w:rsidRDefault="009B0962">
            <w:pPr>
              <w:pStyle w:val="P68B1DB1-Normal12"/>
              <w:spacing w:after="0" w:line="240" w:lineRule="auto"/>
              <w:rPr>
                <w:rFonts w:eastAsia="Times New Roman"/>
                <w:noProof/>
              </w:rPr>
            </w:pPr>
            <w:r>
              <w:rPr>
                <w:noProof/>
              </w:rPr>
              <w:t>2023</w:t>
            </w:r>
          </w:p>
        </w:tc>
        <w:tc>
          <w:tcPr>
            <w:tcW w:w="3331" w:type="dxa"/>
            <w:shd w:val="clear" w:color="auto" w:fill="C6EFCE"/>
            <w:noWrap/>
          </w:tcPr>
          <w:p w14:paraId="141A967E" w14:textId="77777777" w:rsidR="00C45D59" w:rsidRDefault="009B0962">
            <w:pPr>
              <w:pStyle w:val="P68B1DB1-Normal12"/>
              <w:spacing w:after="0" w:line="240" w:lineRule="auto"/>
              <w:rPr>
                <w:rFonts w:eastAsia="Times New Roman"/>
                <w:noProof/>
              </w:rPr>
            </w:pPr>
            <w:r>
              <w:rPr>
                <w:noProof/>
              </w:rPr>
              <w:t>Notificarea atribuirii tuturor contractelor legate de proiectele HEDNO privind rețelele aeriene din zonele forestiere, care urmărește să faciliteze pătrunderea în continuare a energiei din surse regenerabile și să îmbunătățească fiabilitatea și reziliența rețelei, protejând în același timp mediul.</w:t>
            </w:r>
          </w:p>
        </w:tc>
      </w:tr>
      <w:tr w:rsidR="00C45D59" w14:paraId="58793484" w14:textId="77777777">
        <w:trPr>
          <w:jc w:val="center"/>
        </w:trPr>
        <w:tc>
          <w:tcPr>
            <w:tcW w:w="817" w:type="dxa"/>
            <w:shd w:val="clear" w:color="auto" w:fill="C6EFCE"/>
            <w:noWrap/>
          </w:tcPr>
          <w:p w14:paraId="77C46182" w14:textId="77777777" w:rsidR="00C45D59" w:rsidRDefault="009B0962">
            <w:pPr>
              <w:pStyle w:val="P68B1DB1-Normal12"/>
              <w:spacing w:after="0" w:line="240" w:lineRule="auto"/>
              <w:rPr>
                <w:rFonts w:eastAsia="Times New Roman"/>
                <w:noProof/>
              </w:rPr>
            </w:pPr>
            <w:r>
              <w:rPr>
                <w:noProof/>
              </w:rPr>
              <w:t>14</w:t>
            </w:r>
          </w:p>
        </w:tc>
        <w:tc>
          <w:tcPr>
            <w:tcW w:w="2069" w:type="dxa"/>
            <w:shd w:val="clear" w:color="auto" w:fill="C6EFCE"/>
            <w:noWrap/>
          </w:tcPr>
          <w:p w14:paraId="43DDA8FE" w14:textId="77777777" w:rsidR="00C45D59" w:rsidRDefault="009B0962">
            <w:pPr>
              <w:pStyle w:val="P68B1DB1-Normal12"/>
              <w:spacing w:after="0" w:line="240" w:lineRule="auto"/>
              <w:rPr>
                <w:rFonts w:eastAsia="Times New Roman"/>
                <w:noProof/>
              </w:rPr>
            </w:pPr>
            <w:r>
              <w:rPr>
                <w:noProof/>
              </w:rPr>
              <w:t>1-1.1. Creșterea puterii – 16899_Creșterea capacității instalate a substațiilor HV/MV ale operatorului elen al rețelei de distribuție a energiei electrice (HEDNO) pentru noua conexiune SRE</w:t>
            </w:r>
          </w:p>
        </w:tc>
        <w:tc>
          <w:tcPr>
            <w:tcW w:w="1094" w:type="dxa"/>
            <w:shd w:val="clear" w:color="auto" w:fill="C6EFCE"/>
            <w:noWrap/>
          </w:tcPr>
          <w:p w14:paraId="29A9005A" w14:textId="77777777" w:rsidR="00C45D59" w:rsidRDefault="009B0962">
            <w:pPr>
              <w:pStyle w:val="P68B1DB1-Normal12"/>
              <w:spacing w:after="0" w:line="240" w:lineRule="auto"/>
              <w:rPr>
                <w:rFonts w:eastAsia="Times New Roman"/>
                <w:noProof/>
              </w:rPr>
            </w:pPr>
            <w:r>
              <w:rPr>
                <w:noProof/>
              </w:rPr>
              <w:t>Etapă</w:t>
            </w:r>
          </w:p>
        </w:tc>
        <w:tc>
          <w:tcPr>
            <w:tcW w:w="1206" w:type="dxa"/>
            <w:shd w:val="clear" w:color="auto" w:fill="C6EFCE"/>
            <w:noWrap/>
          </w:tcPr>
          <w:p w14:paraId="537F3BA2" w14:textId="77777777" w:rsidR="00C45D59" w:rsidRDefault="009B0962">
            <w:pPr>
              <w:pStyle w:val="P68B1DB1-Normal12"/>
              <w:spacing w:after="0" w:line="240" w:lineRule="auto"/>
              <w:rPr>
                <w:rFonts w:eastAsia="Times New Roman"/>
                <w:noProof/>
              </w:rPr>
            </w:pPr>
            <w:r>
              <w:rPr>
                <w:noProof/>
              </w:rPr>
              <w:t>HEDNO – contracte 3</w:t>
            </w:r>
          </w:p>
        </w:tc>
        <w:tc>
          <w:tcPr>
            <w:tcW w:w="1553" w:type="dxa"/>
            <w:shd w:val="clear" w:color="auto" w:fill="C6EFCE"/>
            <w:noWrap/>
          </w:tcPr>
          <w:p w14:paraId="531FA5DE" w14:textId="77777777" w:rsidR="00C45D59" w:rsidRDefault="009B0962">
            <w:pPr>
              <w:pStyle w:val="P68B1DB1-Normal12"/>
              <w:spacing w:after="0" w:line="240" w:lineRule="auto"/>
              <w:rPr>
                <w:rFonts w:eastAsia="Times New Roman"/>
                <w:noProof/>
              </w:rPr>
            </w:pPr>
            <w:r>
              <w:rPr>
                <w:noProof/>
              </w:rPr>
              <w:t>Notificarea atribuirii tuturor contractelor</w:t>
            </w:r>
          </w:p>
        </w:tc>
        <w:tc>
          <w:tcPr>
            <w:tcW w:w="1338" w:type="dxa"/>
            <w:shd w:val="clear" w:color="auto" w:fill="C6EFCE"/>
            <w:noWrap/>
          </w:tcPr>
          <w:p w14:paraId="002B24B2"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927" w:type="dxa"/>
            <w:shd w:val="clear" w:color="auto" w:fill="C6EFCE"/>
            <w:noWrap/>
          </w:tcPr>
          <w:p w14:paraId="122B7B7C"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05" w:type="dxa"/>
            <w:shd w:val="clear" w:color="auto" w:fill="C6EFCE"/>
            <w:noWrap/>
          </w:tcPr>
          <w:p w14:paraId="292D0E14"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922" w:type="dxa"/>
            <w:shd w:val="clear" w:color="auto" w:fill="C6EFCE"/>
            <w:noWrap/>
          </w:tcPr>
          <w:p w14:paraId="4081E8CB" w14:textId="77777777" w:rsidR="00C45D59" w:rsidRDefault="009B0962">
            <w:pPr>
              <w:pStyle w:val="P68B1DB1-Normal12"/>
              <w:spacing w:after="0" w:line="240" w:lineRule="auto"/>
              <w:rPr>
                <w:rFonts w:eastAsia="Times New Roman"/>
                <w:noProof/>
              </w:rPr>
            </w:pPr>
            <w:r>
              <w:rPr>
                <w:noProof/>
              </w:rPr>
              <w:t>Î4</w:t>
            </w:r>
          </w:p>
        </w:tc>
        <w:tc>
          <w:tcPr>
            <w:tcW w:w="720" w:type="dxa"/>
            <w:shd w:val="clear" w:color="auto" w:fill="C6EFCE"/>
            <w:noWrap/>
          </w:tcPr>
          <w:p w14:paraId="52CC8365" w14:textId="77777777" w:rsidR="00C45D59" w:rsidRDefault="009B0962">
            <w:pPr>
              <w:pStyle w:val="P68B1DB1-Normal12"/>
              <w:spacing w:after="0" w:line="240" w:lineRule="auto"/>
              <w:rPr>
                <w:rFonts w:eastAsia="Times New Roman"/>
                <w:noProof/>
              </w:rPr>
            </w:pPr>
            <w:r>
              <w:rPr>
                <w:noProof/>
              </w:rPr>
              <w:t>2023</w:t>
            </w:r>
          </w:p>
        </w:tc>
        <w:tc>
          <w:tcPr>
            <w:tcW w:w="3331" w:type="dxa"/>
            <w:shd w:val="clear" w:color="auto" w:fill="C6EFCE"/>
            <w:noWrap/>
          </w:tcPr>
          <w:p w14:paraId="0AD996C2" w14:textId="77777777" w:rsidR="00C45D59" w:rsidRDefault="009B0962">
            <w:pPr>
              <w:pStyle w:val="P68B1DB1-Normal12"/>
              <w:spacing w:after="0" w:line="240" w:lineRule="auto"/>
              <w:rPr>
                <w:rFonts w:eastAsia="Times New Roman"/>
                <w:noProof/>
              </w:rPr>
            </w:pPr>
            <w:r>
              <w:rPr>
                <w:noProof/>
              </w:rPr>
              <w:t>Notificarea atribuirii tuturor contractelor legate de proiectele HEDNO privind creșterea capacității stațiilor electrice de înaltă tensiune/medie tensiune, care urmărește să faciliteze pătrunderea în continuare a energiei din surse regenerabile și să îmbunătățească fiabilitatea și reziliența rețelei, protejând în același timp mediul.</w:t>
            </w:r>
          </w:p>
        </w:tc>
      </w:tr>
      <w:tr w:rsidR="00C45D59" w14:paraId="6639D3CD" w14:textId="77777777">
        <w:trPr>
          <w:jc w:val="center"/>
        </w:trPr>
        <w:tc>
          <w:tcPr>
            <w:tcW w:w="817" w:type="dxa"/>
            <w:shd w:val="clear" w:color="auto" w:fill="C6EFCE"/>
            <w:noWrap/>
          </w:tcPr>
          <w:p w14:paraId="3CE093F4" w14:textId="77777777" w:rsidR="00C45D59" w:rsidRDefault="009B0962">
            <w:pPr>
              <w:pStyle w:val="P68B1DB1-Normal12"/>
              <w:spacing w:after="0" w:line="240" w:lineRule="auto"/>
              <w:rPr>
                <w:rFonts w:eastAsia="Times New Roman"/>
                <w:noProof/>
              </w:rPr>
            </w:pPr>
            <w:r>
              <w:rPr>
                <w:noProof/>
              </w:rPr>
              <w:t>15</w:t>
            </w:r>
          </w:p>
        </w:tc>
        <w:tc>
          <w:tcPr>
            <w:tcW w:w="2069" w:type="dxa"/>
            <w:shd w:val="clear" w:color="auto" w:fill="C6EFCE"/>
            <w:noWrap/>
          </w:tcPr>
          <w:p w14:paraId="0E98D5FB" w14:textId="77777777" w:rsidR="00C45D59" w:rsidRDefault="009B0962">
            <w:pPr>
              <w:pStyle w:val="P68B1DB1-Normal12"/>
              <w:spacing w:after="0" w:line="240" w:lineRule="auto"/>
              <w:rPr>
                <w:rFonts w:eastAsia="Times New Roman"/>
                <w:noProof/>
              </w:rPr>
            </w:pPr>
            <w:r>
              <w:rPr>
                <w:noProof/>
              </w:rPr>
              <w:t>1-1.1. Accelerarea – 16871_Acțiuni de revitalizare a celor mai afectate teritorii (teritorii aflate în tranziție justă)</w:t>
            </w:r>
          </w:p>
        </w:tc>
        <w:tc>
          <w:tcPr>
            <w:tcW w:w="1094" w:type="dxa"/>
            <w:shd w:val="clear" w:color="auto" w:fill="C6EFCE"/>
            <w:noWrap/>
          </w:tcPr>
          <w:p w14:paraId="1855A599" w14:textId="77777777" w:rsidR="00C45D59" w:rsidRDefault="009B0962">
            <w:pPr>
              <w:pStyle w:val="P68B1DB1-Normal12"/>
              <w:spacing w:after="0" w:line="240" w:lineRule="auto"/>
              <w:rPr>
                <w:rFonts w:eastAsia="Times New Roman"/>
                <w:noProof/>
              </w:rPr>
            </w:pPr>
            <w:r>
              <w:rPr>
                <w:noProof/>
              </w:rPr>
              <w:t>Țintă</w:t>
            </w:r>
          </w:p>
        </w:tc>
        <w:tc>
          <w:tcPr>
            <w:tcW w:w="1206" w:type="dxa"/>
            <w:shd w:val="clear" w:color="auto" w:fill="C6EFCE"/>
            <w:noWrap/>
          </w:tcPr>
          <w:p w14:paraId="28BEA6E4" w14:textId="77777777" w:rsidR="00C45D59" w:rsidRDefault="009B0962">
            <w:pPr>
              <w:pStyle w:val="P68B1DB1-Normal12"/>
              <w:spacing w:after="0" w:line="240" w:lineRule="auto"/>
              <w:rPr>
                <w:rFonts w:eastAsia="Times New Roman"/>
                <w:noProof/>
              </w:rPr>
            </w:pPr>
            <w:r>
              <w:rPr>
                <w:noProof/>
              </w:rPr>
              <w:t xml:space="preserve">Reabilitarea terenurilor </w:t>
            </w:r>
          </w:p>
        </w:tc>
        <w:tc>
          <w:tcPr>
            <w:tcW w:w="1553" w:type="dxa"/>
            <w:shd w:val="clear" w:color="auto" w:fill="C6EFCE"/>
            <w:noWrap/>
          </w:tcPr>
          <w:p w14:paraId="3515372B" w14:textId="77777777" w:rsidR="00C45D59" w:rsidRDefault="00C45D59">
            <w:pPr>
              <w:spacing w:before="120" w:after="0" w:line="240" w:lineRule="auto"/>
              <w:jc w:val="both"/>
              <w:rPr>
                <w:rFonts w:ascii="Times New Roman" w:eastAsia="Times New Roman" w:hAnsi="Times New Roman" w:cs="Times New Roman"/>
                <w:noProof/>
                <w:color w:val="006100"/>
                <w:sz w:val="18"/>
                <w:szCs w:val="18"/>
              </w:rPr>
            </w:pPr>
          </w:p>
        </w:tc>
        <w:tc>
          <w:tcPr>
            <w:tcW w:w="1338" w:type="dxa"/>
            <w:shd w:val="clear" w:color="auto" w:fill="C6EFCE"/>
            <w:noWrap/>
          </w:tcPr>
          <w:p w14:paraId="09F24B42" w14:textId="77777777" w:rsidR="00C45D59" w:rsidRDefault="009B0962">
            <w:pPr>
              <w:pStyle w:val="P68B1DB1-Normal12"/>
              <w:spacing w:after="0" w:line="240" w:lineRule="auto"/>
              <w:rPr>
                <w:rFonts w:eastAsia="Times New Roman"/>
                <w:noProof/>
              </w:rPr>
            </w:pPr>
            <w:r>
              <w:rPr>
                <w:noProof/>
              </w:rPr>
              <w:t xml:space="preserve">Numărul de hectare </w:t>
            </w:r>
          </w:p>
        </w:tc>
        <w:tc>
          <w:tcPr>
            <w:tcW w:w="927" w:type="dxa"/>
            <w:shd w:val="clear" w:color="auto" w:fill="C6EFCE"/>
            <w:noWrap/>
          </w:tcPr>
          <w:p w14:paraId="2F3DE643" w14:textId="77777777" w:rsidR="00C45D59" w:rsidRDefault="009B0962">
            <w:pPr>
              <w:pStyle w:val="P68B1DB1-Normal12"/>
              <w:spacing w:after="0" w:line="240" w:lineRule="auto"/>
              <w:rPr>
                <w:rFonts w:eastAsia="Times New Roman"/>
                <w:noProof/>
              </w:rPr>
            </w:pPr>
            <w:r>
              <w:rPr>
                <w:noProof/>
              </w:rPr>
              <w:t>0</w:t>
            </w:r>
          </w:p>
        </w:tc>
        <w:tc>
          <w:tcPr>
            <w:tcW w:w="805" w:type="dxa"/>
            <w:shd w:val="clear" w:color="auto" w:fill="C6EFCE"/>
            <w:noWrap/>
          </w:tcPr>
          <w:p w14:paraId="74B77686" w14:textId="77777777" w:rsidR="00C45D59" w:rsidRDefault="009B0962">
            <w:pPr>
              <w:pStyle w:val="P68B1DB1-Normal12"/>
              <w:spacing w:after="0" w:line="240" w:lineRule="auto"/>
              <w:rPr>
                <w:rFonts w:eastAsia="Times New Roman"/>
                <w:noProof/>
              </w:rPr>
            </w:pPr>
            <w:r>
              <w:rPr>
                <w:noProof/>
              </w:rPr>
              <w:t>8 102</w:t>
            </w:r>
          </w:p>
        </w:tc>
        <w:tc>
          <w:tcPr>
            <w:tcW w:w="922" w:type="dxa"/>
            <w:shd w:val="clear" w:color="auto" w:fill="C6EFCE"/>
            <w:noWrap/>
          </w:tcPr>
          <w:p w14:paraId="3D4AD8E2" w14:textId="77777777" w:rsidR="00C45D59" w:rsidRDefault="009B0962">
            <w:pPr>
              <w:pStyle w:val="P68B1DB1-Normal12"/>
              <w:spacing w:after="0" w:line="240" w:lineRule="auto"/>
              <w:rPr>
                <w:rFonts w:eastAsia="Times New Roman"/>
                <w:noProof/>
              </w:rPr>
            </w:pPr>
            <w:r>
              <w:rPr>
                <w:noProof/>
              </w:rPr>
              <w:t>Î4</w:t>
            </w:r>
          </w:p>
        </w:tc>
        <w:tc>
          <w:tcPr>
            <w:tcW w:w="720" w:type="dxa"/>
            <w:shd w:val="clear" w:color="auto" w:fill="C6EFCE"/>
            <w:noWrap/>
          </w:tcPr>
          <w:p w14:paraId="7B6F26A5" w14:textId="77777777" w:rsidR="00C45D59" w:rsidRDefault="009B0962">
            <w:pPr>
              <w:pStyle w:val="P68B1DB1-Normal12"/>
              <w:spacing w:after="0" w:line="240" w:lineRule="auto"/>
              <w:rPr>
                <w:rFonts w:eastAsia="Times New Roman"/>
                <w:noProof/>
              </w:rPr>
            </w:pPr>
            <w:r>
              <w:rPr>
                <w:noProof/>
              </w:rPr>
              <w:t>2025</w:t>
            </w:r>
          </w:p>
        </w:tc>
        <w:tc>
          <w:tcPr>
            <w:tcW w:w="3331" w:type="dxa"/>
            <w:shd w:val="clear" w:color="auto" w:fill="C6EFCE"/>
            <w:noWrap/>
          </w:tcPr>
          <w:p w14:paraId="722A9242" w14:textId="77777777" w:rsidR="00C45D59" w:rsidRDefault="009B0962">
            <w:pPr>
              <w:pStyle w:val="P68B1DB1-Normal12"/>
              <w:spacing w:after="0" w:line="240" w:lineRule="auto"/>
              <w:rPr>
                <w:rFonts w:eastAsia="Times New Roman"/>
                <w:noProof/>
              </w:rPr>
            </w:pPr>
            <w:r>
              <w:rPr>
                <w:noProof/>
              </w:rPr>
              <w:t>Apelul Public Power Corporation (PPC SA) către părțile contractante pentru acceptarea unui total de 8 102 ha de teren refăcut sau neperturbat. Lucrările de reabilitare pot include, dar nu se limitează la terasamente, plantarea, demontarea sau demolarea infrastructurii.</w:t>
            </w:r>
          </w:p>
        </w:tc>
      </w:tr>
      <w:tr w:rsidR="00C45D59" w14:paraId="6C9A4A65" w14:textId="77777777">
        <w:trPr>
          <w:jc w:val="center"/>
        </w:trPr>
        <w:tc>
          <w:tcPr>
            <w:tcW w:w="817" w:type="dxa"/>
            <w:shd w:val="clear" w:color="auto" w:fill="C6EFCE"/>
            <w:noWrap/>
          </w:tcPr>
          <w:p w14:paraId="537F59FB" w14:textId="77777777" w:rsidR="00C45D59" w:rsidRDefault="009B0962">
            <w:pPr>
              <w:pStyle w:val="P68B1DB1-Normal12"/>
              <w:spacing w:after="0" w:line="240" w:lineRule="auto"/>
              <w:rPr>
                <w:rFonts w:eastAsia="Times New Roman"/>
                <w:noProof/>
              </w:rPr>
            </w:pPr>
            <w:r>
              <w:rPr>
                <w:noProof/>
              </w:rPr>
              <w:t>16</w:t>
            </w:r>
          </w:p>
        </w:tc>
        <w:tc>
          <w:tcPr>
            <w:tcW w:w="2069" w:type="dxa"/>
            <w:shd w:val="clear" w:color="auto" w:fill="C6EFCE"/>
            <w:noWrap/>
          </w:tcPr>
          <w:p w14:paraId="57ABCB59" w14:textId="77777777" w:rsidR="00C45D59" w:rsidRDefault="009B0962">
            <w:pPr>
              <w:pStyle w:val="P68B1DB1-Normal12"/>
              <w:spacing w:after="0" w:line="240" w:lineRule="auto"/>
              <w:rPr>
                <w:rFonts w:eastAsia="Times New Roman"/>
                <w:noProof/>
              </w:rPr>
            </w:pPr>
            <w:r>
              <w:rPr>
                <w:noProof/>
              </w:rPr>
              <w:t>1-1.1. Alimentare cu energie electrică – 16926_Sprijin pentru instalarea de sisteme de stocare pentru a îmbunătăți pătrunderea SRE</w:t>
            </w:r>
          </w:p>
        </w:tc>
        <w:tc>
          <w:tcPr>
            <w:tcW w:w="1094" w:type="dxa"/>
            <w:shd w:val="clear" w:color="auto" w:fill="C6EFCE"/>
            <w:noWrap/>
          </w:tcPr>
          <w:p w14:paraId="74A4F503" w14:textId="77777777" w:rsidR="00C45D59" w:rsidRDefault="009B0962">
            <w:pPr>
              <w:pStyle w:val="P68B1DB1-Normal12"/>
              <w:spacing w:after="0" w:line="240" w:lineRule="auto"/>
              <w:rPr>
                <w:rFonts w:eastAsia="Times New Roman"/>
                <w:noProof/>
              </w:rPr>
            </w:pPr>
            <w:r>
              <w:rPr>
                <w:noProof/>
              </w:rPr>
              <w:t>Etapă</w:t>
            </w:r>
          </w:p>
        </w:tc>
        <w:tc>
          <w:tcPr>
            <w:tcW w:w="1206" w:type="dxa"/>
            <w:shd w:val="clear" w:color="auto" w:fill="C6EFCE"/>
            <w:noWrap/>
          </w:tcPr>
          <w:p w14:paraId="77587291" w14:textId="0631CB4D" w:rsidR="00C45D59" w:rsidRDefault="009B0962">
            <w:pPr>
              <w:pStyle w:val="P68B1DB1-Normal12"/>
              <w:spacing w:after="0" w:line="240" w:lineRule="auto"/>
              <w:rPr>
                <w:rFonts w:eastAsia="Times New Roman"/>
                <w:noProof/>
              </w:rPr>
            </w:pPr>
            <w:r>
              <w:rPr>
                <w:noProof/>
              </w:rPr>
              <w:t>Stocarea energiei – instalațiile de stocare a bateriilor instalate și lucrările de construcții civile ale stației de stocare a energiei hidraulice prin pompare Amfilochia</w:t>
            </w:r>
          </w:p>
        </w:tc>
        <w:tc>
          <w:tcPr>
            <w:tcW w:w="1553" w:type="dxa"/>
            <w:shd w:val="clear" w:color="auto" w:fill="C6EFCE"/>
            <w:noWrap/>
          </w:tcPr>
          <w:p w14:paraId="173015E5" w14:textId="51DA1E0E" w:rsidR="00C45D59" w:rsidRDefault="009B0962">
            <w:pPr>
              <w:pStyle w:val="P68B1DB1-Normal12"/>
              <w:spacing w:after="0" w:line="240" w:lineRule="auto"/>
              <w:rPr>
                <w:rFonts w:eastAsia="Times New Roman"/>
                <w:noProof/>
              </w:rPr>
            </w:pPr>
            <w:r>
              <w:rPr>
                <w:noProof/>
              </w:rPr>
              <w:t>Instalarea unor proiecte de stocare a energiei pentru 700 MW și executarea unor lucrări de construcții civile pentru opt subproiecte ale stației de stocare a energiei hidraulice Amfilochia Pumped Hydro.</w:t>
            </w:r>
          </w:p>
        </w:tc>
        <w:tc>
          <w:tcPr>
            <w:tcW w:w="1338" w:type="dxa"/>
            <w:shd w:val="clear" w:color="auto" w:fill="C6EFCE"/>
            <w:noWrap/>
          </w:tcPr>
          <w:p w14:paraId="2AC4B75A"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927" w:type="dxa"/>
            <w:shd w:val="clear" w:color="auto" w:fill="C6EFCE"/>
            <w:noWrap/>
          </w:tcPr>
          <w:p w14:paraId="57BAC445"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05" w:type="dxa"/>
            <w:shd w:val="clear" w:color="auto" w:fill="C6EFCE"/>
            <w:noWrap/>
          </w:tcPr>
          <w:p w14:paraId="33087D55"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922" w:type="dxa"/>
            <w:shd w:val="clear" w:color="auto" w:fill="C6EFCE"/>
            <w:noWrap/>
          </w:tcPr>
          <w:p w14:paraId="67BCFFCA" w14:textId="77777777" w:rsidR="00C45D59" w:rsidRDefault="009B0962">
            <w:pPr>
              <w:pStyle w:val="P68B1DB1-Normal12"/>
              <w:spacing w:after="0" w:line="240" w:lineRule="auto"/>
              <w:rPr>
                <w:rFonts w:eastAsia="Times New Roman"/>
                <w:noProof/>
              </w:rPr>
            </w:pPr>
            <w:r>
              <w:rPr>
                <w:noProof/>
              </w:rPr>
              <w:t>Î4</w:t>
            </w:r>
          </w:p>
        </w:tc>
        <w:tc>
          <w:tcPr>
            <w:tcW w:w="720" w:type="dxa"/>
            <w:shd w:val="clear" w:color="auto" w:fill="C6EFCE"/>
            <w:noWrap/>
          </w:tcPr>
          <w:p w14:paraId="58ADE763" w14:textId="77777777" w:rsidR="00C45D59" w:rsidRDefault="009B0962">
            <w:pPr>
              <w:pStyle w:val="P68B1DB1-Normal12"/>
              <w:spacing w:after="0" w:line="240" w:lineRule="auto"/>
              <w:rPr>
                <w:rFonts w:eastAsia="Times New Roman"/>
                <w:noProof/>
              </w:rPr>
            </w:pPr>
            <w:r>
              <w:rPr>
                <w:noProof/>
              </w:rPr>
              <w:t>2025</w:t>
            </w:r>
          </w:p>
        </w:tc>
        <w:tc>
          <w:tcPr>
            <w:tcW w:w="3331" w:type="dxa"/>
            <w:shd w:val="clear" w:color="auto" w:fill="C6EFCE"/>
            <w:noWrap/>
          </w:tcPr>
          <w:p w14:paraId="2292963C" w14:textId="56FD21BE" w:rsidR="00C45D59" w:rsidRDefault="009B0962">
            <w:pPr>
              <w:pStyle w:val="P68B1DB1-Normal16"/>
              <w:spacing w:after="0" w:line="240" w:lineRule="auto"/>
              <w:rPr>
                <w:rFonts w:eastAsia="Times New Roman"/>
                <w:noProof/>
                <w:color w:val="006100"/>
              </w:rPr>
            </w:pPr>
            <w:r>
              <w:rPr>
                <w:noProof/>
                <w:color w:val="006100"/>
              </w:rPr>
              <w:t>Instalarea de proiecte de stocare a energiei pentru 700 MW</w:t>
            </w:r>
            <w:r>
              <w:rPr>
                <w:noProof/>
              </w:rPr>
              <w:t xml:space="preserve"> </w:t>
            </w:r>
            <w:r>
              <w:rPr>
                <w:noProof/>
                <w:color w:val="006100"/>
              </w:rPr>
              <w:t xml:space="preserve">și lucrări de construcții civile pentru opt subproiecte executate ale stației de stocare a energiei hidraulice Amfilochia Pumped Hydro. </w:t>
            </w:r>
          </w:p>
        </w:tc>
      </w:tr>
      <w:tr w:rsidR="00C45D59" w14:paraId="79326025" w14:textId="77777777">
        <w:trPr>
          <w:jc w:val="center"/>
        </w:trPr>
        <w:tc>
          <w:tcPr>
            <w:tcW w:w="817" w:type="dxa"/>
            <w:shd w:val="clear" w:color="auto" w:fill="C6EFCE"/>
            <w:noWrap/>
          </w:tcPr>
          <w:p w14:paraId="7624F348" w14:textId="77777777" w:rsidR="00C45D59" w:rsidRDefault="009B0962">
            <w:pPr>
              <w:pStyle w:val="P68B1DB1-Normal12"/>
              <w:spacing w:after="0" w:line="240" w:lineRule="auto"/>
              <w:rPr>
                <w:rFonts w:eastAsia="Times New Roman"/>
                <w:noProof/>
              </w:rPr>
            </w:pPr>
            <w:r>
              <w:rPr>
                <w:noProof/>
              </w:rPr>
              <w:t>18</w:t>
            </w:r>
          </w:p>
        </w:tc>
        <w:tc>
          <w:tcPr>
            <w:tcW w:w="2069" w:type="dxa"/>
            <w:shd w:val="clear" w:color="auto" w:fill="C6EFCE"/>
            <w:noWrap/>
          </w:tcPr>
          <w:p w14:paraId="02961542" w14:textId="48044FCA" w:rsidR="00C45D59" w:rsidRDefault="009B0962">
            <w:pPr>
              <w:pStyle w:val="P68B1DB1-Normal12"/>
              <w:spacing w:after="0" w:line="240" w:lineRule="auto"/>
              <w:rPr>
                <w:rFonts w:eastAsia="Times New Roman"/>
                <w:noProof/>
              </w:rPr>
            </w:pPr>
            <w:r>
              <w:rPr>
                <w:noProof/>
              </w:rPr>
              <w:t>1-1.1. Accelerarea alimentării cu energie electrică – modernizări ale rețelei 16900_HEDNO</w:t>
            </w:r>
          </w:p>
        </w:tc>
        <w:tc>
          <w:tcPr>
            <w:tcW w:w="1094" w:type="dxa"/>
            <w:shd w:val="clear" w:color="auto" w:fill="C6EFCE"/>
            <w:noWrap/>
          </w:tcPr>
          <w:p w14:paraId="52BA4171" w14:textId="77777777" w:rsidR="00C45D59" w:rsidRDefault="009B0962">
            <w:pPr>
              <w:pStyle w:val="P68B1DB1-Normal12"/>
              <w:spacing w:after="0" w:line="240" w:lineRule="auto"/>
              <w:rPr>
                <w:rFonts w:eastAsia="Times New Roman"/>
                <w:noProof/>
              </w:rPr>
            </w:pPr>
            <w:r>
              <w:rPr>
                <w:noProof/>
              </w:rPr>
              <w:t>Etapă</w:t>
            </w:r>
          </w:p>
        </w:tc>
        <w:tc>
          <w:tcPr>
            <w:tcW w:w="1206" w:type="dxa"/>
            <w:shd w:val="clear" w:color="auto" w:fill="C6EFCE"/>
            <w:noWrap/>
          </w:tcPr>
          <w:p w14:paraId="4E6D7C4C" w14:textId="6875C316" w:rsidR="00C45D59" w:rsidRDefault="009B0962">
            <w:pPr>
              <w:pStyle w:val="P68B1DB1-Normal12"/>
              <w:spacing w:after="0" w:line="240" w:lineRule="auto"/>
              <w:rPr>
                <w:rFonts w:eastAsia="Times New Roman"/>
                <w:noProof/>
              </w:rPr>
            </w:pPr>
            <w:r>
              <w:rPr>
                <w:noProof/>
              </w:rPr>
              <w:t>Modernizări ale rețelei HEDNO</w:t>
            </w:r>
          </w:p>
        </w:tc>
        <w:tc>
          <w:tcPr>
            <w:tcW w:w="1553" w:type="dxa"/>
            <w:shd w:val="clear" w:color="auto" w:fill="C6EFCE"/>
            <w:noWrap/>
          </w:tcPr>
          <w:p w14:paraId="59463DD5" w14:textId="5F163527" w:rsidR="00C45D59" w:rsidRDefault="009B0962">
            <w:pPr>
              <w:pStyle w:val="P68B1DB1-Normal12"/>
              <w:spacing w:after="0" w:line="240" w:lineRule="auto"/>
              <w:rPr>
                <w:rFonts w:eastAsia="Times New Roman"/>
                <w:noProof/>
              </w:rPr>
            </w:pPr>
            <w:r>
              <w:rPr>
                <w:noProof/>
              </w:rPr>
              <w:t xml:space="preserve">Intervenții în rețeaua de distribuție </w:t>
            </w:r>
          </w:p>
        </w:tc>
        <w:tc>
          <w:tcPr>
            <w:tcW w:w="1338" w:type="dxa"/>
            <w:shd w:val="clear" w:color="auto" w:fill="C6EFCE"/>
            <w:noWrap/>
          </w:tcPr>
          <w:p w14:paraId="76BF067E"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927" w:type="dxa"/>
            <w:shd w:val="clear" w:color="auto" w:fill="C6EFCE"/>
            <w:noWrap/>
          </w:tcPr>
          <w:p w14:paraId="1969021E"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05" w:type="dxa"/>
            <w:shd w:val="clear" w:color="auto" w:fill="C6EFCE"/>
            <w:noWrap/>
          </w:tcPr>
          <w:p w14:paraId="6C82F391"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922" w:type="dxa"/>
            <w:shd w:val="clear" w:color="auto" w:fill="C6EFCE"/>
            <w:noWrap/>
          </w:tcPr>
          <w:p w14:paraId="76C6E421" w14:textId="77777777" w:rsidR="00C45D59" w:rsidRDefault="009B0962">
            <w:pPr>
              <w:pStyle w:val="P68B1DB1-Normal12"/>
              <w:spacing w:after="0" w:line="240" w:lineRule="auto"/>
              <w:rPr>
                <w:rFonts w:eastAsia="Times New Roman"/>
                <w:noProof/>
              </w:rPr>
            </w:pPr>
            <w:r>
              <w:rPr>
                <w:noProof/>
              </w:rPr>
              <w:t>Î4</w:t>
            </w:r>
          </w:p>
        </w:tc>
        <w:tc>
          <w:tcPr>
            <w:tcW w:w="720" w:type="dxa"/>
            <w:shd w:val="clear" w:color="auto" w:fill="C6EFCE"/>
            <w:noWrap/>
          </w:tcPr>
          <w:p w14:paraId="472AB9E7" w14:textId="77777777" w:rsidR="00C45D59" w:rsidRDefault="009B0962">
            <w:pPr>
              <w:pStyle w:val="P68B1DB1-Normal12"/>
              <w:spacing w:after="0" w:line="240" w:lineRule="auto"/>
              <w:rPr>
                <w:rFonts w:eastAsia="Times New Roman"/>
                <w:noProof/>
              </w:rPr>
            </w:pPr>
            <w:r>
              <w:rPr>
                <w:noProof/>
              </w:rPr>
              <w:t>2025</w:t>
            </w:r>
          </w:p>
        </w:tc>
        <w:tc>
          <w:tcPr>
            <w:tcW w:w="3331" w:type="dxa"/>
            <w:shd w:val="clear" w:color="auto" w:fill="C6EFCE"/>
            <w:noWrap/>
          </w:tcPr>
          <w:p w14:paraId="4D2AACC2" w14:textId="03A153BD" w:rsidR="00C45D59" w:rsidRDefault="009B0962">
            <w:pPr>
              <w:pStyle w:val="P68B1DB1-Normal12"/>
              <w:spacing w:after="0" w:line="240" w:lineRule="auto"/>
              <w:rPr>
                <w:rFonts w:eastAsia="Times New Roman"/>
                <w:noProof/>
              </w:rPr>
            </w:pPr>
            <w:r>
              <w:rPr>
                <w:noProof/>
              </w:rPr>
              <w:t>Certificat de finalizare a intervențiilor pentru 3 370 km de rețea de distribuție a energiei electrice</w:t>
            </w:r>
          </w:p>
        </w:tc>
      </w:tr>
      <w:tr w:rsidR="00C45D59" w14:paraId="5C93EF4C" w14:textId="77777777">
        <w:trPr>
          <w:jc w:val="center"/>
        </w:trPr>
        <w:tc>
          <w:tcPr>
            <w:tcW w:w="817" w:type="dxa"/>
            <w:shd w:val="clear" w:color="auto" w:fill="C6EFCE"/>
            <w:noWrap/>
          </w:tcPr>
          <w:p w14:paraId="1C9F6B32" w14:textId="77777777" w:rsidR="00C45D59" w:rsidRDefault="009B0962">
            <w:pPr>
              <w:pStyle w:val="P68B1DB1-Normal12"/>
              <w:spacing w:after="0" w:line="240" w:lineRule="auto"/>
              <w:rPr>
                <w:rFonts w:eastAsia="Times New Roman"/>
                <w:noProof/>
              </w:rPr>
            </w:pPr>
            <w:r>
              <w:rPr>
                <w:noProof/>
              </w:rPr>
              <w:t>19</w:t>
            </w:r>
          </w:p>
        </w:tc>
        <w:tc>
          <w:tcPr>
            <w:tcW w:w="2069" w:type="dxa"/>
            <w:shd w:val="clear" w:color="auto" w:fill="C6EFCE"/>
            <w:noWrap/>
          </w:tcPr>
          <w:p w14:paraId="2AE02B77" w14:textId="64ACFC9B" w:rsidR="00C45D59" w:rsidRDefault="009B0962">
            <w:pPr>
              <w:pStyle w:val="P68B1DB1-Normal12"/>
              <w:spacing w:after="0" w:line="240" w:lineRule="auto"/>
              <w:rPr>
                <w:rFonts w:eastAsia="Times New Roman"/>
                <w:noProof/>
              </w:rPr>
            </w:pPr>
            <w:r>
              <w:rPr>
                <w:noProof/>
              </w:rPr>
              <w:t xml:space="preserve">1-1.1. Alimentare – 16899_ Stații electrice HV/MV ale operatorului elen al rețelei de distribuție a energiei electrice (HEDNO) </w:t>
            </w:r>
          </w:p>
        </w:tc>
        <w:tc>
          <w:tcPr>
            <w:tcW w:w="1094" w:type="dxa"/>
            <w:shd w:val="clear" w:color="auto" w:fill="C6EFCE"/>
            <w:noWrap/>
          </w:tcPr>
          <w:p w14:paraId="74F046F3" w14:textId="77777777" w:rsidR="00C45D59" w:rsidRDefault="009B0962">
            <w:pPr>
              <w:pStyle w:val="P68B1DB1-Normal12"/>
              <w:spacing w:after="0" w:line="240" w:lineRule="auto"/>
              <w:rPr>
                <w:rFonts w:eastAsia="Times New Roman"/>
                <w:noProof/>
              </w:rPr>
            </w:pPr>
            <w:r>
              <w:rPr>
                <w:noProof/>
              </w:rPr>
              <w:t>Etapă</w:t>
            </w:r>
          </w:p>
        </w:tc>
        <w:tc>
          <w:tcPr>
            <w:tcW w:w="1206" w:type="dxa"/>
            <w:shd w:val="clear" w:color="auto" w:fill="C6EFCE"/>
            <w:noWrap/>
          </w:tcPr>
          <w:p w14:paraId="40DEC67F" w14:textId="77777777" w:rsidR="00C45D59" w:rsidRDefault="009B0962">
            <w:pPr>
              <w:pStyle w:val="P68B1DB1-Normal12"/>
              <w:spacing w:after="0" w:line="240" w:lineRule="auto"/>
              <w:rPr>
                <w:rFonts w:eastAsia="Times New Roman"/>
                <w:noProof/>
              </w:rPr>
            </w:pPr>
            <w:r>
              <w:rPr>
                <w:noProof/>
              </w:rPr>
              <w:t>Substații HEDNO – HV/MV</w:t>
            </w:r>
          </w:p>
        </w:tc>
        <w:tc>
          <w:tcPr>
            <w:tcW w:w="1553" w:type="dxa"/>
            <w:shd w:val="clear" w:color="auto" w:fill="C6EFCE"/>
            <w:noWrap/>
          </w:tcPr>
          <w:p w14:paraId="3D71D778" w14:textId="77777777" w:rsidR="00C45D59" w:rsidRDefault="009B0962">
            <w:pPr>
              <w:pStyle w:val="P68B1DB1-Normal12"/>
              <w:spacing w:after="0" w:line="240" w:lineRule="auto"/>
              <w:rPr>
                <w:rFonts w:eastAsia="Times New Roman"/>
                <w:noProof/>
              </w:rPr>
            </w:pPr>
            <w:r>
              <w:rPr>
                <w:noProof/>
              </w:rPr>
              <w:t xml:space="preserve">Intervenții în rețeaua de distribuție </w:t>
            </w:r>
          </w:p>
        </w:tc>
        <w:tc>
          <w:tcPr>
            <w:tcW w:w="1338" w:type="dxa"/>
            <w:shd w:val="clear" w:color="auto" w:fill="C6EFCE"/>
            <w:noWrap/>
          </w:tcPr>
          <w:p w14:paraId="5363EE8F"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927" w:type="dxa"/>
            <w:shd w:val="clear" w:color="auto" w:fill="C6EFCE"/>
            <w:noWrap/>
          </w:tcPr>
          <w:p w14:paraId="3BC3C73B"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05" w:type="dxa"/>
            <w:shd w:val="clear" w:color="auto" w:fill="C6EFCE"/>
            <w:noWrap/>
          </w:tcPr>
          <w:p w14:paraId="60BEEFC2"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922" w:type="dxa"/>
            <w:shd w:val="clear" w:color="auto" w:fill="C6EFCE"/>
            <w:noWrap/>
          </w:tcPr>
          <w:p w14:paraId="1800D0B4" w14:textId="77777777" w:rsidR="00C45D59" w:rsidRDefault="009B0962">
            <w:pPr>
              <w:pStyle w:val="P68B1DB1-Normal12"/>
              <w:spacing w:after="0" w:line="240" w:lineRule="auto"/>
              <w:rPr>
                <w:rFonts w:eastAsia="Times New Roman"/>
                <w:noProof/>
              </w:rPr>
            </w:pPr>
            <w:r>
              <w:rPr>
                <w:noProof/>
              </w:rPr>
              <w:t>Î4</w:t>
            </w:r>
          </w:p>
        </w:tc>
        <w:tc>
          <w:tcPr>
            <w:tcW w:w="720" w:type="dxa"/>
            <w:shd w:val="clear" w:color="auto" w:fill="C6EFCE"/>
            <w:noWrap/>
          </w:tcPr>
          <w:p w14:paraId="72533A17" w14:textId="77777777" w:rsidR="00C45D59" w:rsidRDefault="009B0962">
            <w:pPr>
              <w:pStyle w:val="P68B1DB1-Normal12"/>
              <w:spacing w:after="0" w:line="240" w:lineRule="auto"/>
              <w:rPr>
                <w:rFonts w:eastAsia="Times New Roman"/>
                <w:noProof/>
              </w:rPr>
            </w:pPr>
            <w:r>
              <w:rPr>
                <w:noProof/>
              </w:rPr>
              <w:t>2025</w:t>
            </w:r>
          </w:p>
        </w:tc>
        <w:tc>
          <w:tcPr>
            <w:tcW w:w="3331" w:type="dxa"/>
            <w:shd w:val="clear" w:color="auto" w:fill="C6EFCE"/>
            <w:noWrap/>
          </w:tcPr>
          <w:p w14:paraId="7DE8871A" w14:textId="4FFBA2CC" w:rsidR="00C45D59" w:rsidRDefault="009B0962">
            <w:pPr>
              <w:pStyle w:val="P68B1DB1-Normal12"/>
              <w:spacing w:after="0" w:line="240" w:lineRule="auto"/>
              <w:rPr>
                <w:rFonts w:eastAsia="Times New Roman"/>
                <w:noProof/>
              </w:rPr>
            </w:pPr>
            <w:r>
              <w:rPr>
                <w:noProof/>
              </w:rPr>
              <w:t>Certificat de finalizare a intervențiilor pentru 14 substații HV/MV.</w:t>
            </w:r>
          </w:p>
        </w:tc>
      </w:tr>
      <w:tr w:rsidR="00C45D59" w14:paraId="5DEAD808" w14:textId="77777777">
        <w:trPr>
          <w:trHeight w:val="300"/>
          <w:jc w:val="center"/>
        </w:trPr>
        <w:tc>
          <w:tcPr>
            <w:tcW w:w="817" w:type="dxa"/>
            <w:shd w:val="clear" w:color="auto" w:fill="C6EFCE"/>
            <w:noWrap/>
          </w:tcPr>
          <w:p w14:paraId="1950E23C" w14:textId="128ECA90" w:rsidR="00C45D59" w:rsidRDefault="009B0962">
            <w:pPr>
              <w:pStyle w:val="P68B1DB1-Normal12"/>
              <w:spacing w:line="240" w:lineRule="auto"/>
              <w:rPr>
                <w:noProof/>
              </w:rPr>
            </w:pPr>
            <w:r>
              <w:rPr>
                <w:noProof/>
              </w:rPr>
              <w:t>387</w:t>
            </w:r>
          </w:p>
        </w:tc>
        <w:tc>
          <w:tcPr>
            <w:tcW w:w="2069" w:type="dxa"/>
            <w:shd w:val="clear" w:color="auto" w:fill="C6EFCE"/>
            <w:noWrap/>
          </w:tcPr>
          <w:p w14:paraId="250B689A" w14:textId="2F5DB57B" w:rsidR="00C45D59" w:rsidRDefault="009B0962">
            <w:pPr>
              <w:pStyle w:val="P68B1DB1-Normal12"/>
              <w:spacing w:after="0" w:line="240" w:lineRule="auto"/>
              <w:rPr>
                <w:noProof/>
              </w:rPr>
            </w:pPr>
            <w:r>
              <w:rPr>
                <w:noProof/>
              </w:rPr>
              <w:t xml:space="preserve">1-1.1 puterea consumată – 16880_Contribuția DES ADMIE la majorarea capitalului social al IPTO </w:t>
            </w:r>
          </w:p>
        </w:tc>
        <w:tc>
          <w:tcPr>
            <w:tcW w:w="1094" w:type="dxa"/>
            <w:shd w:val="clear" w:color="auto" w:fill="C6EFCE"/>
            <w:noWrap/>
          </w:tcPr>
          <w:p w14:paraId="5B82E37F" w14:textId="3A5B15E4" w:rsidR="00C45D59" w:rsidRDefault="009B0962">
            <w:pPr>
              <w:pStyle w:val="P68B1DB1-Normal12"/>
              <w:spacing w:line="240" w:lineRule="auto"/>
              <w:rPr>
                <w:noProof/>
              </w:rPr>
            </w:pPr>
            <w:r>
              <w:rPr>
                <w:noProof/>
              </w:rPr>
              <w:t xml:space="preserve">Etapă </w:t>
            </w:r>
          </w:p>
        </w:tc>
        <w:tc>
          <w:tcPr>
            <w:tcW w:w="1206" w:type="dxa"/>
            <w:shd w:val="clear" w:color="auto" w:fill="C6EFCE"/>
            <w:noWrap/>
          </w:tcPr>
          <w:p w14:paraId="500D2A1A" w14:textId="2C325877" w:rsidR="00C45D59" w:rsidRDefault="009B0962">
            <w:pPr>
              <w:pStyle w:val="P68B1DB1-Normal12"/>
              <w:spacing w:line="240" w:lineRule="auto"/>
              <w:rPr>
                <w:noProof/>
              </w:rPr>
            </w:pPr>
            <w:r>
              <w:rPr>
                <w:noProof/>
              </w:rPr>
              <w:t>Majorarea capitalului social al IPTO</w:t>
            </w:r>
          </w:p>
        </w:tc>
        <w:tc>
          <w:tcPr>
            <w:tcW w:w="1553" w:type="dxa"/>
            <w:shd w:val="clear" w:color="auto" w:fill="C6EFCE"/>
            <w:noWrap/>
          </w:tcPr>
          <w:p w14:paraId="588A1F33" w14:textId="65D7B5A6" w:rsidR="00C45D59" w:rsidRDefault="009B0962">
            <w:pPr>
              <w:pStyle w:val="P68B1DB1-Normal12"/>
              <w:spacing w:line="240" w:lineRule="auto"/>
              <w:rPr>
                <w:noProof/>
              </w:rPr>
            </w:pPr>
            <w:r>
              <w:rPr>
                <w:noProof/>
              </w:rPr>
              <w:t>Majorarea capitalului social al IPTO</w:t>
            </w:r>
          </w:p>
        </w:tc>
        <w:tc>
          <w:tcPr>
            <w:tcW w:w="1338" w:type="dxa"/>
            <w:shd w:val="clear" w:color="auto" w:fill="C6EFCE"/>
            <w:noWrap/>
          </w:tcPr>
          <w:p w14:paraId="72CE8969" w14:textId="3A45E086" w:rsidR="00C45D59" w:rsidRDefault="00C45D59">
            <w:pPr>
              <w:spacing w:line="240" w:lineRule="auto"/>
              <w:rPr>
                <w:rFonts w:ascii="Times New Roman" w:eastAsia="Times New Roman" w:hAnsi="Times New Roman" w:cs="Times New Roman"/>
                <w:noProof/>
                <w:color w:val="006100"/>
                <w:sz w:val="18"/>
                <w:szCs w:val="18"/>
              </w:rPr>
            </w:pPr>
          </w:p>
        </w:tc>
        <w:tc>
          <w:tcPr>
            <w:tcW w:w="927" w:type="dxa"/>
            <w:shd w:val="clear" w:color="auto" w:fill="C6EFCE"/>
            <w:noWrap/>
          </w:tcPr>
          <w:p w14:paraId="6E87F55E" w14:textId="4FF72214" w:rsidR="00C45D59" w:rsidRDefault="00C45D59">
            <w:pPr>
              <w:spacing w:line="240" w:lineRule="auto"/>
              <w:rPr>
                <w:rFonts w:ascii="Times New Roman" w:eastAsia="Times New Roman" w:hAnsi="Times New Roman" w:cs="Times New Roman"/>
                <w:noProof/>
                <w:color w:val="006100"/>
                <w:sz w:val="18"/>
                <w:szCs w:val="18"/>
              </w:rPr>
            </w:pPr>
          </w:p>
        </w:tc>
        <w:tc>
          <w:tcPr>
            <w:tcW w:w="805" w:type="dxa"/>
            <w:shd w:val="clear" w:color="auto" w:fill="C6EFCE"/>
            <w:noWrap/>
          </w:tcPr>
          <w:p w14:paraId="66BEFDFD" w14:textId="5F1A78BB" w:rsidR="00C45D59" w:rsidRDefault="00C45D59">
            <w:pPr>
              <w:spacing w:line="240" w:lineRule="auto"/>
              <w:rPr>
                <w:rFonts w:ascii="Times New Roman" w:eastAsia="Times New Roman" w:hAnsi="Times New Roman" w:cs="Times New Roman"/>
                <w:noProof/>
                <w:color w:val="006100"/>
                <w:sz w:val="18"/>
                <w:szCs w:val="18"/>
              </w:rPr>
            </w:pPr>
          </w:p>
        </w:tc>
        <w:tc>
          <w:tcPr>
            <w:tcW w:w="922" w:type="dxa"/>
            <w:shd w:val="clear" w:color="auto" w:fill="C6EFCE"/>
            <w:noWrap/>
          </w:tcPr>
          <w:p w14:paraId="5EF55012" w14:textId="06863791" w:rsidR="00C45D59" w:rsidRDefault="009B0962">
            <w:pPr>
              <w:pStyle w:val="P68B1DB1-Normal12"/>
              <w:spacing w:line="240" w:lineRule="auto"/>
              <w:rPr>
                <w:noProof/>
              </w:rPr>
            </w:pPr>
            <w:r>
              <w:rPr>
                <w:noProof/>
              </w:rPr>
              <w:t xml:space="preserve">Î2 </w:t>
            </w:r>
          </w:p>
        </w:tc>
        <w:tc>
          <w:tcPr>
            <w:tcW w:w="720" w:type="dxa"/>
            <w:shd w:val="clear" w:color="auto" w:fill="C6EFCE"/>
            <w:noWrap/>
          </w:tcPr>
          <w:p w14:paraId="4F6FC211" w14:textId="7A5E3775" w:rsidR="00C45D59" w:rsidRDefault="009B0962">
            <w:pPr>
              <w:pStyle w:val="P68B1DB1-Normal12"/>
              <w:spacing w:line="240" w:lineRule="auto"/>
              <w:rPr>
                <w:noProof/>
              </w:rPr>
            </w:pPr>
            <w:r>
              <w:rPr>
                <w:noProof/>
              </w:rPr>
              <w:t>2026</w:t>
            </w:r>
          </w:p>
        </w:tc>
        <w:tc>
          <w:tcPr>
            <w:tcW w:w="3331" w:type="dxa"/>
            <w:shd w:val="clear" w:color="auto" w:fill="C6EFCE"/>
            <w:noWrap/>
          </w:tcPr>
          <w:p w14:paraId="30D59D10" w14:textId="77777777" w:rsidR="00C45D59" w:rsidRDefault="009B0962">
            <w:pPr>
              <w:pStyle w:val="P68B1DB1-Normal12"/>
              <w:spacing w:after="40"/>
              <w:jc w:val="both"/>
              <w:rPr>
                <w:noProof/>
              </w:rPr>
            </w:pPr>
            <w:r>
              <w:rPr>
                <w:noProof/>
              </w:rPr>
              <w:t xml:space="preserve"> Îndeplinirea jalonului necesită:</w:t>
            </w:r>
          </w:p>
          <w:p w14:paraId="0DF74668" w14:textId="1F77B8C8" w:rsidR="00C45D59" w:rsidRDefault="009B0962">
            <w:pPr>
              <w:pStyle w:val="P68B1DB1-Normal12"/>
              <w:spacing w:after="40"/>
              <w:jc w:val="both"/>
              <w:rPr>
                <w:noProof/>
              </w:rPr>
            </w:pPr>
            <w:r>
              <w:rPr>
                <w:noProof/>
              </w:rPr>
              <w:t xml:space="preserve">— Aprobarea planului de dezvoltare a rețelei pe zece ani al operatorului independent de transport de energie electrică (IPTO) (2025-2034) prin decizia Autorității de reglementare pentru energie, deșeuri și apă (RAAEY). </w:t>
            </w:r>
          </w:p>
          <w:p w14:paraId="6254C438" w14:textId="1967F9AA" w:rsidR="00C45D59" w:rsidRDefault="009B0962">
            <w:pPr>
              <w:pStyle w:val="P68B1DB1-Normal12"/>
              <w:spacing w:after="40"/>
              <w:jc w:val="both"/>
              <w:rPr>
                <w:noProof/>
              </w:rPr>
            </w:pPr>
            <w:r>
              <w:rPr>
                <w:noProof/>
              </w:rPr>
              <w:t xml:space="preserve">Grecia transferă suma de 370.9 milioane EUR către DES ADMIE (entitate care deține acțiuni în numele statului elen în cadrul IPTO) pentru a contribui la majorarea capitalului IPTO, inclusiv prin intermediul ADMIE Holding. </w:t>
            </w:r>
          </w:p>
          <w:p w14:paraId="2CFF78D7" w14:textId="312B046B" w:rsidR="00C45D59" w:rsidRDefault="009B0962">
            <w:pPr>
              <w:pStyle w:val="P68B1DB1-Normal12"/>
              <w:spacing w:after="40"/>
              <w:jc w:val="both"/>
              <w:rPr>
                <w:noProof/>
              </w:rPr>
            </w:pPr>
            <w:r>
              <w:rPr>
                <w:noProof/>
              </w:rPr>
              <w:t>Capitalul social al IPTO se majorează cu 1 miliarde EUR.</w:t>
            </w:r>
          </w:p>
          <w:p w14:paraId="3BEE3860" w14:textId="5BB51EBF" w:rsidR="00C45D59" w:rsidRDefault="00C45D59">
            <w:pPr>
              <w:spacing w:after="40"/>
              <w:jc w:val="both"/>
              <w:rPr>
                <w:rFonts w:ascii="Times New Roman" w:hAnsi="Times New Roman" w:cs="Times New Roman"/>
                <w:noProof/>
                <w:color w:val="006100"/>
                <w:sz w:val="18"/>
                <w:szCs w:val="18"/>
              </w:rPr>
            </w:pPr>
          </w:p>
        </w:tc>
      </w:tr>
    </w:tbl>
    <w:p w14:paraId="32502461" w14:textId="77777777" w:rsidR="00C45D59" w:rsidRDefault="009B0962">
      <w:pPr>
        <w:pStyle w:val="NormalLeft"/>
        <w:rPr>
          <w:noProof/>
        </w:rPr>
        <w:sectPr w:rsidR="00C45D59">
          <w:headerReference w:type="even" r:id="rId30"/>
          <w:headerReference w:type="default" r:id="rId31"/>
          <w:footerReference w:type="even" r:id="rId32"/>
          <w:footerReference w:type="default" r:id="rId33"/>
          <w:headerReference w:type="first" r:id="rId34"/>
          <w:footerReference w:type="first" r:id="rId35"/>
          <w:pgSz w:w="16839" w:h="11907" w:orient="landscape"/>
          <w:pgMar w:top="1134" w:right="1134" w:bottom="1134" w:left="1134" w:header="567" w:footer="567" w:gutter="0"/>
          <w:cols w:space="720"/>
          <w:docGrid w:linePitch="360"/>
        </w:sectPr>
      </w:pPr>
      <w:r>
        <w:rPr>
          <w:noProof/>
        </w:rPr>
        <w:br/>
      </w:r>
    </w:p>
    <w:p w14:paraId="47907B0C" w14:textId="77777777" w:rsidR="00C45D59" w:rsidRDefault="009B0962">
      <w:pPr>
        <w:pStyle w:val="P68B1DB1-Normal17"/>
        <w:spacing w:before="120" w:after="120" w:line="240" w:lineRule="auto"/>
        <w:ind w:firstLine="6"/>
        <w:jc w:val="both"/>
        <w:outlineLvl w:val="3"/>
        <w:rPr>
          <w:rFonts w:cs="Times New Roman"/>
          <w:bCs/>
          <w:noProof/>
        </w:rPr>
      </w:pPr>
      <w:r>
        <w:rPr>
          <w:noProof/>
        </w:rPr>
        <w:t>B. COMPONENTA 1.2: RENOVA</w:t>
      </w:r>
    </w:p>
    <w:p w14:paraId="0CCD6516" w14:textId="77777777" w:rsidR="00C45D59" w:rsidRDefault="009B0962">
      <w:pPr>
        <w:pStyle w:val="P68B1DB1-Normal5"/>
        <w:spacing w:before="120" w:after="120" w:line="240" w:lineRule="auto"/>
        <w:jc w:val="both"/>
        <w:rPr>
          <w:rFonts w:cs="Times New Roman"/>
          <w:noProof/>
        </w:rPr>
      </w:pPr>
      <w:r>
        <w:rPr>
          <w:noProof/>
        </w:rPr>
        <w:t>Componenta de renovare a planului de redresare și reziliență al Greciei din cadrul pilonului verde sporește eficiența energetică, stimulează creșterea economică, creează oportunități de angajare și promovează reziliența socială. Acesta cuprinde reforme și investiții specifice pentru reducerea emisiilor</w:t>
      </w:r>
      <w:r>
        <w:rPr>
          <w:noProof/>
          <w:vertAlign w:val="subscript"/>
        </w:rPr>
        <w:t xml:space="preserve"> de</w:t>
      </w:r>
      <w:r>
        <w:rPr>
          <w:noProof/>
        </w:rPr>
        <w:t xml:space="preserve"> CO2, sprijin pentru realizarea „neutralității” climatice a zonelor urbane și consolidarea rezilienței la schimbările climatice a orașelor și a parcului lor imobiliar. Componenta oferă stimulente pentru renovarea și modernizarea energetică a clădirilor, care sunt esențiale pentru regenerarea zonelor urbane și pentru atenuarea sărăciei energetice și contribuie la atingerea obiectivelor stabilite în Planul național privind energia și clima (PNEC) al Greciei. Componenta sprijină abordarea Recomandării specifice fiecărei țări nr. 3 din 2020 și a Recomandării specifice fiecărei țări nr. 2 din 2019 privind investițiile publice și private. Se preconizează că nicio măsură din cadrul acestei componente nu prejudiciază în mod semnificativ obiectivele de mediu în sensul articolului 17 din Regulamentul (UE) 2020/852, ținând seama de descrierea măsurilor și a etapelor de atenuare prevăzute în planul de redresare și reziliență în conformitate cu Orientările tehnice privind aplicarea principiului de „a nu prejudicia în mod semnificativ” (2021/C58/01).</w:t>
      </w:r>
    </w:p>
    <w:p w14:paraId="3EABBBC8" w14:textId="77777777" w:rsidR="00C45D59" w:rsidRDefault="009B0962">
      <w:pPr>
        <w:pStyle w:val="P68B1DB1-Normal6"/>
        <w:spacing w:before="120" w:after="120" w:line="240" w:lineRule="auto"/>
        <w:jc w:val="both"/>
        <w:rPr>
          <w:rFonts w:cs="Times New Roman"/>
          <w:bCs/>
          <w:i/>
          <w:iCs/>
          <w:noProof/>
          <w:color w:val="4F81BD"/>
        </w:rPr>
      </w:pPr>
      <w:r>
        <w:rPr>
          <w:noProof/>
        </w:rPr>
        <w:t>B.1. Descrierea reformelor și a investițiilor pentru sprijinul financiar nerambursabil</w:t>
      </w:r>
    </w:p>
    <w:p w14:paraId="5D4FC9BC" w14:textId="77777777" w:rsidR="00C45D59" w:rsidRDefault="009B0962">
      <w:pPr>
        <w:pStyle w:val="P68B1DB1-Normal7"/>
        <w:spacing w:before="120" w:after="120" w:line="240" w:lineRule="auto"/>
        <w:jc w:val="both"/>
        <w:rPr>
          <w:rFonts w:cs="Times New Roman"/>
          <w:noProof/>
        </w:rPr>
      </w:pPr>
      <w:r>
        <w:rPr>
          <w:b/>
          <w:noProof/>
        </w:rPr>
        <w:t>Reformă:</w:t>
      </w:r>
      <w:r>
        <w:rPr>
          <w:noProof/>
        </w:rPr>
        <w:t xml:space="preserve"> Planul de acțiune privind sărăcia energetică (identificatorul măsurii: 16920)</w:t>
      </w:r>
    </w:p>
    <w:p w14:paraId="58FB2895" w14:textId="77777777" w:rsidR="00C45D59" w:rsidRDefault="009B0962">
      <w:pPr>
        <w:pStyle w:val="P68B1DB1-Normal7"/>
        <w:spacing w:before="120" w:after="120" w:line="240" w:lineRule="auto"/>
        <w:jc w:val="both"/>
        <w:rPr>
          <w:rFonts w:cs="Times New Roman"/>
          <w:noProof/>
        </w:rPr>
      </w:pPr>
      <w:r>
        <w:rPr>
          <w:noProof/>
        </w:rPr>
        <w:t>Reforma constă în adoptarea unui plan de acțiune pentru a aborda provocarea reprezentată de sărăcia energetică. În 2019, se pare că aproximativ 18 % din populația totală nu a fost în măsură să își încălzească locuințele, comparativ cu aproximativ 34 % din subgrupul populației vulnerabile din punct de vedere economic (Eurostat, ancheta EU-SILC). Strategia prezintă măsuri de politică specifice pentru îmbunătățirea eficienței energetice a clădirilor rezidențiale în rândul gospodăriilor vulnerabile din punct de vedere economic. Punerea în aplicare a reformei se finalizează până la 30 septembrie 2021.</w:t>
      </w:r>
    </w:p>
    <w:p w14:paraId="3650BC90" w14:textId="77777777" w:rsidR="00C45D59" w:rsidRDefault="009B0962">
      <w:pPr>
        <w:pStyle w:val="P68B1DB1-Normal5"/>
        <w:spacing w:before="120" w:after="120" w:line="240" w:lineRule="auto"/>
        <w:jc w:val="both"/>
        <w:rPr>
          <w:rFonts w:cs="Times New Roman"/>
          <w:noProof/>
        </w:rPr>
      </w:pPr>
      <w:r>
        <w:rPr>
          <w:b/>
          <w:noProof/>
        </w:rPr>
        <w:t>Investiții:</w:t>
      </w:r>
      <w:r>
        <w:rPr>
          <w:noProof/>
        </w:rPr>
        <w:t xml:space="preserve"> Renovarea energetică a clădirilor rezidențiale (identificatorul măsurii: 16872)</w:t>
      </w:r>
    </w:p>
    <w:p w14:paraId="525EB162" w14:textId="77777777" w:rsidR="00C45D59" w:rsidRDefault="009B0962">
      <w:pPr>
        <w:pStyle w:val="P68B1DB1-Normal7"/>
        <w:spacing w:before="120" w:after="120" w:line="240" w:lineRule="auto"/>
        <w:jc w:val="both"/>
        <w:rPr>
          <w:noProof/>
        </w:rPr>
      </w:pPr>
      <w:r>
        <w:rPr>
          <w:noProof/>
        </w:rPr>
        <w:t xml:space="preserve">Obiectivul măsurii este de a îmbunătăți eficiența energetică a clădirilor rezidențiale. </w:t>
      </w:r>
    </w:p>
    <w:p w14:paraId="15C7EAF9" w14:textId="77777777" w:rsidR="00C45D59" w:rsidRDefault="009B0962">
      <w:pPr>
        <w:pStyle w:val="P68B1DB1-Normal7"/>
        <w:spacing w:before="120" w:after="120" w:line="240" w:lineRule="auto"/>
        <w:jc w:val="both"/>
        <w:rPr>
          <w:rFonts w:cs="Times New Roman"/>
          <w:noProof/>
        </w:rPr>
      </w:pPr>
      <w:r>
        <w:rPr>
          <w:noProof/>
        </w:rPr>
        <w:t>Măsura constă în renovări care vizează realizarea unor economii de energie primară de cel puțin 30 %. Acesta oferă, de asemenea, stimulente specifice pentru gospodăriile vulnerabile.</w:t>
      </w:r>
    </w:p>
    <w:p w14:paraId="318E1B4A" w14:textId="77777777" w:rsidR="00C45D59" w:rsidRDefault="009B0962">
      <w:pPr>
        <w:pStyle w:val="P68B1DB1-Normal5"/>
        <w:spacing w:before="120" w:after="120" w:line="240" w:lineRule="auto"/>
        <w:jc w:val="both"/>
        <w:rPr>
          <w:rFonts w:cs="Times New Roman"/>
          <w:noProof/>
        </w:rPr>
      </w:pPr>
      <w:r>
        <w:rPr>
          <w:b/>
          <w:noProof/>
        </w:rPr>
        <w:t>Investiții:</w:t>
      </w:r>
      <w:r>
        <w:rPr>
          <w:noProof/>
        </w:rPr>
        <w:t xml:space="preserve"> Intervenții în zonele rezidențiale și în parcul imobiliar (identificatorul măsurii: 16873)</w:t>
      </w:r>
    </w:p>
    <w:p w14:paraId="158D79AF" w14:textId="076C7B2C" w:rsidR="00C45D59" w:rsidRDefault="009B0962">
      <w:pPr>
        <w:pStyle w:val="P68B1DB1-Normal7"/>
        <w:spacing w:before="120" w:after="120" w:line="240" w:lineRule="auto"/>
        <w:jc w:val="both"/>
        <w:rPr>
          <w:noProof/>
        </w:rPr>
      </w:pPr>
      <w:r>
        <w:rPr>
          <w:noProof/>
        </w:rPr>
        <w:t xml:space="preserve">Obiectivul acestei măsuri este de a efectua intervenții în zonele rezidențiale și în parcul imobiliar, contribuind la adaptarea la schimbările climatice și la atenuarea acestora, precum și la îmbunătățirea eficienței energetice. Investiția constă în intervenții în mediul urban, inclusiv în zonele în aer liber ale campusului Universității Agricole din Atena. </w:t>
      </w:r>
    </w:p>
    <w:p w14:paraId="756D8B5D" w14:textId="77777777" w:rsidR="00C45D59" w:rsidRDefault="009B0962">
      <w:pPr>
        <w:pStyle w:val="P68B1DB1-Normal7"/>
        <w:spacing w:before="120" w:after="120" w:line="240" w:lineRule="auto"/>
        <w:jc w:val="both"/>
        <w:rPr>
          <w:rFonts w:cs="Times New Roman"/>
          <w:noProof/>
        </w:rPr>
      </w:pPr>
      <w:r>
        <w:rPr>
          <w:b/>
          <w:noProof/>
        </w:rPr>
        <w:t>Investiții</w:t>
      </w:r>
      <w:r>
        <w:rPr>
          <w:noProof/>
        </w:rPr>
        <w:t>: Energie și antreprenoriat (identificatorul măsurii: 16874)</w:t>
      </w:r>
    </w:p>
    <w:p w14:paraId="06885B0F" w14:textId="4955629A" w:rsidR="00C45D59" w:rsidRDefault="009B0962">
      <w:pPr>
        <w:pStyle w:val="P68B1DB1-Normal5"/>
        <w:spacing w:before="120" w:after="120" w:line="240" w:lineRule="auto"/>
        <w:jc w:val="both"/>
        <w:rPr>
          <w:rFonts w:cs="Times New Roman"/>
          <w:noProof/>
        </w:rPr>
      </w:pPr>
      <w:r>
        <w:rPr>
          <w:noProof/>
          <w:szCs w:val="24"/>
        </w:rPr>
        <w:t>Obiectivul măsurii este de a oferi sprijin financiar întreprinderilor private pentru a-și îmbunătăți eficiența energetică. Măsura constă în acordarea de sprijin pentru renovări eficiente din punct de vedere energetic și modernizarea și/sau înlocuirea echipamentelor și a sistemelor pentru sectorul privat</w:t>
      </w:r>
      <w:r>
        <w:rPr>
          <w:noProof/>
        </w:rPr>
        <w:t>.</w:t>
      </w:r>
    </w:p>
    <w:p w14:paraId="381A140F" w14:textId="77777777" w:rsidR="00C45D59" w:rsidRDefault="009B0962">
      <w:pPr>
        <w:pStyle w:val="P68B1DB1-Normal7"/>
        <w:spacing w:before="120" w:after="120" w:line="240" w:lineRule="auto"/>
        <w:jc w:val="both"/>
        <w:rPr>
          <w:rFonts w:cs="Times New Roman"/>
          <w:noProof/>
        </w:rPr>
      </w:pPr>
      <w:r>
        <w:rPr>
          <w:b/>
          <w:noProof/>
        </w:rPr>
        <w:t>Investiții:</w:t>
      </w:r>
      <w:r>
        <w:rPr>
          <w:noProof/>
        </w:rPr>
        <w:t xml:space="preserve"> Modernizarea energetică a clădirilor din sectorul public (identificatorul măsurii: 16876)</w:t>
      </w:r>
    </w:p>
    <w:p w14:paraId="5B805379" w14:textId="01B4CDDD" w:rsidR="00C45D59" w:rsidRDefault="009B0962">
      <w:pPr>
        <w:pStyle w:val="P68B1DB1-Normal7"/>
        <w:spacing w:before="120" w:after="120" w:line="240" w:lineRule="auto"/>
        <w:jc w:val="both"/>
        <w:rPr>
          <w:rFonts w:cs="Times New Roman"/>
          <w:noProof/>
        </w:rPr>
      </w:pPr>
      <w:r>
        <w:rPr>
          <w:noProof/>
        </w:rPr>
        <w:t>Această investiție cuprinde renovarea clădirilor din sectorul public în vederea creșterii eficienței energetice a acestora, prin implicarea societăților de economisire a energiei (SSE). Investiția include, de asemenea, modernizarea energetică a infrastructurilor de iluminat stradal. Această investiție urmărește să contribuie la îndeplinirea obiectivelor de eficiență energetică adoptate în PNEC și la reducerea emisiilor de CO2. Se preconizează că această măsură nu prejudiciază în mod semnificativ obiectivele de mediu în sensul articolului 17 din Regulamentul (UE) 2020/852, ținând seama de descrierea măsurii și de etapele de atenuare prevăzute în planul de redresare și reziliență, în conformitate cu Orientările tehnice privind aplicarea principiului de „a nu prejudicia în mod semnificativ” (2021/C58/01). În special, măsura impune operatorilor economici care efectuează lucrări de construcții să se asigure că cel puțin 70 % (în greutate) din deșeurile nepericuloase provenite din construcții și demolări [cu excepția materialelor geologice naturale menționate la categoria 17 05 04 din lista europeană a deșeurilor stabilită prin Decizia 2000/532/CE din 3 mai 2000 de înlocuire a Deciziei 94/3/CE de stabilire a unei liste de deșeuri în temeiul articolului 1 litera a) din Directiva 75/442/CEE a Consiliului privind deșeurile și a Deciziei 94/904/CE a Consiliului de stabilire a unei liste de deșeuri periculoase în temeiul articolului 1 alineatul (4) din Directiva 91/689/CEE a Consiliului privind deșeurile periculoase [notificată cu numărul C (2000) 1147]] și generate pe șantierul de construcții sunt pregătite pentru reutilizare, reciclare și alte operațiuni de valorificare materială, inclusiv operațiuni de rambleiere care utilizează deșeuri pentru a înlocui alte materiale, în conformitate cu ierarhia deșeurilor și cu Protocolul UE de gestionare a deșeurilor din construcții și demolări. Punerea în aplicare a investiției se finalizează până la 31</w:t>
      </w:r>
      <w:r w:rsidR="00CD2DBD">
        <w:rPr>
          <w:noProof/>
        </w:rPr>
        <w:t> </w:t>
      </w:r>
      <w:r>
        <w:rPr>
          <w:noProof/>
        </w:rPr>
        <w:t>decembrie 2025.</w:t>
      </w:r>
    </w:p>
    <w:p w14:paraId="650F227F" w14:textId="77777777" w:rsidR="00C45D59" w:rsidRDefault="009B0962">
      <w:pPr>
        <w:pStyle w:val="P68B1DB1-Normal5"/>
        <w:spacing w:before="120" w:after="120" w:line="240" w:lineRule="auto"/>
        <w:jc w:val="both"/>
        <w:rPr>
          <w:rFonts w:cs="Times New Roman"/>
          <w:noProof/>
        </w:rPr>
      </w:pPr>
      <w:r>
        <w:rPr>
          <w:b/>
          <w:noProof/>
        </w:rPr>
        <w:t>Investiții:</w:t>
      </w:r>
      <w:r>
        <w:rPr>
          <w:noProof/>
        </w:rPr>
        <w:t xml:space="preserve"> Dezvoltarea infrastructurii și restaurarea clădirilor în fosta proprietate regală din Tatoi (măsura ID: 16875)</w:t>
      </w:r>
    </w:p>
    <w:p w14:paraId="10AB3E4D" w14:textId="430C25EB" w:rsidR="00C45D59" w:rsidRDefault="009B0962">
      <w:pPr>
        <w:pStyle w:val="P68B1DB1-Normal5"/>
        <w:spacing w:before="120" w:after="120" w:line="240" w:lineRule="auto"/>
        <w:jc w:val="both"/>
        <w:rPr>
          <w:rFonts w:cs="Times New Roman"/>
          <w:noProof/>
        </w:rPr>
      </w:pPr>
      <w:r>
        <w:rPr>
          <w:noProof/>
        </w:rPr>
        <w:t xml:space="preserve">Obiectivul măsurii este de a oferi locuitorilor din Attica o zonă verde și accesibilă în mod liber pentru recreere, precum și un nou punct de referință pentru turiști. Măsura constă în renovarea și restaurarea clădirilor în vederea creșterii eficienței energetice în fosta proprietate regală din Tatoi. </w:t>
      </w:r>
    </w:p>
    <w:p w14:paraId="1481D37C" w14:textId="77777777" w:rsidR="00C45D59" w:rsidRDefault="009B0962">
      <w:pPr>
        <w:pStyle w:val="P68B1DB1-Normal5"/>
        <w:spacing w:before="120" w:after="120" w:line="240" w:lineRule="auto"/>
        <w:jc w:val="both"/>
        <w:rPr>
          <w:rFonts w:cs="Times New Roman"/>
          <w:noProof/>
        </w:rPr>
      </w:pPr>
      <w:r>
        <w:rPr>
          <w:b/>
          <w:noProof/>
        </w:rPr>
        <w:t>Investiții:</w:t>
      </w:r>
      <w:r>
        <w:rPr>
          <w:noProof/>
        </w:rPr>
        <w:t xml:space="preserve"> Centrul Olimpic de Atletism din Atena (măsura ID: 16932)</w:t>
      </w:r>
    </w:p>
    <w:p w14:paraId="539B08C6" w14:textId="338BADFD" w:rsidR="00C45D59" w:rsidRDefault="009B0962">
      <w:pPr>
        <w:pStyle w:val="P68B1DB1-Normal7"/>
        <w:spacing w:before="120" w:after="120" w:line="240" w:lineRule="auto"/>
        <w:jc w:val="both"/>
        <w:rPr>
          <w:rFonts w:cs="Times New Roman"/>
          <w:noProof/>
        </w:rPr>
      </w:pPr>
      <w:r>
        <w:rPr>
          <w:noProof/>
        </w:rPr>
        <w:t xml:space="preserve">Obiectivul măsurii este de a restabili imaginea Centrului olimpic de atletism din Atena (OAKA), de a reduce costurile cu energia și de a asigura sustenabilitatea financiară a acestuia, transformându-l într-o destinație urbană modernă și dinamică pentru atletism și agrement. Investiția constă în intervenții în materie de eficiență energetică pentru stadionul principal, instalațiile acvatice, velodromul și zonele deschise ale OAKA. </w:t>
      </w:r>
    </w:p>
    <w:p w14:paraId="7DAC6DC4" w14:textId="77777777" w:rsidR="00C45D59" w:rsidRDefault="009B0962">
      <w:pPr>
        <w:pStyle w:val="P68B1DB1-Normal5"/>
        <w:spacing w:before="120" w:after="120" w:line="240" w:lineRule="auto"/>
        <w:jc w:val="both"/>
        <w:rPr>
          <w:rFonts w:cs="Times New Roman"/>
          <w:noProof/>
        </w:rPr>
      </w:pPr>
      <w:r>
        <w:rPr>
          <w:b/>
          <w:noProof/>
        </w:rPr>
        <w:t>Reformă:</w:t>
      </w:r>
      <w:r>
        <w:rPr>
          <w:noProof/>
        </w:rPr>
        <w:t xml:space="preserve"> Pregătirea planurilor urbane pentru punerea în aplicare a reformei politicii urbane (măsură ID: 16879)</w:t>
      </w:r>
    </w:p>
    <w:p w14:paraId="5AFBF03D" w14:textId="77777777" w:rsidR="00C45D59" w:rsidRDefault="009B0962">
      <w:pPr>
        <w:pStyle w:val="P68B1DB1-Normal7"/>
        <w:spacing w:before="120" w:after="120" w:line="240" w:lineRule="auto"/>
        <w:jc w:val="both"/>
        <w:rPr>
          <w:rFonts w:cs="Times New Roman"/>
          <w:noProof/>
        </w:rPr>
      </w:pPr>
      <w:r>
        <w:rPr>
          <w:noProof/>
        </w:rPr>
        <w:t>Obiectivul măsurii este de a aborda deficiențele și lacunele în ceea ce privește zonarea și utilizarea terenurilor, în vederea promovării unei activități economice durabile și a protejării mediului. Măsura constă în diferitele etape pregătitoare pentru diferite tipuri de planuri urbane.</w:t>
      </w:r>
    </w:p>
    <w:p w14:paraId="0E3C2DB4" w14:textId="77777777" w:rsidR="00C45D59" w:rsidRDefault="009B0962">
      <w:pPr>
        <w:pStyle w:val="P68B1DB1-Normal7"/>
        <w:spacing w:before="120" w:after="120" w:line="240" w:lineRule="auto"/>
        <w:jc w:val="both"/>
        <w:rPr>
          <w:rFonts w:cs="Times New Roman"/>
          <w:noProof/>
        </w:rPr>
      </w:pPr>
      <w:r>
        <w:rPr>
          <w:b/>
          <w:noProof/>
        </w:rPr>
        <w:t>Reformă:</w:t>
      </w:r>
      <w:r>
        <w:rPr>
          <w:noProof/>
        </w:rPr>
        <w:t xml:space="preserve"> Stabilirea unei noi amenajări a spațiului maritim (identificatorul măsurii: 16891).</w:t>
      </w:r>
    </w:p>
    <w:p w14:paraId="35B20831" w14:textId="77777777" w:rsidR="00C45D59" w:rsidRDefault="009B0962">
      <w:pPr>
        <w:pStyle w:val="P68B1DB1-Normal7"/>
        <w:spacing w:before="120" w:after="120" w:line="240" w:lineRule="auto"/>
        <w:jc w:val="both"/>
        <w:rPr>
          <w:rFonts w:cs="Times New Roman"/>
          <w:noProof/>
        </w:rPr>
      </w:pPr>
      <w:r>
        <w:rPr>
          <w:noProof/>
        </w:rPr>
        <w:t>Reforma abordează crearea strategiei spațiale naționale pentru mediul marin. Reforma abordează dezvoltarea durabilă în zonele maritime și costiere, protejând în același timp mediul marin și biodiversitatea. Punerea în aplicare a reformei se finalizează până la 31 decembrie 2025.</w:t>
      </w:r>
    </w:p>
    <w:p w14:paraId="09F10351" w14:textId="77777777" w:rsidR="00C45D59" w:rsidRDefault="009B0962">
      <w:pPr>
        <w:pStyle w:val="P68B1DB1-Normal5"/>
        <w:spacing w:before="120" w:after="120" w:line="240" w:lineRule="auto"/>
        <w:jc w:val="both"/>
        <w:rPr>
          <w:rFonts w:cs="Times New Roman"/>
          <w:noProof/>
        </w:rPr>
      </w:pPr>
      <w:r>
        <w:rPr>
          <w:b/>
          <w:noProof/>
        </w:rPr>
        <w:t>Reformă:</w:t>
      </w:r>
      <w:r>
        <w:rPr>
          <w:noProof/>
        </w:rPr>
        <w:t xml:space="preserve"> Stabilirea unui nou cadru special de amenajare a teritoriului pentru energia din surse regenerabile, industrie și turism (măsura ID: 16894). </w:t>
      </w:r>
    </w:p>
    <w:p w14:paraId="1B747F39" w14:textId="71A2FB7F" w:rsidR="00C45D59" w:rsidRDefault="009B0962">
      <w:pPr>
        <w:pStyle w:val="P68B1DB1-Normal7"/>
        <w:spacing w:before="120" w:after="120" w:line="240" w:lineRule="auto"/>
        <w:jc w:val="both"/>
        <w:rPr>
          <w:rFonts w:cs="Times New Roman"/>
          <w:noProof/>
        </w:rPr>
      </w:pPr>
      <w:r>
        <w:rPr>
          <w:noProof/>
        </w:rPr>
        <w:t>Obiectivul măsurii este de a promova atenuarea schimbărilor climatice și adaptarea la acestea, protecția biodiversității, creșterea economică și crearea de locuri de muncă. Măsura constă în trei cadre spațiale speciale pentru energia din surse regenerabile, industrie și turism.</w:t>
      </w:r>
    </w:p>
    <w:p w14:paraId="409C21B4" w14:textId="77777777" w:rsidR="00C45D59" w:rsidRDefault="00C45D59">
      <w:pPr>
        <w:spacing w:before="120" w:after="120" w:line="240" w:lineRule="auto"/>
        <w:ind w:left="709"/>
        <w:jc w:val="both"/>
        <w:rPr>
          <w:rFonts w:ascii="Times New Roman" w:hAnsi="Times New Roman" w:cs="Times New Roman"/>
          <w:b/>
          <w:bCs/>
          <w:noProof/>
          <w:sz w:val="24"/>
          <w:u w:val="single"/>
        </w:rPr>
        <w:sectPr w:rsidR="00C45D59">
          <w:headerReference w:type="even" r:id="rId36"/>
          <w:headerReference w:type="default" r:id="rId37"/>
          <w:footerReference w:type="even" r:id="rId38"/>
          <w:footerReference w:type="default" r:id="rId39"/>
          <w:headerReference w:type="first" r:id="rId40"/>
          <w:footerReference w:type="first" r:id="rId41"/>
          <w:pgSz w:w="11906" w:h="16838"/>
          <w:pgMar w:top="1134" w:right="1134" w:bottom="1134" w:left="1134" w:header="567" w:footer="567" w:gutter="0"/>
          <w:cols w:space="708"/>
          <w:docGrid w:linePitch="360"/>
        </w:sectPr>
      </w:pPr>
    </w:p>
    <w:p w14:paraId="5F417F74" w14:textId="77777777" w:rsidR="00C45D59" w:rsidRDefault="00C45D59">
      <w:pPr>
        <w:spacing w:before="120" w:after="120" w:line="240" w:lineRule="auto"/>
        <w:ind w:left="709"/>
        <w:jc w:val="both"/>
        <w:rPr>
          <w:rFonts w:ascii="Times New Roman" w:hAnsi="Times New Roman" w:cs="Times New Roman"/>
          <w:b/>
          <w:bCs/>
          <w:noProof/>
          <w:sz w:val="24"/>
          <w:u w:val="single"/>
        </w:rPr>
      </w:pPr>
    </w:p>
    <w:p w14:paraId="5919A99A" w14:textId="77777777" w:rsidR="00C45D59" w:rsidRDefault="009B0962">
      <w:pPr>
        <w:pStyle w:val="P68B1DB1-Normal14"/>
        <w:keepNext/>
        <w:keepLines/>
        <w:spacing w:before="40" w:after="0" w:line="240" w:lineRule="auto"/>
        <w:jc w:val="both"/>
        <w:outlineLvl w:val="4"/>
        <w:rPr>
          <w:rFonts w:ascii="Cambria" w:eastAsia="Times New Roman" w:hAnsi="Cambria"/>
          <w:noProof/>
          <w:color w:val="365F91"/>
        </w:rPr>
      </w:pPr>
      <w:r>
        <w:rPr>
          <w:rFonts w:ascii="Times New Roman" w:hAnsi="Times New Roman"/>
          <w:b/>
          <w:noProof/>
          <w:u w:val="single"/>
        </w:rPr>
        <w:t>B.2. Jaloane, ținte, indicatori și calendarul de monitorizare și implementare aplicabile sprijinului financiar nerambursabil</w:t>
      </w:r>
      <w:r>
        <w:rPr>
          <w:rFonts w:ascii="Cambria" w:hAnsi="Cambria"/>
          <w:noProof/>
          <w:color w:val="365F91"/>
        </w:rPr>
        <w:t xml:space="preserve"> </w:t>
      </w:r>
    </w:p>
    <w:p w14:paraId="488C6B83" w14:textId="77777777" w:rsidR="00C45D59" w:rsidRDefault="009B0962">
      <w:pPr>
        <w:pStyle w:val="P68B1DB1-Normal9"/>
        <w:keepNext/>
        <w:keepLines/>
        <w:spacing w:before="40" w:after="0" w:line="240" w:lineRule="auto"/>
        <w:jc w:val="both"/>
        <w:outlineLvl w:val="4"/>
        <w:rPr>
          <w:rFonts w:eastAsia="Times New Roman"/>
          <w:noProof/>
          <w:szCs w:val="24"/>
        </w:rPr>
      </w:pPr>
      <w:r>
        <w:rPr>
          <w:noProof/>
        </w:rPr>
        <w:t>Principala investiție 2: Renovarea energetică a clădirilor rezidențiale</w:t>
      </w:r>
    </w:p>
    <w:tbl>
      <w:tblPr>
        <w:tblpPr w:leftFromText="180" w:rightFromText="180" w:vertAnchor="text" w:tblpXSpec="right" w:tblpY="1"/>
        <w:tblOverlap w:val="never"/>
        <w:tblW w:w="15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1593"/>
        <w:gridCol w:w="1376"/>
        <w:gridCol w:w="1176"/>
        <w:gridCol w:w="2311"/>
        <w:gridCol w:w="1192"/>
        <w:gridCol w:w="999"/>
        <w:gridCol w:w="866"/>
        <w:gridCol w:w="1006"/>
        <w:gridCol w:w="709"/>
        <w:gridCol w:w="3997"/>
      </w:tblGrid>
      <w:tr w:rsidR="00C45D59" w14:paraId="0B82ADC9" w14:textId="77777777" w:rsidTr="009F5BD9">
        <w:trPr>
          <w:trHeight w:val="927"/>
          <w:tblHeader/>
        </w:trPr>
        <w:tc>
          <w:tcPr>
            <w:tcW w:w="562" w:type="dxa"/>
            <w:vMerge w:val="restart"/>
            <w:shd w:val="clear" w:color="auto" w:fill="BDD7EE"/>
            <w:vAlign w:val="center"/>
            <w:hideMark/>
          </w:tcPr>
          <w:p w14:paraId="4E055003" w14:textId="2A34A4E4" w:rsidR="00C45D59" w:rsidRDefault="009B0962" w:rsidP="009F5BD9">
            <w:pPr>
              <w:pStyle w:val="P68B1DB1-Normal10"/>
              <w:spacing w:after="0" w:line="240" w:lineRule="auto"/>
              <w:jc w:val="center"/>
              <w:rPr>
                <w:rFonts w:eastAsia="Times New Roman" w:cs="Times New Roman"/>
                <w:bCs/>
                <w:noProof/>
                <w:szCs w:val="18"/>
              </w:rPr>
            </w:pPr>
            <w:r>
              <w:rPr>
                <w:noProof/>
              </w:rPr>
              <w:t>Nr</w:t>
            </w:r>
            <w:r w:rsidR="009F5BD9">
              <w:rPr>
                <w:noProof/>
              </w:rPr>
              <w:t>.</w:t>
            </w:r>
            <w:r>
              <w:rPr>
                <w:noProof/>
              </w:rPr>
              <w:br/>
            </w:r>
            <w:r w:rsidR="009F5BD9">
              <w:rPr>
                <w:noProof/>
              </w:rPr>
              <w:t>crt.</w:t>
            </w:r>
          </w:p>
        </w:tc>
        <w:tc>
          <w:tcPr>
            <w:tcW w:w="1593" w:type="dxa"/>
            <w:vMerge w:val="restart"/>
            <w:shd w:val="clear" w:color="auto" w:fill="BDD7EE"/>
            <w:vAlign w:val="center"/>
            <w:hideMark/>
          </w:tcPr>
          <w:p w14:paraId="3CDB719C" w14:textId="77777777" w:rsidR="00C45D59" w:rsidRDefault="009B0962" w:rsidP="009F5BD9">
            <w:pPr>
              <w:pStyle w:val="P68B1DB1-Normal10"/>
              <w:spacing w:after="0" w:line="240" w:lineRule="auto"/>
              <w:jc w:val="center"/>
              <w:rPr>
                <w:rFonts w:eastAsia="Times New Roman" w:cs="Times New Roman"/>
                <w:bCs/>
                <w:noProof/>
                <w:szCs w:val="18"/>
              </w:rPr>
            </w:pPr>
            <w:r>
              <w:rPr>
                <w:noProof/>
              </w:rPr>
              <w:t>Măsură conexă (reformă sau investiții)</w:t>
            </w:r>
          </w:p>
        </w:tc>
        <w:tc>
          <w:tcPr>
            <w:tcW w:w="1114" w:type="dxa"/>
            <w:vMerge w:val="restart"/>
            <w:shd w:val="clear" w:color="auto" w:fill="BDD7EE"/>
            <w:vAlign w:val="center"/>
            <w:hideMark/>
          </w:tcPr>
          <w:p w14:paraId="49A24470" w14:textId="77777777" w:rsidR="00C45D59" w:rsidRDefault="009B0962" w:rsidP="009F5BD9">
            <w:pPr>
              <w:pStyle w:val="P68B1DB1-Normal10"/>
              <w:spacing w:after="0" w:line="240" w:lineRule="auto"/>
              <w:jc w:val="center"/>
              <w:rPr>
                <w:rFonts w:eastAsia="Times New Roman" w:cs="Times New Roman"/>
                <w:bCs/>
                <w:noProof/>
                <w:szCs w:val="18"/>
              </w:rPr>
            </w:pPr>
            <w:r>
              <w:rPr>
                <w:noProof/>
              </w:rPr>
              <w:t>Etapă/Obiectiv</w:t>
            </w:r>
          </w:p>
        </w:tc>
        <w:tc>
          <w:tcPr>
            <w:tcW w:w="1056" w:type="dxa"/>
            <w:vMerge w:val="restart"/>
            <w:shd w:val="clear" w:color="auto" w:fill="BDD7EE"/>
            <w:vAlign w:val="center"/>
            <w:hideMark/>
          </w:tcPr>
          <w:p w14:paraId="71286390" w14:textId="333DA389" w:rsidR="00C45D59" w:rsidRDefault="009F5BD9" w:rsidP="009F5BD9">
            <w:pPr>
              <w:pStyle w:val="P68B1DB1-Normal10"/>
              <w:spacing w:after="0" w:line="240" w:lineRule="auto"/>
              <w:jc w:val="center"/>
              <w:rPr>
                <w:rFonts w:eastAsia="Times New Roman" w:cs="Times New Roman"/>
                <w:bCs/>
                <w:noProof/>
                <w:szCs w:val="18"/>
              </w:rPr>
            </w:pPr>
            <w:r>
              <w:rPr>
                <w:noProof/>
              </w:rPr>
              <w:t>Denumire</w:t>
            </w:r>
          </w:p>
        </w:tc>
        <w:tc>
          <w:tcPr>
            <w:tcW w:w="2311" w:type="dxa"/>
            <w:vMerge w:val="restart"/>
            <w:shd w:val="clear" w:color="auto" w:fill="BDD7EE"/>
            <w:vAlign w:val="center"/>
            <w:hideMark/>
          </w:tcPr>
          <w:p w14:paraId="35807437" w14:textId="77777777" w:rsidR="00C45D59" w:rsidRDefault="009B0962" w:rsidP="009F5BD9">
            <w:pPr>
              <w:pStyle w:val="P68B1DB1-Normal10"/>
              <w:spacing w:after="0" w:line="240" w:lineRule="auto"/>
              <w:jc w:val="center"/>
              <w:rPr>
                <w:rFonts w:eastAsia="Times New Roman" w:cs="Times New Roman"/>
                <w:bCs/>
                <w:noProof/>
                <w:szCs w:val="18"/>
              </w:rPr>
            </w:pPr>
            <w:r>
              <w:rPr>
                <w:noProof/>
              </w:rPr>
              <w:t>Indicatori calitativi (pentru obiectivele de etapă)</w:t>
            </w:r>
          </w:p>
        </w:tc>
        <w:tc>
          <w:tcPr>
            <w:tcW w:w="3011" w:type="dxa"/>
            <w:gridSpan w:val="3"/>
            <w:shd w:val="clear" w:color="auto" w:fill="BDD7EE"/>
            <w:vAlign w:val="center"/>
            <w:hideMark/>
          </w:tcPr>
          <w:p w14:paraId="1BF720D9" w14:textId="77777777" w:rsidR="00C45D59" w:rsidRDefault="009B0962" w:rsidP="009F5BD9">
            <w:pPr>
              <w:pStyle w:val="P68B1DB1-Normal10"/>
              <w:spacing w:after="0" w:line="240" w:lineRule="auto"/>
              <w:jc w:val="center"/>
              <w:rPr>
                <w:rFonts w:eastAsia="Times New Roman" w:cs="Times New Roman"/>
                <w:bCs/>
                <w:noProof/>
                <w:szCs w:val="18"/>
              </w:rPr>
            </w:pPr>
            <w:r>
              <w:rPr>
                <w:noProof/>
              </w:rPr>
              <w:t xml:space="preserve">Indicatori cantitativi </w:t>
            </w:r>
            <w:r>
              <w:rPr>
                <w:noProof/>
              </w:rPr>
              <w:br/>
              <w:t>(pentru obiective)</w:t>
            </w:r>
          </w:p>
        </w:tc>
        <w:tc>
          <w:tcPr>
            <w:tcW w:w="1560" w:type="dxa"/>
            <w:gridSpan w:val="2"/>
            <w:shd w:val="clear" w:color="auto" w:fill="BDD7EE"/>
            <w:vAlign w:val="center"/>
            <w:hideMark/>
          </w:tcPr>
          <w:p w14:paraId="72B3E784" w14:textId="77777777" w:rsidR="00C45D59" w:rsidRDefault="009B0962" w:rsidP="009F5BD9">
            <w:pPr>
              <w:pStyle w:val="P68B1DB1-Normal10"/>
              <w:spacing w:after="0" w:line="240" w:lineRule="auto"/>
              <w:jc w:val="center"/>
              <w:rPr>
                <w:rFonts w:eastAsia="Times New Roman" w:cs="Times New Roman"/>
                <w:bCs/>
                <w:noProof/>
                <w:szCs w:val="18"/>
              </w:rPr>
            </w:pPr>
            <w:r>
              <w:rPr>
                <w:noProof/>
              </w:rPr>
              <w:t xml:space="preserve">Calendar orientativ pentru finalizare </w:t>
            </w:r>
          </w:p>
        </w:tc>
        <w:tc>
          <w:tcPr>
            <w:tcW w:w="3997" w:type="dxa"/>
            <w:vMerge w:val="restart"/>
            <w:shd w:val="clear" w:color="auto" w:fill="BDD7EE"/>
            <w:vAlign w:val="center"/>
            <w:hideMark/>
          </w:tcPr>
          <w:p w14:paraId="7AC5A61D" w14:textId="77777777" w:rsidR="00C45D59" w:rsidRDefault="009B0962" w:rsidP="009F5BD9">
            <w:pPr>
              <w:pStyle w:val="P68B1DB1-Normal10"/>
              <w:spacing w:after="0" w:line="240" w:lineRule="auto"/>
              <w:jc w:val="center"/>
              <w:rPr>
                <w:rFonts w:eastAsia="Times New Roman" w:cs="Times New Roman"/>
                <w:bCs/>
                <w:noProof/>
                <w:szCs w:val="18"/>
              </w:rPr>
            </w:pPr>
            <w:r>
              <w:rPr>
                <w:noProof/>
              </w:rPr>
              <w:t>Descrierea fiecărui jalon și a fiecărei ținte</w:t>
            </w:r>
          </w:p>
        </w:tc>
      </w:tr>
      <w:tr w:rsidR="00C45D59" w14:paraId="16A7D14F" w14:textId="77777777" w:rsidTr="009F5BD9">
        <w:trPr>
          <w:trHeight w:val="669"/>
          <w:tblHeader/>
        </w:trPr>
        <w:tc>
          <w:tcPr>
            <w:tcW w:w="562" w:type="dxa"/>
            <w:vMerge/>
            <w:vAlign w:val="center"/>
            <w:hideMark/>
          </w:tcPr>
          <w:p w14:paraId="2F51A640" w14:textId="77777777" w:rsidR="00C45D59" w:rsidRDefault="00C45D59" w:rsidP="009F5BD9">
            <w:pPr>
              <w:spacing w:after="0" w:line="240" w:lineRule="auto"/>
              <w:rPr>
                <w:rFonts w:ascii="Times New Roman" w:eastAsia="Times New Roman" w:hAnsi="Times New Roman" w:cs="Times New Roman"/>
                <w:b/>
                <w:bCs/>
                <w:noProof/>
                <w:sz w:val="18"/>
                <w:szCs w:val="18"/>
              </w:rPr>
            </w:pPr>
          </w:p>
        </w:tc>
        <w:tc>
          <w:tcPr>
            <w:tcW w:w="1593" w:type="dxa"/>
            <w:vMerge/>
            <w:vAlign w:val="center"/>
            <w:hideMark/>
          </w:tcPr>
          <w:p w14:paraId="6A63C1DC" w14:textId="77777777" w:rsidR="00C45D59" w:rsidRDefault="00C45D59" w:rsidP="009F5BD9">
            <w:pPr>
              <w:spacing w:after="0" w:line="240" w:lineRule="auto"/>
              <w:rPr>
                <w:rFonts w:ascii="Times New Roman" w:eastAsia="Times New Roman" w:hAnsi="Times New Roman" w:cs="Times New Roman"/>
                <w:b/>
                <w:bCs/>
                <w:noProof/>
                <w:sz w:val="18"/>
                <w:szCs w:val="18"/>
              </w:rPr>
            </w:pPr>
          </w:p>
        </w:tc>
        <w:tc>
          <w:tcPr>
            <w:tcW w:w="1114" w:type="dxa"/>
            <w:vMerge/>
            <w:vAlign w:val="center"/>
            <w:hideMark/>
          </w:tcPr>
          <w:p w14:paraId="1011023F" w14:textId="77777777" w:rsidR="00C45D59" w:rsidRDefault="00C45D59" w:rsidP="009F5BD9">
            <w:pPr>
              <w:spacing w:after="0" w:line="240" w:lineRule="auto"/>
              <w:rPr>
                <w:rFonts w:ascii="Times New Roman" w:eastAsia="Times New Roman" w:hAnsi="Times New Roman" w:cs="Times New Roman"/>
                <w:b/>
                <w:bCs/>
                <w:noProof/>
                <w:sz w:val="18"/>
                <w:szCs w:val="18"/>
              </w:rPr>
            </w:pPr>
          </w:p>
        </w:tc>
        <w:tc>
          <w:tcPr>
            <w:tcW w:w="1056" w:type="dxa"/>
            <w:vMerge/>
            <w:vAlign w:val="center"/>
            <w:hideMark/>
          </w:tcPr>
          <w:p w14:paraId="778FDEE2" w14:textId="77777777" w:rsidR="00C45D59" w:rsidRDefault="00C45D59" w:rsidP="009F5BD9">
            <w:pPr>
              <w:spacing w:after="0" w:line="240" w:lineRule="auto"/>
              <w:rPr>
                <w:rFonts w:ascii="Times New Roman" w:eastAsia="Times New Roman" w:hAnsi="Times New Roman" w:cs="Times New Roman"/>
                <w:b/>
                <w:bCs/>
                <w:noProof/>
                <w:sz w:val="18"/>
                <w:szCs w:val="18"/>
              </w:rPr>
            </w:pPr>
          </w:p>
        </w:tc>
        <w:tc>
          <w:tcPr>
            <w:tcW w:w="2311" w:type="dxa"/>
            <w:vMerge/>
            <w:vAlign w:val="center"/>
            <w:hideMark/>
          </w:tcPr>
          <w:p w14:paraId="6566868D" w14:textId="77777777" w:rsidR="00C45D59" w:rsidRDefault="00C45D59" w:rsidP="009F5BD9">
            <w:pPr>
              <w:spacing w:after="0" w:line="240" w:lineRule="auto"/>
              <w:rPr>
                <w:rFonts w:ascii="Times New Roman" w:eastAsia="Times New Roman" w:hAnsi="Times New Roman" w:cs="Times New Roman"/>
                <w:b/>
                <w:bCs/>
                <w:noProof/>
                <w:sz w:val="18"/>
                <w:szCs w:val="18"/>
              </w:rPr>
            </w:pPr>
          </w:p>
        </w:tc>
        <w:tc>
          <w:tcPr>
            <w:tcW w:w="1192" w:type="dxa"/>
            <w:shd w:val="clear" w:color="auto" w:fill="BDD7EE"/>
            <w:vAlign w:val="center"/>
            <w:hideMark/>
          </w:tcPr>
          <w:p w14:paraId="2944B234" w14:textId="77777777" w:rsidR="00C45D59" w:rsidRDefault="009B0962" w:rsidP="009F5BD9">
            <w:pPr>
              <w:pStyle w:val="P68B1DB1-Normal10"/>
              <w:spacing w:after="0" w:line="240" w:lineRule="auto"/>
              <w:jc w:val="center"/>
              <w:rPr>
                <w:rFonts w:eastAsia="Times New Roman" w:cs="Times New Roman"/>
                <w:bCs/>
                <w:noProof/>
                <w:szCs w:val="18"/>
              </w:rPr>
            </w:pPr>
            <w:r>
              <w:rPr>
                <w:noProof/>
              </w:rPr>
              <w:t>Unitatea de măsură</w:t>
            </w:r>
          </w:p>
        </w:tc>
        <w:tc>
          <w:tcPr>
            <w:tcW w:w="999" w:type="dxa"/>
            <w:shd w:val="clear" w:color="auto" w:fill="BDD7EE"/>
            <w:vAlign w:val="center"/>
            <w:hideMark/>
          </w:tcPr>
          <w:p w14:paraId="4B754CB5" w14:textId="77777777" w:rsidR="00C45D59" w:rsidRDefault="009B0962" w:rsidP="009F5BD9">
            <w:pPr>
              <w:pStyle w:val="P68B1DB1-Normal10"/>
              <w:spacing w:after="0" w:line="240" w:lineRule="auto"/>
              <w:jc w:val="center"/>
              <w:rPr>
                <w:rFonts w:eastAsia="Times New Roman" w:cs="Times New Roman"/>
                <w:bCs/>
                <w:noProof/>
                <w:szCs w:val="18"/>
              </w:rPr>
            </w:pPr>
            <w:r>
              <w:rPr>
                <w:noProof/>
              </w:rPr>
              <w:t xml:space="preserve">Situația de referință </w:t>
            </w:r>
          </w:p>
        </w:tc>
        <w:tc>
          <w:tcPr>
            <w:tcW w:w="820" w:type="dxa"/>
            <w:shd w:val="clear" w:color="auto" w:fill="BDD7EE"/>
            <w:vAlign w:val="center"/>
            <w:hideMark/>
          </w:tcPr>
          <w:p w14:paraId="6E0C9118" w14:textId="77777777" w:rsidR="00C45D59" w:rsidRDefault="009B0962" w:rsidP="009F5BD9">
            <w:pPr>
              <w:pStyle w:val="P68B1DB1-Normal10"/>
              <w:spacing w:after="0" w:line="240" w:lineRule="auto"/>
              <w:jc w:val="center"/>
              <w:rPr>
                <w:rFonts w:eastAsia="Times New Roman" w:cs="Times New Roman"/>
                <w:bCs/>
                <w:noProof/>
                <w:szCs w:val="18"/>
              </w:rPr>
            </w:pPr>
            <w:r>
              <w:rPr>
                <w:noProof/>
              </w:rPr>
              <w:t xml:space="preserve">Obiectiv </w:t>
            </w:r>
          </w:p>
        </w:tc>
        <w:tc>
          <w:tcPr>
            <w:tcW w:w="851" w:type="dxa"/>
            <w:shd w:val="clear" w:color="auto" w:fill="BDD7EE"/>
            <w:vAlign w:val="center"/>
            <w:hideMark/>
          </w:tcPr>
          <w:p w14:paraId="732741A6" w14:textId="77777777" w:rsidR="00C45D59" w:rsidRDefault="009B0962" w:rsidP="009F5BD9">
            <w:pPr>
              <w:pStyle w:val="P68B1DB1-Normal10"/>
              <w:spacing w:after="0" w:line="240" w:lineRule="auto"/>
              <w:jc w:val="center"/>
              <w:rPr>
                <w:rFonts w:eastAsia="Times New Roman" w:cs="Times New Roman"/>
                <w:bCs/>
                <w:noProof/>
                <w:szCs w:val="18"/>
              </w:rPr>
            </w:pPr>
            <w:r>
              <w:rPr>
                <w:noProof/>
              </w:rPr>
              <w:t>Trimestru</w:t>
            </w:r>
          </w:p>
        </w:tc>
        <w:tc>
          <w:tcPr>
            <w:tcW w:w="709" w:type="dxa"/>
            <w:shd w:val="clear" w:color="auto" w:fill="BDD7EE"/>
            <w:vAlign w:val="center"/>
            <w:hideMark/>
          </w:tcPr>
          <w:p w14:paraId="440E67ED" w14:textId="77777777" w:rsidR="00C45D59" w:rsidRDefault="009B0962" w:rsidP="009F5BD9">
            <w:pPr>
              <w:pStyle w:val="P68B1DB1-Normal10"/>
              <w:spacing w:after="0" w:line="240" w:lineRule="auto"/>
              <w:jc w:val="center"/>
              <w:rPr>
                <w:rFonts w:eastAsia="Times New Roman" w:cs="Times New Roman"/>
                <w:bCs/>
                <w:noProof/>
                <w:szCs w:val="18"/>
              </w:rPr>
            </w:pPr>
            <w:r>
              <w:rPr>
                <w:noProof/>
              </w:rPr>
              <w:t>Anul</w:t>
            </w:r>
          </w:p>
        </w:tc>
        <w:tc>
          <w:tcPr>
            <w:tcW w:w="3997" w:type="dxa"/>
            <w:vMerge/>
            <w:vAlign w:val="center"/>
            <w:hideMark/>
          </w:tcPr>
          <w:p w14:paraId="77B5DB37" w14:textId="77777777" w:rsidR="00C45D59" w:rsidRDefault="00C45D59" w:rsidP="009F5BD9">
            <w:pPr>
              <w:spacing w:after="0" w:line="240" w:lineRule="auto"/>
              <w:rPr>
                <w:rFonts w:ascii="Times New Roman" w:eastAsia="Times New Roman" w:hAnsi="Times New Roman" w:cs="Times New Roman"/>
                <w:b/>
                <w:bCs/>
                <w:noProof/>
                <w:sz w:val="18"/>
                <w:szCs w:val="18"/>
              </w:rPr>
            </w:pPr>
          </w:p>
        </w:tc>
      </w:tr>
      <w:tr w:rsidR="00C45D59" w14:paraId="658F1477" w14:textId="77777777" w:rsidTr="009F5BD9">
        <w:trPr>
          <w:trHeight w:val="309"/>
        </w:trPr>
        <w:tc>
          <w:tcPr>
            <w:tcW w:w="562" w:type="dxa"/>
            <w:tcBorders>
              <w:top w:val="single" w:sz="4" w:space="0" w:color="auto"/>
              <w:left w:val="single" w:sz="4" w:space="0" w:color="auto"/>
              <w:bottom w:val="single" w:sz="4" w:space="0" w:color="auto"/>
              <w:right w:val="single" w:sz="4" w:space="0" w:color="auto"/>
            </w:tcBorders>
            <w:shd w:val="clear" w:color="auto" w:fill="C6EFCE"/>
            <w:noWrap/>
            <w:hideMark/>
          </w:tcPr>
          <w:p w14:paraId="3F156EC9" w14:textId="77777777" w:rsidR="00C45D59" w:rsidRDefault="009B0962" w:rsidP="009F5BD9">
            <w:pPr>
              <w:pStyle w:val="P68B1DB1-Normal12"/>
              <w:spacing w:after="0" w:line="240" w:lineRule="auto"/>
              <w:rPr>
                <w:rFonts w:eastAsia="Times New Roman"/>
                <w:noProof/>
              </w:rPr>
            </w:pPr>
            <w:r>
              <w:rPr>
                <w:noProof/>
              </w:rPr>
              <w:t>20</w:t>
            </w:r>
          </w:p>
        </w:tc>
        <w:tc>
          <w:tcPr>
            <w:tcW w:w="1593" w:type="dxa"/>
            <w:tcBorders>
              <w:top w:val="single" w:sz="4" w:space="0" w:color="auto"/>
              <w:left w:val="single" w:sz="4" w:space="0" w:color="auto"/>
              <w:bottom w:val="single" w:sz="4" w:space="0" w:color="auto"/>
              <w:right w:val="single" w:sz="4" w:space="0" w:color="auto"/>
            </w:tcBorders>
            <w:shd w:val="clear" w:color="auto" w:fill="C6EFCE"/>
            <w:noWrap/>
            <w:hideMark/>
          </w:tcPr>
          <w:p w14:paraId="3447D981" w14:textId="77777777" w:rsidR="00C45D59" w:rsidRDefault="009B0962" w:rsidP="009F5BD9">
            <w:pPr>
              <w:pStyle w:val="P68B1DB1-Normal12"/>
              <w:spacing w:after="0" w:line="240" w:lineRule="auto"/>
              <w:rPr>
                <w:rFonts w:eastAsia="Times New Roman"/>
                <w:noProof/>
              </w:rPr>
            </w:pPr>
            <w:r>
              <w:rPr>
                <w:noProof/>
              </w:rPr>
              <w:t>2-1.2. Renovare – 16872_Renovarea energetică a clădirilor rezidențiale</w:t>
            </w:r>
          </w:p>
        </w:tc>
        <w:tc>
          <w:tcPr>
            <w:tcW w:w="1114" w:type="dxa"/>
            <w:tcBorders>
              <w:top w:val="single" w:sz="4" w:space="0" w:color="auto"/>
              <w:left w:val="single" w:sz="4" w:space="0" w:color="auto"/>
              <w:bottom w:val="single" w:sz="4" w:space="0" w:color="auto"/>
              <w:right w:val="single" w:sz="4" w:space="0" w:color="auto"/>
            </w:tcBorders>
            <w:shd w:val="clear" w:color="auto" w:fill="C6EFCE"/>
            <w:noWrap/>
            <w:hideMark/>
          </w:tcPr>
          <w:p w14:paraId="43700474" w14:textId="77777777" w:rsidR="00C45D59" w:rsidRDefault="009B0962" w:rsidP="009F5BD9">
            <w:pPr>
              <w:pStyle w:val="P68B1DB1-Normal12"/>
              <w:spacing w:after="0" w:line="240" w:lineRule="auto"/>
              <w:rPr>
                <w:rFonts w:eastAsia="Times New Roman"/>
                <w:noProof/>
              </w:rPr>
            </w:pPr>
            <w:r>
              <w:rPr>
                <w:noProof/>
              </w:rPr>
              <w:t>Etapă</w:t>
            </w:r>
          </w:p>
        </w:tc>
        <w:tc>
          <w:tcPr>
            <w:tcW w:w="1056" w:type="dxa"/>
            <w:tcBorders>
              <w:top w:val="single" w:sz="4" w:space="0" w:color="auto"/>
              <w:left w:val="single" w:sz="4" w:space="0" w:color="auto"/>
              <w:bottom w:val="single" w:sz="4" w:space="0" w:color="auto"/>
              <w:right w:val="single" w:sz="4" w:space="0" w:color="auto"/>
            </w:tcBorders>
            <w:shd w:val="clear" w:color="auto" w:fill="C6EFCE"/>
            <w:noWrap/>
            <w:hideMark/>
          </w:tcPr>
          <w:p w14:paraId="3B67A0C5" w14:textId="77777777" w:rsidR="00C45D59" w:rsidRDefault="009B0962" w:rsidP="009F5BD9">
            <w:pPr>
              <w:pStyle w:val="P68B1DB1-Normal12"/>
              <w:spacing w:after="0" w:line="240" w:lineRule="auto"/>
              <w:rPr>
                <w:rFonts w:eastAsia="Times New Roman"/>
                <w:noProof/>
              </w:rPr>
            </w:pPr>
            <w:r>
              <w:rPr>
                <w:noProof/>
              </w:rPr>
              <w:t>Renovarea locuințelor – lansarea celei</w:t>
            </w:r>
            <w:r>
              <w:rPr>
                <w:noProof/>
                <w:vertAlign w:val="superscript"/>
              </w:rPr>
              <w:t xml:space="preserve"> de</w:t>
            </w:r>
            <w:r>
              <w:rPr>
                <w:noProof/>
              </w:rPr>
              <w:t xml:space="preserve"> a 1-a runde</w:t>
            </w:r>
          </w:p>
        </w:tc>
        <w:tc>
          <w:tcPr>
            <w:tcW w:w="2311" w:type="dxa"/>
            <w:tcBorders>
              <w:top w:val="single" w:sz="4" w:space="0" w:color="auto"/>
              <w:left w:val="single" w:sz="4" w:space="0" w:color="auto"/>
              <w:bottom w:val="single" w:sz="4" w:space="0" w:color="auto"/>
              <w:right w:val="single" w:sz="4" w:space="0" w:color="auto"/>
            </w:tcBorders>
            <w:shd w:val="clear" w:color="auto" w:fill="C6EFCE"/>
            <w:noWrap/>
            <w:hideMark/>
          </w:tcPr>
          <w:p w14:paraId="118F7C1D" w14:textId="77777777" w:rsidR="00C45D59" w:rsidRDefault="009B0962" w:rsidP="009F5BD9">
            <w:pPr>
              <w:pStyle w:val="P68B1DB1-Normal12"/>
              <w:spacing w:after="0" w:line="240" w:lineRule="auto"/>
              <w:rPr>
                <w:rFonts w:eastAsia="Times New Roman"/>
                <w:noProof/>
              </w:rPr>
            </w:pPr>
            <w:r>
              <w:rPr>
                <w:noProof/>
              </w:rPr>
              <w:t xml:space="preserve">Intrarea în vigoare a unei decizii ministeriale comune </w:t>
            </w:r>
          </w:p>
        </w:tc>
        <w:tc>
          <w:tcPr>
            <w:tcW w:w="1192" w:type="dxa"/>
            <w:tcBorders>
              <w:top w:val="single" w:sz="4" w:space="0" w:color="auto"/>
              <w:left w:val="single" w:sz="4" w:space="0" w:color="auto"/>
              <w:bottom w:val="single" w:sz="4" w:space="0" w:color="auto"/>
              <w:right w:val="single" w:sz="4" w:space="0" w:color="auto"/>
            </w:tcBorders>
            <w:shd w:val="clear" w:color="auto" w:fill="C6EFCE"/>
            <w:noWrap/>
            <w:hideMark/>
          </w:tcPr>
          <w:p w14:paraId="48991025" w14:textId="77777777" w:rsidR="00C45D59" w:rsidRDefault="00C45D59" w:rsidP="009F5BD9">
            <w:pPr>
              <w:spacing w:after="0" w:line="240" w:lineRule="auto"/>
              <w:rPr>
                <w:rFonts w:ascii="Times New Roman" w:eastAsia="Times New Roman" w:hAnsi="Times New Roman" w:cs="Times New Roman"/>
                <w:noProof/>
                <w:color w:val="006100"/>
                <w:sz w:val="18"/>
                <w:szCs w:val="18"/>
              </w:rPr>
            </w:pPr>
          </w:p>
        </w:tc>
        <w:tc>
          <w:tcPr>
            <w:tcW w:w="999" w:type="dxa"/>
            <w:tcBorders>
              <w:top w:val="single" w:sz="4" w:space="0" w:color="auto"/>
              <w:left w:val="single" w:sz="4" w:space="0" w:color="auto"/>
              <w:bottom w:val="single" w:sz="4" w:space="0" w:color="auto"/>
              <w:right w:val="single" w:sz="4" w:space="0" w:color="auto"/>
            </w:tcBorders>
            <w:shd w:val="clear" w:color="auto" w:fill="C6EFCE"/>
            <w:noWrap/>
            <w:hideMark/>
          </w:tcPr>
          <w:p w14:paraId="330D2A58" w14:textId="77777777" w:rsidR="00C45D59" w:rsidRDefault="00C45D59" w:rsidP="009F5BD9">
            <w:pPr>
              <w:spacing w:after="0" w:line="240" w:lineRule="auto"/>
              <w:rPr>
                <w:rFonts w:ascii="Times New Roman" w:eastAsia="Times New Roman" w:hAnsi="Times New Roman" w:cs="Times New Roman"/>
                <w:noProof/>
                <w:color w:val="006100"/>
                <w:sz w:val="18"/>
                <w:szCs w:val="18"/>
              </w:rPr>
            </w:pPr>
          </w:p>
        </w:tc>
        <w:tc>
          <w:tcPr>
            <w:tcW w:w="820" w:type="dxa"/>
            <w:tcBorders>
              <w:top w:val="single" w:sz="4" w:space="0" w:color="auto"/>
              <w:left w:val="single" w:sz="4" w:space="0" w:color="auto"/>
              <w:bottom w:val="single" w:sz="4" w:space="0" w:color="auto"/>
              <w:right w:val="single" w:sz="4" w:space="0" w:color="auto"/>
            </w:tcBorders>
            <w:shd w:val="clear" w:color="auto" w:fill="C6EFCE"/>
            <w:noWrap/>
            <w:hideMark/>
          </w:tcPr>
          <w:p w14:paraId="1B1E2FB6" w14:textId="77777777" w:rsidR="00C45D59" w:rsidRDefault="00C45D59" w:rsidP="009F5BD9">
            <w:pPr>
              <w:spacing w:after="0" w:line="240" w:lineRule="auto"/>
              <w:rPr>
                <w:rFonts w:ascii="Times New Roman" w:eastAsia="Times New Roman" w:hAnsi="Times New Roman" w:cs="Times New Roman"/>
                <w:noProof/>
                <w:color w:val="006100"/>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hideMark/>
          </w:tcPr>
          <w:p w14:paraId="7019265E" w14:textId="77777777" w:rsidR="00C45D59" w:rsidRDefault="009B0962" w:rsidP="009F5BD9">
            <w:pPr>
              <w:pStyle w:val="P68B1DB1-Normal12"/>
              <w:spacing w:after="0" w:line="240" w:lineRule="auto"/>
              <w:rPr>
                <w:rFonts w:eastAsia="Times New Roman"/>
                <w:noProof/>
              </w:rPr>
            </w:pPr>
            <w:r>
              <w:rPr>
                <w:noProof/>
              </w:rPr>
              <w:t>Î4</w:t>
            </w:r>
          </w:p>
        </w:tc>
        <w:tc>
          <w:tcPr>
            <w:tcW w:w="709" w:type="dxa"/>
            <w:tcBorders>
              <w:top w:val="single" w:sz="4" w:space="0" w:color="auto"/>
              <w:left w:val="single" w:sz="4" w:space="0" w:color="auto"/>
              <w:bottom w:val="single" w:sz="4" w:space="0" w:color="auto"/>
              <w:right w:val="single" w:sz="4" w:space="0" w:color="auto"/>
            </w:tcBorders>
            <w:shd w:val="clear" w:color="auto" w:fill="C6EFCE"/>
            <w:noWrap/>
            <w:hideMark/>
          </w:tcPr>
          <w:p w14:paraId="0FE1C868" w14:textId="77777777" w:rsidR="00C45D59" w:rsidRDefault="009B0962" w:rsidP="009F5BD9">
            <w:pPr>
              <w:pStyle w:val="P68B1DB1-Normal12"/>
              <w:spacing w:after="0" w:line="240" w:lineRule="auto"/>
              <w:rPr>
                <w:rFonts w:eastAsia="Times New Roman"/>
                <w:noProof/>
              </w:rPr>
            </w:pPr>
            <w:r>
              <w:rPr>
                <w:noProof/>
              </w:rPr>
              <w:t>2020</w:t>
            </w:r>
          </w:p>
        </w:tc>
        <w:tc>
          <w:tcPr>
            <w:tcW w:w="3997" w:type="dxa"/>
            <w:tcBorders>
              <w:top w:val="single" w:sz="4" w:space="0" w:color="auto"/>
              <w:left w:val="single" w:sz="4" w:space="0" w:color="auto"/>
              <w:bottom w:val="single" w:sz="4" w:space="0" w:color="auto"/>
              <w:right w:val="single" w:sz="4" w:space="0" w:color="auto"/>
            </w:tcBorders>
            <w:shd w:val="clear" w:color="auto" w:fill="C6EFCE"/>
            <w:noWrap/>
            <w:hideMark/>
          </w:tcPr>
          <w:p w14:paraId="63D1F2C1" w14:textId="77777777" w:rsidR="00C45D59" w:rsidRDefault="009B0962" w:rsidP="009F5BD9">
            <w:pPr>
              <w:pStyle w:val="P68B1DB1-Normal12"/>
              <w:spacing w:after="0" w:line="240" w:lineRule="auto"/>
              <w:rPr>
                <w:rFonts w:eastAsia="Times New Roman"/>
                <w:noProof/>
              </w:rPr>
            </w:pPr>
            <w:r>
              <w:rPr>
                <w:noProof/>
              </w:rPr>
              <w:t>Intrarea în vigoare a unei decizii ministeriale comune de lansare a programului pentru prima rundă de renovări, inclusiv instituirea unui proces de selecție pentru a se asigura că consumul de energie primară al locuințelor este redus cu cel puțin 30 % în comparație cu performanța inițială a reședinței, calculată în kWh/m</w:t>
            </w:r>
            <w:r>
              <w:rPr>
                <w:noProof/>
                <w:vertAlign w:val="superscript"/>
              </w:rPr>
              <w:t xml:space="preserve"> 2</w:t>
            </w:r>
            <w:r>
              <w:rPr>
                <w:noProof/>
              </w:rPr>
              <w:t xml:space="preserve">. </w:t>
            </w:r>
          </w:p>
          <w:p w14:paraId="085AC011" w14:textId="77777777" w:rsidR="00C45D59" w:rsidRDefault="00C45D59" w:rsidP="009F5BD9">
            <w:pPr>
              <w:spacing w:after="0" w:line="240" w:lineRule="auto"/>
              <w:rPr>
                <w:rFonts w:ascii="Times New Roman" w:eastAsia="Times New Roman" w:hAnsi="Times New Roman" w:cs="Times New Roman"/>
                <w:noProof/>
                <w:color w:val="006100"/>
                <w:sz w:val="18"/>
                <w:szCs w:val="18"/>
              </w:rPr>
            </w:pPr>
          </w:p>
          <w:p w14:paraId="1C86F983" w14:textId="77777777" w:rsidR="00C45D59" w:rsidRDefault="009B0962" w:rsidP="009F5BD9">
            <w:pPr>
              <w:pStyle w:val="P68B1DB1-Normal12"/>
              <w:spacing w:after="0" w:line="240" w:lineRule="auto"/>
              <w:rPr>
                <w:rFonts w:eastAsia="Times New Roman"/>
                <w:noProof/>
              </w:rPr>
            </w:pPr>
            <w:r>
              <w:rPr>
                <w:noProof/>
              </w:rPr>
              <w:t>Decizia ministerială comună stabilește:</w:t>
            </w:r>
          </w:p>
          <w:p w14:paraId="011EC5F3" w14:textId="77777777" w:rsidR="00C45D59" w:rsidRDefault="009B0962" w:rsidP="009F5BD9">
            <w:pPr>
              <w:pStyle w:val="P68B1DB1-Normal12"/>
              <w:spacing w:after="0" w:line="240" w:lineRule="auto"/>
              <w:rPr>
                <w:rFonts w:eastAsia="Times New Roman"/>
                <w:noProof/>
              </w:rPr>
            </w:pPr>
            <w:r>
              <w:rPr>
                <w:noProof/>
              </w:rPr>
              <w:t>— Mecanismul de punere în aplicare;</w:t>
            </w:r>
          </w:p>
          <w:p w14:paraId="149CA6F7" w14:textId="77777777" w:rsidR="00C45D59" w:rsidRDefault="009B0962" w:rsidP="009F5BD9">
            <w:pPr>
              <w:pStyle w:val="P68B1DB1-Normal12"/>
              <w:spacing w:after="0" w:line="240" w:lineRule="auto"/>
              <w:rPr>
                <w:rFonts w:eastAsia="Times New Roman"/>
                <w:noProof/>
              </w:rPr>
            </w:pPr>
            <w:r>
              <w:rPr>
                <w:noProof/>
              </w:rPr>
              <w:t>— Procesul de selecție pentru atingerea obiectivului stabilit privind economiile de energie primară;</w:t>
            </w:r>
          </w:p>
          <w:p w14:paraId="58BE013C" w14:textId="77777777" w:rsidR="00C45D59" w:rsidRDefault="009B0962" w:rsidP="009F5BD9">
            <w:pPr>
              <w:pStyle w:val="P68B1DB1-Normal12"/>
              <w:spacing w:after="0" w:line="240" w:lineRule="auto"/>
              <w:rPr>
                <w:rFonts w:eastAsia="Times New Roman"/>
                <w:noProof/>
              </w:rPr>
            </w:pPr>
            <w:r>
              <w:rPr>
                <w:noProof/>
              </w:rPr>
              <w:t>— Mecanismul de certificare pentru validarea economiilor reale de energie primară realizate (inclusiv detalii privind posibilele acțiuni corective menite să asigure îndeplinirea obiectivului privind economiile de energie primară); și</w:t>
            </w:r>
          </w:p>
          <w:p w14:paraId="0C424649" w14:textId="77777777" w:rsidR="00C45D59" w:rsidRDefault="009B0962" w:rsidP="009F5BD9">
            <w:pPr>
              <w:pStyle w:val="P68B1DB1-Normal12"/>
              <w:spacing w:after="0" w:line="240" w:lineRule="auto"/>
              <w:rPr>
                <w:rFonts w:eastAsia="Times New Roman"/>
                <w:noProof/>
              </w:rPr>
            </w:pPr>
            <w:r>
              <w:rPr>
                <w:noProof/>
              </w:rPr>
              <w:t>— Calendarul.</w:t>
            </w:r>
          </w:p>
        </w:tc>
      </w:tr>
      <w:tr w:rsidR="00C45D59" w14:paraId="392411FE" w14:textId="77777777" w:rsidTr="009F5BD9">
        <w:trPr>
          <w:trHeight w:val="309"/>
        </w:trPr>
        <w:tc>
          <w:tcPr>
            <w:tcW w:w="562" w:type="dxa"/>
            <w:shd w:val="clear" w:color="auto" w:fill="C6EFCE"/>
            <w:noWrap/>
            <w:hideMark/>
          </w:tcPr>
          <w:p w14:paraId="3D11110B" w14:textId="77777777" w:rsidR="00C45D59" w:rsidRDefault="009B0962" w:rsidP="009F5BD9">
            <w:pPr>
              <w:pStyle w:val="P68B1DB1-Normal12"/>
              <w:spacing w:after="0" w:line="240" w:lineRule="auto"/>
              <w:rPr>
                <w:rFonts w:eastAsia="Times New Roman"/>
                <w:noProof/>
              </w:rPr>
            </w:pPr>
            <w:r>
              <w:rPr>
                <w:noProof/>
              </w:rPr>
              <w:t>21</w:t>
            </w:r>
          </w:p>
        </w:tc>
        <w:tc>
          <w:tcPr>
            <w:tcW w:w="1593" w:type="dxa"/>
            <w:shd w:val="clear" w:color="auto" w:fill="C6EFCE"/>
            <w:noWrap/>
            <w:hideMark/>
          </w:tcPr>
          <w:p w14:paraId="52C7977B" w14:textId="77777777" w:rsidR="00C45D59" w:rsidRDefault="009B0962" w:rsidP="009F5BD9">
            <w:pPr>
              <w:pStyle w:val="P68B1DB1-Normal12"/>
              <w:spacing w:after="0" w:line="240" w:lineRule="auto"/>
              <w:rPr>
                <w:rFonts w:eastAsia="Times New Roman"/>
                <w:noProof/>
              </w:rPr>
            </w:pPr>
            <w:r>
              <w:rPr>
                <w:noProof/>
              </w:rPr>
              <w:t>2-1.2. Renovare – 16872_Renovarea energetică a clădirilor rezidențiale</w:t>
            </w:r>
          </w:p>
        </w:tc>
        <w:tc>
          <w:tcPr>
            <w:tcW w:w="1114" w:type="dxa"/>
            <w:shd w:val="clear" w:color="auto" w:fill="C6EFCE"/>
            <w:noWrap/>
          </w:tcPr>
          <w:p w14:paraId="4E0B2445" w14:textId="77777777" w:rsidR="00C45D59" w:rsidRDefault="009B0962" w:rsidP="009F5BD9">
            <w:pPr>
              <w:pStyle w:val="P68B1DB1-Normal12"/>
              <w:spacing w:after="0" w:line="240" w:lineRule="auto"/>
              <w:rPr>
                <w:rFonts w:eastAsia="Times New Roman"/>
                <w:noProof/>
              </w:rPr>
            </w:pPr>
            <w:r>
              <w:rPr>
                <w:noProof/>
              </w:rPr>
              <w:t>Etapă</w:t>
            </w:r>
          </w:p>
        </w:tc>
        <w:tc>
          <w:tcPr>
            <w:tcW w:w="1056" w:type="dxa"/>
            <w:shd w:val="clear" w:color="auto" w:fill="C6EFCE"/>
            <w:noWrap/>
          </w:tcPr>
          <w:p w14:paraId="1C7B5C10" w14:textId="77777777" w:rsidR="00C45D59" w:rsidRDefault="009B0962" w:rsidP="009F5BD9">
            <w:pPr>
              <w:pStyle w:val="P68B1DB1-Normal12"/>
              <w:spacing w:after="0" w:line="240" w:lineRule="auto"/>
              <w:rPr>
                <w:rFonts w:eastAsia="Times New Roman"/>
                <w:noProof/>
              </w:rPr>
            </w:pPr>
            <w:r>
              <w:rPr>
                <w:noProof/>
              </w:rPr>
              <w:t>Renovarea locuințelor – lansarea celei de-a</w:t>
            </w:r>
            <w:r>
              <w:rPr>
                <w:noProof/>
                <w:vertAlign w:val="superscript"/>
              </w:rPr>
              <w:t xml:space="preserve"> 2-a</w:t>
            </w:r>
            <w:r>
              <w:rPr>
                <w:noProof/>
              </w:rPr>
              <w:t xml:space="preserve"> runde, inclusiv a gospodăriilor sărace din punct de vedere energetic</w:t>
            </w:r>
          </w:p>
        </w:tc>
        <w:tc>
          <w:tcPr>
            <w:tcW w:w="2311" w:type="dxa"/>
            <w:shd w:val="clear" w:color="auto" w:fill="C6EFCE"/>
            <w:noWrap/>
          </w:tcPr>
          <w:p w14:paraId="438781FE" w14:textId="77777777" w:rsidR="00C45D59" w:rsidRDefault="009B0962" w:rsidP="009F5BD9">
            <w:pPr>
              <w:pStyle w:val="P68B1DB1-Normal12"/>
              <w:spacing w:after="0" w:line="240" w:lineRule="auto"/>
              <w:rPr>
                <w:rFonts w:eastAsia="Times New Roman"/>
                <w:noProof/>
              </w:rPr>
            </w:pPr>
            <w:r>
              <w:rPr>
                <w:noProof/>
              </w:rPr>
              <w:t xml:space="preserve">Intrarea în vigoare a unei decizii ministeriale comune </w:t>
            </w:r>
          </w:p>
        </w:tc>
        <w:tc>
          <w:tcPr>
            <w:tcW w:w="1192" w:type="dxa"/>
            <w:shd w:val="clear" w:color="auto" w:fill="C6EFCE"/>
            <w:noWrap/>
          </w:tcPr>
          <w:p w14:paraId="4092BF3F" w14:textId="77777777" w:rsidR="00C45D59" w:rsidRDefault="00C45D59" w:rsidP="009F5BD9">
            <w:pPr>
              <w:spacing w:after="0" w:line="240" w:lineRule="auto"/>
              <w:rPr>
                <w:rFonts w:ascii="Times New Roman" w:eastAsia="Times New Roman" w:hAnsi="Times New Roman" w:cs="Times New Roman"/>
                <w:noProof/>
                <w:color w:val="006100"/>
                <w:sz w:val="18"/>
                <w:szCs w:val="18"/>
              </w:rPr>
            </w:pPr>
          </w:p>
        </w:tc>
        <w:tc>
          <w:tcPr>
            <w:tcW w:w="999" w:type="dxa"/>
            <w:shd w:val="clear" w:color="auto" w:fill="C6EFCE"/>
            <w:noWrap/>
          </w:tcPr>
          <w:p w14:paraId="58BFA2C9" w14:textId="77777777" w:rsidR="00C45D59" w:rsidRDefault="00C45D59" w:rsidP="009F5BD9">
            <w:pPr>
              <w:spacing w:after="0" w:line="240" w:lineRule="auto"/>
              <w:rPr>
                <w:rFonts w:ascii="Times New Roman" w:eastAsia="Times New Roman" w:hAnsi="Times New Roman" w:cs="Times New Roman"/>
                <w:noProof/>
                <w:color w:val="006100"/>
                <w:sz w:val="18"/>
                <w:szCs w:val="18"/>
              </w:rPr>
            </w:pPr>
          </w:p>
        </w:tc>
        <w:tc>
          <w:tcPr>
            <w:tcW w:w="820" w:type="dxa"/>
            <w:shd w:val="clear" w:color="auto" w:fill="C6EFCE"/>
            <w:noWrap/>
          </w:tcPr>
          <w:p w14:paraId="4AD4DD20" w14:textId="77777777" w:rsidR="00C45D59" w:rsidRDefault="00C45D59" w:rsidP="009F5BD9">
            <w:pPr>
              <w:spacing w:after="0" w:line="240" w:lineRule="auto"/>
              <w:rPr>
                <w:rFonts w:ascii="Times New Roman" w:eastAsia="Times New Roman" w:hAnsi="Times New Roman" w:cs="Times New Roman"/>
                <w:noProof/>
                <w:color w:val="006100"/>
                <w:sz w:val="18"/>
                <w:szCs w:val="18"/>
              </w:rPr>
            </w:pPr>
          </w:p>
        </w:tc>
        <w:tc>
          <w:tcPr>
            <w:tcW w:w="851" w:type="dxa"/>
            <w:shd w:val="clear" w:color="auto" w:fill="C6EFCE"/>
            <w:noWrap/>
          </w:tcPr>
          <w:p w14:paraId="6333E1E0" w14:textId="77777777" w:rsidR="00C45D59" w:rsidRDefault="009B0962" w:rsidP="009F5BD9">
            <w:pPr>
              <w:pStyle w:val="P68B1DB1-Normal12"/>
              <w:spacing w:after="0" w:line="240" w:lineRule="auto"/>
              <w:rPr>
                <w:rFonts w:eastAsia="Times New Roman"/>
                <w:noProof/>
              </w:rPr>
            </w:pPr>
            <w:r>
              <w:rPr>
                <w:noProof/>
              </w:rPr>
              <w:t>Î3</w:t>
            </w:r>
          </w:p>
        </w:tc>
        <w:tc>
          <w:tcPr>
            <w:tcW w:w="709" w:type="dxa"/>
            <w:shd w:val="clear" w:color="auto" w:fill="C6EFCE"/>
            <w:noWrap/>
          </w:tcPr>
          <w:p w14:paraId="586D32A1" w14:textId="77777777" w:rsidR="00C45D59" w:rsidRDefault="009B0962" w:rsidP="009F5BD9">
            <w:pPr>
              <w:pStyle w:val="P68B1DB1-Normal12"/>
              <w:spacing w:after="0" w:line="240" w:lineRule="auto"/>
              <w:rPr>
                <w:rFonts w:eastAsia="Times New Roman"/>
                <w:noProof/>
              </w:rPr>
            </w:pPr>
            <w:r>
              <w:rPr>
                <w:noProof/>
              </w:rPr>
              <w:t>2022</w:t>
            </w:r>
          </w:p>
        </w:tc>
        <w:tc>
          <w:tcPr>
            <w:tcW w:w="3997" w:type="dxa"/>
            <w:shd w:val="clear" w:color="auto" w:fill="C6EFCE"/>
            <w:noWrap/>
          </w:tcPr>
          <w:p w14:paraId="703C25AC" w14:textId="77777777" w:rsidR="00C45D59" w:rsidRDefault="009B0962" w:rsidP="009F5BD9">
            <w:pPr>
              <w:pStyle w:val="P68B1DB1-Normal12"/>
              <w:spacing w:after="0" w:line="240" w:lineRule="auto"/>
              <w:rPr>
                <w:rFonts w:eastAsia="Times New Roman"/>
                <w:noProof/>
              </w:rPr>
            </w:pPr>
            <w:r>
              <w:rPr>
                <w:noProof/>
              </w:rPr>
              <w:t>Intrarea în vigoare a unei decizii ministeriale comune de lansare a programului pentru cea de a doua rundă de renovări și lansarea programului pentru locuințele afectate de sărăcie energetică, inclusiv instituirea unui proces de selecție pentru a se asigura că consumul de energie primară al locuințelor este redus cu cel puțin 30 % în comparație cu performanța inițială a reședinței, calculată în kWh/m</w:t>
            </w:r>
            <w:r>
              <w:rPr>
                <w:noProof/>
                <w:vertAlign w:val="superscript"/>
              </w:rPr>
              <w:t xml:space="preserve"> 2.</w:t>
            </w:r>
            <w:r>
              <w:rPr>
                <w:noProof/>
              </w:rPr>
              <w:t xml:space="preserve"> </w:t>
            </w:r>
          </w:p>
          <w:p w14:paraId="4E7E39DC" w14:textId="77777777" w:rsidR="00C45D59" w:rsidRDefault="00C45D59" w:rsidP="009F5BD9">
            <w:pPr>
              <w:spacing w:after="0" w:line="240" w:lineRule="auto"/>
              <w:rPr>
                <w:rFonts w:ascii="Times New Roman" w:eastAsia="Times New Roman" w:hAnsi="Times New Roman" w:cs="Times New Roman"/>
                <w:noProof/>
                <w:color w:val="006100"/>
                <w:sz w:val="18"/>
                <w:szCs w:val="18"/>
              </w:rPr>
            </w:pPr>
          </w:p>
          <w:p w14:paraId="5B7E88DC" w14:textId="77777777" w:rsidR="00C45D59" w:rsidRDefault="009B0962" w:rsidP="009F5BD9">
            <w:pPr>
              <w:pStyle w:val="P68B1DB1-Normal12"/>
              <w:spacing w:after="0" w:line="240" w:lineRule="auto"/>
              <w:rPr>
                <w:rFonts w:eastAsia="Times New Roman"/>
                <w:noProof/>
              </w:rPr>
            </w:pPr>
            <w:r>
              <w:rPr>
                <w:noProof/>
              </w:rPr>
              <w:t>Decizia ministerială comună stabilește:</w:t>
            </w:r>
          </w:p>
          <w:p w14:paraId="205534E5" w14:textId="77777777" w:rsidR="00C45D59" w:rsidRDefault="009B0962" w:rsidP="009F5BD9">
            <w:pPr>
              <w:pStyle w:val="P68B1DB1-Normal12"/>
              <w:spacing w:after="0" w:line="240" w:lineRule="auto"/>
              <w:rPr>
                <w:rFonts w:eastAsia="Times New Roman"/>
                <w:noProof/>
              </w:rPr>
            </w:pPr>
            <w:r>
              <w:rPr>
                <w:noProof/>
              </w:rPr>
              <w:t>— Mecanismul de punere în aplicare;</w:t>
            </w:r>
          </w:p>
          <w:p w14:paraId="7FDAE7EA" w14:textId="77777777" w:rsidR="00C45D59" w:rsidRDefault="009B0962" w:rsidP="009F5BD9">
            <w:pPr>
              <w:pStyle w:val="P68B1DB1-Normal12"/>
              <w:spacing w:after="0" w:line="240" w:lineRule="auto"/>
              <w:rPr>
                <w:rFonts w:eastAsia="Times New Roman"/>
                <w:noProof/>
              </w:rPr>
            </w:pPr>
            <w:r>
              <w:rPr>
                <w:noProof/>
              </w:rPr>
              <w:t>— Procesul de selecție pentru atingerea obiectivului stabilit privind economiile de energie primară;</w:t>
            </w:r>
          </w:p>
          <w:p w14:paraId="0BFFFB17" w14:textId="77777777" w:rsidR="00C45D59" w:rsidRDefault="009B0962" w:rsidP="009F5BD9">
            <w:pPr>
              <w:pStyle w:val="P68B1DB1-Normal12"/>
              <w:spacing w:after="0" w:line="240" w:lineRule="auto"/>
              <w:rPr>
                <w:rFonts w:eastAsia="Times New Roman"/>
                <w:noProof/>
              </w:rPr>
            </w:pPr>
            <w:r>
              <w:rPr>
                <w:noProof/>
              </w:rPr>
              <w:t>— Dispoziții privind locuințele afectate de sărăcie energetică, în conformitate cu criteriile stabilite în planul de acțiune privind sărăcia energetică adoptat Mecanismul de certificare pentru validarea economiilor reale de energie primară realizate (inclusiv detalii privind posibilele acțiuni corective menite să asigure îndeplinirea obiectivului de economisire a energiei primare); și</w:t>
            </w:r>
          </w:p>
          <w:p w14:paraId="7650573A" w14:textId="77777777" w:rsidR="00C45D59" w:rsidRDefault="009B0962" w:rsidP="009F5BD9">
            <w:pPr>
              <w:pStyle w:val="P68B1DB1-Normal12"/>
              <w:spacing w:after="0" w:line="240" w:lineRule="auto"/>
              <w:rPr>
                <w:rFonts w:eastAsia="Times New Roman"/>
                <w:noProof/>
              </w:rPr>
            </w:pPr>
            <w:r>
              <w:rPr>
                <w:noProof/>
              </w:rPr>
              <w:t>— Calendarul.</w:t>
            </w:r>
          </w:p>
          <w:p w14:paraId="032F3CEB" w14:textId="77777777" w:rsidR="00C45D59" w:rsidRDefault="00C45D59" w:rsidP="009F5BD9">
            <w:pPr>
              <w:spacing w:after="0" w:line="240" w:lineRule="auto"/>
              <w:rPr>
                <w:rFonts w:ascii="Times New Roman" w:eastAsia="Times New Roman" w:hAnsi="Times New Roman" w:cs="Times New Roman"/>
                <w:noProof/>
                <w:color w:val="006100"/>
                <w:sz w:val="18"/>
                <w:szCs w:val="18"/>
              </w:rPr>
            </w:pPr>
          </w:p>
          <w:p w14:paraId="4640A5C3" w14:textId="77777777" w:rsidR="00C45D59" w:rsidRDefault="009B0962" w:rsidP="009F5BD9">
            <w:pPr>
              <w:pStyle w:val="P68B1DB1-Normal12"/>
              <w:spacing w:after="0" w:line="240" w:lineRule="auto"/>
              <w:rPr>
                <w:rFonts w:eastAsia="Times New Roman"/>
                <w:noProof/>
              </w:rPr>
            </w:pPr>
            <w:r>
              <w:rPr>
                <w:noProof/>
              </w:rPr>
              <w:t xml:space="preserve">Dispoziție specifică privind fondurile alocate pentru a viza locuințele afectate de sărăcie energetică, astfel cum sunt definite de criteriile planului de acțiune privind sărăcia energetică. </w:t>
            </w:r>
          </w:p>
        </w:tc>
      </w:tr>
      <w:tr w:rsidR="00C45D59" w14:paraId="09F131DF" w14:textId="77777777" w:rsidTr="009F5BD9">
        <w:trPr>
          <w:trHeight w:val="309"/>
        </w:trPr>
        <w:tc>
          <w:tcPr>
            <w:tcW w:w="562" w:type="dxa"/>
            <w:shd w:val="clear" w:color="auto" w:fill="C6EFCE"/>
            <w:noWrap/>
            <w:hideMark/>
          </w:tcPr>
          <w:p w14:paraId="37D31A2F" w14:textId="77777777" w:rsidR="00C45D59" w:rsidRDefault="009B0962" w:rsidP="009F5BD9">
            <w:pPr>
              <w:pStyle w:val="P68B1DB1-Normal12"/>
              <w:spacing w:after="0" w:line="240" w:lineRule="auto"/>
              <w:rPr>
                <w:rFonts w:eastAsia="Times New Roman"/>
                <w:noProof/>
              </w:rPr>
            </w:pPr>
            <w:r>
              <w:rPr>
                <w:noProof/>
              </w:rPr>
              <w:t>22</w:t>
            </w:r>
          </w:p>
        </w:tc>
        <w:tc>
          <w:tcPr>
            <w:tcW w:w="1593" w:type="dxa"/>
            <w:shd w:val="clear" w:color="auto" w:fill="C6EFCE"/>
            <w:noWrap/>
            <w:hideMark/>
          </w:tcPr>
          <w:p w14:paraId="38A05FE8" w14:textId="77777777" w:rsidR="00C45D59" w:rsidRDefault="009B0962" w:rsidP="009F5BD9">
            <w:pPr>
              <w:pStyle w:val="P68B1DB1-Normal12"/>
              <w:spacing w:after="0" w:line="240" w:lineRule="auto"/>
              <w:rPr>
                <w:rFonts w:eastAsia="Times New Roman"/>
                <w:noProof/>
              </w:rPr>
            </w:pPr>
            <w:r>
              <w:rPr>
                <w:noProof/>
              </w:rPr>
              <w:t>2-1.2. Renovare – 16872_Renovarea energetică a clădirilor rezidențiale</w:t>
            </w:r>
          </w:p>
        </w:tc>
        <w:tc>
          <w:tcPr>
            <w:tcW w:w="1114" w:type="dxa"/>
            <w:shd w:val="clear" w:color="auto" w:fill="C6EFCE"/>
            <w:noWrap/>
            <w:hideMark/>
          </w:tcPr>
          <w:p w14:paraId="7B8C1128" w14:textId="77777777" w:rsidR="00C45D59" w:rsidRDefault="009B0962" w:rsidP="009F5BD9">
            <w:pPr>
              <w:pStyle w:val="P68B1DB1-Normal12"/>
              <w:spacing w:after="0" w:line="240" w:lineRule="auto"/>
              <w:rPr>
                <w:rFonts w:eastAsia="Times New Roman"/>
                <w:noProof/>
              </w:rPr>
            </w:pPr>
            <w:r>
              <w:rPr>
                <w:noProof/>
              </w:rPr>
              <w:t>Etapă</w:t>
            </w:r>
          </w:p>
        </w:tc>
        <w:tc>
          <w:tcPr>
            <w:tcW w:w="1056" w:type="dxa"/>
            <w:shd w:val="clear" w:color="auto" w:fill="C6EFCE"/>
            <w:noWrap/>
            <w:hideMark/>
          </w:tcPr>
          <w:p w14:paraId="477B2F7B" w14:textId="77777777" w:rsidR="00C45D59" w:rsidRDefault="009B0962" w:rsidP="009F5BD9">
            <w:pPr>
              <w:pStyle w:val="P68B1DB1-Normal12"/>
              <w:spacing w:after="0" w:line="240" w:lineRule="auto"/>
              <w:rPr>
                <w:noProof/>
              </w:rPr>
            </w:pPr>
            <w:r>
              <w:rPr>
                <w:noProof/>
              </w:rPr>
              <w:t>Renovarea locuințelor – lansarea celei de a 3-a runde, inclusiv a gospodăriilor sărace din punct de vedere energetic</w:t>
            </w:r>
          </w:p>
        </w:tc>
        <w:tc>
          <w:tcPr>
            <w:tcW w:w="2311" w:type="dxa"/>
            <w:shd w:val="clear" w:color="auto" w:fill="C6EFCE"/>
            <w:noWrap/>
            <w:hideMark/>
          </w:tcPr>
          <w:p w14:paraId="5BD95693" w14:textId="77777777" w:rsidR="00C45D59" w:rsidRDefault="009B0962" w:rsidP="009F5BD9">
            <w:pPr>
              <w:pStyle w:val="P68B1DB1-Normal12"/>
              <w:spacing w:after="0" w:line="240" w:lineRule="auto"/>
              <w:rPr>
                <w:rFonts w:eastAsia="Times New Roman"/>
                <w:noProof/>
              </w:rPr>
            </w:pPr>
            <w:r>
              <w:rPr>
                <w:noProof/>
              </w:rPr>
              <w:t>Intrarea în vigoare a unei decizii ministeriale comune</w:t>
            </w:r>
          </w:p>
        </w:tc>
        <w:tc>
          <w:tcPr>
            <w:tcW w:w="1192" w:type="dxa"/>
            <w:shd w:val="clear" w:color="auto" w:fill="C6EFCE"/>
            <w:noWrap/>
            <w:hideMark/>
          </w:tcPr>
          <w:p w14:paraId="3BDB3DE3" w14:textId="77777777" w:rsidR="00C45D59" w:rsidRDefault="00C45D59" w:rsidP="009F5BD9">
            <w:pPr>
              <w:spacing w:after="0" w:line="240" w:lineRule="auto"/>
              <w:rPr>
                <w:rFonts w:ascii="Times New Roman" w:eastAsia="Times New Roman" w:hAnsi="Times New Roman" w:cs="Times New Roman"/>
                <w:noProof/>
                <w:color w:val="006100"/>
                <w:sz w:val="18"/>
                <w:szCs w:val="18"/>
              </w:rPr>
            </w:pPr>
          </w:p>
        </w:tc>
        <w:tc>
          <w:tcPr>
            <w:tcW w:w="999" w:type="dxa"/>
            <w:shd w:val="clear" w:color="auto" w:fill="C6EFCE"/>
            <w:noWrap/>
            <w:hideMark/>
          </w:tcPr>
          <w:p w14:paraId="64E20A4D" w14:textId="77777777" w:rsidR="00C45D59" w:rsidRDefault="00C45D59" w:rsidP="009F5BD9">
            <w:pPr>
              <w:spacing w:after="0" w:line="240" w:lineRule="auto"/>
              <w:rPr>
                <w:rFonts w:ascii="Times New Roman" w:eastAsia="Times New Roman" w:hAnsi="Times New Roman" w:cs="Times New Roman"/>
                <w:noProof/>
                <w:color w:val="006100"/>
                <w:sz w:val="18"/>
                <w:szCs w:val="18"/>
              </w:rPr>
            </w:pPr>
          </w:p>
        </w:tc>
        <w:tc>
          <w:tcPr>
            <w:tcW w:w="820" w:type="dxa"/>
            <w:shd w:val="clear" w:color="auto" w:fill="C6EFCE"/>
            <w:noWrap/>
            <w:hideMark/>
          </w:tcPr>
          <w:p w14:paraId="4EB207D6" w14:textId="77777777" w:rsidR="00C45D59" w:rsidRDefault="00C45D59" w:rsidP="009F5BD9">
            <w:pPr>
              <w:spacing w:after="0" w:line="240" w:lineRule="auto"/>
              <w:rPr>
                <w:rFonts w:ascii="Times New Roman" w:eastAsia="Times New Roman" w:hAnsi="Times New Roman" w:cs="Times New Roman"/>
                <w:noProof/>
                <w:color w:val="006100"/>
                <w:sz w:val="18"/>
                <w:szCs w:val="18"/>
              </w:rPr>
            </w:pPr>
          </w:p>
        </w:tc>
        <w:tc>
          <w:tcPr>
            <w:tcW w:w="851" w:type="dxa"/>
            <w:shd w:val="clear" w:color="auto" w:fill="C6EFCE"/>
            <w:noWrap/>
            <w:hideMark/>
          </w:tcPr>
          <w:p w14:paraId="1EE36ABF" w14:textId="77777777" w:rsidR="00C45D59" w:rsidRDefault="009B0962" w:rsidP="009F5BD9">
            <w:pPr>
              <w:pStyle w:val="P68B1DB1-Normal12"/>
              <w:spacing w:after="0" w:line="240" w:lineRule="auto"/>
              <w:rPr>
                <w:rFonts w:eastAsia="Times New Roman"/>
                <w:noProof/>
              </w:rPr>
            </w:pPr>
            <w:r>
              <w:rPr>
                <w:noProof/>
              </w:rPr>
              <w:t>Î4</w:t>
            </w:r>
          </w:p>
        </w:tc>
        <w:tc>
          <w:tcPr>
            <w:tcW w:w="709" w:type="dxa"/>
            <w:shd w:val="clear" w:color="auto" w:fill="C6EFCE"/>
            <w:noWrap/>
            <w:hideMark/>
          </w:tcPr>
          <w:p w14:paraId="1582D83D" w14:textId="77777777" w:rsidR="00C45D59" w:rsidRDefault="009B0962" w:rsidP="009F5BD9">
            <w:pPr>
              <w:pStyle w:val="P68B1DB1-Normal12"/>
              <w:spacing w:after="0" w:line="240" w:lineRule="auto"/>
              <w:rPr>
                <w:rFonts w:eastAsia="Times New Roman"/>
                <w:noProof/>
              </w:rPr>
            </w:pPr>
            <w:r>
              <w:rPr>
                <w:noProof/>
              </w:rPr>
              <w:t>2022</w:t>
            </w:r>
          </w:p>
        </w:tc>
        <w:tc>
          <w:tcPr>
            <w:tcW w:w="3997" w:type="dxa"/>
            <w:shd w:val="clear" w:color="auto" w:fill="C6EFCE"/>
            <w:noWrap/>
            <w:hideMark/>
          </w:tcPr>
          <w:p w14:paraId="57AE4E23" w14:textId="77777777" w:rsidR="00C45D59" w:rsidRDefault="009B0962" w:rsidP="009F5BD9">
            <w:pPr>
              <w:pStyle w:val="P68B1DB1-Normal12"/>
              <w:spacing w:after="0" w:line="240" w:lineRule="auto"/>
              <w:rPr>
                <w:rFonts w:eastAsia="Times New Roman"/>
                <w:noProof/>
              </w:rPr>
            </w:pPr>
            <w:r>
              <w:rPr>
                <w:noProof/>
              </w:rPr>
              <w:t>Intrarea în vigoare a unei decizii ministeriale comune de lansare a programului pentru cea de a treia rundă de renovări, inclusiv instituirea unui proces de selecție pentru a se asigura că consumul de energie primară al locuințelor este redus cu cel puțin 30 % în comparație cu performanța inițială a reședinței, calculată în kWh/m</w:t>
            </w:r>
            <w:r>
              <w:rPr>
                <w:noProof/>
                <w:vertAlign w:val="superscript"/>
              </w:rPr>
              <w:t xml:space="preserve"> 2.</w:t>
            </w:r>
          </w:p>
          <w:p w14:paraId="54F87479" w14:textId="77777777" w:rsidR="00C45D59" w:rsidRDefault="00C45D59" w:rsidP="009F5BD9">
            <w:pPr>
              <w:spacing w:after="0" w:line="240" w:lineRule="auto"/>
              <w:rPr>
                <w:rFonts w:ascii="Times New Roman" w:eastAsia="Times New Roman" w:hAnsi="Times New Roman" w:cs="Times New Roman"/>
                <w:noProof/>
                <w:color w:val="006100"/>
                <w:sz w:val="18"/>
                <w:szCs w:val="18"/>
              </w:rPr>
            </w:pPr>
          </w:p>
          <w:p w14:paraId="5A99250A" w14:textId="77777777" w:rsidR="00C45D59" w:rsidRDefault="009B0962" w:rsidP="009F5BD9">
            <w:pPr>
              <w:pStyle w:val="P68B1DB1-Normal12"/>
              <w:spacing w:after="0" w:line="240" w:lineRule="auto"/>
              <w:rPr>
                <w:rFonts w:eastAsia="Times New Roman"/>
                <w:noProof/>
              </w:rPr>
            </w:pPr>
            <w:r>
              <w:rPr>
                <w:noProof/>
              </w:rPr>
              <w:t>Decizia ministerială comună stabilește:</w:t>
            </w:r>
          </w:p>
          <w:p w14:paraId="402EDDBB" w14:textId="77777777" w:rsidR="00C45D59" w:rsidRDefault="009B0962" w:rsidP="009F5BD9">
            <w:pPr>
              <w:pStyle w:val="P68B1DB1-Normal12"/>
              <w:spacing w:after="0" w:line="240" w:lineRule="auto"/>
              <w:rPr>
                <w:rFonts w:eastAsia="Times New Roman"/>
                <w:noProof/>
              </w:rPr>
            </w:pPr>
            <w:r>
              <w:rPr>
                <w:noProof/>
              </w:rPr>
              <w:t>— Mecanismul de punere în aplicare;</w:t>
            </w:r>
          </w:p>
          <w:p w14:paraId="60FD1464" w14:textId="77777777" w:rsidR="00C45D59" w:rsidRDefault="009B0962" w:rsidP="009F5BD9">
            <w:pPr>
              <w:pStyle w:val="P68B1DB1-Normal12"/>
              <w:spacing w:after="0" w:line="240" w:lineRule="auto"/>
              <w:rPr>
                <w:rFonts w:eastAsia="Times New Roman"/>
                <w:noProof/>
              </w:rPr>
            </w:pPr>
            <w:r>
              <w:rPr>
                <w:noProof/>
              </w:rPr>
              <w:t xml:space="preserve">— Procesul de selecție pentru atingerea obiectivului stabilit privind economiile de energie primară; </w:t>
            </w:r>
          </w:p>
          <w:p w14:paraId="680428C7" w14:textId="77777777" w:rsidR="00C45D59" w:rsidRDefault="009B0962" w:rsidP="009F5BD9">
            <w:pPr>
              <w:pStyle w:val="P68B1DB1-Normal12"/>
              <w:spacing w:after="0" w:line="240" w:lineRule="auto"/>
              <w:rPr>
                <w:rFonts w:eastAsia="Times New Roman"/>
                <w:noProof/>
              </w:rPr>
            </w:pPr>
            <w:r>
              <w:rPr>
                <w:noProof/>
              </w:rPr>
              <w:t>— Dispoziții privind locuințele afectate de sărăcie energetică, în conformitate cu criteriile stabilite în planul de acțiune privind sărăcia energetică adoptat;</w:t>
            </w:r>
          </w:p>
          <w:p w14:paraId="029D3C14" w14:textId="77777777" w:rsidR="00C45D59" w:rsidRDefault="009B0962" w:rsidP="009F5BD9">
            <w:pPr>
              <w:pStyle w:val="P68B1DB1-Normal12"/>
              <w:spacing w:after="0" w:line="240" w:lineRule="auto"/>
              <w:rPr>
                <w:rFonts w:eastAsia="Times New Roman"/>
                <w:noProof/>
              </w:rPr>
            </w:pPr>
            <w:r>
              <w:rPr>
                <w:noProof/>
              </w:rPr>
              <w:t>— Mecanismul de certificare pentru validarea economiilor reale de energie primară realizate (inclusiv detalii privind posibilele acțiuni corective menite să asigure îndeplinirea obiectivului privind economiile de energie primară); și</w:t>
            </w:r>
          </w:p>
          <w:p w14:paraId="65168050" w14:textId="77777777" w:rsidR="00C45D59" w:rsidRDefault="009B0962" w:rsidP="009F5BD9">
            <w:pPr>
              <w:pStyle w:val="P68B1DB1-Normal12"/>
              <w:spacing w:after="0" w:line="240" w:lineRule="auto"/>
              <w:rPr>
                <w:rFonts w:eastAsia="Times New Roman"/>
                <w:noProof/>
              </w:rPr>
            </w:pPr>
            <w:r>
              <w:rPr>
                <w:noProof/>
              </w:rPr>
              <w:t>— Calendarul.</w:t>
            </w:r>
          </w:p>
          <w:p w14:paraId="2B456DFC" w14:textId="77777777" w:rsidR="00C45D59" w:rsidRDefault="00C45D59" w:rsidP="009F5BD9">
            <w:pPr>
              <w:spacing w:after="0" w:line="240" w:lineRule="auto"/>
              <w:rPr>
                <w:rFonts w:ascii="Times New Roman" w:eastAsia="Times New Roman" w:hAnsi="Times New Roman" w:cs="Times New Roman"/>
                <w:noProof/>
                <w:color w:val="006100"/>
                <w:sz w:val="18"/>
                <w:szCs w:val="18"/>
              </w:rPr>
            </w:pPr>
          </w:p>
          <w:p w14:paraId="21991CC3" w14:textId="77777777" w:rsidR="00C45D59" w:rsidRDefault="009B0962" w:rsidP="009F5BD9">
            <w:pPr>
              <w:pStyle w:val="P68B1DB1-Normal12"/>
              <w:spacing w:after="0" w:line="240" w:lineRule="auto"/>
              <w:rPr>
                <w:rFonts w:eastAsia="Times New Roman"/>
                <w:noProof/>
              </w:rPr>
            </w:pPr>
            <w:r>
              <w:rPr>
                <w:noProof/>
              </w:rPr>
              <w:t>Dispoziție specifică privind fondurile alocate pentru a viza locuințele afectate de sărăcie energetică, astfel cum sunt definite de criteriile planului de acțiune privind sărăcia energetică.</w:t>
            </w:r>
          </w:p>
        </w:tc>
      </w:tr>
      <w:tr w:rsidR="00C45D59" w14:paraId="35B7DB00" w14:textId="77777777" w:rsidTr="009F5BD9">
        <w:trPr>
          <w:trHeight w:val="309"/>
        </w:trPr>
        <w:tc>
          <w:tcPr>
            <w:tcW w:w="562" w:type="dxa"/>
            <w:shd w:val="clear" w:color="auto" w:fill="C6EFCE"/>
            <w:noWrap/>
            <w:hideMark/>
          </w:tcPr>
          <w:p w14:paraId="0512E100" w14:textId="77777777" w:rsidR="00C45D59" w:rsidRDefault="009B0962" w:rsidP="009F5BD9">
            <w:pPr>
              <w:pStyle w:val="P68B1DB1-Normal12"/>
              <w:spacing w:after="0" w:line="240" w:lineRule="auto"/>
              <w:rPr>
                <w:rFonts w:eastAsia="Times New Roman"/>
                <w:noProof/>
              </w:rPr>
            </w:pPr>
            <w:r>
              <w:rPr>
                <w:noProof/>
              </w:rPr>
              <w:t>23</w:t>
            </w:r>
          </w:p>
        </w:tc>
        <w:tc>
          <w:tcPr>
            <w:tcW w:w="1593" w:type="dxa"/>
            <w:shd w:val="clear" w:color="auto" w:fill="C6EFCE"/>
            <w:noWrap/>
            <w:hideMark/>
          </w:tcPr>
          <w:p w14:paraId="404E7E30" w14:textId="77777777" w:rsidR="00C45D59" w:rsidRDefault="009B0962" w:rsidP="009F5BD9">
            <w:pPr>
              <w:pStyle w:val="P68B1DB1-Normal12"/>
              <w:spacing w:after="0" w:line="240" w:lineRule="auto"/>
              <w:rPr>
                <w:rFonts w:eastAsia="Times New Roman"/>
                <w:noProof/>
              </w:rPr>
            </w:pPr>
            <w:r>
              <w:rPr>
                <w:noProof/>
              </w:rPr>
              <w:t>2-1.2. Renovare – 16872_Renovarea energetică a clădirilor rezidențiale</w:t>
            </w:r>
          </w:p>
        </w:tc>
        <w:tc>
          <w:tcPr>
            <w:tcW w:w="1114" w:type="dxa"/>
            <w:shd w:val="clear" w:color="auto" w:fill="C6EFCE"/>
            <w:noWrap/>
            <w:hideMark/>
          </w:tcPr>
          <w:p w14:paraId="1E4BD254" w14:textId="77777777" w:rsidR="00C45D59" w:rsidRDefault="009B0962" w:rsidP="009F5BD9">
            <w:pPr>
              <w:pStyle w:val="P68B1DB1-Normal12"/>
              <w:spacing w:after="0" w:line="240" w:lineRule="auto"/>
              <w:rPr>
                <w:rFonts w:eastAsia="Times New Roman"/>
                <w:noProof/>
              </w:rPr>
            </w:pPr>
            <w:r>
              <w:rPr>
                <w:noProof/>
              </w:rPr>
              <w:t>Țintă</w:t>
            </w:r>
          </w:p>
        </w:tc>
        <w:tc>
          <w:tcPr>
            <w:tcW w:w="1056" w:type="dxa"/>
            <w:shd w:val="clear" w:color="auto" w:fill="C6EFCE"/>
            <w:noWrap/>
          </w:tcPr>
          <w:p w14:paraId="5DD0A0A7" w14:textId="77777777" w:rsidR="00C45D59" w:rsidRDefault="009B0962" w:rsidP="009F5BD9">
            <w:pPr>
              <w:pStyle w:val="P68B1DB1-Normal12"/>
              <w:spacing w:after="0" w:line="240" w:lineRule="auto"/>
              <w:rPr>
                <w:rFonts w:eastAsia="Times New Roman"/>
                <w:noProof/>
              </w:rPr>
            </w:pPr>
            <w:r>
              <w:rPr>
                <w:noProof/>
              </w:rPr>
              <w:t>Renovarea locuințelor – renovarea locuințelor # 1</w:t>
            </w:r>
          </w:p>
        </w:tc>
        <w:tc>
          <w:tcPr>
            <w:tcW w:w="2311" w:type="dxa"/>
            <w:shd w:val="clear" w:color="auto" w:fill="C6EFCE"/>
            <w:noWrap/>
          </w:tcPr>
          <w:p w14:paraId="27B01317" w14:textId="77777777" w:rsidR="00C45D59" w:rsidRDefault="00C45D59" w:rsidP="009F5BD9">
            <w:pPr>
              <w:spacing w:after="0" w:line="240" w:lineRule="auto"/>
              <w:rPr>
                <w:rFonts w:ascii="Times New Roman" w:eastAsia="Times New Roman" w:hAnsi="Times New Roman" w:cs="Times New Roman"/>
                <w:noProof/>
                <w:color w:val="006100"/>
                <w:sz w:val="18"/>
                <w:szCs w:val="18"/>
              </w:rPr>
            </w:pPr>
          </w:p>
        </w:tc>
        <w:tc>
          <w:tcPr>
            <w:tcW w:w="1192" w:type="dxa"/>
            <w:shd w:val="clear" w:color="auto" w:fill="C6EFCE"/>
            <w:noWrap/>
            <w:hideMark/>
          </w:tcPr>
          <w:p w14:paraId="28D92CD4" w14:textId="77777777" w:rsidR="00C45D59" w:rsidRDefault="009B0962" w:rsidP="009F5BD9">
            <w:pPr>
              <w:pStyle w:val="P68B1DB1-Normal12"/>
              <w:spacing w:after="0" w:line="240" w:lineRule="auto"/>
              <w:rPr>
                <w:rFonts w:eastAsia="Times New Roman"/>
                <w:noProof/>
              </w:rPr>
            </w:pPr>
            <w:r>
              <w:rPr>
                <w:noProof/>
              </w:rPr>
              <w:t xml:space="preserve">Numărul de renovări certificate finalizate </w:t>
            </w:r>
          </w:p>
        </w:tc>
        <w:tc>
          <w:tcPr>
            <w:tcW w:w="999" w:type="dxa"/>
            <w:shd w:val="clear" w:color="auto" w:fill="C6EFCE"/>
            <w:noWrap/>
            <w:hideMark/>
          </w:tcPr>
          <w:p w14:paraId="2E9981D4" w14:textId="77777777" w:rsidR="00C45D59" w:rsidRDefault="009B0962" w:rsidP="009F5BD9">
            <w:pPr>
              <w:pStyle w:val="P68B1DB1-Normal12"/>
              <w:spacing w:after="0" w:line="240" w:lineRule="auto"/>
              <w:rPr>
                <w:rFonts w:eastAsia="Times New Roman"/>
                <w:noProof/>
              </w:rPr>
            </w:pPr>
            <w:r>
              <w:rPr>
                <w:noProof/>
              </w:rPr>
              <w:t>0</w:t>
            </w:r>
          </w:p>
        </w:tc>
        <w:tc>
          <w:tcPr>
            <w:tcW w:w="820" w:type="dxa"/>
            <w:shd w:val="clear" w:color="auto" w:fill="C6EFCE"/>
            <w:noWrap/>
            <w:hideMark/>
          </w:tcPr>
          <w:p w14:paraId="5216806D" w14:textId="77777777" w:rsidR="00C45D59" w:rsidRDefault="009B0962" w:rsidP="009F5BD9">
            <w:pPr>
              <w:pStyle w:val="P68B1DB1-Normal12"/>
              <w:spacing w:after="0" w:line="240" w:lineRule="auto"/>
              <w:rPr>
                <w:rFonts w:eastAsia="Times New Roman"/>
                <w:noProof/>
              </w:rPr>
            </w:pPr>
            <w:r>
              <w:rPr>
                <w:noProof/>
              </w:rPr>
              <w:t>8 000</w:t>
            </w:r>
          </w:p>
        </w:tc>
        <w:tc>
          <w:tcPr>
            <w:tcW w:w="851" w:type="dxa"/>
            <w:shd w:val="clear" w:color="auto" w:fill="C6EFCE"/>
            <w:noWrap/>
            <w:hideMark/>
          </w:tcPr>
          <w:p w14:paraId="4449AA57" w14:textId="77777777" w:rsidR="00C45D59" w:rsidRDefault="009B0962" w:rsidP="009F5BD9">
            <w:pPr>
              <w:pStyle w:val="P68B1DB1-Normal12"/>
              <w:spacing w:after="0" w:line="240" w:lineRule="auto"/>
              <w:rPr>
                <w:rFonts w:eastAsia="Times New Roman"/>
                <w:noProof/>
              </w:rPr>
            </w:pPr>
            <w:r>
              <w:rPr>
                <w:noProof/>
              </w:rPr>
              <w:t>Î4</w:t>
            </w:r>
          </w:p>
        </w:tc>
        <w:tc>
          <w:tcPr>
            <w:tcW w:w="709" w:type="dxa"/>
            <w:shd w:val="clear" w:color="auto" w:fill="C6EFCE"/>
            <w:noWrap/>
            <w:hideMark/>
          </w:tcPr>
          <w:p w14:paraId="5918B627" w14:textId="77777777" w:rsidR="00C45D59" w:rsidRDefault="009B0962" w:rsidP="009F5BD9">
            <w:pPr>
              <w:pStyle w:val="P68B1DB1-Normal12"/>
              <w:spacing w:after="0" w:line="240" w:lineRule="auto"/>
              <w:rPr>
                <w:rFonts w:eastAsia="Times New Roman"/>
                <w:noProof/>
              </w:rPr>
            </w:pPr>
            <w:r>
              <w:rPr>
                <w:noProof/>
              </w:rPr>
              <w:t>2023</w:t>
            </w:r>
          </w:p>
        </w:tc>
        <w:tc>
          <w:tcPr>
            <w:tcW w:w="3997" w:type="dxa"/>
            <w:shd w:val="clear" w:color="auto" w:fill="C6EFCE"/>
            <w:noWrap/>
            <w:hideMark/>
          </w:tcPr>
          <w:p w14:paraId="2410DB40" w14:textId="77777777" w:rsidR="00C45D59" w:rsidRDefault="009B0962" w:rsidP="009F5BD9">
            <w:pPr>
              <w:pStyle w:val="P68B1DB1-Normal12"/>
              <w:spacing w:after="0" w:line="240" w:lineRule="auto"/>
              <w:rPr>
                <w:noProof/>
              </w:rPr>
            </w:pPr>
            <w:r>
              <w:rPr>
                <w:noProof/>
              </w:rPr>
              <w:t xml:space="preserve">Renovări pentru îmbunătățirea eficienței energetice finalizate pentru numărul de locuințe, echivalente cu o reducere a consumului de energie de 16 ktep anual și cu economii de energie primară, în medie, de cel puțin 30 %, pe baza certificatelor de performanță energetică prezentate. Decizia de finalizare emisă de organismul de gestionare dovedește finalizarea intervențiilor. </w:t>
            </w:r>
          </w:p>
        </w:tc>
      </w:tr>
      <w:tr w:rsidR="00C45D59" w14:paraId="1DBB2B1F" w14:textId="77777777" w:rsidTr="009F5BD9">
        <w:trPr>
          <w:trHeight w:val="1281"/>
        </w:trPr>
        <w:tc>
          <w:tcPr>
            <w:tcW w:w="562" w:type="dxa"/>
            <w:tcBorders>
              <w:top w:val="single" w:sz="4" w:space="0" w:color="auto"/>
              <w:left w:val="single" w:sz="4" w:space="0" w:color="auto"/>
              <w:bottom w:val="single" w:sz="4" w:space="0" w:color="auto"/>
              <w:right w:val="single" w:sz="4" w:space="0" w:color="auto"/>
            </w:tcBorders>
            <w:shd w:val="clear" w:color="auto" w:fill="C6EFCE"/>
            <w:noWrap/>
          </w:tcPr>
          <w:p w14:paraId="6959640B" w14:textId="77777777" w:rsidR="00C45D59" w:rsidRDefault="009B0962" w:rsidP="009F5BD9">
            <w:pPr>
              <w:pStyle w:val="P68B1DB1-Normal12"/>
              <w:spacing w:after="0" w:line="240" w:lineRule="auto"/>
              <w:rPr>
                <w:rFonts w:eastAsia="Times New Roman"/>
                <w:noProof/>
              </w:rPr>
            </w:pPr>
            <w:r>
              <w:rPr>
                <w:noProof/>
              </w:rPr>
              <w:t>26</w:t>
            </w:r>
          </w:p>
        </w:tc>
        <w:tc>
          <w:tcPr>
            <w:tcW w:w="1593" w:type="dxa"/>
            <w:tcBorders>
              <w:top w:val="single" w:sz="4" w:space="0" w:color="auto"/>
              <w:left w:val="single" w:sz="4" w:space="0" w:color="auto"/>
              <w:bottom w:val="single" w:sz="4" w:space="0" w:color="auto"/>
              <w:right w:val="single" w:sz="4" w:space="0" w:color="auto"/>
            </w:tcBorders>
            <w:shd w:val="clear" w:color="auto" w:fill="C6EFCE"/>
            <w:noWrap/>
          </w:tcPr>
          <w:p w14:paraId="255FDA0E" w14:textId="77777777" w:rsidR="00C45D59" w:rsidRDefault="009B0962" w:rsidP="009F5BD9">
            <w:pPr>
              <w:pStyle w:val="P68B1DB1-Normal12"/>
              <w:spacing w:after="0" w:line="240" w:lineRule="auto"/>
              <w:rPr>
                <w:rFonts w:eastAsia="Times New Roman"/>
                <w:noProof/>
              </w:rPr>
            </w:pPr>
            <w:r>
              <w:rPr>
                <w:noProof/>
              </w:rPr>
              <w:t>2-1.2. Renovare – 16872_Renovarea energetică a clădirilor rezidențiale</w:t>
            </w:r>
          </w:p>
        </w:tc>
        <w:tc>
          <w:tcPr>
            <w:tcW w:w="1114" w:type="dxa"/>
            <w:tcBorders>
              <w:top w:val="single" w:sz="4" w:space="0" w:color="auto"/>
              <w:left w:val="single" w:sz="4" w:space="0" w:color="auto"/>
              <w:bottom w:val="single" w:sz="4" w:space="0" w:color="auto"/>
              <w:right w:val="single" w:sz="4" w:space="0" w:color="auto"/>
            </w:tcBorders>
            <w:shd w:val="clear" w:color="auto" w:fill="C6EFCE"/>
            <w:noWrap/>
          </w:tcPr>
          <w:p w14:paraId="693D1FAE" w14:textId="77777777" w:rsidR="00C45D59" w:rsidRDefault="009B0962" w:rsidP="009F5BD9">
            <w:pPr>
              <w:pStyle w:val="P68B1DB1-Normal12"/>
              <w:spacing w:after="0" w:line="240" w:lineRule="auto"/>
              <w:rPr>
                <w:rFonts w:eastAsia="Times New Roman"/>
                <w:noProof/>
              </w:rPr>
            </w:pPr>
            <w:r>
              <w:rPr>
                <w:noProof/>
              </w:rPr>
              <w:t>Țintă</w:t>
            </w:r>
          </w:p>
        </w:tc>
        <w:tc>
          <w:tcPr>
            <w:tcW w:w="1056" w:type="dxa"/>
            <w:tcBorders>
              <w:top w:val="single" w:sz="4" w:space="0" w:color="auto"/>
              <w:left w:val="single" w:sz="4" w:space="0" w:color="auto"/>
              <w:bottom w:val="single" w:sz="4" w:space="0" w:color="auto"/>
              <w:right w:val="single" w:sz="4" w:space="0" w:color="auto"/>
            </w:tcBorders>
            <w:shd w:val="clear" w:color="auto" w:fill="C6EFCE"/>
            <w:noWrap/>
          </w:tcPr>
          <w:p w14:paraId="68F532D2" w14:textId="77777777" w:rsidR="00C45D59" w:rsidRDefault="009B0962" w:rsidP="009F5BD9">
            <w:pPr>
              <w:pStyle w:val="P68B1DB1-Normal12"/>
              <w:spacing w:after="0" w:line="240" w:lineRule="auto"/>
              <w:rPr>
                <w:rFonts w:eastAsia="Times New Roman"/>
                <w:noProof/>
              </w:rPr>
            </w:pPr>
            <w:r>
              <w:rPr>
                <w:noProof/>
              </w:rPr>
              <w:t>Renovarea locuințelor – renovarea locuințelor # 3</w:t>
            </w:r>
          </w:p>
        </w:tc>
        <w:tc>
          <w:tcPr>
            <w:tcW w:w="2311" w:type="dxa"/>
            <w:tcBorders>
              <w:top w:val="single" w:sz="4" w:space="0" w:color="auto"/>
              <w:left w:val="single" w:sz="4" w:space="0" w:color="auto"/>
              <w:bottom w:val="single" w:sz="4" w:space="0" w:color="auto"/>
              <w:right w:val="single" w:sz="4" w:space="0" w:color="auto"/>
            </w:tcBorders>
            <w:shd w:val="clear" w:color="auto" w:fill="C6EFCE"/>
            <w:noWrap/>
          </w:tcPr>
          <w:p w14:paraId="21AB8F9D" w14:textId="77777777" w:rsidR="00C45D59" w:rsidRDefault="00C45D59" w:rsidP="009F5BD9">
            <w:pPr>
              <w:spacing w:after="0" w:line="240" w:lineRule="auto"/>
              <w:rPr>
                <w:rFonts w:ascii="Times New Roman" w:eastAsia="Times New Roman" w:hAnsi="Times New Roman" w:cs="Times New Roman"/>
                <w:noProof/>
                <w:color w:val="006100"/>
                <w:sz w:val="18"/>
                <w:szCs w:val="18"/>
              </w:rPr>
            </w:pPr>
          </w:p>
        </w:tc>
        <w:tc>
          <w:tcPr>
            <w:tcW w:w="1192" w:type="dxa"/>
            <w:tcBorders>
              <w:top w:val="single" w:sz="4" w:space="0" w:color="auto"/>
              <w:left w:val="single" w:sz="4" w:space="0" w:color="auto"/>
              <w:bottom w:val="single" w:sz="4" w:space="0" w:color="auto"/>
              <w:right w:val="single" w:sz="4" w:space="0" w:color="auto"/>
            </w:tcBorders>
            <w:shd w:val="clear" w:color="auto" w:fill="C6EFCE"/>
            <w:noWrap/>
          </w:tcPr>
          <w:p w14:paraId="4DB12E09" w14:textId="77777777" w:rsidR="00C45D59" w:rsidRDefault="009B0962" w:rsidP="009F5BD9">
            <w:pPr>
              <w:pStyle w:val="P68B1DB1-Normal12"/>
              <w:spacing w:after="0" w:line="240" w:lineRule="auto"/>
              <w:rPr>
                <w:rFonts w:eastAsia="Times New Roman"/>
                <w:noProof/>
              </w:rPr>
            </w:pPr>
            <w:r>
              <w:rPr>
                <w:noProof/>
              </w:rPr>
              <w:t>Numărul de renovări efectuate</w:t>
            </w:r>
          </w:p>
        </w:tc>
        <w:tc>
          <w:tcPr>
            <w:tcW w:w="999" w:type="dxa"/>
            <w:tcBorders>
              <w:top w:val="single" w:sz="4" w:space="0" w:color="auto"/>
              <w:left w:val="single" w:sz="4" w:space="0" w:color="auto"/>
              <w:bottom w:val="single" w:sz="4" w:space="0" w:color="auto"/>
              <w:right w:val="single" w:sz="4" w:space="0" w:color="auto"/>
            </w:tcBorders>
            <w:shd w:val="clear" w:color="auto" w:fill="C6EFCE"/>
            <w:noWrap/>
          </w:tcPr>
          <w:p w14:paraId="213FEB5C" w14:textId="77777777" w:rsidR="00C45D59" w:rsidRDefault="009B0962" w:rsidP="009F5BD9">
            <w:pPr>
              <w:pStyle w:val="P68B1DB1-Normal12"/>
              <w:spacing w:after="0" w:line="240" w:lineRule="auto"/>
              <w:rPr>
                <w:rFonts w:eastAsia="Times New Roman"/>
                <w:noProof/>
              </w:rPr>
            </w:pPr>
            <w:r>
              <w:rPr>
                <w:noProof/>
              </w:rPr>
              <w:t>8 000</w:t>
            </w:r>
          </w:p>
        </w:tc>
        <w:tc>
          <w:tcPr>
            <w:tcW w:w="820" w:type="dxa"/>
            <w:tcBorders>
              <w:top w:val="single" w:sz="4" w:space="0" w:color="auto"/>
              <w:left w:val="single" w:sz="4" w:space="0" w:color="auto"/>
              <w:bottom w:val="single" w:sz="4" w:space="0" w:color="auto"/>
              <w:right w:val="single" w:sz="4" w:space="0" w:color="auto"/>
            </w:tcBorders>
            <w:shd w:val="clear" w:color="auto" w:fill="C6EFCE"/>
            <w:noWrap/>
          </w:tcPr>
          <w:p w14:paraId="2C34E4F7" w14:textId="370294A4" w:rsidR="00C45D59" w:rsidRDefault="009B0962" w:rsidP="009F5BD9">
            <w:pPr>
              <w:pStyle w:val="P68B1DB1-Normal12"/>
              <w:spacing w:after="0" w:line="240" w:lineRule="auto"/>
              <w:rPr>
                <w:rFonts w:eastAsia="Times New Roman"/>
                <w:noProof/>
              </w:rPr>
            </w:pPr>
            <w:r>
              <w:rPr>
                <w:noProof/>
              </w:rPr>
              <w:t>69 730</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0440A895" w14:textId="77777777" w:rsidR="00C45D59" w:rsidRDefault="009B0962" w:rsidP="009F5BD9">
            <w:pPr>
              <w:pStyle w:val="P68B1DB1-Normal12"/>
              <w:spacing w:after="0" w:line="240" w:lineRule="auto"/>
              <w:rPr>
                <w:rFonts w:eastAsia="Times New Roman"/>
                <w:noProof/>
              </w:rPr>
            </w:pPr>
            <w:r>
              <w:rPr>
                <w:noProof/>
              </w:rPr>
              <w:t>Î4</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3F900F3B" w14:textId="77777777" w:rsidR="00C45D59" w:rsidRDefault="009B0962" w:rsidP="009F5BD9">
            <w:pPr>
              <w:pStyle w:val="P68B1DB1-Normal12"/>
              <w:spacing w:after="0" w:line="240" w:lineRule="auto"/>
              <w:rPr>
                <w:rFonts w:eastAsia="Times New Roman"/>
                <w:noProof/>
              </w:rPr>
            </w:pPr>
            <w:r>
              <w:rPr>
                <w:noProof/>
              </w:rPr>
              <w:t>2025</w:t>
            </w:r>
          </w:p>
        </w:tc>
        <w:tc>
          <w:tcPr>
            <w:tcW w:w="3997" w:type="dxa"/>
            <w:tcBorders>
              <w:top w:val="single" w:sz="4" w:space="0" w:color="auto"/>
              <w:left w:val="single" w:sz="4" w:space="0" w:color="auto"/>
              <w:bottom w:val="single" w:sz="4" w:space="0" w:color="auto"/>
              <w:right w:val="single" w:sz="4" w:space="0" w:color="auto"/>
            </w:tcBorders>
            <w:shd w:val="clear" w:color="auto" w:fill="C6EFCE"/>
            <w:noWrap/>
          </w:tcPr>
          <w:p w14:paraId="14A51FA1" w14:textId="06F4ACAA" w:rsidR="00C45D59" w:rsidRDefault="009B0962" w:rsidP="009F5BD9">
            <w:pPr>
              <w:pStyle w:val="P68B1DB1-Normal12"/>
              <w:spacing w:after="0" w:line="240" w:lineRule="auto"/>
              <w:rPr>
                <w:noProof/>
              </w:rPr>
            </w:pPr>
            <w:r>
              <w:rPr>
                <w:noProof/>
              </w:rPr>
              <w:t xml:space="preserve">Renovarea în vederea creșterii eficienței energetice a 69 730 de locuințe, dintre care cel puțin 20 400 trebuie să fie gospodării vulnerabile. Renovările realizează economii de energie primară, în medie, de cel puțin 30 %, pe baza certificatelor de performanță energetică prezentate. </w:t>
            </w:r>
          </w:p>
        </w:tc>
      </w:tr>
    </w:tbl>
    <w:p w14:paraId="3072109D" w14:textId="5EB79AB4" w:rsidR="00C45D59" w:rsidRDefault="009F5BD9">
      <w:pPr>
        <w:spacing w:before="120" w:after="120" w:line="240" w:lineRule="auto"/>
        <w:ind w:left="709"/>
        <w:jc w:val="both"/>
        <w:rPr>
          <w:rFonts w:ascii="Times New Roman" w:hAnsi="Times New Roman" w:cs="Times New Roman"/>
          <w:noProof/>
          <w:sz w:val="24"/>
          <w:szCs w:val="24"/>
        </w:rPr>
      </w:pPr>
      <w:r>
        <w:rPr>
          <w:rFonts w:ascii="Times New Roman" w:hAnsi="Times New Roman" w:cs="Times New Roman"/>
          <w:noProof/>
          <w:sz w:val="24"/>
          <w:szCs w:val="24"/>
        </w:rPr>
        <w:br w:type="textWrapping" w:clear="all"/>
      </w:r>
    </w:p>
    <w:p w14:paraId="22F43466" w14:textId="77777777" w:rsidR="00C45D59" w:rsidRDefault="00C45D59">
      <w:pPr>
        <w:keepNext/>
        <w:keepLines/>
        <w:spacing w:before="40" w:after="0" w:line="240" w:lineRule="auto"/>
        <w:jc w:val="both"/>
        <w:outlineLvl w:val="4"/>
        <w:rPr>
          <w:rFonts w:ascii="Cambria" w:hAnsi="Cambria"/>
          <w:noProof/>
          <w:color w:val="365F91"/>
          <w:sz w:val="24"/>
        </w:rPr>
        <w:sectPr w:rsidR="00C45D59">
          <w:headerReference w:type="even" r:id="rId42"/>
          <w:headerReference w:type="default" r:id="rId43"/>
          <w:footerReference w:type="even" r:id="rId44"/>
          <w:footerReference w:type="default" r:id="rId45"/>
          <w:headerReference w:type="first" r:id="rId46"/>
          <w:footerReference w:type="first" r:id="rId47"/>
          <w:pgSz w:w="16839" w:h="11907" w:orient="landscape"/>
          <w:pgMar w:top="1134" w:right="1134" w:bottom="1134" w:left="1134" w:header="567" w:footer="567" w:gutter="0"/>
          <w:cols w:space="720"/>
          <w:docGrid w:linePitch="360"/>
        </w:sectPr>
      </w:pPr>
    </w:p>
    <w:p w14:paraId="0D8AECF9" w14:textId="77777777" w:rsidR="00C45D59" w:rsidRDefault="009B0962">
      <w:pPr>
        <w:pStyle w:val="P68B1DB1-Normal9"/>
        <w:keepNext/>
        <w:keepLines/>
        <w:spacing w:before="40" w:after="0" w:line="240" w:lineRule="auto"/>
        <w:jc w:val="both"/>
        <w:outlineLvl w:val="4"/>
        <w:rPr>
          <w:noProof/>
        </w:rPr>
      </w:pPr>
      <w:r>
        <w:rPr>
          <w:noProof/>
        </w:rPr>
        <w:t>Reforma cheie 2: Planuri urbane</w:t>
      </w:r>
    </w:p>
    <w:tbl>
      <w:tblPr>
        <w:tblW w:w="156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3"/>
        <w:gridCol w:w="2160"/>
        <w:gridCol w:w="1376"/>
        <w:gridCol w:w="1120"/>
        <w:gridCol w:w="1440"/>
        <w:gridCol w:w="1125"/>
        <w:gridCol w:w="1281"/>
        <w:gridCol w:w="866"/>
        <w:gridCol w:w="1006"/>
        <w:gridCol w:w="709"/>
        <w:gridCol w:w="4450"/>
      </w:tblGrid>
      <w:tr w:rsidR="00C45D59" w14:paraId="42E3B7E4" w14:textId="77777777">
        <w:trPr>
          <w:trHeight w:val="844"/>
          <w:jc w:val="center"/>
        </w:trPr>
        <w:tc>
          <w:tcPr>
            <w:tcW w:w="643" w:type="dxa"/>
            <w:vMerge w:val="restart"/>
            <w:shd w:val="clear" w:color="auto" w:fill="BDD7EE"/>
            <w:vAlign w:val="center"/>
            <w:hideMark/>
          </w:tcPr>
          <w:p w14:paraId="25B1BD9D" w14:textId="1C1ED629" w:rsidR="00C45D59" w:rsidRDefault="009B0962">
            <w:pPr>
              <w:pStyle w:val="P68B1DB1-Normal10"/>
              <w:spacing w:after="0" w:line="240" w:lineRule="auto"/>
              <w:jc w:val="center"/>
              <w:rPr>
                <w:rFonts w:eastAsia="Times New Roman" w:cs="Times New Roman"/>
                <w:bCs/>
                <w:noProof/>
                <w:szCs w:val="18"/>
              </w:rPr>
            </w:pPr>
            <w:r>
              <w:rPr>
                <w:noProof/>
              </w:rPr>
              <w:t>Nr</w:t>
            </w:r>
            <w:r w:rsidR="009F5BD9">
              <w:rPr>
                <w:noProof/>
              </w:rPr>
              <w:t>.</w:t>
            </w:r>
            <w:r>
              <w:rPr>
                <w:noProof/>
              </w:rPr>
              <w:t xml:space="preserve"> </w:t>
            </w:r>
            <w:r w:rsidR="009F5BD9">
              <w:rPr>
                <w:noProof/>
              </w:rPr>
              <w:t>crt</w:t>
            </w:r>
            <w:r>
              <w:rPr>
                <w:noProof/>
              </w:rPr>
              <w:t>.</w:t>
            </w:r>
          </w:p>
        </w:tc>
        <w:tc>
          <w:tcPr>
            <w:tcW w:w="2160" w:type="dxa"/>
            <w:vMerge w:val="restart"/>
            <w:shd w:val="clear" w:color="auto" w:fill="BDD7EE"/>
            <w:vAlign w:val="center"/>
            <w:hideMark/>
          </w:tcPr>
          <w:p w14:paraId="2EC3E982" w14:textId="77777777" w:rsidR="00C45D59" w:rsidRDefault="009B0962">
            <w:pPr>
              <w:pStyle w:val="P68B1DB1-Normal10"/>
              <w:spacing w:after="0" w:line="240" w:lineRule="auto"/>
              <w:jc w:val="center"/>
              <w:rPr>
                <w:rFonts w:eastAsia="Times New Roman" w:cs="Times New Roman"/>
                <w:bCs/>
                <w:noProof/>
                <w:szCs w:val="18"/>
              </w:rPr>
            </w:pPr>
            <w:r>
              <w:rPr>
                <w:noProof/>
              </w:rPr>
              <w:t>Măsură conexă (reformă sau investiții)</w:t>
            </w:r>
          </w:p>
        </w:tc>
        <w:tc>
          <w:tcPr>
            <w:tcW w:w="1134" w:type="dxa"/>
            <w:vMerge w:val="restart"/>
            <w:shd w:val="clear" w:color="auto" w:fill="BDD7EE"/>
            <w:vAlign w:val="center"/>
            <w:hideMark/>
          </w:tcPr>
          <w:p w14:paraId="2CE1DFEB" w14:textId="77777777" w:rsidR="00C45D59" w:rsidRDefault="009B0962">
            <w:pPr>
              <w:pStyle w:val="P68B1DB1-Normal10"/>
              <w:spacing w:after="0" w:line="240" w:lineRule="auto"/>
              <w:jc w:val="center"/>
              <w:rPr>
                <w:rFonts w:eastAsia="Times New Roman" w:cs="Times New Roman"/>
                <w:bCs/>
                <w:noProof/>
                <w:szCs w:val="18"/>
              </w:rPr>
            </w:pPr>
            <w:r>
              <w:rPr>
                <w:noProof/>
              </w:rPr>
              <w:t>Etapă/Obiectiv</w:t>
            </w:r>
          </w:p>
        </w:tc>
        <w:tc>
          <w:tcPr>
            <w:tcW w:w="1120" w:type="dxa"/>
            <w:vMerge w:val="restart"/>
            <w:shd w:val="clear" w:color="auto" w:fill="BDD7EE"/>
            <w:vAlign w:val="center"/>
            <w:hideMark/>
          </w:tcPr>
          <w:p w14:paraId="7057FCFB" w14:textId="6D6BB71D" w:rsidR="00C45D59" w:rsidRDefault="009F5BD9">
            <w:pPr>
              <w:pStyle w:val="P68B1DB1-Normal10"/>
              <w:spacing w:after="0" w:line="240" w:lineRule="auto"/>
              <w:jc w:val="center"/>
              <w:rPr>
                <w:rFonts w:eastAsia="Times New Roman" w:cs="Times New Roman"/>
                <w:bCs/>
                <w:noProof/>
                <w:szCs w:val="18"/>
              </w:rPr>
            </w:pPr>
            <w:r>
              <w:rPr>
                <w:noProof/>
              </w:rPr>
              <w:t>Denumire</w:t>
            </w:r>
          </w:p>
        </w:tc>
        <w:tc>
          <w:tcPr>
            <w:tcW w:w="1440" w:type="dxa"/>
            <w:vMerge w:val="restart"/>
            <w:shd w:val="clear" w:color="auto" w:fill="BDD7EE"/>
            <w:vAlign w:val="center"/>
            <w:hideMark/>
          </w:tcPr>
          <w:p w14:paraId="7A911560" w14:textId="77777777" w:rsidR="00C45D59" w:rsidRDefault="009B0962">
            <w:pPr>
              <w:pStyle w:val="P68B1DB1-Normal10"/>
              <w:spacing w:after="0" w:line="240" w:lineRule="auto"/>
              <w:jc w:val="center"/>
              <w:rPr>
                <w:rFonts w:eastAsia="Times New Roman" w:cs="Times New Roman"/>
                <w:bCs/>
                <w:noProof/>
                <w:szCs w:val="18"/>
              </w:rPr>
            </w:pPr>
            <w:r>
              <w:rPr>
                <w:noProof/>
              </w:rPr>
              <w:t>Indicatori calitativi (pentru obiectivele de etapă)</w:t>
            </w:r>
          </w:p>
        </w:tc>
        <w:tc>
          <w:tcPr>
            <w:tcW w:w="3111" w:type="dxa"/>
            <w:gridSpan w:val="3"/>
            <w:shd w:val="clear" w:color="auto" w:fill="BDD7EE"/>
            <w:vAlign w:val="center"/>
            <w:hideMark/>
          </w:tcPr>
          <w:p w14:paraId="2AEE0F2B" w14:textId="77777777" w:rsidR="00C45D59" w:rsidRDefault="009B0962">
            <w:pPr>
              <w:pStyle w:val="P68B1DB1-Normal10"/>
              <w:spacing w:after="0" w:line="240" w:lineRule="auto"/>
              <w:jc w:val="center"/>
              <w:rPr>
                <w:rFonts w:eastAsia="Times New Roman" w:cs="Times New Roman"/>
                <w:bCs/>
                <w:noProof/>
                <w:szCs w:val="18"/>
              </w:rPr>
            </w:pPr>
            <w:r>
              <w:rPr>
                <w:noProof/>
              </w:rPr>
              <w:t xml:space="preserve">Indicatori cantitativi </w:t>
            </w:r>
            <w:r>
              <w:rPr>
                <w:noProof/>
              </w:rPr>
              <w:br/>
              <w:t>(pentru obiective)</w:t>
            </w:r>
          </w:p>
        </w:tc>
        <w:tc>
          <w:tcPr>
            <w:tcW w:w="1558" w:type="dxa"/>
            <w:gridSpan w:val="2"/>
            <w:shd w:val="clear" w:color="auto" w:fill="BDD7EE"/>
            <w:vAlign w:val="center"/>
            <w:hideMark/>
          </w:tcPr>
          <w:p w14:paraId="09C8B1E0" w14:textId="77777777" w:rsidR="00C45D59" w:rsidRDefault="009B0962">
            <w:pPr>
              <w:pStyle w:val="P68B1DB1-Normal10"/>
              <w:spacing w:after="0" w:line="240" w:lineRule="auto"/>
              <w:jc w:val="center"/>
              <w:rPr>
                <w:rFonts w:eastAsia="Times New Roman" w:cs="Times New Roman"/>
                <w:bCs/>
                <w:noProof/>
                <w:szCs w:val="18"/>
              </w:rPr>
            </w:pPr>
            <w:r>
              <w:rPr>
                <w:noProof/>
              </w:rPr>
              <w:t xml:space="preserve">Calendar orientativ pentru finalizare </w:t>
            </w:r>
          </w:p>
        </w:tc>
        <w:tc>
          <w:tcPr>
            <w:tcW w:w="4450" w:type="dxa"/>
            <w:vMerge w:val="restart"/>
            <w:shd w:val="clear" w:color="auto" w:fill="BDD7EE"/>
            <w:vAlign w:val="center"/>
            <w:hideMark/>
          </w:tcPr>
          <w:p w14:paraId="735C9C43" w14:textId="77777777" w:rsidR="00C45D59" w:rsidRDefault="009B0962">
            <w:pPr>
              <w:pStyle w:val="P68B1DB1-Normal10"/>
              <w:spacing w:after="0" w:line="240" w:lineRule="auto"/>
              <w:jc w:val="center"/>
              <w:rPr>
                <w:rFonts w:eastAsia="Times New Roman" w:cs="Times New Roman"/>
                <w:bCs/>
                <w:noProof/>
                <w:szCs w:val="18"/>
              </w:rPr>
            </w:pPr>
            <w:r>
              <w:rPr>
                <w:noProof/>
              </w:rPr>
              <w:t>Descrierea fiecărui jalon și a fiecărei ținte</w:t>
            </w:r>
          </w:p>
        </w:tc>
      </w:tr>
      <w:tr w:rsidR="00C45D59" w14:paraId="6EFE52A4" w14:textId="77777777">
        <w:trPr>
          <w:trHeight w:val="601"/>
          <w:tblHeader/>
          <w:jc w:val="center"/>
        </w:trPr>
        <w:tc>
          <w:tcPr>
            <w:tcW w:w="643" w:type="dxa"/>
            <w:vMerge/>
            <w:vAlign w:val="center"/>
            <w:hideMark/>
          </w:tcPr>
          <w:p w14:paraId="351281EA" w14:textId="77777777" w:rsidR="00C45D59" w:rsidRDefault="00C45D59">
            <w:pPr>
              <w:spacing w:after="0" w:line="240" w:lineRule="auto"/>
              <w:rPr>
                <w:rFonts w:ascii="Times New Roman" w:eastAsia="Times New Roman" w:hAnsi="Times New Roman" w:cs="Times New Roman"/>
                <w:b/>
                <w:bCs/>
                <w:noProof/>
                <w:sz w:val="18"/>
                <w:szCs w:val="18"/>
              </w:rPr>
            </w:pPr>
          </w:p>
        </w:tc>
        <w:tc>
          <w:tcPr>
            <w:tcW w:w="2160" w:type="dxa"/>
            <w:vMerge/>
            <w:vAlign w:val="center"/>
            <w:hideMark/>
          </w:tcPr>
          <w:p w14:paraId="220ED0EA" w14:textId="77777777" w:rsidR="00C45D59" w:rsidRDefault="00C45D59">
            <w:pPr>
              <w:spacing w:after="0" w:line="240" w:lineRule="auto"/>
              <w:rPr>
                <w:rFonts w:ascii="Times New Roman" w:eastAsia="Times New Roman" w:hAnsi="Times New Roman" w:cs="Times New Roman"/>
                <w:b/>
                <w:bCs/>
                <w:noProof/>
                <w:sz w:val="18"/>
                <w:szCs w:val="18"/>
              </w:rPr>
            </w:pPr>
          </w:p>
        </w:tc>
        <w:tc>
          <w:tcPr>
            <w:tcW w:w="1134" w:type="dxa"/>
            <w:vMerge/>
            <w:vAlign w:val="center"/>
            <w:hideMark/>
          </w:tcPr>
          <w:p w14:paraId="2D7171DB" w14:textId="77777777" w:rsidR="00C45D59" w:rsidRDefault="00C45D59">
            <w:pPr>
              <w:spacing w:after="0" w:line="240" w:lineRule="auto"/>
              <w:rPr>
                <w:rFonts w:ascii="Times New Roman" w:eastAsia="Times New Roman" w:hAnsi="Times New Roman" w:cs="Times New Roman"/>
                <w:b/>
                <w:bCs/>
                <w:noProof/>
                <w:sz w:val="18"/>
                <w:szCs w:val="18"/>
              </w:rPr>
            </w:pPr>
          </w:p>
        </w:tc>
        <w:tc>
          <w:tcPr>
            <w:tcW w:w="1120" w:type="dxa"/>
            <w:vMerge/>
            <w:vAlign w:val="center"/>
            <w:hideMark/>
          </w:tcPr>
          <w:p w14:paraId="7429B805" w14:textId="77777777" w:rsidR="00C45D59" w:rsidRDefault="00C45D59">
            <w:pPr>
              <w:spacing w:after="0" w:line="240" w:lineRule="auto"/>
              <w:rPr>
                <w:rFonts w:ascii="Times New Roman" w:eastAsia="Times New Roman" w:hAnsi="Times New Roman" w:cs="Times New Roman"/>
                <w:b/>
                <w:bCs/>
                <w:noProof/>
                <w:sz w:val="18"/>
                <w:szCs w:val="18"/>
              </w:rPr>
            </w:pPr>
          </w:p>
        </w:tc>
        <w:tc>
          <w:tcPr>
            <w:tcW w:w="1440" w:type="dxa"/>
            <w:vMerge/>
            <w:vAlign w:val="center"/>
            <w:hideMark/>
          </w:tcPr>
          <w:p w14:paraId="7F85935F" w14:textId="77777777" w:rsidR="00C45D59" w:rsidRDefault="00C45D59">
            <w:pPr>
              <w:spacing w:after="0" w:line="240" w:lineRule="auto"/>
              <w:rPr>
                <w:rFonts w:ascii="Times New Roman" w:eastAsia="Times New Roman" w:hAnsi="Times New Roman" w:cs="Times New Roman"/>
                <w:b/>
                <w:bCs/>
                <w:noProof/>
                <w:sz w:val="18"/>
                <w:szCs w:val="18"/>
              </w:rPr>
            </w:pPr>
          </w:p>
        </w:tc>
        <w:tc>
          <w:tcPr>
            <w:tcW w:w="1125" w:type="dxa"/>
            <w:shd w:val="clear" w:color="auto" w:fill="BDD7EE"/>
            <w:vAlign w:val="center"/>
            <w:hideMark/>
          </w:tcPr>
          <w:p w14:paraId="42739195" w14:textId="77777777" w:rsidR="00C45D59" w:rsidRDefault="009B0962">
            <w:pPr>
              <w:pStyle w:val="P68B1DB1-Normal10"/>
              <w:spacing w:after="0" w:line="240" w:lineRule="auto"/>
              <w:jc w:val="center"/>
              <w:rPr>
                <w:rFonts w:eastAsia="Times New Roman" w:cs="Times New Roman"/>
                <w:bCs/>
                <w:noProof/>
                <w:szCs w:val="18"/>
              </w:rPr>
            </w:pPr>
            <w:r>
              <w:rPr>
                <w:noProof/>
              </w:rPr>
              <w:t>Unitatea de măsură</w:t>
            </w:r>
          </w:p>
        </w:tc>
        <w:tc>
          <w:tcPr>
            <w:tcW w:w="1281" w:type="dxa"/>
            <w:shd w:val="clear" w:color="auto" w:fill="BDD7EE"/>
            <w:vAlign w:val="center"/>
            <w:hideMark/>
          </w:tcPr>
          <w:p w14:paraId="66A4D486" w14:textId="77777777" w:rsidR="00C45D59" w:rsidRDefault="009B0962">
            <w:pPr>
              <w:pStyle w:val="P68B1DB1-Normal10"/>
              <w:spacing w:after="0" w:line="240" w:lineRule="auto"/>
              <w:jc w:val="center"/>
              <w:rPr>
                <w:rFonts w:eastAsia="Times New Roman" w:cs="Times New Roman"/>
                <w:bCs/>
                <w:noProof/>
                <w:szCs w:val="18"/>
              </w:rPr>
            </w:pPr>
            <w:r>
              <w:rPr>
                <w:noProof/>
              </w:rPr>
              <w:t xml:space="preserve">Situația de referință </w:t>
            </w:r>
          </w:p>
        </w:tc>
        <w:tc>
          <w:tcPr>
            <w:tcW w:w="705" w:type="dxa"/>
            <w:shd w:val="clear" w:color="auto" w:fill="BDD7EE"/>
            <w:vAlign w:val="center"/>
            <w:hideMark/>
          </w:tcPr>
          <w:p w14:paraId="5C79F8E3" w14:textId="77777777" w:rsidR="00C45D59" w:rsidRDefault="009B0962">
            <w:pPr>
              <w:pStyle w:val="P68B1DB1-Normal10"/>
              <w:spacing w:after="0" w:line="240" w:lineRule="auto"/>
              <w:jc w:val="center"/>
              <w:rPr>
                <w:rFonts w:eastAsia="Times New Roman" w:cs="Times New Roman"/>
                <w:bCs/>
                <w:noProof/>
                <w:szCs w:val="18"/>
              </w:rPr>
            </w:pPr>
            <w:r>
              <w:rPr>
                <w:noProof/>
              </w:rPr>
              <w:t xml:space="preserve">Obiectiv </w:t>
            </w:r>
          </w:p>
        </w:tc>
        <w:tc>
          <w:tcPr>
            <w:tcW w:w="849" w:type="dxa"/>
            <w:shd w:val="clear" w:color="auto" w:fill="BDD7EE"/>
            <w:vAlign w:val="center"/>
            <w:hideMark/>
          </w:tcPr>
          <w:p w14:paraId="4E4DFEFF" w14:textId="77777777" w:rsidR="00C45D59" w:rsidRDefault="009B0962">
            <w:pPr>
              <w:pStyle w:val="P68B1DB1-Normal10"/>
              <w:spacing w:after="0" w:line="240" w:lineRule="auto"/>
              <w:jc w:val="center"/>
              <w:rPr>
                <w:rFonts w:eastAsia="Times New Roman" w:cs="Times New Roman"/>
                <w:bCs/>
                <w:noProof/>
                <w:szCs w:val="18"/>
              </w:rPr>
            </w:pPr>
            <w:r>
              <w:rPr>
                <w:noProof/>
              </w:rPr>
              <w:t>Trimestru</w:t>
            </w:r>
          </w:p>
        </w:tc>
        <w:tc>
          <w:tcPr>
            <w:tcW w:w="709" w:type="dxa"/>
            <w:shd w:val="clear" w:color="auto" w:fill="BDD7EE"/>
            <w:vAlign w:val="center"/>
            <w:hideMark/>
          </w:tcPr>
          <w:p w14:paraId="213C5102" w14:textId="77777777" w:rsidR="00C45D59" w:rsidRDefault="009B0962">
            <w:pPr>
              <w:pStyle w:val="P68B1DB1-Normal10"/>
              <w:spacing w:after="0" w:line="240" w:lineRule="auto"/>
              <w:jc w:val="center"/>
              <w:rPr>
                <w:rFonts w:eastAsia="Times New Roman" w:cs="Times New Roman"/>
                <w:bCs/>
                <w:noProof/>
                <w:szCs w:val="18"/>
              </w:rPr>
            </w:pPr>
            <w:r>
              <w:rPr>
                <w:noProof/>
              </w:rPr>
              <w:t>Anul</w:t>
            </w:r>
          </w:p>
        </w:tc>
        <w:tc>
          <w:tcPr>
            <w:tcW w:w="4450" w:type="dxa"/>
            <w:vMerge/>
            <w:vAlign w:val="center"/>
            <w:hideMark/>
          </w:tcPr>
          <w:p w14:paraId="21FC816F" w14:textId="77777777" w:rsidR="00C45D59" w:rsidRDefault="00C45D59">
            <w:pPr>
              <w:spacing w:after="0" w:line="240" w:lineRule="auto"/>
              <w:rPr>
                <w:rFonts w:ascii="Times New Roman" w:eastAsia="Times New Roman" w:hAnsi="Times New Roman" w:cs="Times New Roman"/>
                <w:b/>
                <w:bCs/>
                <w:noProof/>
                <w:sz w:val="18"/>
                <w:szCs w:val="18"/>
              </w:rPr>
            </w:pPr>
          </w:p>
        </w:tc>
      </w:tr>
      <w:tr w:rsidR="00C45D59" w14:paraId="2820D929" w14:textId="77777777">
        <w:trPr>
          <w:trHeight w:val="313"/>
          <w:tblHeader/>
          <w:jc w:val="center"/>
        </w:trPr>
        <w:tc>
          <w:tcPr>
            <w:tcW w:w="643" w:type="dxa"/>
            <w:tcBorders>
              <w:top w:val="single" w:sz="4" w:space="0" w:color="auto"/>
              <w:left w:val="single" w:sz="4" w:space="0" w:color="auto"/>
              <w:bottom w:val="single" w:sz="4" w:space="0" w:color="auto"/>
              <w:right w:val="single" w:sz="4" w:space="0" w:color="auto"/>
            </w:tcBorders>
            <w:shd w:val="clear" w:color="auto" w:fill="C6EFCE"/>
            <w:noWrap/>
          </w:tcPr>
          <w:p w14:paraId="2DB55D2F" w14:textId="77777777" w:rsidR="00C45D59" w:rsidRDefault="009B0962">
            <w:pPr>
              <w:pStyle w:val="P68B1DB1-Normal12"/>
              <w:spacing w:after="0" w:line="240" w:lineRule="auto"/>
              <w:rPr>
                <w:rFonts w:eastAsia="Times New Roman"/>
                <w:noProof/>
              </w:rPr>
            </w:pPr>
            <w:r>
              <w:rPr>
                <w:noProof/>
              </w:rPr>
              <w:t>27</w:t>
            </w:r>
          </w:p>
        </w:tc>
        <w:tc>
          <w:tcPr>
            <w:tcW w:w="2160" w:type="dxa"/>
            <w:tcBorders>
              <w:top w:val="single" w:sz="4" w:space="0" w:color="auto"/>
              <w:left w:val="single" w:sz="4" w:space="0" w:color="auto"/>
              <w:bottom w:val="single" w:sz="4" w:space="0" w:color="auto"/>
              <w:right w:val="single" w:sz="4" w:space="0" w:color="auto"/>
            </w:tcBorders>
            <w:shd w:val="clear" w:color="auto" w:fill="C6EFCE"/>
            <w:noWrap/>
          </w:tcPr>
          <w:p w14:paraId="21C49471" w14:textId="77777777" w:rsidR="00C45D59" w:rsidRDefault="009B0962">
            <w:pPr>
              <w:pStyle w:val="P68B1DB1-Normal12"/>
              <w:spacing w:after="0" w:line="240" w:lineRule="auto"/>
              <w:rPr>
                <w:rFonts w:eastAsia="Times New Roman"/>
                <w:noProof/>
              </w:rPr>
            </w:pPr>
            <w:r>
              <w:rPr>
                <w:noProof/>
              </w:rPr>
              <w:t>2-1.2. Renovare – 16879_Pregătirea planurilor urbane pentru punerea în aplicare a reformei politicii urbane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0D7F67A7" w14:textId="77777777" w:rsidR="00C45D59" w:rsidRDefault="009B0962">
            <w:pPr>
              <w:pStyle w:val="P68B1DB1-Normal12"/>
              <w:spacing w:after="0" w:line="240" w:lineRule="auto"/>
              <w:rPr>
                <w:rFonts w:eastAsia="Times New Roman"/>
                <w:noProof/>
              </w:rPr>
            </w:pPr>
            <w:r>
              <w:rPr>
                <w:noProof/>
              </w:rPr>
              <w:t>Etapă</w:t>
            </w:r>
          </w:p>
        </w:tc>
        <w:tc>
          <w:tcPr>
            <w:tcW w:w="1120" w:type="dxa"/>
            <w:tcBorders>
              <w:top w:val="single" w:sz="4" w:space="0" w:color="auto"/>
              <w:left w:val="single" w:sz="4" w:space="0" w:color="auto"/>
              <w:bottom w:val="single" w:sz="4" w:space="0" w:color="auto"/>
              <w:right w:val="single" w:sz="4" w:space="0" w:color="auto"/>
            </w:tcBorders>
            <w:shd w:val="clear" w:color="auto" w:fill="C6EFCE"/>
            <w:noWrap/>
          </w:tcPr>
          <w:p w14:paraId="6BB838C6" w14:textId="77777777" w:rsidR="00C45D59" w:rsidRDefault="009B0962">
            <w:pPr>
              <w:pStyle w:val="P68B1DB1-Normal12"/>
              <w:spacing w:after="0" w:line="240" w:lineRule="auto"/>
              <w:rPr>
                <w:rFonts w:eastAsia="Times New Roman"/>
                <w:noProof/>
              </w:rPr>
            </w:pPr>
            <w:r>
              <w:rPr>
                <w:noProof/>
              </w:rPr>
              <w:t>Premiul pentru planuri urbane</w:t>
            </w:r>
          </w:p>
        </w:tc>
        <w:tc>
          <w:tcPr>
            <w:tcW w:w="1440" w:type="dxa"/>
            <w:tcBorders>
              <w:top w:val="single" w:sz="4" w:space="0" w:color="auto"/>
              <w:left w:val="single" w:sz="4" w:space="0" w:color="auto"/>
              <w:bottom w:val="single" w:sz="4" w:space="0" w:color="auto"/>
              <w:right w:val="single" w:sz="4" w:space="0" w:color="auto"/>
            </w:tcBorders>
            <w:shd w:val="clear" w:color="auto" w:fill="C6EFCE"/>
            <w:noWrap/>
          </w:tcPr>
          <w:p w14:paraId="1566EC3C" w14:textId="77777777" w:rsidR="00C45D59" w:rsidRDefault="009B0962">
            <w:pPr>
              <w:pStyle w:val="P68B1DB1-Normal12"/>
              <w:spacing w:after="0" w:line="240" w:lineRule="auto"/>
              <w:rPr>
                <w:rFonts w:eastAsia="Times New Roman"/>
                <w:noProof/>
              </w:rPr>
            </w:pPr>
            <w:r>
              <w:rPr>
                <w:noProof/>
              </w:rPr>
              <w:t>Notificarea atribuirii contractelor</w:t>
            </w:r>
          </w:p>
        </w:tc>
        <w:tc>
          <w:tcPr>
            <w:tcW w:w="1125" w:type="dxa"/>
            <w:tcBorders>
              <w:top w:val="single" w:sz="4" w:space="0" w:color="auto"/>
              <w:left w:val="single" w:sz="4" w:space="0" w:color="auto"/>
              <w:bottom w:val="single" w:sz="4" w:space="0" w:color="auto"/>
              <w:right w:val="single" w:sz="4" w:space="0" w:color="auto"/>
            </w:tcBorders>
            <w:shd w:val="clear" w:color="auto" w:fill="C6EFCE"/>
            <w:noWrap/>
          </w:tcPr>
          <w:p w14:paraId="28816748"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281" w:type="dxa"/>
            <w:tcBorders>
              <w:top w:val="single" w:sz="4" w:space="0" w:color="auto"/>
              <w:left w:val="single" w:sz="4" w:space="0" w:color="auto"/>
              <w:bottom w:val="single" w:sz="4" w:space="0" w:color="auto"/>
              <w:right w:val="single" w:sz="4" w:space="0" w:color="auto"/>
            </w:tcBorders>
            <w:shd w:val="clear" w:color="auto" w:fill="C6EFCE"/>
            <w:noWrap/>
          </w:tcPr>
          <w:p w14:paraId="0763F274"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705" w:type="dxa"/>
            <w:tcBorders>
              <w:top w:val="single" w:sz="4" w:space="0" w:color="auto"/>
              <w:left w:val="single" w:sz="4" w:space="0" w:color="auto"/>
              <w:bottom w:val="single" w:sz="4" w:space="0" w:color="auto"/>
              <w:right w:val="single" w:sz="4" w:space="0" w:color="auto"/>
            </w:tcBorders>
            <w:shd w:val="clear" w:color="auto" w:fill="C6EFCE"/>
            <w:noWrap/>
          </w:tcPr>
          <w:p w14:paraId="2058EF95"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49" w:type="dxa"/>
            <w:tcBorders>
              <w:top w:val="single" w:sz="4" w:space="0" w:color="auto"/>
              <w:left w:val="single" w:sz="4" w:space="0" w:color="auto"/>
              <w:bottom w:val="single" w:sz="4" w:space="0" w:color="auto"/>
              <w:right w:val="single" w:sz="4" w:space="0" w:color="auto"/>
            </w:tcBorders>
            <w:shd w:val="clear" w:color="auto" w:fill="C6EFCE"/>
            <w:noWrap/>
          </w:tcPr>
          <w:p w14:paraId="0EEBFDC0" w14:textId="77777777" w:rsidR="00C45D59" w:rsidRDefault="009B0962">
            <w:pPr>
              <w:pStyle w:val="P68B1DB1-Normal12"/>
              <w:spacing w:after="0" w:line="240" w:lineRule="auto"/>
              <w:rPr>
                <w:rFonts w:eastAsia="Times New Roman"/>
                <w:noProof/>
              </w:rPr>
            </w:pPr>
            <w:r>
              <w:rPr>
                <w:noProof/>
              </w:rPr>
              <w:t>Î4</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0E726154" w14:textId="77777777" w:rsidR="00C45D59" w:rsidRDefault="009B0962">
            <w:pPr>
              <w:pStyle w:val="P68B1DB1-Normal12"/>
              <w:spacing w:after="0" w:line="240" w:lineRule="auto"/>
              <w:rPr>
                <w:rFonts w:eastAsia="Times New Roman"/>
                <w:noProof/>
              </w:rPr>
            </w:pPr>
            <w:r>
              <w:rPr>
                <w:noProof/>
              </w:rPr>
              <w:t>2022</w:t>
            </w:r>
          </w:p>
        </w:tc>
        <w:tc>
          <w:tcPr>
            <w:tcW w:w="4450" w:type="dxa"/>
            <w:tcBorders>
              <w:top w:val="single" w:sz="4" w:space="0" w:color="auto"/>
              <w:left w:val="single" w:sz="4" w:space="0" w:color="auto"/>
              <w:bottom w:val="single" w:sz="4" w:space="0" w:color="auto"/>
              <w:right w:val="single" w:sz="4" w:space="0" w:color="auto"/>
            </w:tcBorders>
            <w:shd w:val="clear" w:color="auto" w:fill="C6EFCE"/>
            <w:noWrap/>
          </w:tcPr>
          <w:p w14:paraId="550C9E4B" w14:textId="77777777" w:rsidR="00C45D59" w:rsidRDefault="009B0962">
            <w:pPr>
              <w:pStyle w:val="P68B1DB1-Normal12"/>
              <w:spacing w:after="0" w:line="240" w:lineRule="auto"/>
              <w:rPr>
                <w:rFonts w:eastAsia="Times New Roman"/>
                <w:noProof/>
              </w:rPr>
            </w:pPr>
            <w:r>
              <w:rPr>
                <w:noProof/>
              </w:rPr>
              <w:t xml:space="preserve">Notificarea atribuirii a 30 % din totalul contractelor (pentru toate intervențiile): </w:t>
            </w:r>
          </w:p>
          <w:p w14:paraId="602187B9" w14:textId="77777777" w:rsidR="00C45D59" w:rsidRDefault="009B0962">
            <w:pPr>
              <w:pStyle w:val="P68B1DB1-Normal12"/>
              <w:spacing w:after="0" w:line="240" w:lineRule="auto"/>
              <w:rPr>
                <w:rFonts w:eastAsia="Times New Roman"/>
                <w:noProof/>
              </w:rPr>
            </w:pPr>
            <w:r>
              <w:rPr>
                <w:noProof/>
              </w:rPr>
              <w:t>1. elaborarea planurilor urbane locale;</w:t>
            </w:r>
          </w:p>
          <w:p w14:paraId="0160B44E" w14:textId="77777777" w:rsidR="00C45D59" w:rsidRDefault="009B0962">
            <w:pPr>
              <w:pStyle w:val="P68B1DB1-Normal12"/>
              <w:spacing w:after="0" w:line="240" w:lineRule="auto"/>
              <w:rPr>
                <w:rFonts w:eastAsia="Times New Roman"/>
                <w:noProof/>
              </w:rPr>
            </w:pPr>
            <w:r>
              <w:rPr>
                <w:noProof/>
              </w:rPr>
              <w:t>2. pregătirea planurilor urbane speciale;</w:t>
            </w:r>
          </w:p>
          <w:p w14:paraId="75F1BD9E" w14:textId="77777777" w:rsidR="00C45D59" w:rsidRDefault="009B0962">
            <w:pPr>
              <w:pStyle w:val="P68B1DB1-Normal12"/>
              <w:spacing w:after="0" w:line="240" w:lineRule="auto"/>
              <w:rPr>
                <w:rFonts w:eastAsia="Times New Roman"/>
                <w:noProof/>
              </w:rPr>
            </w:pPr>
            <w:r>
              <w:rPr>
                <w:noProof/>
              </w:rPr>
              <w:t>3. pregătirea unor planuri independente pentru definirea zonelor de transfer al drepturilor de dezvoltare;</w:t>
            </w:r>
          </w:p>
          <w:p w14:paraId="560459D3" w14:textId="77777777" w:rsidR="00C45D59" w:rsidRDefault="009B0962">
            <w:pPr>
              <w:pStyle w:val="P68B1DB1-Normal12"/>
              <w:spacing w:after="0" w:line="240" w:lineRule="auto"/>
              <w:rPr>
                <w:rFonts w:eastAsia="Times New Roman"/>
                <w:noProof/>
              </w:rPr>
            </w:pPr>
            <w:r>
              <w:rPr>
                <w:noProof/>
              </w:rPr>
              <w:t>4. pregătirea unor planuri independente pentru decontarea deconturilor; și</w:t>
            </w:r>
          </w:p>
          <w:p w14:paraId="7FF6C997" w14:textId="77777777" w:rsidR="00C45D59" w:rsidRDefault="009B0962">
            <w:pPr>
              <w:pStyle w:val="P68B1DB1-Normal12"/>
              <w:spacing w:after="0" w:line="240" w:lineRule="auto"/>
              <w:rPr>
                <w:rFonts w:eastAsia="Times New Roman"/>
                <w:noProof/>
              </w:rPr>
            </w:pPr>
            <w:r>
              <w:rPr>
                <w:noProof/>
              </w:rPr>
              <w:t>5. elaborarea de planuri independente pentru caracterizarea drumurilor municipale.</w:t>
            </w:r>
          </w:p>
          <w:p w14:paraId="39A0B32C" w14:textId="77777777" w:rsidR="00C45D59" w:rsidRDefault="00C45D59">
            <w:pPr>
              <w:spacing w:after="0" w:line="240" w:lineRule="auto"/>
              <w:rPr>
                <w:rFonts w:ascii="Times New Roman" w:eastAsia="Times New Roman" w:hAnsi="Times New Roman" w:cs="Times New Roman"/>
                <w:noProof/>
                <w:color w:val="006100"/>
                <w:sz w:val="18"/>
                <w:szCs w:val="18"/>
              </w:rPr>
            </w:pPr>
          </w:p>
          <w:p w14:paraId="41E92442" w14:textId="7390A256" w:rsidR="00C45D59" w:rsidRDefault="009B0962">
            <w:pPr>
              <w:pStyle w:val="P68B1DB1-Normal12"/>
              <w:spacing w:after="0" w:line="240" w:lineRule="auto"/>
              <w:rPr>
                <w:rFonts w:eastAsia="Times New Roman"/>
                <w:noProof/>
              </w:rPr>
            </w:pPr>
            <w:r>
              <w:rPr>
                <w:noProof/>
              </w:rPr>
              <w:t>Planuri urbane locale care să includă un capitol dedicat măsurilor privind schimbările climatice și prevenirii și gestionării riscurilor legate de climă);</w:t>
            </w:r>
          </w:p>
        </w:tc>
      </w:tr>
      <w:tr w:rsidR="00C45D59" w14:paraId="61249159" w14:textId="77777777">
        <w:trPr>
          <w:trHeight w:val="313"/>
          <w:tblHeader/>
          <w:jc w:val="center"/>
        </w:trPr>
        <w:tc>
          <w:tcPr>
            <w:tcW w:w="643" w:type="dxa"/>
            <w:tcBorders>
              <w:top w:val="single" w:sz="4" w:space="0" w:color="auto"/>
              <w:left w:val="single" w:sz="4" w:space="0" w:color="auto"/>
              <w:bottom w:val="single" w:sz="4" w:space="0" w:color="auto"/>
              <w:right w:val="single" w:sz="4" w:space="0" w:color="auto"/>
            </w:tcBorders>
            <w:shd w:val="clear" w:color="auto" w:fill="C6EFCE"/>
            <w:noWrap/>
          </w:tcPr>
          <w:p w14:paraId="0F37C3ED" w14:textId="77777777" w:rsidR="00C45D59" w:rsidRDefault="009B0962">
            <w:pPr>
              <w:pStyle w:val="P68B1DB1-Normal12"/>
              <w:spacing w:after="0" w:line="240" w:lineRule="auto"/>
              <w:rPr>
                <w:noProof/>
              </w:rPr>
            </w:pPr>
            <w:r>
              <w:rPr>
                <w:noProof/>
              </w:rPr>
              <w:t>28</w:t>
            </w:r>
          </w:p>
        </w:tc>
        <w:tc>
          <w:tcPr>
            <w:tcW w:w="2160" w:type="dxa"/>
            <w:tcBorders>
              <w:top w:val="single" w:sz="4" w:space="0" w:color="auto"/>
              <w:left w:val="single" w:sz="4" w:space="0" w:color="auto"/>
              <w:bottom w:val="single" w:sz="4" w:space="0" w:color="auto"/>
              <w:right w:val="single" w:sz="4" w:space="0" w:color="auto"/>
            </w:tcBorders>
            <w:shd w:val="clear" w:color="auto" w:fill="C6EFCE"/>
            <w:noWrap/>
          </w:tcPr>
          <w:p w14:paraId="69642041" w14:textId="77777777" w:rsidR="00C45D59" w:rsidRDefault="009B0962">
            <w:pPr>
              <w:pStyle w:val="P68B1DB1-Normal12"/>
              <w:spacing w:after="0" w:line="240" w:lineRule="auto"/>
              <w:rPr>
                <w:noProof/>
              </w:rPr>
            </w:pPr>
            <w:r>
              <w:rPr>
                <w:noProof/>
              </w:rPr>
              <w:t>2-1.2. Renovare – 16879_Pregătirea planurilor urbane pentru punerea în aplicare a reformei politicii urbane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4136508E" w14:textId="77777777" w:rsidR="00C45D59" w:rsidRDefault="009B0962">
            <w:pPr>
              <w:pStyle w:val="P68B1DB1-Normal12"/>
              <w:spacing w:after="0" w:line="240" w:lineRule="auto"/>
              <w:rPr>
                <w:noProof/>
              </w:rPr>
            </w:pPr>
            <w:r>
              <w:rPr>
                <w:noProof/>
              </w:rPr>
              <w:t>Etapă</w:t>
            </w:r>
          </w:p>
        </w:tc>
        <w:tc>
          <w:tcPr>
            <w:tcW w:w="1120" w:type="dxa"/>
            <w:tcBorders>
              <w:top w:val="single" w:sz="4" w:space="0" w:color="auto"/>
              <w:left w:val="single" w:sz="4" w:space="0" w:color="auto"/>
              <w:bottom w:val="single" w:sz="4" w:space="0" w:color="auto"/>
              <w:right w:val="single" w:sz="4" w:space="0" w:color="auto"/>
            </w:tcBorders>
            <w:shd w:val="clear" w:color="auto" w:fill="C6EFCE"/>
            <w:noWrap/>
          </w:tcPr>
          <w:p w14:paraId="5BBD237D" w14:textId="77777777" w:rsidR="00C45D59" w:rsidRDefault="009B0962">
            <w:pPr>
              <w:pStyle w:val="P68B1DB1-Normal12"/>
              <w:spacing w:after="0" w:line="240" w:lineRule="auto"/>
              <w:rPr>
                <w:noProof/>
              </w:rPr>
            </w:pPr>
            <w:r>
              <w:rPr>
                <w:noProof/>
              </w:rPr>
              <w:t>Premiul pentru planuri urbane</w:t>
            </w:r>
          </w:p>
        </w:tc>
        <w:tc>
          <w:tcPr>
            <w:tcW w:w="1440" w:type="dxa"/>
            <w:tcBorders>
              <w:top w:val="single" w:sz="4" w:space="0" w:color="auto"/>
              <w:left w:val="single" w:sz="4" w:space="0" w:color="auto"/>
              <w:bottom w:val="single" w:sz="4" w:space="0" w:color="auto"/>
              <w:right w:val="single" w:sz="4" w:space="0" w:color="auto"/>
            </w:tcBorders>
            <w:shd w:val="clear" w:color="auto" w:fill="C6EFCE"/>
            <w:noWrap/>
          </w:tcPr>
          <w:p w14:paraId="02074C54" w14:textId="77777777" w:rsidR="00C45D59" w:rsidRDefault="009B0962">
            <w:pPr>
              <w:pStyle w:val="P68B1DB1-Normal12"/>
              <w:spacing w:after="0" w:line="240" w:lineRule="auto"/>
              <w:rPr>
                <w:noProof/>
              </w:rPr>
            </w:pPr>
            <w:r>
              <w:rPr>
                <w:noProof/>
              </w:rPr>
              <w:t>Notificarea atribuirii contractelor</w:t>
            </w:r>
          </w:p>
        </w:tc>
        <w:tc>
          <w:tcPr>
            <w:tcW w:w="1125" w:type="dxa"/>
            <w:tcBorders>
              <w:top w:val="single" w:sz="4" w:space="0" w:color="auto"/>
              <w:left w:val="single" w:sz="4" w:space="0" w:color="auto"/>
              <w:bottom w:val="single" w:sz="4" w:space="0" w:color="auto"/>
              <w:right w:val="single" w:sz="4" w:space="0" w:color="auto"/>
            </w:tcBorders>
            <w:shd w:val="clear" w:color="auto" w:fill="C6EFCE"/>
            <w:noWrap/>
          </w:tcPr>
          <w:p w14:paraId="6D07E4CA"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281" w:type="dxa"/>
            <w:tcBorders>
              <w:top w:val="single" w:sz="4" w:space="0" w:color="auto"/>
              <w:left w:val="single" w:sz="4" w:space="0" w:color="auto"/>
              <w:bottom w:val="single" w:sz="4" w:space="0" w:color="auto"/>
              <w:right w:val="single" w:sz="4" w:space="0" w:color="auto"/>
            </w:tcBorders>
            <w:shd w:val="clear" w:color="auto" w:fill="C6EFCE"/>
            <w:noWrap/>
          </w:tcPr>
          <w:p w14:paraId="62E11504"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705" w:type="dxa"/>
            <w:tcBorders>
              <w:top w:val="single" w:sz="4" w:space="0" w:color="auto"/>
              <w:left w:val="single" w:sz="4" w:space="0" w:color="auto"/>
              <w:bottom w:val="single" w:sz="4" w:space="0" w:color="auto"/>
              <w:right w:val="single" w:sz="4" w:space="0" w:color="auto"/>
            </w:tcBorders>
            <w:shd w:val="clear" w:color="auto" w:fill="C6EFCE"/>
            <w:noWrap/>
          </w:tcPr>
          <w:p w14:paraId="6FF02021"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49" w:type="dxa"/>
            <w:tcBorders>
              <w:top w:val="single" w:sz="4" w:space="0" w:color="auto"/>
              <w:left w:val="single" w:sz="4" w:space="0" w:color="auto"/>
              <w:bottom w:val="single" w:sz="4" w:space="0" w:color="auto"/>
              <w:right w:val="single" w:sz="4" w:space="0" w:color="auto"/>
            </w:tcBorders>
            <w:shd w:val="clear" w:color="auto" w:fill="C6EFCE"/>
            <w:noWrap/>
          </w:tcPr>
          <w:p w14:paraId="6A0D7E7B" w14:textId="77777777" w:rsidR="00C45D59" w:rsidRDefault="009B0962">
            <w:pPr>
              <w:pStyle w:val="P68B1DB1-Normal12"/>
              <w:spacing w:after="0" w:line="240" w:lineRule="auto"/>
              <w:rPr>
                <w:noProof/>
              </w:rPr>
            </w:pPr>
            <w:r>
              <w:rPr>
                <w:noProof/>
              </w:rPr>
              <w:t>Î4</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22BA357D" w14:textId="77777777" w:rsidR="00C45D59" w:rsidRDefault="009B0962">
            <w:pPr>
              <w:pStyle w:val="P68B1DB1-Normal12"/>
              <w:spacing w:after="0" w:line="240" w:lineRule="auto"/>
              <w:rPr>
                <w:noProof/>
              </w:rPr>
            </w:pPr>
            <w:r>
              <w:rPr>
                <w:noProof/>
              </w:rPr>
              <w:t>2023</w:t>
            </w:r>
          </w:p>
        </w:tc>
        <w:tc>
          <w:tcPr>
            <w:tcW w:w="4450" w:type="dxa"/>
            <w:tcBorders>
              <w:top w:val="single" w:sz="4" w:space="0" w:color="auto"/>
              <w:left w:val="single" w:sz="4" w:space="0" w:color="auto"/>
              <w:bottom w:val="single" w:sz="4" w:space="0" w:color="auto"/>
              <w:right w:val="single" w:sz="4" w:space="0" w:color="auto"/>
            </w:tcBorders>
            <w:shd w:val="clear" w:color="auto" w:fill="C6EFCE"/>
            <w:noWrap/>
          </w:tcPr>
          <w:p w14:paraId="5CA2B91A" w14:textId="77777777" w:rsidR="00C45D59" w:rsidRDefault="009B0962">
            <w:pPr>
              <w:pStyle w:val="P68B1DB1-Normal12"/>
              <w:spacing w:after="0" w:line="240" w:lineRule="auto"/>
              <w:rPr>
                <w:rFonts w:eastAsia="Times New Roman"/>
                <w:noProof/>
              </w:rPr>
            </w:pPr>
            <w:r>
              <w:rPr>
                <w:noProof/>
              </w:rPr>
              <w:t xml:space="preserve">Notificarea atribuirii a 100 % din totalul contractelor (pentru toate intervențiile): </w:t>
            </w:r>
          </w:p>
          <w:p w14:paraId="69A3F93A" w14:textId="77777777" w:rsidR="00C45D59" w:rsidRDefault="009B0962">
            <w:pPr>
              <w:pStyle w:val="P68B1DB1-Normal12"/>
              <w:spacing w:after="0" w:line="240" w:lineRule="auto"/>
              <w:rPr>
                <w:rFonts w:eastAsia="Times New Roman"/>
                <w:noProof/>
              </w:rPr>
            </w:pPr>
            <w:r>
              <w:rPr>
                <w:noProof/>
              </w:rPr>
              <w:t xml:space="preserve">1. elaborarea planurilor urbane locale; </w:t>
            </w:r>
          </w:p>
          <w:p w14:paraId="529D1DA8" w14:textId="77777777" w:rsidR="00C45D59" w:rsidRDefault="009B0962">
            <w:pPr>
              <w:pStyle w:val="P68B1DB1-Normal12"/>
              <w:spacing w:after="0" w:line="240" w:lineRule="auto"/>
              <w:rPr>
                <w:rFonts w:eastAsia="Times New Roman"/>
                <w:noProof/>
              </w:rPr>
            </w:pPr>
            <w:r>
              <w:rPr>
                <w:noProof/>
              </w:rPr>
              <w:t>2. pregătirea planurilor urbane speciale;</w:t>
            </w:r>
          </w:p>
          <w:p w14:paraId="70878BF9" w14:textId="77777777" w:rsidR="00C45D59" w:rsidRDefault="009B0962">
            <w:pPr>
              <w:pStyle w:val="P68B1DB1-Normal12"/>
              <w:spacing w:after="0" w:line="240" w:lineRule="auto"/>
              <w:rPr>
                <w:rFonts w:eastAsia="Times New Roman"/>
                <w:noProof/>
              </w:rPr>
            </w:pPr>
            <w:r>
              <w:rPr>
                <w:noProof/>
              </w:rPr>
              <w:t>3. pregătirea unor planuri independente pentru definirea zonelor de transfer al drepturilor de dezvoltare;</w:t>
            </w:r>
          </w:p>
          <w:p w14:paraId="1B11B669" w14:textId="77777777" w:rsidR="00C45D59" w:rsidRDefault="009B0962">
            <w:pPr>
              <w:pStyle w:val="P68B1DB1-Normal12"/>
              <w:spacing w:after="0" w:line="240" w:lineRule="auto"/>
              <w:rPr>
                <w:rFonts w:eastAsia="Times New Roman"/>
                <w:noProof/>
              </w:rPr>
            </w:pPr>
            <w:r>
              <w:rPr>
                <w:noProof/>
              </w:rPr>
              <w:t>4. pregătirea unor planuri independente pentru decontarea deconturilor; și</w:t>
            </w:r>
          </w:p>
          <w:p w14:paraId="4E8BB827" w14:textId="0EB0C05F" w:rsidR="00C45D59" w:rsidRDefault="009B0962">
            <w:pPr>
              <w:pStyle w:val="P68B1DB1-Normal12"/>
              <w:spacing w:after="0" w:line="240" w:lineRule="auto"/>
              <w:rPr>
                <w:noProof/>
              </w:rPr>
            </w:pPr>
            <w:r>
              <w:rPr>
                <w:noProof/>
              </w:rPr>
              <w:t>5. elaborarea de planuri independente pentru caracterizarea drumurilor municipale.</w:t>
            </w:r>
          </w:p>
        </w:tc>
      </w:tr>
    </w:tbl>
    <w:p w14:paraId="52E8F3B9" w14:textId="77777777" w:rsidR="00C45D59" w:rsidRDefault="00C45D59">
      <w:pPr>
        <w:spacing w:after="0" w:line="240" w:lineRule="auto"/>
        <w:rPr>
          <w:noProof/>
          <w:color w:val="006100"/>
          <w:sz w:val="18"/>
        </w:rPr>
        <w:sectPr w:rsidR="00C45D59">
          <w:headerReference w:type="even" r:id="rId48"/>
          <w:headerReference w:type="default" r:id="rId49"/>
          <w:footerReference w:type="even" r:id="rId50"/>
          <w:footerReference w:type="default" r:id="rId51"/>
          <w:headerReference w:type="first" r:id="rId52"/>
          <w:footerReference w:type="first" r:id="rId53"/>
          <w:pgSz w:w="16839" w:h="11907" w:orient="landscape"/>
          <w:pgMar w:top="1134" w:right="1134" w:bottom="1134" w:left="1134" w:header="567" w:footer="567" w:gutter="0"/>
          <w:cols w:space="720"/>
          <w:docGrid w:linePitch="360"/>
        </w:sectPr>
      </w:pPr>
    </w:p>
    <w:tbl>
      <w:tblPr>
        <w:tblW w:w="156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8"/>
        <w:gridCol w:w="1800"/>
        <w:gridCol w:w="1376"/>
        <w:gridCol w:w="1569"/>
        <w:gridCol w:w="1477"/>
        <w:gridCol w:w="1125"/>
        <w:gridCol w:w="1281"/>
        <w:gridCol w:w="866"/>
        <w:gridCol w:w="1006"/>
        <w:gridCol w:w="709"/>
        <w:gridCol w:w="4450"/>
      </w:tblGrid>
      <w:tr w:rsidR="00C45D59" w14:paraId="4477DE42" w14:textId="77777777">
        <w:trPr>
          <w:trHeight w:val="443"/>
          <w:tblHeader/>
          <w:jc w:val="center"/>
        </w:trPr>
        <w:tc>
          <w:tcPr>
            <w:tcW w:w="608" w:type="dxa"/>
            <w:vMerge w:val="restart"/>
            <w:shd w:val="clear" w:color="auto" w:fill="BDD7EE"/>
            <w:noWrap/>
            <w:vAlign w:val="center"/>
          </w:tcPr>
          <w:p w14:paraId="4DDAEBBB" w14:textId="2B6D3267" w:rsidR="00C45D59" w:rsidRDefault="009B0962">
            <w:pPr>
              <w:pStyle w:val="P68B1DB1-Normal10"/>
              <w:spacing w:after="0" w:line="240" w:lineRule="auto"/>
              <w:jc w:val="center"/>
              <w:rPr>
                <w:rFonts w:cs="Times New Roman"/>
                <w:noProof/>
                <w:color w:val="006100"/>
                <w:szCs w:val="18"/>
              </w:rPr>
            </w:pPr>
            <w:r>
              <w:rPr>
                <w:noProof/>
              </w:rPr>
              <w:t>Nr</w:t>
            </w:r>
            <w:r w:rsidR="009F5BD9">
              <w:rPr>
                <w:noProof/>
              </w:rPr>
              <w:t>.</w:t>
            </w:r>
            <w:r>
              <w:rPr>
                <w:noProof/>
              </w:rPr>
              <w:t xml:space="preserve"> </w:t>
            </w:r>
            <w:r w:rsidR="009F5BD9">
              <w:rPr>
                <w:noProof/>
              </w:rPr>
              <w:t>crt</w:t>
            </w:r>
            <w:r>
              <w:rPr>
                <w:noProof/>
              </w:rPr>
              <w:t>.</w:t>
            </w:r>
          </w:p>
        </w:tc>
        <w:tc>
          <w:tcPr>
            <w:tcW w:w="1800" w:type="dxa"/>
            <w:vMerge w:val="restart"/>
            <w:shd w:val="clear" w:color="auto" w:fill="BDD7EE"/>
            <w:noWrap/>
            <w:vAlign w:val="center"/>
          </w:tcPr>
          <w:p w14:paraId="62923182" w14:textId="77777777" w:rsidR="00C45D59" w:rsidRDefault="009B0962">
            <w:pPr>
              <w:pStyle w:val="P68B1DB1-Normal10"/>
              <w:spacing w:after="0" w:line="240" w:lineRule="auto"/>
              <w:jc w:val="center"/>
              <w:rPr>
                <w:rFonts w:cs="Times New Roman"/>
                <w:noProof/>
                <w:color w:val="006100"/>
                <w:szCs w:val="18"/>
              </w:rPr>
            </w:pPr>
            <w:r>
              <w:rPr>
                <w:noProof/>
              </w:rPr>
              <w:t>Măsură conexă (reformă sau investiții)</w:t>
            </w:r>
          </w:p>
        </w:tc>
        <w:tc>
          <w:tcPr>
            <w:tcW w:w="1080" w:type="dxa"/>
            <w:vMerge w:val="restart"/>
            <w:shd w:val="clear" w:color="auto" w:fill="BDD7EE"/>
            <w:noWrap/>
            <w:vAlign w:val="center"/>
          </w:tcPr>
          <w:p w14:paraId="1D823A7F" w14:textId="77777777" w:rsidR="00C45D59" w:rsidRDefault="009B0962">
            <w:pPr>
              <w:pStyle w:val="P68B1DB1-Normal10"/>
              <w:spacing w:after="0" w:line="240" w:lineRule="auto"/>
              <w:jc w:val="center"/>
              <w:rPr>
                <w:rFonts w:cs="Times New Roman"/>
                <w:noProof/>
                <w:color w:val="006100"/>
                <w:szCs w:val="18"/>
              </w:rPr>
            </w:pPr>
            <w:r>
              <w:rPr>
                <w:noProof/>
              </w:rPr>
              <w:t>Etapă/Obiectiv</w:t>
            </w:r>
          </w:p>
        </w:tc>
        <w:tc>
          <w:tcPr>
            <w:tcW w:w="1569" w:type="dxa"/>
            <w:vMerge w:val="restart"/>
            <w:shd w:val="clear" w:color="auto" w:fill="BDD7EE"/>
            <w:noWrap/>
            <w:vAlign w:val="center"/>
          </w:tcPr>
          <w:p w14:paraId="280ACDB0" w14:textId="072E833E" w:rsidR="00C45D59" w:rsidRDefault="009F5BD9">
            <w:pPr>
              <w:pStyle w:val="P68B1DB1-Normal10"/>
              <w:spacing w:after="0" w:line="240" w:lineRule="auto"/>
              <w:jc w:val="center"/>
              <w:rPr>
                <w:rFonts w:cs="Times New Roman"/>
                <w:noProof/>
                <w:color w:val="006100"/>
                <w:szCs w:val="18"/>
              </w:rPr>
            </w:pPr>
            <w:r>
              <w:rPr>
                <w:noProof/>
              </w:rPr>
              <w:t>Denumire</w:t>
            </w:r>
          </w:p>
        </w:tc>
        <w:tc>
          <w:tcPr>
            <w:tcW w:w="1477" w:type="dxa"/>
            <w:vMerge w:val="restart"/>
            <w:shd w:val="clear" w:color="auto" w:fill="BDD7EE"/>
            <w:noWrap/>
            <w:vAlign w:val="center"/>
          </w:tcPr>
          <w:p w14:paraId="4181B194" w14:textId="77777777" w:rsidR="00C45D59" w:rsidRDefault="009B0962">
            <w:pPr>
              <w:pStyle w:val="P68B1DB1-Normal10"/>
              <w:spacing w:after="0" w:line="240" w:lineRule="auto"/>
              <w:jc w:val="center"/>
              <w:rPr>
                <w:rFonts w:cs="Times New Roman"/>
                <w:noProof/>
                <w:color w:val="006100"/>
                <w:szCs w:val="18"/>
              </w:rPr>
            </w:pPr>
            <w:r>
              <w:rPr>
                <w:noProof/>
              </w:rPr>
              <w:t>Indicatori calitativi (pentru obiectivele de etapă)</w:t>
            </w:r>
          </w:p>
        </w:tc>
        <w:tc>
          <w:tcPr>
            <w:tcW w:w="3111" w:type="dxa"/>
            <w:gridSpan w:val="3"/>
            <w:shd w:val="clear" w:color="auto" w:fill="BDD7EE"/>
            <w:noWrap/>
            <w:vAlign w:val="center"/>
          </w:tcPr>
          <w:p w14:paraId="27865009" w14:textId="77777777" w:rsidR="00C45D59" w:rsidRDefault="009B0962">
            <w:pPr>
              <w:pStyle w:val="P68B1DB1-Normal18"/>
              <w:spacing w:after="0" w:line="240" w:lineRule="auto"/>
              <w:jc w:val="center"/>
              <w:rPr>
                <w:rFonts w:ascii="Times New Roman" w:eastAsia="Times New Roman" w:hAnsi="Times New Roman" w:cs="Times New Roman"/>
                <w:noProof/>
                <w:color w:val="006100"/>
                <w:szCs w:val="18"/>
              </w:rPr>
            </w:pPr>
            <w:r>
              <w:rPr>
                <w:rFonts w:ascii="Times New Roman" w:hAnsi="Times New Roman"/>
                <w:noProof/>
              </w:rPr>
              <w:t xml:space="preserve">Indicatori cantitativi </w:t>
            </w:r>
            <w:r>
              <w:rPr>
                <w:rFonts w:ascii="Times New Roman" w:hAnsi="Times New Roman" w:cs="Times New Roman"/>
                <w:noProof/>
                <w:szCs w:val="18"/>
              </w:rPr>
              <w:br/>
            </w:r>
            <w:r>
              <w:rPr>
                <w:rFonts w:ascii="Times New Roman" w:hAnsi="Times New Roman"/>
                <w:noProof/>
              </w:rPr>
              <w:t>(pentru obiective)</w:t>
            </w:r>
          </w:p>
        </w:tc>
        <w:tc>
          <w:tcPr>
            <w:tcW w:w="1560" w:type="dxa"/>
            <w:gridSpan w:val="2"/>
            <w:shd w:val="clear" w:color="auto" w:fill="BDD7EE"/>
            <w:noWrap/>
          </w:tcPr>
          <w:p w14:paraId="66B937DE" w14:textId="77777777" w:rsidR="00C45D59" w:rsidRDefault="009B0962">
            <w:pPr>
              <w:pStyle w:val="P68B1DB1-Normal10"/>
              <w:spacing w:after="0" w:line="240" w:lineRule="auto"/>
              <w:jc w:val="center"/>
              <w:rPr>
                <w:rFonts w:cs="Times New Roman"/>
                <w:noProof/>
                <w:color w:val="006100"/>
                <w:szCs w:val="18"/>
              </w:rPr>
            </w:pPr>
            <w:r>
              <w:rPr>
                <w:noProof/>
              </w:rPr>
              <w:t>Calendar orientativ pentru finalizare</w:t>
            </w:r>
          </w:p>
        </w:tc>
        <w:tc>
          <w:tcPr>
            <w:tcW w:w="4450" w:type="dxa"/>
            <w:vMerge w:val="restart"/>
            <w:shd w:val="clear" w:color="auto" w:fill="BDD7EE"/>
            <w:noWrap/>
            <w:vAlign w:val="center"/>
          </w:tcPr>
          <w:p w14:paraId="6AA12E3E" w14:textId="77777777" w:rsidR="00C45D59" w:rsidRDefault="009B0962">
            <w:pPr>
              <w:pStyle w:val="P68B1DB1-Normal10"/>
              <w:spacing w:after="0" w:line="240" w:lineRule="auto"/>
              <w:jc w:val="center"/>
              <w:rPr>
                <w:rFonts w:cs="Times New Roman"/>
                <w:noProof/>
                <w:color w:val="006100"/>
                <w:szCs w:val="18"/>
              </w:rPr>
            </w:pPr>
            <w:r>
              <w:rPr>
                <w:noProof/>
              </w:rPr>
              <w:t>Descrierea fiecărui jalon și a fiecărei ținte</w:t>
            </w:r>
          </w:p>
        </w:tc>
      </w:tr>
      <w:tr w:rsidR="00C45D59" w14:paraId="1FD9B783" w14:textId="77777777">
        <w:trPr>
          <w:trHeight w:val="442"/>
          <w:tblHeader/>
          <w:jc w:val="center"/>
        </w:trPr>
        <w:tc>
          <w:tcPr>
            <w:tcW w:w="608" w:type="dxa"/>
            <w:vMerge/>
            <w:noWrap/>
            <w:vAlign w:val="center"/>
          </w:tcPr>
          <w:p w14:paraId="45966CBB" w14:textId="77777777" w:rsidR="00C45D59" w:rsidRDefault="00C45D59">
            <w:pPr>
              <w:spacing w:after="0" w:line="240" w:lineRule="auto"/>
              <w:rPr>
                <w:rFonts w:ascii="Times New Roman" w:hAnsi="Times New Roman"/>
                <w:b/>
                <w:noProof/>
                <w:sz w:val="18"/>
              </w:rPr>
            </w:pPr>
          </w:p>
        </w:tc>
        <w:tc>
          <w:tcPr>
            <w:tcW w:w="1800" w:type="dxa"/>
            <w:vMerge/>
            <w:noWrap/>
            <w:vAlign w:val="center"/>
          </w:tcPr>
          <w:p w14:paraId="36D62B35" w14:textId="77777777" w:rsidR="00C45D59" w:rsidRDefault="00C45D59">
            <w:pPr>
              <w:spacing w:after="0" w:line="240" w:lineRule="auto"/>
              <w:rPr>
                <w:rFonts w:ascii="Times New Roman" w:hAnsi="Times New Roman"/>
                <w:b/>
                <w:noProof/>
                <w:sz w:val="18"/>
              </w:rPr>
            </w:pPr>
          </w:p>
        </w:tc>
        <w:tc>
          <w:tcPr>
            <w:tcW w:w="1080" w:type="dxa"/>
            <w:vMerge/>
            <w:noWrap/>
            <w:vAlign w:val="center"/>
          </w:tcPr>
          <w:p w14:paraId="514471F6" w14:textId="77777777" w:rsidR="00C45D59" w:rsidRDefault="00C45D59">
            <w:pPr>
              <w:spacing w:after="0" w:line="240" w:lineRule="auto"/>
              <w:rPr>
                <w:rFonts w:ascii="Times New Roman" w:hAnsi="Times New Roman"/>
                <w:b/>
                <w:noProof/>
                <w:sz w:val="18"/>
              </w:rPr>
            </w:pPr>
          </w:p>
        </w:tc>
        <w:tc>
          <w:tcPr>
            <w:tcW w:w="1569" w:type="dxa"/>
            <w:vMerge/>
            <w:noWrap/>
            <w:vAlign w:val="center"/>
          </w:tcPr>
          <w:p w14:paraId="49D4BED0" w14:textId="77777777" w:rsidR="00C45D59" w:rsidRDefault="00C45D59">
            <w:pPr>
              <w:spacing w:after="0" w:line="240" w:lineRule="auto"/>
              <w:rPr>
                <w:rFonts w:ascii="Times New Roman" w:hAnsi="Times New Roman"/>
                <w:b/>
                <w:noProof/>
                <w:sz w:val="18"/>
              </w:rPr>
            </w:pPr>
          </w:p>
        </w:tc>
        <w:tc>
          <w:tcPr>
            <w:tcW w:w="1477" w:type="dxa"/>
            <w:vMerge/>
            <w:noWrap/>
            <w:vAlign w:val="center"/>
          </w:tcPr>
          <w:p w14:paraId="01A9003E" w14:textId="77777777" w:rsidR="00C45D59" w:rsidRDefault="00C45D59">
            <w:pPr>
              <w:spacing w:after="0" w:line="240" w:lineRule="auto"/>
              <w:rPr>
                <w:rFonts w:ascii="Times New Roman" w:hAnsi="Times New Roman"/>
                <w:b/>
                <w:noProof/>
                <w:sz w:val="18"/>
              </w:rPr>
            </w:pPr>
          </w:p>
        </w:tc>
        <w:tc>
          <w:tcPr>
            <w:tcW w:w="1125" w:type="dxa"/>
            <w:tcBorders>
              <w:top w:val="single" w:sz="4" w:space="0" w:color="auto"/>
              <w:left w:val="single" w:sz="4" w:space="0" w:color="auto"/>
              <w:bottom w:val="single" w:sz="4" w:space="0" w:color="auto"/>
              <w:right w:val="single" w:sz="4" w:space="0" w:color="auto"/>
            </w:tcBorders>
            <w:shd w:val="clear" w:color="auto" w:fill="BDD7EE"/>
            <w:noWrap/>
            <w:vAlign w:val="center"/>
          </w:tcPr>
          <w:p w14:paraId="4B7AF35C" w14:textId="77777777" w:rsidR="00C45D59" w:rsidRDefault="009B0962">
            <w:pPr>
              <w:pStyle w:val="P68B1DB1-Normal10"/>
              <w:spacing w:after="0" w:line="240" w:lineRule="auto"/>
              <w:jc w:val="center"/>
              <w:rPr>
                <w:rFonts w:eastAsia="Times New Roman" w:cs="Times New Roman"/>
                <w:noProof/>
                <w:color w:val="006100"/>
                <w:szCs w:val="18"/>
              </w:rPr>
            </w:pPr>
            <w:r>
              <w:rPr>
                <w:noProof/>
              </w:rPr>
              <w:t>Unitatea de măsură</w:t>
            </w:r>
          </w:p>
        </w:tc>
        <w:tc>
          <w:tcPr>
            <w:tcW w:w="1281" w:type="dxa"/>
            <w:tcBorders>
              <w:top w:val="single" w:sz="4" w:space="0" w:color="auto"/>
              <w:left w:val="single" w:sz="4" w:space="0" w:color="auto"/>
              <w:bottom w:val="single" w:sz="4" w:space="0" w:color="auto"/>
              <w:right w:val="single" w:sz="4" w:space="0" w:color="auto"/>
            </w:tcBorders>
            <w:shd w:val="clear" w:color="auto" w:fill="BDD7EE"/>
            <w:vAlign w:val="center"/>
          </w:tcPr>
          <w:p w14:paraId="46D6EA0A" w14:textId="77777777" w:rsidR="00C45D59" w:rsidRDefault="009B0962">
            <w:pPr>
              <w:pStyle w:val="P68B1DB1-Normal10"/>
              <w:spacing w:after="0" w:line="240" w:lineRule="auto"/>
              <w:jc w:val="center"/>
              <w:rPr>
                <w:rFonts w:eastAsia="Times New Roman" w:cs="Times New Roman"/>
                <w:noProof/>
                <w:color w:val="006100"/>
                <w:szCs w:val="18"/>
              </w:rPr>
            </w:pPr>
            <w:r>
              <w:rPr>
                <w:noProof/>
              </w:rPr>
              <w:t>Situația de referință</w:t>
            </w:r>
          </w:p>
        </w:tc>
        <w:tc>
          <w:tcPr>
            <w:tcW w:w="705" w:type="dxa"/>
            <w:tcBorders>
              <w:top w:val="single" w:sz="4" w:space="0" w:color="auto"/>
              <w:left w:val="single" w:sz="4" w:space="0" w:color="auto"/>
              <w:bottom w:val="single" w:sz="4" w:space="0" w:color="auto"/>
              <w:right w:val="single" w:sz="4" w:space="0" w:color="auto"/>
            </w:tcBorders>
            <w:shd w:val="clear" w:color="auto" w:fill="BDD7EE"/>
            <w:vAlign w:val="center"/>
          </w:tcPr>
          <w:p w14:paraId="3DDD49DD" w14:textId="77777777" w:rsidR="00C45D59" w:rsidRDefault="009B0962">
            <w:pPr>
              <w:pStyle w:val="P68B1DB1-Normal10"/>
              <w:spacing w:after="0" w:line="240" w:lineRule="auto"/>
              <w:jc w:val="center"/>
              <w:rPr>
                <w:rFonts w:eastAsia="Times New Roman" w:cs="Times New Roman"/>
                <w:noProof/>
                <w:color w:val="006100"/>
                <w:szCs w:val="18"/>
              </w:rPr>
            </w:pPr>
            <w:r>
              <w:rPr>
                <w:noProof/>
              </w:rPr>
              <w:t>Obiectiv</w:t>
            </w:r>
          </w:p>
        </w:tc>
        <w:tc>
          <w:tcPr>
            <w:tcW w:w="851" w:type="dxa"/>
            <w:tcBorders>
              <w:top w:val="single" w:sz="4" w:space="0" w:color="auto"/>
              <w:left w:val="single" w:sz="4" w:space="0" w:color="auto"/>
              <w:bottom w:val="single" w:sz="4" w:space="0" w:color="auto"/>
              <w:right w:val="single" w:sz="4" w:space="0" w:color="auto"/>
            </w:tcBorders>
            <w:shd w:val="clear" w:color="auto" w:fill="BDD7EE"/>
            <w:noWrap/>
            <w:vAlign w:val="center"/>
          </w:tcPr>
          <w:p w14:paraId="6D678105" w14:textId="77777777" w:rsidR="00C45D59" w:rsidRDefault="009B0962">
            <w:pPr>
              <w:pStyle w:val="P68B1DB1-Normal10"/>
              <w:spacing w:after="0" w:line="240" w:lineRule="auto"/>
              <w:jc w:val="center"/>
              <w:rPr>
                <w:rFonts w:cs="Times New Roman"/>
                <w:noProof/>
                <w:color w:val="006100"/>
                <w:szCs w:val="18"/>
              </w:rPr>
            </w:pPr>
            <w:r>
              <w:rPr>
                <w:noProof/>
              </w:rPr>
              <w:t>Trimestru</w:t>
            </w:r>
          </w:p>
        </w:tc>
        <w:tc>
          <w:tcPr>
            <w:tcW w:w="709" w:type="dxa"/>
            <w:tcBorders>
              <w:top w:val="single" w:sz="4" w:space="0" w:color="auto"/>
              <w:left w:val="single" w:sz="4" w:space="0" w:color="auto"/>
              <w:bottom w:val="single" w:sz="4" w:space="0" w:color="auto"/>
              <w:right w:val="single" w:sz="4" w:space="0" w:color="auto"/>
            </w:tcBorders>
            <w:shd w:val="clear" w:color="auto" w:fill="BDD7EE"/>
            <w:vAlign w:val="center"/>
          </w:tcPr>
          <w:p w14:paraId="36CD7F93" w14:textId="77777777" w:rsidR="00C45D59" w:rsidRDefault="009B0962">
            <w:pPr>
              <w:pStyle w:val="P68B1DB1-Normal10"/>
              <w:spacing w:after="0" w:line="240" w:lineRule="auto"/>
              <w:jc w:val="center"/>
              <w:rPr>
                <w:rFonts w:cs="Times New Roman"/>
                <w:noProof/>
                <w:color w:val="006100"/>
                <w:szCs w:val="18"/>
              </w:rPr>
            </w:pPr>
            <w:r>
              <w:rPr>
                <w:noProof/>
              </w:rPr>
              <w:t>Anul</w:t>
            </w:r>
          </w:p>
        </w:tc>
        <w:tc>
          <w:tcPr>
            <w:tcW w:w="4450" w:type="dxa"/>
            <w:vMerge/>
            <w:noWrap/>
          </w:tcPr>
          <w:p w14:paraId="04A3ED78" w14:textId="77777777" w:rsidR="00C45D59" w:rsidRDefault="00C45D59">
            <w:pPr>
              <w:spacing w:after="0" w:line="240" w:lineRule="auto"/>
              <w:rPr>
                <w:rFonts w:ascii="Times New Roman" w:hAnsi="Times New Roman" w:cs="Times New Roman"/>
                <w:noProof/>
                <w:color w:val="006100"/>
                <w:sz w:val="18"/>
                <w:szCs w:val="18"/>
              </w:rPr>
            </w:pPr>
          </w:p>
        </w:tc>
      </w:tr>
      <w:tr w:rsidR="00C45D59" w14:paraId="49A10157" w14:textId="77777777">
        <w:trPr>
          <w:trHeight w:val="313"/>
          <w:tblHeader/>
          <w:jc w:val="center"/>
        </w:trPr>
        <w:tc>
          <w:tcPr>
            <w:tcW w:w="608" w:type="dxa"/>
            <w:shd w:val="clear" w:color="auto" w:fill="C6EFCE"/>
            <w:noWrap/>
          </w:tcPr>
          <w:p w14:paraId="7E61E8CA" w14:textId="77777777" w:rsidR="00C45D59" w:rsidRDefault="009B0962">
            <w:pPr>
              <w:pStyle w:val="P68B1DB1-Normal12"/>
              <w:spacing w:after="0" w:line="240" w:lineRule="auto"/>
              <w:rPr>
                <w:rFonts w:eastAsia="Times New Roman"/>
                <w:noProof/>
              </w:rPr>
            </w:pPr>
            <w:r>
              <w:rPr>
                <w:noProof/>
              </w:rPr>
              <w:t>29</w:t>
            </w:r>
          </w:p>
        </w:tc>
        <w:tc>
          <w:tcPr>
            <w:tcW w:w="1800" w:type="dxa"/>
            <w:shd w:val="clear" w:color="auto" w:fill="C6EFCE"/>
            <w:noWrap/>
          </w:tcPr>
          <w:p w14:paraId="0D2C832C" w14:textId="77777777" w:rsidR="00C45D59" w:rsidRDefault="009B0962">
            <w:pPr>
              <w:pStyle w:val="P68B1DB1-Normal12"/>
              <w:spacing w:after="0" w:line="240" w:lineRule="auto"/>
              <w:rPr>
                <w:rFonts w:eastAsia="Times New Roman"/>
                <w:noProof/>
              </w:rPr>
            </w:pPr>
            <w:r>
              <w:rPr>
                <w:noProof/>
              </w:rPr>
              <w:t>2-1.2. Renovare – 16879_Pregătirea planurilor urbane pentru punerea în aplicare a reformei politicii urbane</w:t>
            </w:r>
          </w:p>
        </w:tc>
        <w:tc>
          <w:tcPr>
            <w:tcW w:w="1080" w:type="dxa"/>
            <w:shd w:val="clear" w:color="auto" w:fill="C6EFCE"/>
            <w:noWrap/>
          </w:tcPr>
          <w:p w14:paraId="7FB0F723" w14:textId="77777777" w:rsidR="00C45D59" w:rsidRDefault="009B0962">
            <w:pPr>
              <w:pStyle w:val="P68B1DB1-Normal12"/>
              <w:spacing w:after="0" w:line="240" w:lineRule="auto"/>
              <w:rPr>
                <w:rFonts w:eastAsia="Times New Roman"/>
                <w:noProof/>
              </w:rPr>
            </w:pPr>
            <w:r>
              <w:rPr>
                <w:noProof/>
              </w:rPr>
              <w:t>Etapă</w:t>
            </w:r>
          </w:p>
        </w:tc>
        <w:tc>
          <w:tcPr>
            <w:tcW w:w="1569" w:type="dxa"/>
            <w:shd w:val="clear" w:color="auto" w:fill="C6EFCE"/>
            <w:noWrap/>
          </w:tcPr>
          <w:p w14:paraId="4305F6D8" w14:textId="77777777" w:rsidR="00C45D59" w:rsidRDefault="009B0962">
            <w:pPr>
              <w:pStyle w:val="P68B1DB1-Normal12"/>
              <w:spacing w:after="0" w:line="240" w:lineRule="auto"/>
              <w:rPr>
                <w:rFonts w:eastAsia="Times New Roman"/>
                <w:noProof/>
              </w:rPr>
            </w:pPr>
            <w:r>
              <w:rPr>
                <w:noProof/>
              </w:rPr>
              <w:t>Etape pregătitoare pentru planurile urbane</w:t>
            </w:r>
          </w:p>
        </w:tc>
        <w:tc>
          <w:tcPr>
            <w:tcW w:w="1477" w:type="dxa"/>
            <w:shd w:val="clear" w:color="auto" w:fill="C6EFCE"/>
            <w:noWrap/>
          </w:tcPr>
          <w:p w14:paraId="56DBA37E" w14:textId="03BE292C" w:rsidR="00C45D59" w:rsidRDefault="009B0962">
            <w:pPr>
              <w:pStyle w:val="P68B1DB1-Normal12"/>
              <w:spacing w:after="0" w:line="240" w:lineRule="auto"/>
              <w:rPr>
                <w:rFonts w:eastAsia="Times New Roman"/>
                <w:noProof/>
              </w:rPr>
            </w:pPr>
            <w:r>
              <w:rPr>
                <w:noProof/>
              </w:rPr>
              <w:t>Emiterea de către Ministerul Mediului și Energiei a unei evaluări pozitive pentru anumite studii și eliberarea de către Ministerul Mediului și Energiei a unui certificat de finalizare a altor studii pentru planuri urbane</w:t>
            </w:r>
          </w:p>
        </w:tc>
        <w:tc>
          <w:tcPr>
            <w:tcW w:w="1125" w:type="dxa"/>
            <w:shd w:val="clear" w:color="auto" w:fill="C6EFCE"/>
            <w:noWrap/>
          </w:tcPr>
          <w:p w14:paraId="431C0F9C"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281" w:type="dxa"/>
            <w:shd w:val="clear" w:color="auto" w:fill="C6EFCE"/>
            <w:noWrap/>
          </w:tcPr>
          <w:p w14:paraId="268FB0A9"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705" w:type="dxa"/>
            <w:shd w:val="clear" w:color="auto" w:fill="C6EFCE"/>
            <w:noWrap/>
          </w:tcPr>
          <w:p w14:paraId="717906D4"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51" w:type="dxa"/>
            <w:shd w:val="clear" w:color="auto" w:fill="C6EFCE"/>
            <w:noWrap/>
          </w:tcPr>
          <w:p w14:paraId="4B07DF23" w14:textId="77777777" w:rsidR="00C45D59" w:rsidRDefault="009B0962">
            <w:pPr>
              <w:pStyle w:val="P68B1DB1-Normal12"/>
              <w:spacing w:after="0" w:line="240" w:lineRule="auto"/>
              <w:rPr>
                <w:rFonts w:eastAsia="Times New Roman"/>
                <w:noProof/>
              </w:rPr>
            </w:pPr>
            <w:r>
              <w:rPr>
                <w:noProof/>
              </w:rPr>
              <w:t>Î4</w:t>
            </w:r>
          </w:p>
        </w:tc>
        <w:tc>
          <w:tcPr>
            <w:tcW w:w="709" w:type="dxa"/>
            <w:shd w:val="clear" w:color="auto" w:fill="C6EFCE"/>
            <w:noWrap/>
          </w:tcPr>
          <w:p w14:paraId="08081FC1" w14:textId="77777777" w:rsidR="00C45D59" w:rsidRDefault="009B0962">
            <w:pPr>
              <w:pStyle w:val="P68B1DB1-Normal12"/>
              <w:spacing w:after="0" w:line="240" w:lineRule="auto"/>
              <w:rPr>
                <w:rFonts w:eastAsia="Times New Roman"/>
                <w:noProof/>
              </w:rPr>
            </w:pPr>
            <w:r>
              <w:rPr>
                <w:noProof/>
              </w:rPr>
              <w:t>2025</w:t>
            </w:r>
          </w:p>
        </w:tc>
        <w:tc>
          <w:tcPr>
            <w:tcW w:w="4450" w:type="dxa"/>
            <w:shd w:val="clear" w:color="auto" w:fill="C6EFCE"/>
            <w:noWrap/>
          </w:tcPr>
          <w:p w14:paraId="6DF80C4A" w14:textId="3A48EB5E" w:rsidR="00C45D59" w:rsidRDefault="009B0962">
            <w:pPr>
              <w:pStyle w:val="P68B1DB1-Normal12"/>
              <w:spacing w:after="0" w:line="240" w:lineRule="auto"/>
              <w:rPr>
                <w:noProof/>
              </w:rPr>
            </w:pPr>
            <w:r>
              <w:rPr>
                <w:noProof/>
              </w:rPr>
              <w:t>Emiterea de către Ministerul Mediului și Energiei a unei evaluări pozitive pentru studiile privind planurile urbane locale sau planurile urbane speciale în 585 de unități municipale;</w:t>
            </w:r>
          </w:p>
          <w:p w14:paraId="246900B4" w14:textId="77777777" w:rsidR="00C45D59" w:rsidRDefault="00C45D59">
            <w:pPr>
              <w:rPr>
                <w:rFonts w:ascii="Times New Roman" w:hAnsi="Times New Roman" w:cs="Times New Roman"/>
                <w:noProof/>
                <w:color w:val="006100"/>
                <w:sz w:val="18"/>
                <w:szCs w:val="18"/>
              </w:rPr>
            </w:pPr>
          </w:p>
          <w:p w14:paraId="738ED57D" w14:textId="5583237F" w:rsidR="00C45D59" w:rsidRDefault="009B0962">
            <w:pPr>
              <w:pStyle w:val="P68B1DB1-Normal12"/>
              <w:rPr>
                <w:rFonts w:eastAsia="Times New Roman"/>
                <w:noProof/>
              </w:rPr>
            </w:pPr>
            <w:r>
              <w:rPr>
                <w:noProof/>
              </w:rPr>
              <w:t>și eliberarea de către Ministerul Mediului și Energiei a unui certificat de finalizare a studiilor privind caracterizarea drumurilor municipale în 625 de unități municipale.</w:t>
            </w:r>
          </w:p>
        </w:tc>
      </w:tr>
      <w:tr w:rsidR="00C45D59" w14:paraId="471A3531" w14:textId="77777777">
        <w:trPr>
          <w:trHeight w:val="313"/>
          <w:tblHeader/>
          <w:jc w:val="center"/>
        </w:trPr>
        <w:tc>
          <w:tcPr>
            <w:tcW w:w="608" w:type="dxa"/>
            <w:shd w:val="clear" w:color="auto" w:fill="C6EFCE"/>
            <w:noWrap/>
          </w:tcPr>
          <w:p w14:paraId="40BD33DB" w14:textId="77777777" w:rsidR="00C45D59" w:rsidRDefault="009B0962">
            <w:pPr>
              <w:pStyle w:val="P68B1DB1-Normal12"/>
              <w:spacing w:after="0" w:line="240" w:lineRule="auto"/>
              <w:rPr>
                <w:rFonts w:eastAsia="Times New Roman"/>
                <w:noProof/>
              </w:rPr>
            </w:pPr>
            <w:r>
              <w:rPr>
                <w:noProof/>
              </w:rPr>
              <w:t>30</w:t>
            </w:r>
          </w:p>
        </w:tc>
        <w:tc>
          <w:tcPr>
            <w:tcW w:w="1800" w:type="dxa"/>
            <w:shd w:val="clear" w:color="auto" w:fill="C6EFCE"/>
            <w:noWrap/>
          </w:tcPr>
          <w:p w14:paraId="357B3CD0" w14:textId="77777777" w:rsidR="00C45D59" w:rsidRDefault="009B0962">
            <w:pPr>
              <w:pStyle w:val="P68B1DB1-Normal12"/>
              <w:spacing w:after="0" w:line="240" w:lineRule="auto"/>
              <w:rPr>
                <w:rFonts w:eastAsia="Times New Roman"/>
                <w:noProof/>
              </w:rPr>
            </w:pPr>
            <w:r>
              <w:rPr>
                <w:noProof/>
              </w:rPr>
              <w:t>2-1.2. Renovare – 16894_Stabilirea unei noi amenajări speciale a teritoriului pentru SRE, industrie și turism</w:t>
            </w:r>
          </w:p>
        </w:tc>
        <w:tc>
          <w:tcPr>
            <w:tcW w:w="1080" w:type="dxa"/>
            <w:shd w:val="clear" w:color="auto" w:fill="C6EFCE"/>
            <w:noWrap/>
          </w:tcPr>
          <w:p w14:paraId="53D8D2C0" w14:textId="77777777" w:rsidR="00C45D59" w:rsidRDefault="009B0962">
            <w:pPr>
              <w:pStyle w:val="P68B1DB1-Normal12"/>
              <w:spacing w:after="0" w:line="240" w:lineRule="auto"/>
              <w:rPr>
                <w:rFonts w:eastAsia="Times New Roman"/>
                <w:noProof/>
              </w:rPr>
            </w:pPr>
            <w:r>
              <w:rPr>
                <w:noProof/>
              </w:rPr>
              <w:t xml:space="preserve"> Etapă</w:t>
            </w:r>
          </w:p>
        </w:tc>
        <w:tc>
          <w:tcPr>
            <w:tcW w:w="1569" w:type="dxa"/>
            <w:shd w:val="clear" w:color="auto" w:fill="C6EFCE"/>
            <w:noWrap/>
          </w:tcPr>
          <w:p w14:paraId="4019EBC3" w14:textId="77777777" w:rsidR="00C45D59" w:rsidRDefault="009B0962">
            <w:pPr>
              <w:pStyle w:val="P68B1DB1-Normal12"/>
              <w:spacing w:after="0" w:line="240" w:lineRule="auto"/>
              <w:rPr>
                <w:rFonts w:eastAsia="Times New Roman"/>
                <w:noProof/>
              </w:rPr>
            </w:pPr>
            <w:r>
              <w:rPr>
                <w:noProof/>
              </w:rPr>
              <w:t>Adoptarea cadrelor spațiale speciale</w:t>
            </w:r>
          </w:p>
        </w:tc>
        <w:tc>
          <w:tcPr>
            <w:tcW w:w="1477" w:type="dxa"/>
            <w:shd w:val="clear" w:color="auto" w:fill="C6EFCE"/>
            <w:noWrap/>
          </w:tcPr>
          <w:p w14:paraId="3D7673C7" w14:textId="77777777" w:rsidR="00C45D59" w:rsidRDefault="009B0962">
            <w:pPr>
              <w:pStyle w:val="P68B1DB1-Normal12"/>
              <w:spacing w:after="0" w:line="240" w:lineRule="auto"/>
              <w:rPr>
                <w:rFonts w:eastAsia="Times New Roman"/>
                <w:noProof/>
              </w:rPr>
            </w:pPr>
            <w:r>
              <w:rPr>
                <w:noProof/>
              </w:rPr>
              <w:t>Adoptarea a trei cadre spațiale speciale pentru sursele regenerabile de energie (SRE), turism și industrie</w:t>
            </w:r>
          </w:p>
        </w:tc>
        <w:tc>
          <w:tcPr>
            <w:tcW w:w="1125" w:type="dxa"/>
            <w:shd w:val="clear" w:color="auto" w:fill="C6EFCE"/>
            <w:noWrap/>
          </w:tcPr>
          <w:p w14:paraId="04446E44"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281" w:type="dxa"/>
            <w:shd w:val="clear" w:color="auto" w:fill="C6EFCE"/>
            <w:noWrap/>
          </w:tcPr>
          <w:p w14:paraId="5046D96E"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705" w:type="dxa"/>
            <w:shd w:val="clear" w:color="auto" w:fill="C6EFCE"/>
            <w:noWrap/>
          </w:tcPr>
          <w:p w14:paraId="491029AD"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51" w:type="dxa"/>
            <w:shd w:val="clear" w:color="auto" w:fill="C6EFCE"/>
            <w:noWrap/>
          </w:tcPr>
          <w:p w14:paraId="0C1BAE16" w14:textId="77777777" w:rsidR="00C45D59" w:rsidRDefault="009B0962">
            <w:pPr>
              <w:pStyle w:val="P68B1DB1-Normal12"/>
              <w:spacing w:after="0" w:line="240" w:lineRule="auto"/>
              <w:rPr>
                <w:rFonts w:eastAsia="Times New Roman"/>
                <w:noProof/>
              </w:rPr>
            </w:pPr>
            <w:r>
              <w:rPr>
                <w:noProof/>
              </w:rPr>
              <w:t>Î4</w:t>
            </w:r>
          </w:p>
        </w:tc>
        <w:tc>
          <w:tcPr>
            <w:tcW w:w="709" w:type="dxa"/>
            <w:shd w:val="clear" w:color="auto" w:fill="C6EFCE"/>
            <w:noWrap/>
          </w:tcPr>
          <w:p w14:paraId="1CF24C79" w14:textId="77777777" w:rsidR="00C45D59" w:rsidRDefault="009B0962">
            <w:pPr>
              <w:pStyle w:val="P68B1DB1-Normal12"/>
              <w:spacing w:after="0" w:line="240" w:lineRule="auto"/>
              <w:rPr>
                <w:rFonts w:eastAsia="Times New Roman"/>
                <w:noProof/>
              </w:rPr>
            </w:pPr>
            <w:r>
              <w:rPr>
                <w:noProof/>
              </w:rPr>
              <w:t>2025</w:t>
            </w:r>
          </w:p>
        </w:tc>
        <w:tc>
          <w:tcPr>
            <w:tcW w:w="4450" w:type="dxa"/>
            <w:shd w:val="clear" w:color="auto" w:fill="C6EFCE"/>
            <w:noWrap/>
          </w:tcPr>
          <w:p w14:paraId="166C8691" w14:textId="77777777" w:rsidR="00C45D59" w:rsidRDefault="009B0962">
            <w:pPr>
              <w:pStyle w:val="P68B1DB1-Normal12"/>
              <w:spacing w:after="0" w:line="240" w:lineRule="auto"/>
              <w:rPr>
                <w:noProof/>
              </w:rPr>
            </w:pPr>
            <w:r>
              <w:rPr>
                <w:noProof/>
              </w:rPr>
              <w:t>Adoptarea a trei cadre spațiale speciale pentru sursele regenerabile de energie (SRE), turism și industrie.</w:t>
            </w:r>
          </w:p>
          <w:p w14:paraId="5C731C86" w14:textId="77777777" w:rsidR="00C45D59" w:rsidRDefault="00C45D59">
            <w:pPr>
              <w:spacing w:after="0" w:line="240" w:lineRule="auto"/>
              <w:rPr>
                <w:rFonts w:ascii="Times New Roman" w:eastAsia="Times New Roman" w:hAnsi="Times New Roman" w:cs="Times New Roman"/>
                <w:noProof/>
                <w:color w:val="006100"/>
                <w:sz w:val="18"/>
                <w:szCs w:val="18"/>
              </w:rPr>
            </w:pPr>
          </w:p>
        </w:tc>
      </w:tr>
      <w:tr w:rsidR="00C45D59" w14:paraId="0CCAD12F" w14:textId="77777777">
        <w:trPr>
          <w:trHeight w:val="313"/>
          <w:tblHeader/>
          <w:jc w:val="center"/>
        </w:trPr>
        <w:tc>
          <w:tcPr>
            <w:tcW w:w="608" w:type="dxa"/>
            <w:shd w:val="clear" w:color="auto" w:fill="C6EFCE"/>
            <w:noWrap/>
          </w:tcPr>
          <w:p w14:paraId="537783F3" w14:textId="77777777" w:rsidR="00C45D59" w:rsidRDefault="009B0962">
            <w:pPr>
              <w:pStyle w:val="P68B1DB1-Normal12"/>
              <w:spacing w:after="0" w:line="240" w:lineRule="auto"/>
              <w:rPr>
                <w:rFonts w:eastAsia="Times New Roman"/>
                <w:noProof/>
              </w:rPr>
            </w:pPr>
            <w:r>
              <w:rPr>
                <w:noProof/>
              </w:rPr>
              <w:t>31</w:t>
            </w:r>
          </w:p>
        </w:tc>
        <w:tc>
          <w:tcPr>
            <w:tcW w:w="1800" w:type="dxa"/>
            <w:shd w:val="clear" w:color="auto" w:fill="C6EFCE"/>
            <w:noWrap/>
          </w:tcPr>
          <w:p w14:paraId="2B0DD161" w14:textId="77777777" w:rsidR="00C45D59" w:rsidRDefault="009B0962">
            <w:pPr>
              <w:pStyle w:val="P68B1DB1-Normal12"/>
              <w:spacing w:after="0" w:line="240" w:lineRule="auto"/>
              <w:rPr>
                <w:rFonts w:eastAsia="Times New Roman"/>
                <w:noProof/>
              </w:rPr>
            </w:pPr>
            <w:r>
              <w:rPr>
                <w:noProof/>
              </w:rPr>
              <w:t>2-1.2. Renovare – 16891_Elaborarea de noi amenajări ale spațiului maritim</w:t>
            </w:r>
          </w:p>
        </w:tc>
        <w:tc>
          <w:tcPr>
            <w:tcW w:w="1080" w:type="dxa"/>
            <w:shd w:val="clear" w:color="auto" w:fill="C6EFCE"/>
            <w:noWrap/>
          </w:tcPr>
          <w:p w14:paraId="4C263062" w14:textId="77777777" w:rsidR="00C45D59" w:rsidRDefault="009B0962">
            <w:pPr>
              <w:pStyle w:val="P68B1DB1-Normal12"/>
              <w:spacing w:after="0" w:line="240" w:lineRule="auto"/>
              <w:rPr>
                <w:rFonts w:eastAsia="Times New Roman"/>
                <w:noProof/>
              </w:rPr>
            </w:pPr>
            <w:r>
              <w:rPr>
                <w:noProof/>
              </w:rPr>
              <w:t>Etapă</w:t>
            </w:r>
          </w:p>
          <w:p w14:paraId="701AF7A4"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569" w:type="dxa"/>
            <w:shd w:val="clear" w:color="auto" w:fill="C6EFCE"/>
            <w:noWrap/>
          </w:tcPr>
          <w:p w14:paraId="559B38D3" w14:textId="77777777" w:rsidR="00C45D59" w:rsidRDefault="009B0962">
            <w:pPr>
              <w:pStyle w:val="P68B1DB1-Normal12"/>
              <w:spacing w:after="0" w:line="240" w:lineRule="auto"/>
              <w:rPr>
                <w:rFonts w:eastAsia="Times New Roman"/>
                <w:noProof/>
              </w:rPr>
            </w:pPr>
            <w:r>
              <w:rPr>
                <w:noProof/>
              </w:rPr>
              <w:t>Adoptarea strategiei maritime</w:t>
            </w:r>
          </w:p>
        </w:tc>
        <w:tc>
          <w:tcPr>
            <w:tcW w:w="1477" w:type="dxa"/>
            <w:shd w:val="clear" w:color="auto" w:fill="C6EFCE"/>
            <w:noWrap/>
          </w:tcPr>
          <w:p w14:paraId="3EDFE65F" w14:textId="77777777" w:rsidR="00C45D59" w:rsidRDefault="009B0962">
            <w:pPr>
              <w:pStyle w:val="P68B1DB1-Normal12"/>
              <w:spacing w:after="0" w:line="240" w:lineRule="auto"/>
              <w:rPr>
                <w:rFonts w:eastAsia="Times New Roman"/>
                <w:noProof/>
              </w:rPr>
            </w:pPr>
            <w:r>
              <w:rPr>
                <w:noProof/>
              </w:rPr>
              <w:t>A fost adoptată o nouă strategie privind spațiul maritim</w:t>
            </w:r>
          </w:p>
        </w:tc>
        <w:tc>
          <w:tcPr>
            <w:tcW w:w="1125" w:type="dxa"/>
            <w:shd w:val="clear" w:color="auto" w:fill="C6EFCE"/>
            <w:noWrap/>
          </w:tcPr>
          <w:p w14:paraId="2E959DAF"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281" w:type="dxa"/>
            <w:shd w:val="clear" w:color="auto" w:fill="C6EFCE"/>
            <w:noWrap/>
          </w:tcPr>
          <w:p w14:paraId="3CCF0DE1"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705" w:type="dxa"/>
            <w:shd w:val="clear" w:color="auto" w:fill="C6EFCE"/>
            <w:noWrap/>
          </w:tcPr>
          <w:p w14:paraId="6E543944"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51" w:type="dxa"/>
            <w:shd w:val="clear" w:color="auto" w:fill="C6EFCE"/>
            <w:noWrap/>
          </w:tcPr>
          <w:p w14:paraId="3025DF50" w14:textId="77777777" w:rsidR="00C45D59" w:rsidRDefault="009B0962">
            <w:pPr>
              <w:pStyle w:val="P68B1DB1-Normal12"/>
              <w:spacing w:after="0" w:line="240" w:lineRule="auto"/>
              <w:rPr>
                <w:rFonts w:eastAsia="Times New Roman"/>
                <w:noProof/>
              </w:rPr>
            </w:pPr>
            <w:r>
              <w:rPr>
                <w:noProof/>
              </w:rPr>
              <w:t>Î2</w:t>
            </w:r>
          </w:p>
        </w:tc>
        <w:tc>
          <w:tcPr>
            <w:tcW w:w="709" w:type="dxa"/>
            <w:shd w:val="clear" w:color="auto" w:fill="C6EFCE"/>
            <w:noWrap/>
          </w:tcPr>
          <w:p w14:paraId="37F4D269" w14:textId="77777777" w:rsidR="00C45D59" w:rsidRDefault="009B0962">
            <w:pPr>
              <w:pStyle w:val="P68B1DB1-Normal12"/>
              <w:spacing w:after="0" w:line="240" w:lineRule="auto"/>
              <w:rPr>
                <w:rFonts w:eastAsia="Times New Roman"/>
                <w:noProof/>
              </w:rPr>
            </w:pPr>
            <w:r>
              <w:rPr>
                <w:noProof/>
              </w:rPr>
              <w:t>2024</w:t>
            </w:r>
          </w:p>
        </w:tc>
        <w:tc>
          <w:tcPr>
            <w:tcW w:w="4450" w:type="dxa"/>
            <w:shd w:val="clear" w:color="auto" w:fill="C6EFCE"/>
            <w:noWrap/>
          </w:tcPr>
          <w:p w14:paraId="4638D186" w14:textId="77777777" w:rsidR="00C45D59" w:rsidRDefault="009B0962">
            <w:pPr>
              <w:pStyle w:val="P68B1DB1-Normal12"/>
              <w:spacing w:after="0" w:line="240" w:lineRule="auto"/>
              <w:rPr>
                <w:rFonts w:eastAsia="Times New Roman"/>
                <w:noProof/>
              </w:rPr>
            </w:pPr>
            <w:r>
              <w:rPr>
                <w:noProof/>
              </w:rPr>
              <w:t xml:space="preserve">Adoptarea de către Ministerul Mediului și Energiei a strategiei de amenajare a spațiului maritim. </w:t>
            </w:r>
          </w:p>
        </w:tc>
      </w:tr>
    </w:tbl>
    <w:p w14:paraId="5BC7A0D5" w14:textId="77777777" w:rsidR="00C45D59" w:rsidRDefault="00C45D59">
      <w:pPr>
        <w:keepNext/>
        <w:keepLines/>
        <w:spacing w:before="40" w:after="0" w:line="240" w:lineRule="auto"/>
        <w:jc w:val="both"/>
        <w:outlineLvl w:val="4"/>
        <w:rPr>
          <w:rFonts w:ascii="Cambria" w:hAnsi="Cambria"/>
          <w:noProof/>
          <w:color w:val="365F91"/>
          <w:sz w:val="24"/>
        </w:rPr>
      </w:pPr>
    </w:p>
    <w:p w14:paraId="751F3137" w14:textId="2DD0AB32" w:rsidR="00C45D59" w:rsidRDefault="009B0962">
      <w:pPr>
        <w:pStyle w:val="P68B1DB1-Normal9"/>
        <w:spacing w:after="0" w:line="240" w:lineRule="auto"/>
        <w:rPr>
          <w:rFonts w:eastAsia="Times New Roman"/>
          <w:noProof/>
        </w:rPr>
      </w:pPr>
      <w:r>
        <w:rPr>
          <w:noProof/>
        </w:rPr>
        <w:br w:type="page"/>
        <w:t>Grupul 2: Renovarea energetică a întreprinderilor și a clădirilor publice</w:t>
      </w:r>
    </w:p>
    <w:p w14:paraId="48AFF05C" w14:textId="77777777" w:rsidR="00C45D59" w:rsidRDefault="009B0962">
      <w:pPr>
        <w:pStyle w:val="P68B1DB1-Normal5"/>
        <w:spacing w:before="120" w:after="120" w:line="240" w:lineRule="auto"/>
        <w:rPr>
          <w:rFonts w:cs="Times New Roman"/>
          <w:noProof/>
        </w:rPr>
      </w:pPr>
      <w:r>
        <w:rPr>
          <w:noProof/>
        </w:rPr>
        <w:t>Măsurile incluse în acest grup sunt:</w:t>
      </w:r>
    </w:p>
    <w:p w14:paraId="20A4CA1F" w14:textId="77777777" w:rsidR="00C45D59" w:rsidRDefault="009B0962">
      <w:pPr>
        <w:spacing w:before="120" w:after="120" w:line="240" w:lineRule="auto"/>
        <w:rPr>
          <w:rFonts w:ascii="Times New Roman" w:hAnsi="Times New Roman" w:cs="Times New Roman"/>
          <w:noProof/>
          <w:sz w:val="24"/>
        </w:rPr>
      </w:pPr>
      <w:r>
        <w:rPr>
          <w:rFonts w:ascii="Times New Roman" w:hAnsi="Times New Roman"/>
          <w:noProof/>
          <w:sz w:val="24"/>
        </w:rPr>
        <w:t>●</w:t>
      </w:r>
      <w:r>
        <w:rPr>
          <w:noProof/>
        </w:rPr>
        <w:t xml:space="preserve"> </w:t>
      </w:r>
      <w:r>
        <w:rPr>
          <w:rFonts w:ascii="Times New Roman" w:hAnsi="Times New Roman"/>
          <w:noProof/>
          <w:sz w:val="24"/>
        </w:rPr>
        <w:t>Energie și antreprenoriat (ID: 16874)</w:t>
      </w:r>
    </w:p>
    <w:p w14:paraId="6CEAD2C9" w14:textId="77777777" w:rsidR="00C45D59" w:rsidRDefault="009B0962">
      <w:pPr>
        <w:spacing w:before="120" w:after="120" w:line="240" w:lineRule="auto"/>
        <w:rPr>
          <w:rFonts w:ascii="Times New Roman" w:hAnsi="Times New Roman" w:cs="Times New Roman"/>
          <w:noProof/>
          <w:sz w:val="24"/>
        </w:rPr>
      </w:pPr>
      <w:r>
        <w:rPr>
          <w:rFonts w:ascii="Times New Roman" w:hAnsi="Times New Roman"/>
          <w:noProof/>
          <w:sz w:val="24"/>
        </w:rPr>
        <w:t>●</w:t>
      </w:r>
      <w:r>
        <w:rPr>
          <w:noProof/>
        </w:rPr>
        <w:t xml:space="preserve"> </w:t>
      </w:r>
      <w:r>
        <w:rPr>
          <w:rFonts w:ascii="Times New Roman" w:hAnsi="Times New Roman"/>
          <w:noProof/>
          <w:sz w:val="24"/>
        </w:rPr>
        <w:t>Modernizarea energetică a clădirilor din sectorul public și a infrastructurii energetice a entităților publice (ID: 16876)</w:t>
      </w:r>
    </w:p>
    <w:p w14:paraId="07A56CD2" w14:textId="77777777" w:rsidR="00C45D59" w:rsidRDefault="009B0962">
      <w:pPr>
        <w:spacing w:before="120" w:after="120" w:line="240" w:lineRule="auto"/>
        <w:rPr>
          <w:rFonts w:ascii="Times New Roman" w:hAnsi="Times New Roman" w:cs="Times New Roman"/>
          <w:noProof/>
          <w:sz w:val="24"/>
        </w:rPr>
      </w:pPr>
      <w:r>
        <w:rPr>
          <w:rFonts w:ascii="Times New Roman" w:hAnsi="Times New Roman"/>
          <w:noProof/>
          <w:sz w:val="24"/>
        </w:rPr>
        <w:t>●</w:t>
      </w:r>
      <w:r>
        <w:rPr>
          <w:noProof/>
        </w:rPr>
        <w:t xml:space="preserve"> </w:t>
      </w:r>
      <w:r>
        <w:rPr>
          <w:rFonts w:ascii="Times New Roman" w:hAnsi="Times New Roman"/>
          <w:noProof/>
          <w:sz w:val="24"/>
        </w:rPr>
        <w:t>Planul de acțiune privind sărăcia energetică (ID: 16920)</w:t>
      </w:r>
    </w:p>
    <w:tbl>
      <w:tblPr>
        <w:tblW w:w="154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1833"/>
        <w:gridCol w:w="1080"/>
        <w:gridCol w:w="1371"/>
        <w:gridCol w:w="1418"/>
        <w:gridCol w:w="1276"/>
        <w:gridCol w:w="992"/>
        <w:gridCol w:w="775"/>
        <w:gridCol w:w="894"/>
        <w:gridCol w:w="709"/>
        <w:gridCol w:w="4394"/>
      </w:tblGrid>
      <w:tr w:rsidR="00C45D59" w14:paraId="094C4A70" w14:textId="77777777">
        <w:trPr>
          <w:trHeight w:val="939"/>
          <w:tblHeader/>
          <w:jc w:val="center"/>
        </w:trPr>
        <w:tc>
          <w:tcPr>
            <w:tcW w:w="675" w:type="dxa"/>
            <w:vMerge w:val="restart"/>
            <w:shd w:val="clear" w:color="auto" w:fill="BDD7EE"/>
            <w:vAlign w:val="center"/>
            <w:hideMark/>
          </w:tcPr>
          <w:p w14:paraId="704C7B3E" w14:textId="5252F24D" w:rsidR="00C45D59" w:rsidRPr="009F5BD9" w:rsidRDefault="009B0962" w:rsidP="009F5BD9">
            <w:pPr>
              <w:pStyle w:val="P68B1DB1-Normal10"/>
              <w:spacing w:after="0" w:line="240" w:lineRule="auto"/>
              <w:jc w:val="center"/>
              <w:rPr>
                <w:noProof/>
              </w:rPr>
            </w:pPr>
            <w:r>
              <w:rPr>
                <w:noProof/>
              </w:rPr>
              <w:t>Nr</w:t>
            </w:r>
            <w:r w:rsidR="009F5BD9">
              <w:rPr>
                <w:noProof/>
              </w:rPr>
              <w:t>.</w:t>
            </w:r>
            <w:r>
              <w:rPr>
                <w:noProof/>
              </w:rPr>
              <w:br/>
            </w:r>
            <w:r w:rsidR="009F5BD9">
              <w:rPr>
                <w:noProof/>
              </w:rPr>
              <w:t>crt.</w:t>
            </w:r>
          </w:p>
        </w:tc>
        <w:tc>
          <w:tcPr>
            <w:tcW w:w="1833" w:type="dxa"/>
            <w:vMerge w:val="restart"/>
            <w:shd w:val="clear" w:color="auto" w:fill="BDD7EE"/>
            <w:vAlign w:val="center"/>
            <w:hideMark/>
          </w:tcPr>
          <w:p w14:paraId="4120FA40" w14:textId="77777777" w:rsidR="00C45D59" w:rsidRDefault="009B0962">
            <w:pPr>
              <w:pStyle w:val="P68B1DB1-Normal10"/>
              <w:spacing w:after="0" w:line="240" w:lineRule="auto"/>
              <w:jc w:val="center"/>
              <w:rPr>
                <w:rFonts w:eastAsia="Times New Roman" w:cs="Times New Roman"/>
                <w:bCs/>
                <w:noProof/>
                <w:szCs w:val="18"/>
              </w:rPr>
            </w:pPr>
            <w:r>
              <w:rPr>
                <w:noProof/>
              </w:rPr>
              <w:t>Măsură conexă (reformă sau investiții)</w:t>
            </w:r>
          </w:p>
        </w:tc>
        <w:tc>
          <w:tcPr>
            <w:tcW w:w="1080" w:type="dxa"/>
            <w:vMerge w:val="restart"/>
            <w:shd w:val="clear" w:color="auto" w:fill="BDD7EE"/>
            <w:vAlign w:val="center"/>
            <w:hideMark/>
          </w:tcPr>
          <w:p w14:paraId="292D457D" w14:textId="77777777" w:rsidR="00C45D59" w:rsidRDefault="009B0962">
            <w:pPr>
              <w:pStyle w:val="P68B1DB1-Normal10"/>
              <w:spacing w:after="0" w:line="240" w:lineRule="auto"/>
              <w:jc w:val="center"/>
              <w:rPr>
                <w:rFonts w:eastAsia="Times New Roman" w:cs="Times New Roman"/>
                <w:bCs/>
                <w:noProof/>
                <w:szCs w:val="18"/>
              </w:rPr>
            </w:pPr>
            <w:r>
              <w:rPr>
                <w:noProof/>
              </w:rPr>
              <w:t>Etapă/Obiectiv</w:t>
            </w:r>
          </w:p>
        </w:tc>
        <w:tc>
          <w:tcPr>
            <w:tcW w:w="1371" w:type="dxa"/>
            <w:vMerge w:val="restart"/>
            <w:shd w:val="clear" w:color="auto" w:fill="BDD7EE"/>
            <w:vAlign w:val="center"/>
            <w:hideMark/>
          </w:tcPr>
          <w:p w14:paraId="48CF96E3" w14:textId="561ED9CB" w:rsidR="00C45D59" w:rsidRDefault="009F5BD9">
            <w:pPr>
              <w:pStyle w:val="P68B1DB1-Normal10"/>
              <w:spacing w:after="0" w:line="240" w:lineRule="auto"/>
              <w:jc w:val="center"/>
              <w:rPr>
                <w:rFonts w:eastAsia="Times New Roman" w:cs="Times New Roman"/>
                <w:bCs/>
                <w:noProof/>
                <w:szCs w:val="18"/>
              </w:rPr>
            </w:pPr>
            <w:r>
              <w:rPr>
                <w:noProof/>
              </w:rPr>
              <w:t>Denumire</w:t>
            </w:r>
          </w:p>
        </w:tc>
        <w:tc>
          <w:tcPr>
            <w:tcW w:w="1418" w:type="dxa"/>
            <w:vMerge w:val="restart"/>
            <w:shd w:val="clear" w:color="auto" w:fill="BDD7EE"/>
            <w:vAlign w:val="center"/>
            <w:hideMark/>
          </w:tcPr>
          <w:p w14:paraId="5EDC716F" w14:textId="77777777" w:rsidR="00C45D59" w:rsidRDefault="009B0962">
            <w:pPr>
              <w:pStyle w:val="P68B1DB1-Normal18"/>
              <w:spacing w:after="0" w:line="240" w:lineRule="auto"/>
              <w:jc w:val="center"/>
              <w:rPr>
                <w:rFonts w:ascii="Times New Roman" w:eastAsia="Times New Roman" w:hAnsi="Times New Roman" w:cs="Times New Roman"/>
                <w:bCs/>
                <w:noProof/>
                <w:szCs w:val="18"/>
              </w:rPr>
            </w:pPr>
            <w:r>
              <w:rPr>
                <w:rFonts w:ascii="Times New Roman" w:hAnsi="Times New Roman"/>
                <w:noProof/>
              </w:rPr>
              <w:t xml:space="preserve">Indicatori calitativi </w:t>
            </w:r>
            <w:r>
              <w:rPr>
                <w:rFonts w:ascii="Times New Roman" w:hAnsi="Times New Roman" w:cs="Times New Roman"/>
                <w:noProof/>
                <w:szCs w:val="18"/>
              </w:rPr>
              <w:br/>
            </w:r>
            <w:r>
              <w:rPr>
                <w:rFonts w:ascii="Times New Roman" w:hAnsi="Times New Roman"/>
                <w:noProof/>
              </w:rPr>
              <w:t>(pentru jaloane)</w:t>
            </w:r>
          </w:p>
        </w:tc>
        <w:tc>
          <w:tcPr>
            <w:tcW w:w="3043" w:type="dxa"/>
            <w:gridSpan w:val="3"/>
            <w:shd w:val="clear" w:color="auto" w:fill="BDD7EE"/>
            <w:vAlign w:val="center"/>
            <w:hideMark/>
          </w:tcPr>
          <w:p w14:paraId="49F8898A" w14:textId="77777777" w:rsidR="00C45D59" w:rsidRDefault="009B0962">
            <w:pPr>
              <w:pStyle w:val="P68B1DB1-Normal18"/>
              <w:spacing w:after="0" w:line="240" w:lineRule="auto"/>
              <w:jc w:val="center"/>
              <w:rPr>
                <w:rFonts w:ascii="Times New Roman" w:eastAsia="Times New Roman" w:hAnsi="Times New Roman" w:cs="Times New Roman"/>
                <w:bCs/>
                <w:noProof/>
                <w:szCs w:val="18"/>
              </w:rPr>
            </w:pPr>
            <w:r>
              <w:rPr>
                <w:rFonts w:ascii="Times New Roman" w:hAnsi="Times New Roman"/>
                <w:noProof/>
              </w:rPr>
              <w:t xml:space="preserve">Indicatori cantitativi </w:t>
            </w:r>
            <w:r>
              <w:rPr>
                <w:rFonts w:ascii="Times New Roman" w:hAnsi="Times New Roman" w:cs="Times New Roman"/>
                <w:noProof/>
                <w:szCs w:val="18"/>
              </w:rPr>
              <w:br/>
            </w:r>
            <w:r>
              <w:rPr>
                <w:rFonts w:ascii="Times New Roman" w:hAnsi="Times New Roman"/>
                <w:noProof/>
              </w:rPr>
              <w:t>(pentru obiective)</w:t>
            </w:r>
          </w:p>
        </w:tc>
        <w:tc>
          <w:tcPr>
            <w:tcW w:w="1603" w:type="dxa"/>
            <w:gridSpan w:val="2"/>
            <w:shd w:val="clear" w:color="auto" w:fill="BDD7EE"/>
            <w:vAlign w:val="center"/>
            <w:hideMark/>
          </w:tcPr>
          <w:p w14:paraId="5EC14148" w14:textId="77777777" w:rsidR="00C45D59" w:rsidRDefault="009B0962">
            <w:pPr>
              <w:pStyle w:val="P68B1DB1-Normal10"/>
              <w:spacing w:after="0" w:line="240" w:lineRule="auto"/>
              <w:jc w:val="center"/>
              <w:rPr>
                <w:rFonts w:eastAsia="Times New Roman" w:cs="Times New Roman"/>
                <w:bCs/>
                <w:noProof/>
                <w:szCs w:val="18"/>
              </w:rPr>
            </w:pPr>
            <w:r>
              <w:rPr>
                <w:noProof/>
              </w:rPr>
              <w:t xml:space="preserve">Calendar orientativ pentru finalizare </w:t>
            </w:r>
          </w:p>
        </w:tc>
        <w:tc>
          <w:tcPr>
            <w:tcW w:w="4394" w:type="dxa"/>
            <w:vMerge w:val="restart"/>
            <w:shd w:val="clear" w:color="auto" w:fill="BDD7EE"/>
            <w:vAlign w:val="center"/>
            <w:hideMark/>
          </w:tcPr>
          <w:p w14:paraId="36F2524E" w14:textId="77777777" w:rsidR="00C45D59" w:rsidRDefault="009B0962">
            <w:pPr>
              <w:pStyle w:val="P68B1DB1-Normal10"/>
              <w:spacing w:after="0" w:line="240" w:lineRule="auto"/>
              <w:jc w:val="center"/>
              <w:rPr>
                <w:rFonts w:eastAsia="Times New Roman" w:cs="Times New Roman"/>
                <w:bCs/>
                <w:noProof/>
                <w:szCs w:val="18"/>
              </w:rPr>
            </w:pPr>
            <w:r>
              <w:rPr>
                <w:noProof/>
              </w:rPr>
              <w:t>Descrierea fiecărui jalon și a fiecărei ținte</w:t>
            </w:r>
          </w:p>
        </w:tc>
      </w:tr>
      <w:tr w:rsidR="00C45D59" w14:paraId="1DFE1F95" w14:textId="77777777">
        <w:trPr>
          <w:trHeight w:val="1027"/>
          <w:tblHeader/>
          <w:jc w:val="center"/>
        </w:trPr>
        <w:tc>
          <w:tcPr>
            <w:tcW w:w="675" w:type="dxa"/>
            <w:vMerge/>
            <w:vAlign w:val="center"/>
            <w:hideMark/>
          </w:tcPr>
          <w:p w14:paraId="4ED064D5" w14:textId="77777777" w:rsidR="00C45D59" w:rsidRDefault="00C45D59">
            <w:pPr>
              <w:spacing w:after="0" w:line="240" w:lineRule="auto"/>
              <w:rPr>
                <w:rFonts w:ascii="Times New Roman" w:eastAsia="Times New Roman" w:hAnsi="Times New Roman" w:cs="Times New Roman"/>
                <w:b/>
                <w:bCs/>
                <w:noProof/>
                <w:sz w:val="18"/>
                <w:szCs w:val="18"/>
              </w:rPr>
            </w:pPr>
          </w:p>
        </w:tc>
        <w:tc>
          <w:tcPr>
            <w:tcW w:w="1833" w:type="dxa"/>
            <w:vMerge/>
            <w:vAlign w:val="center"/>
            <w:hideMark/>
          </w:tcPr>
          <w:p w14:paraId="2BB9176C" w14:textId="77777777" w:rsidR="00C45D59" w:rsidRDefault="00C45D59">
            <w:pPr>
              <w:spacing w:after="0" w:line="240" w:lineRule="auto"/>
              <w:rPr>
                <w:rFonts w:ascii="Times New Roman" w:eastAsia="Times New Roman" w:hAnsi="Times New Roman" w:cs="Times New Roman"/>
                <w:b/>
                <w:bCs/>
                <w:noProof/>
                <w:sz w:val="18"/>
                <w:szCs w:val="18"/>
              </w:rPr>
            </w:pPr>
          </w:p>
        </w:tc>
        <w:tc>
          <w:tcPr>
            <w:tcW w:w="1080" w:type="dxa"/>
            <w:vMerge/>
            <w:vAlign w:val="center"/>
            <w:hideMark/>
          </w:tcPr>
          <w:p w14:paraId="76C44E1E" w14:textId="77777777" w:rsidR="00C45D59" w:rsidRDefault="00C45D59">
            <w:pPr>
              <w:spacing w:after="0" w:line="240" w:lineRule="auto"/>
              <w:rPr>
                <w:rFonts w:ascii="Times New Roman" w:eastAsia="Times New Roman" w:hAnsi="Times New Roman" w:cs="Times New Roman"/>
                <w:b/>
                <w:bCs/>
                <w:noProof/>
                <w:sz w:val="18"/>
                <w:szCs w:val="18"/>
              </w:rPr>
            </w:pPr>
          </w:p>
        </w:tc>
        <w:tc>
          <w:tcPr>
            <w:tcW w:w="1371" w:type="dxa"/>
            <w:vMerge/>
            <w:vAlign w:val="center"/>
            <w:hideMark/>
          </w:tcPr>
          <w:p w14:paraId="63F5C477" w14:textId="77777777" w:rsidR="00C45D59" w:rsidRDefault="00C45D59">
            <w:pPr>
              <w:spacing w:after="0" w:line="240" w:lineRule="auto"/>
              <w:rPr>
                <w:rFonts w:ascii="Times New Roman" w:eastAsia="Times New Roman" w:hAnsi="Times New Roman" w:cs="Times New Roman"/>
                <w:b/>
                <w:bCs/>
                <w:noProof/>
                <w:sz w:val="18"/>
                <w:szCs w:val="18"/>
              </w:rPr>
            </w:pPr>
          </w:p>
        </w:tc>
        <w:tc>
          <w:tcPr>
            <w:tcW w:w="1418" w:type="dxa"/>
            <w:vMerge/>
            <w:vAlign w:val="center"/>
            <w:hideMark/>
          </w:tcPr>
          <w:p w14:paraId="667EF4E7" w14:textId="77777777" w:rsidR="00C45D59" w:rsidRDefault="00C45D59">
            <w:pPr>
              <w:spacing w:after="0" w:line="240" w:lineRule="auto"/>
              <w:rPr>
                <w:rFonts w:ascii="Times New Roman" w:eastAsia="Times New Roman" w:hAnsi="Times New Roman" w:cs="Times New Roman"/>
                <w:b/>
                <w:bCs/>
                <w:noProof/>
                <w:sz w:val="18"/>
                <w:szCs w:val="18"/>
              </w:rPr>
            </w:pPr>
          </w:p>
        </w:tc>
        <w:tc>
          <w:tcPr>
            <w:tcW w:w="1276" w:type="dxa"/>
            <w:shd w:val="clear" w:color="auto" w:fill="BDD7EE"/>
            <w:vAlign w:val="center"/>
            <w:hideMark/>
          </w:tcPr>
          <w:p w14:paraId="2F861C6F" w14:textId="77777777" w:rsidR="00C45D59" w:rsidRDefault="009B0962">
            <w:pPr>
              <w:pStyle w:val="P68B1DB1-Normal10"/>
              <w:spacing w:after="0" w:line="240" w:lineRule="auto"/>
              <w:jc w:val="center"/>
              <w:rPr>
                <w:rFonts w:eastAsia="Times New Roman" w:cs="Times New Roman"/>
                <w:bCs/>
                <w:noProof/>
                <w:szCs w:val="18"/>
              </w:rPr>
            </w:pPr>
            <w:r>
              <w:rPr>
                <w:noProof/>
              </w:rPr>
              <w:t>Unitatea de măsură</w:t>
            </w:r>
          </w:p>
        </w:tc>
        <w:tc>
          <w:tcPr>
            <w:tcW w:w="992" w:type="dxa"/>
            <w:shd w:val="clear" w:color="auto" w:fill="BDD7EE"/>
            <w:vAlign w:val="center"/>
            <w:hideMark/>
          </w:tcPr>
          <w:p w14:paraId="46FD91FC" w14:textId="77777777" w:rsidR="00C45D59" w:rsidRDefault="009B0962">
            <w:pPr>
              <w:pStyle w:val="P68B1DB1-Normal10"/>
              <w:spacing w:after="0" w:line="240" w:lineRule="auto"/>
              <w:jc w:val="center"/>
              <w:rPr>
                <w:rFonts w:eastAsia="Times New Roman" w:cs="Times New Roman"/>
                <w:bCs/>
                <w:noProof/>
                <w:szCs w:val="18"/>
              </w:rPr>
            </w:pPr>
            <w:r>
              <w:rPr>
                <w:noProof/>
              </w:rPr>
              <w:t xml:space="preserve">Situația de referință </w:t>
            </w:r>
          </w:p>
        </w:tc>
        <w:tc>
          <w:tcPr>
            <w:tcW w:w="775" w:type="dxa"/>
            <w:shd w:val="clear" w:color="auto" w:fill="BDD7EE"/>
            <w:vAlign w:val="center"/>
            <w:hideMark/>
          </w:tcPr>
          <w:p w14:paraId="08D64B37" w14:textId="77777777" w:rsidR="00C45D59" w:rsidRDefault="009B0962">
            <w:pPr>
              <w:pStyle w:val="P68B1DB1-Normal10"/>
              <w:spacing w:after="0" w:line="240" w:lineRule="auto"/>
              <w:jc w:val="center"/>
              <w:rPr>
                <w:rFonts w:eastAsia="Times New Roman" w:cs="Times New Roman"/>
                <w:bCs/>
                <w:noProof/>
                <w:szCs w:val="18"/>
              </w:rPr>
            </w:pPr>
            <w:r>
              <w:rPr>
                <w:noProof/>
              </w:rPr>
              <w:t xml:space="preserve">Obiectiv </w:t>
            </w:r>
          </w:p>
        </w:tc>
        <w:tc>
          <w:tcPr>
            <w:tcW w:w="894" w:type="dxa"/>
            <w:shd w:val="clear" w:color="auto" w:fill="BDD7EE"/>
            <w:vAlign w:val="center"/>
            <w:hideMark/>
          </w:tcPr>
          <w:p w14:paraId="20102837" w14:textId="77777777" w:rsidR="00C45D59" w:rsidRDefault="009B0962">
            <w:pPr>
              <w:pStyle w:val="P68B1DB1-Normal10"/>
              <w:spacing w:after="0" w:line="240" w:lineRule="auto"/>
              <w:jc w:val="center"/>
              <w:rPr>
                <w:rFonts w:eastAsia="Times New Roman" w:cs="Times New Roman"/>
                <w:bCs/>
                <w:noProof/>
                <w:szCs w:val="18"/>
              </w:rPr>
            </w:pPr>
            <w:r>
              <w:rPr>
                <w:noProof/>
              </w:rPr>
              <w:t>Trimestru</w:t>
            </w:r>
          </w:p>
        </w:tc>
        <w:tc>
          <w:tcPr>
            <w:tcW w:w="709" w:type="dxa"/>
            <w:shd w:val="clear" w:color="auto" w:fill="BDD7EE"/>
            <w:vAlign w:val="center"/>
            <w:hideMark/>
          </w:tcPr>
          <w:p w14:paraId="26E39867" w14:textId="77777777" w:rsidR="00C45D59" w:rsidRDefault="009B0962">
            <w:pPr>
              <w:pStyle w:val="P68B1DB1-Normal10"/>
              <w:spacing w:after="0" w:line="240" w:lineRule="auto"/>
              <w:jc w:val="center"/>
              <w:rPr>
                <w:rFonts w:eastAsia="Times New Roman" w:cs="Times New Roman"/>
                <w:bCs/>
                <w:noProof/>
                <w:szCs w:val="18"/>
              </w:rPr>
            </w:pPr>
            <w:r>
              <w:rPr>
                <w:noProof/>
              </w:rPr>
              <w:t>Anul</w:t>
            </w:r>
          </w:p>
        </w:tc>
        <w:tc>
          <w:tcPr>
            <w:tcW w:w="4394" w:type="dxa"/>
            <w:vMerge/>
            <w:vAlign w:val="center"/>
            <w:hideMark/>
          </w:tcPr>
          <w:p w14:paraId="045A79C5" w14:textId="77777777" w:rsidR="00C45D59" w:rsidRDefault="00C45D59">
            <w:pPr>
              <w:spacing w:after="0" w:line="240" w:lineRule="auto"/>
              <w:rPr>
                <w:rFonts w:ascii="Times New Roman" w:eastAsia="Times New Roman" w:hAnsi="Times New Roman" w:cs="Times New Roman"/>
                <w:b/>
                <w:bCs/>
                <w:noProof/>
                <w:sz w:val="18"/>
                <w:szCs w:val="18"/>
              </w:rPr>
            </w:pPr>
          </w:p>
        </w:tc>
      </w:tr>
      <w:tr w:rsidR="00C45D59" w14:paraId="2B8A06B1" w14:textId="77777777">
        <w:trPr>
          <w:trHeight w:val="313"/>
          <w:jc w:val="center"/>
        </w:trPr>
        <w:tc>
          <w:tcPr>
            <w:tcW w:w="675" w:type="dxa"/>
            <w:shd w:val="clear" w:color="auto" w:fill="C6EFCE"/>
            <w:noWrap/>
          </w:tcPr>
          <w:p w14:paraId="390E66A1" w14:textId="77777777" w:rsidR="00C45D59" w:rsidRDefault="009B0962">
            <w:pPr>
              <w:pStyle w:val="P68B1DB1-Normal12"/>
              <w:spacing w:after="0" w:line="240" w:lineRule="auto"/>
              <w:rPr>
                <w:rFonts w:eastAsia="Times New Roman"/>
                <w:noProof/>
              </w:rPr>
            </w:pPr>
            <w:r>
              <w:rPr>
                <w:noProof/>
              </w:rPr>
              <w:t>32</w:t>
            </w:r>
          </w:p>
        </w:tc>
        <w:tc>
          <w:tcPr>
            <w:tcW w:w="1833" w:type="dxa"/>
            <w:shd w:val="clear" w:color="auto" w:fill="C6EFCE"/>
            <w:noWrap/>
          </w:tcPr>
          <w:p w14:paraId="7883FD9C" w14:textId="77777777" w:rsidR="00C45D59" w:rsidRDefault="009B0962">
            <w:pPr>
              <w:pStyle w:val="P68B1DB1-Normal12"/>
              <w:spacing w:after="0" w:line="240" w:lineRule="auto"/>
              <w:rPr>
                <w:rFonts w:eastAsia="Times New Roman"/>
                <w:noProof/>
              </w:rPr>
            </w:pPr>
            <w:r>
              <w:rPr>
                <w:noProof/>
              </w:rPr>
              <w:t>2-1.2. Renovare – 16920_Planul de acțiune privind sărăcia energetică</w:t>
            </w:r>
          </w:p>
        </w:tc>
        <w:tc>
          <w:tcPr>
            <w:tcW w:w="1080" w:type="dxa"/>
            <w:shd w:val="clear" w:color="auto" w:fill="C6EFCE"/>
            <w:noWrap/>
          </w:tcPr>
          <w:p w14:paraId="7AA542AE" w14:textId="77777777" w:rsidR="00C45D59" w:rsidRDefault="009B0962">
            <w:pPr>
              <w:pStyle w:val="P68B1DB1-Normal12"/>
              <w:spacing w:after="0" w:line="240" w:lineRule="auto"/>
              <w:rPr>
                <w:rFonts w:eastAsia="Times New Roman"/>
                <w:noProof/>
              </w:rPr>
            </w:pPr>
            <w:r>
              <w:rPr>
                <w:noProof/>
              </w:rPr>
              <w:t>Etapă</w:t>
            </w:r>
          </w:p>
        </w:tc>
        <w:tc>
          <w:tcPr>
            <w:tcW w:w="1371" w:type="dxa"/>
            <w:shd w:val="clear" w:color="auto" w:fill="C6EFCE"/>
            <w:noWrap/>
          </w:tcPr>
          <w:p w14:paraId="30FBF48A" w14:textId="77777777" w:rsidR="00C45D59" w:rsidRDefault="009B0962">
            <w:pPr>
              <w:pStyle w:val="P68B1DB1-Normal12"/>
              <w:spacing w:after="0" w:line="240" w:lineRule="auto"/>
              <w:rPr>
                <w:rFonts w:eastAsia="Times New Roman"/>
                <w:noProof/>
              </w:rPr>
            </w:pPr>
            <w:r>
              <w:rPr>
                <w:noProof/>
              </w:rPr>
              <w:t>Sărăcia energetică – adoptarea unui plan de acțiune</w:t>
            </w:r>
          </w:p>
          <w:p w14:paraId="4CE11831"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418" w:type="dxa"/>
            <w:shd w:val="clear" w:color="auto" w:fill="C6EFCE"/>
            <w:noWrap/>
          </w:tcPr>
          <w:p w14:paraId="7269E345" w14:textId="77777777" w:rsidR="00C45D59" w:rsidRDefault="009B0962">
            <w:pPr>
              <w:pStyle w:val="P68B1DB1-Normal12"/>
              <w:spacing w:after="0" w:line="240" w:lineRule="auto"/>
              <w:rPr>
                <w:rFonts w:eastAsia="Times New Roman"/>
                <w:noProof/>
              </w:rPr>
            </w:pPr>
            <w:r>
              <w:rPr>
                <w:noProof/>
              </w:rPr>
              <w:t>Intrarea în vigoare a unei decizii ministeriale a Ministerului Mediului și Energiei.</w:t>
            </w:r>
          </w:p>
        </w:tc>
        <w:tc>
          <w:tcPr>
            <w:tcW w:w="1276" w:type="dxa"/>
            <w:shd w:val="clear" w:color="auto" w:fill="C6EFCE"/>
            <w:noWrap/>
          </w:tcPr>
          <w:p w14:paraId="6340B53E"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992" w:type="dxa"/>
            <w:shd w:val="clear" w:color="auto" w:fill="C6EFCE"/>
            <w:noWrap/>
          </w:tcPr>
          <w:p w14:paraId="4475EA02"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775" w:type="dxa"/>
            <w:shd w:val="clear" w:color="auto" w:fill="C6EFCE"/>
            <w:noWrap/>
          </w:tcPr>
          <w:p w14:paraId="7A9F2A6F"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94" w:type="dxa"/>
            <w:shd w:val="clear" w:color="auto" w:fill="C6EFCE"/>
            <w:noWrap/>
          </w:tcPr>
          <w:p w14:paraId="472BF11D" w14:textId="77777777" w:rsidR="00C45D59" w:rsidRDefault="009B0962">
            <w:pPr>
              <w:pStyle w:val="P68B1DB1-Normal12"/>
              <w:spacing w:after="0" w:line="240" w:lineRule="auto"/>
              <w:rPr>
                <w:rFonts w:eastAsia="Times New Roman"/>
                <w:noProof/>
              </w:rPr>
            </w:pPr>
            <w:r>
              <w:rPr>
                <w:noProof/>
              </w:rPr>
              <w:t>Î3</w:t>
            </w:r>
          </w:p>
        </w:tc>
        <w:tc>
          <w:tcPr>
            <w:tcW w:w="709" w:type="dxa"/>
            <w:shd w:val="clear" w:color="auto" w:fill="C6EFCE"/>
            <w:noWrap/>
          </w:tcPr>
          <w:p w14:paraId="7BCDCB0F" w14:textId="77777777" w:rsidR="00C45D59" w:rsidRDefault="009B0962">
            <w:pPr>
              <w:pStyle w:val="P68B1DB1-Normal12"/>
              <w:spacing w:after="0" w:line="240" w:lineRule="auto"/>
              <w:rPr>
                <w:rFonts w:eastAsia="Times New Roman"/>
                <w:noProof/>
              </w:rPr>
            </w:pPr>
            <w:r>
              <w:rPr>
                <w:noProof/>
              </w:rPr>
              <w:t>2021</w:t>
            </w:r>
          </w:p>
        </w:tc>
        <w:tc>
          <w:tcPr>
            <w:tcW w:w="4394" w:type="dxa"/>
            <w:shd w:val="clear" w:color="auto" w:fill="C6EFCE"/>
            <w:noWrap/>
          </w:tcPr>
          <w:p w14:paraId="20F40360" w14:textId="77777777" w:rsidR="00C45D59" w:rsidRDefault="009B0962">
            <w:pPr>
              <w:pStyle w:val="P68B1DB1-Normal12"/>
              <w:spacing w:after="0" w:line="240" w:lineRule="auto"/>
              <w:rPr>
                <w:rFonts w:eastAsia="Times New Roman"/>
                <w:noProof/>
              </w:rPr>
            </w:pPr>
            <w:r>
              <w:rPr>
                <w:noProof/>
              </w:rPr>
              <w:t>Intrarea în vigoare a unei decizii ministeriale a Ministerului Mediului și Energiei de adoptare a Planului de acțiune privind sărăcia energetică, cu trei categorii de măsuri de politică în plan:</w:t>
            </w:r>
          </w:p>
          <w:p w14:paraId="4C323657" w14:textId="77777777" w:rsidR="00C45D59" w:rsidRDefault="009B0962">
            <w:pPr>
              <w:pStyle w:val="P68B1DB1-Normal12"/>
              <w:spacing w:after="0" w:line="240" w:lineRule="auto"/>
              <w:rPr>
                <w:rFonts w:eastAsia="Times New Roman"/>
                <w:noProof/>
              </w:rPr>
            </w:pPr>
            <w:r>
              <w:rPr>
                <w:noProof/>
              </w:rPr>
              <w:t>— Măsuri de sensibilizare și de informare;</w:t>
            </w:r>
          </w:p>
          <w:p w14:paraId="3D5B97D9" w14:textId="77777777" w:rsidR="00C45D59" w:rsidRDefault="009B0962">
            <w:pPr>
              <w:pStyle w:val="P68B1DB1-Normal12"/>
              <w:spacing w:after="0" w:line="240" w:lineRule="auto"/>
              <w:rPr>
                <w:rFonts w:eastAsia="Times New Roman"/>
                <w:noProof/>
              </w:rPr>
            </w:pPr>
            <w:r>
              <w:rPr>
                <w:noProof/>
              </w:rPr>
              <w:t>— Măsuri de protecție pe termen scurt a gospodăriilor afectate de sărăcia energetică, inclusiv (1) definirea gospodăriilor care se confruntă cu sărăcia energetică, prin criterii cantitative specifice, și (2) un proces specific de monitorizare și evaluare a evoluției sărăciei energetice, în conformitate cu mecanismul propus în planul de acțiune și în conformitate cu legislația relevantă a UE; și</w:t>
            </w:r>
          </w:p>
          <w:p w14:paraId="7DDD3D6A" w14:textId="77777777" w:rsidR="00C45D59" w:rsidRDefault="009B0962">
            <w:pPr>
              <w:pStyle w:val="P68B1DB1-Normal12"/>
              <w:spacing w:after="0" w:line="240" w:lineRule="auto"/>
              <w:rPr>
                <w:rFonts w:eastAsia="Times New Roman"/>
                <w:noProof/>
              </w:rPr>
            </w:pPr>
            <w:r>
              <w:rPr>
                <w:noProof/>
              </w:rPr>
              <w:t>— Măsuri de finanțare: instituirea unor mecanisme de finanțare pentru modernizarea energetică a clădirilor rezidențiale ale gospodăriilor vulnerabile din punct de vedere energetic și ale altor grupuri sociale cu modele specifice de consum de energie electrică. Aceste măsuri financiare trebuie să abordeze problemele legate de sărăcia energetică din Grecia, astfel cum sunt descrise în Planul național privind energia și clima (PNEC).</w:t>
            </w:r>
          </w:p>
        </w:tc>
      </w:tr>
      <w:tr w:rsidR="00C45D59" w14:paraId="5C0A5FE3" w14:textId="77777777">
        <w:trPr>
          <w:trHeight w:val="313"/>
          <w:jc w:val="center"/>
        </w:trPr>
        <w:tc>
          <w:tcPr>
            <w:tcW w:w="675" w:type="dxa"/>
            <w:shd w:val="clear" w:color="auto" w:fill="C6EFCE"/>
            <w:noWrap/>
          </w:tcPr>
          <w:p w14:paraId="692F7F74" w14:textId="77777777" w:rsidR="00C45D59" w:rsidRDefault="009B0962">
            <w:pPr>
              <w:pStyle w:val="P68B1DB1-Normal12"/>
              <w:spacing w:after="0" w:line="240" w:lineRule="auto"/>
              <w:rPr>
                <w:rFonts w:eastAsia="Times New Roman"/>
                <w:noProof/>
              </w:rPr>
            </w:pPr>
            <w:r>
              <w:rPr>
                <w:noProof/>
              </w:rPr>
              <w:t>33</w:t>
            </w:r>
          </w:p>
        </w:tc>
        <w:tc>
          <w:tcPr>
            <w:tcW w:w="1833" w:type="dxa"/>
            <w:shd w:val="clear" w:color="auto" w:fill="C6EFCE"/>
            <w:noWrap/>
          </w:tcPr>
          <w:p w14:paraId="5E396619" w14:textId="77777777" w:rsidR="00C45D59" w:rsidRDefault="009B0962">
            <w:pPr>
              <w:pStyle w:val="P68B1DB1-Normal12"/>
              <w:spacing w:after="0" w:line="240" w:lineRule="auto"/>
              <w:rPr>
                <w:rFonts w:eastAsia="Times New Roman"/>
                <w:noProof/>
              </w:rPr>
            </w:pPr>
            <w:r>
              <w:rPr>
                <w:noProof/>
              </w:rPr>
              <w:t>2-1.2. Renovare – 16874_Energie și antreprenoriat</w:t>
            </w:r>
          </w:p>
        </w:tc>
        <w:tc>
          <w:tcPr>
            <w:tcW w:w="1080" w:type="dxa"/>
            <w:shd w:val="clear" w:color="auto" w:fill="C6EFCE"/>
            <w:noWrap/>
          </w:tcPr>
          <w:p w14:paraId="5B0EA891" w14:textId="77777777" w:rsidR="00C45D59" w:rsidRDefault="009B0962">
            <w:pPr>
              <w:pStyle w:val="P68B1DB1-Normal12"/>
              <w:spacing w:after="0" w:line="240" w:lineRule="auto"/>
              <w:rPr>
                <w:rFonts w:eastAsia="Times New Roman"/>
                <w:noProof/>
              </w:rPr>
            </w:pPr>
            <w:r>
              <w:rPr>
                <w:noProof/>
              </w:rPr>
              <w:t>Etapă</w:t>
            </w:r>
          </w:p>
        </w:tc>
        <w:tc>
          <w:tcPr>
            <w:tcW w:w="1371" w:type="dxa"/>
            <w:shd w:val="clear" w:color="auto" w:fill="C6EFCE"/>
            <w:noWrap/>
          </w:tcPr>
          <w:p w14:paraId="5C65BA8F" w14:textId="77777777" w:rsidR="00C45D59" w:rsidRDefault="009B0962">
            <w:pPr>
              <w:pStyle w:val="P68B1DB1-Normal12"/>
              <w:spacing w:after="0" w:line="240" w:lineRule="auto"/>
              <w:rPr>
                <w:rFonts w:eastAsia="Times New Roman"/>
                <w:noProof/>
              </w:rPr>
            </w:pPr>
            <w:r>
              <w:rPr>
                <w:noProof/>
              </w:rPr>
              <w:t>Eficiența energetică în sectorul privat – cereri aprobate</w:t>
            </w:r>
          </w:p>
        </w:tc>
        <w:tc>
          <w:tcPr>
            <w:tcW w:w="1418" w:type="dxa"/>
            <w:shd w:val="clear" w:color="auto" w:fill="C6EFCE"/>
            <w:noWrap/>
          </w:tcPr>
          <w:p w14:paraId="45B2F1C4" w14:textId="77777777" w:rsidR="00C45D59" w:rsidRDefault="009B0962">
            <w:pPr>
              <w:pStyle w:val="P68B1DB1-Normal12"/>
              <w:spacing w:after="0" w:line="240" w:lineRule="auto"/>
              <w:rPr>
                <w:rFonts w:eastAsia="Times New Roman"/>
                <w:noProof/>
              </w:rPr>
            </w:pPr>
            <w:r>
              <w:rPr>
                <w:noProof/>
              </w:rPr>
              <w:t>Aprobarea de către Ministerul Mediului și Energiei a cererilor depuse pentru intervenții selectate la entități din sectorul privat.</w:t>
            </w:r>
          </w:p>
        </w:tc>
        <w:tc>
          <w:tcPr>
            <w:tcW w:w="1276" w:type="dxa"/>
            <w:shd w:val="clear" w:color="auto" w:fill="C6EFCE"/>
            <w:noWrap/>
          </w:tcPr>
          <w:p w14:paraId="7CF1C2AB"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992" w:type="dxa"/>
            <w:shd w:val="clear" w:color="auto" w:fill="C6EFCE"/>
            <w:noWrap/>
          </w:tcPr>
          <w:p w14:paraId="61C60B7C"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775" w:type="dxa"/>
            <w:shd w:val="clear" w:color="auto" w:fill="C6EFCE"/>
            <w:noWrap/>
          </w:tcPr>
          <w:p w14:paraId="05B38D82"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94" w:type="dxa"/>
            <w:shd w:val="clear" w:color="auto" w:fill="C6EFCE"/>
            <w:noWrap/>
          </w:tcPr>
          <w:p w14:paraId="5448788F" w14:textId="77777777" w:rsidR="00C45D59" w:rsidRDefault="009B0962">
            <w:pPr>
              <w:pStyle w:val="P68B1DB1-Normal12"/>
              <w:spacing w:after="0" w:line="240" w:lineRule="auto"/>
              <w:rPr>
                <w:rFonts w:eastAsia="Times New Roman"/>
                <w:noProof/>
              </w:rPr>
            </w:pPr>
            <w:r>
              <w:rPr>
                <w:noProof/>
              </w:rPr>
              <w:t>Î4</w:t>
            </w:r>
          </w:p>
        </w:tc>
        <w:tc>
          <w:tcPr>
            <w:tcW w:w="709" w:type="dxa"/>
            <w:shd w:val="clear" w:color="auto" w:fill="C6EFCE"/>
            <w:noWrap/>
          </w:tcPr>
          <w:p w14:paraId="7B45F8F6" w14:textId="77777777" w:rsidR="00C45D59" w:rsidRDefault="009B0962">
            <w:pPr>
              <w:pStyle w:val="P68B1DB1-Normal12"/>
              <w:spacing w:after="0" w:line="240" w:lineRule="auto"/>
              <w:rPr>
                <w:rFonts w:eastAsia="Times New Roman"/>
                <w:noProof/>
              </w:rPr>
            </w:pPr>
            <w:r>
              <w:rPr>
                <w:noProof/>
              </w:rPr>
              <w:t>2023</w:t>
            </w:r>
          </w:p>
        </w:tc>
        <w:tc>
          <w:tcPr>
            <w:tcW w:w="4394" w:type="dxa"/>
            <w:shd w:val="clear" w:color="auto" w:fill="C6EFCE"/>
            <w:noWrap/>
          </w:tcPr>
          <w:p w14:paraId="466CEE9A" w14:textId="77777777" w:rsidR="00C45D59" w:rsidRDefault="009B0962">
            <w:pPr>
              <w:pStyle w:val="P68B1DB1-Normal12"/>
              <w:spacing w:after="0" w:line="240" w:lineRule="auto"/>
              <w:rPr>
                <w:rFonts w:eastAsia="Times New Roman"/>
                <w:noProof/>
              </w:rPr>
            </w:pPr>
            <w:r>
              <w:rPr>
                <w:noProof/>
              </w:rPr>
              <w:t>Aprobarea de către Ministerul Mediului și Energiei a cererilor a 3 500 entități din sectorul privat care se asigură că emisiile de dioxid de carbon (CO2) sunt reduse, în medie, cu cel puțin 30 % în comparație cu situația existentă a entităților din sectorul privat [și anume, se poate aplica întreprinderii participante în ansamblu, înlocuirii specifice a echipamentelor unice și/sau înlocuirii (înlocuirilor) proceselor specifice], astfel cum se indică prin auditurile energetice efectuate înainte de intervenții sau prin alte informații certificate. Proiectele selectate trebuie să respecte Orientările tehnice de „a nu prejudicia în mod semnificativ” (2021/C58/01) prin utilizarea unei liste de excludere și a cerinței de conformitate cu legislația UE și națională relevantă în materie de mediu.</w:t>
            </w:r>
          </w:p>
        </w:tc>
      </w:tr>
      <w:tr w:rsidR="00C45D59" w14:paraId="07ABA352" w14:textId="77777777">
        <w:trPr>
          <w:trHeight w:val="313"/>
          <w:jc w:val="center"/>
        </w:trPr>
        <w:tc>
          <w:tcPr>
            <w:tcW w:w="675" w:type="dxa"/>
            <w:shd w:val="clear" w:color="auto" w:fill="C6EFCE"/>
            <w:noWrap/>
          </w:tcPr>
          <w:p w14:paraId="150D6E6B" w14:textId="77777777" w:rsidR="00C45D59" w:rsidRDefault="009B0962">
            <w:pPr>
              <w:pStyle w:val="P68B1DB1-Normal12"/>
              <w:spacing w:after="0" w:line="240" w:lineRule="auto"/>
              <w:rPr>
                <w:rFonts w:eastAsia="Times New Roman"/>
                <w:noProof/>
              </w:rPr>
            </w:pPr>
            <w:r>
              <w:rPr>
                <w:noProof/>
              </w:rPr>
              <w:t>34</w:t>
            </w:r>
          </w:p>
        </w:tc>
        <w:tc>
          <w:tcPr>
            <w:tcW w:w="1833" w:type="dxa"/>
            <w:shd w:val="clear" w:color="auto" w:fill="C6EFCE"/>
            <w:noWrap/>
          </w:tcPr>
          <w:p w14:paraId="3F51C860" w14:textId="77777777" w:rsidR="00C45D59" w:rsidRDefault="009B0962">
            <w:pPr>
              <w:pStyle w:val="P68B1DB1-Normal12"/>
              <w:spacing w:after="0" w:line="240" w:lineRule="auto"/>
              <w:rPr>
                <w:rFonts w:eastAsia="Times New Roman"/>
                <w:noProof/>
              </w:rPr>
            </w:pPr>
            <w:r>
              <w:rPr>
                <w:noProof/>
              </w:rPr>
              <w:t xml:space="preserve">2-1.2. Renovare – 16876_Modernizarea energetică a clădirilor din sectorul public </w:t>
            </w:r>
          </w:p>
        </w:tc>
        <w:tc>
          <w:tcPr>
            <w:tcW w:w="1080" w:type="dxa"/>
            <w:shd w:val="clear" w:color="auto" w:fill="C6EFCE"/>
            <w:noWrap/>
          </w:tcPr>
          <w:p w14:paraId="3F80EBFB" w14:textId="77777777" w:rsidR="00C45D59" w:rsidRDefault="009B0962">
            <w:pPr>
              <w:pStyle w:val="P68B1DB1-Normal12"/>
              <w:spacing w:after="0" w:line="240" w:lineRule="auto"/>
              <w:rPr>
                <w:rFonts w:eastAsia="Times New Roman"/>
                <w:noProof/>
              </w:rPr>
            </w:pPr>
            <w:r>
              <w:rPr>
                <w:noProof/>
              </w:rPr>
              <w:t>Etapă</w:t>
            </w:r>
          </w:p>
        </w:tc>
        <w:tc>
          <w:tcPr>
            <w:tcW w:w="1371" w:type="dxa"/>
            <w:shd w:val="clear" w:color="auto" w:fill="C6EFCE"/>
            <w:noWrap/>
          </w:tcPr>
          <w:p w14:paraId="4FE9E59B" w14:textId="77777777" w:rsidR="00C45D59" w:rsidRDefault="009B0962">
            <w:pPr>
              <w:pStyle w:val="P68B1DB1-Normal12"/>
              <w:spacing w:after="0" w:line="240" w:lineRule="auto"/>
              <w:rPr>
                <w:rFonts w:eastAsia="Times New Roman"/>
                <w:noProof/>
              </w:rPr>
            </w:pPr>
            <w:r>
              <w:rPr>
                <w:noProof/>
              </w:rPr>
              <w:t>Eficiența energetică a clădirilor publice – cereri aprobate</w:t>
            </w:r>
          </w:p>
        </w:tc>
        <w:tc>
          <w:tcPr>
            <w:tcW w:w="1418" w:type="dxa"/>
            <w:shd w:val="clear" w:color="auto" w:fill="C6EFCE"/>
            <w:noWrap/>
          </w:tcPr>
          <w:p w14:paraId="5B1A5AF3" w14:textId="77777777" w:rsidR="00C45D59" w:rsidRDefault="009B0962">
            <w:pPr>
              <w:pStyle w:val="P68B1DB1-Normal12"/>
              <w:spacing w:after="0" w:line="240" w:lineRule="auto"/>
              <w:rPr>
                <w:rFonts w:eastAsia="Times New Roman"/>
                <w:noProof/>
              </w:rPr>
            </w:pPr>
            <w:r>
              <w:rPr>
                <w:noProof/>
              </w:rPr>
              <w:t>Notificarea atribuirilor pentru cereri aprobate de către Ministerul Mediului și Energiei pentru intervenții selectate în clădirile din sectorul public.</w:t>
            </w:r>
          </w:p>
        </w:tc>
        <w:tc>
          <w:tcPr>
            <w:tcW w:w="1276" w:type="dxa"/>
            <w:shd w:val="clear" w:color="auto" w:fill="C6EFCE"/>
            <w:noWrap/>
          </w:tcPr>
          <w:p w14:paraId="1D200ED8"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992" w:type="dxa"/>
            <w:shd w:val="clear" w:color="auto" w:fill="C6EFCE"/>
            <w:noWrap/>
          </w:tcPr>
          <w:p w14:paraId="71E643E4"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775" w:type="dxa"/>
            <w:shd w:val="clear" w:color="auto" w:fill="C6EFCE"/>
            <w:noWrap/>
          </w:tcPr>
          <w:p w14:paraId="29C77059"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94" w:type="dxa"/>
            <w:shd w:val="clear" w:color="auto" w:fill="C6EFCE"/>
            <w:noWrap/>
          </w:tcPr>
          <w:p w14:paraId="632DDD2C" w14:textId="77777777" w:rsidR="00C45D59" w:rsidRDefault="009B0962">
            <w:pPr>
              <w:pStyle w:val="P68B1DB1-Normal12"/>
              <w:spacing w:after="0" w:line="240" w:lineRule="auto"/>
              <w:rPr>
                <w:rFonts w:eastAsia="Times New Roman"/>
                <w:noProof/>
              </w:rPr>
            </w:pPr>
            <w:r>
              <w:rPr>
                <w:noProof/>
              </w:rPr>
              <w:t>Î2</w:t>
            </w:r>
          </w:p>
        </w:tc>
        <w:tc>
          <w:tcPr>
            <w:tcW w:w="709" w:type="dxa"/>
            <w:shd w:val="clear" w:color="auto" w:fill="C6EFCE"/>
            <w:noWrap/>
          </w:tcPr>
          <w:p w14:paraId="718ACED4" w14:textId="77777777" w:rsidR="00C45D59" w:rsidRDefault="009B0962">
            <w:pPr>
              <w:pStyle w:val="P68B1DB1-Normal12"/>
              <w:spacing w:after="0" w:line="240" w:lineRule="auto"/>
              <w:rPr>
                <w:rFonts w:eastAsia="Times New Roman"/>
                <w:noProof/>
              </w:rPr>
            </w:pPr>
            <w:r>
              <w:rPr>
                <w:noProof/>
              </w:rPr>
              <w:t>2023</w:t>
            </w:r>
          </w:p>
        </w:tc>
        <w:tc>
          <w:tcPr>
            <w:tcW w:w="4394" w:type="dxa"/>
            <w:shd w:val="clear" w:color="auto" w:fill="C6EFCE"/>
            <w:noWrap/>
          </w:tcPr>
          <w:p w14:paraId="752D7FCB" w14:textId="77777777" w:rsidR="00C45D59" w:rsidRDefault="009B0962">
            <w:pPr>
              <w:pStyle w:val="P68B1DB1-Normal12"/>
              <w:spacing w:after="0" w:line="240" w:lineRule="auto"/>
              <w:rPr>
                <w:rFonts w:eastAsia="Times New Roman"/>
                <w:noProof/>
              </w:rPr>
            </w:pPr>
            <w:r>
              <w:rPr>
                <w:noProof/>
              </w:rPr>
              <w:t xml:space="preserve">Aprobarea de către Ministerul Mediului și Energiei a cererilor pentru 150 de clădiri din sectorul public, asigurându-se că emisiile de CO2 ale acestor clădiri sunt reduse, în medie, cu cel puțin 30 % în comparație cu situația lor existentă (astfel cum se indică prin auditurile energetice efectuate înainte de intervenții). </w:t>
            </w:r>
          </w:p>
          <w:p w14:paraId="6D8C746C" w14:textId="77777777" w:rsidR="00C45D59" w:rsidRDefault="00C45D59">
            <w:pPr>
              <w:spacing w:after="0" w:line="240" w:lineRule="auto"/>
              <w:rPr>
                <w:rFonts w:ascii="Times New Roman" w:eastAsia="Times New Roman" w:hAnsi="Times New Roman" w:cs="Times New Roman"/>
                <w:noProof/>
                <w:color w:val="006100"/>
                <w:sz w:val="18"/>
                <w:szCs w:val="18"/>
              </w:rPr>
            </w:pPr>
          </w:p>
          <w:p w14:paraId="405B3FCE" w14:textId="77777777" w:rsidR="00C45D59" w:rsidRDefault="009B0962">
            <w:pPr>
              <w:pStyle w:val="P68B1DB1-Normal12"/>
              <w:spacing w:after="0" w:line="240" w:lineRule="auto"/>
              <w:rPr>
                <w:rFonts w:eastAsia="Times New Roman"/>
                <w:noProof/>
              </w:rPr>
            </w:pPr>
            <w:r>
              <w:rPr>
                <w:noProof/>
              </w:rPr>
              <w:t>În ceea ce privește programul de modernizare energetică a clădirilor din sectorul public, a fost instituit cadrul juridic care permite încheierea de contracte de performanță energetică.</w:t>
            </w:r>
          </w:p>
        </w:tc>
      </w:tr>
      <w:tr w:rsidR="00C45D59" w14:paraId="73989142" w14:textId="77777777">
        <w:trPr>
          <w:trHeight w:val="313"/>
          <w:jc w:val="center"/>
        </w:trPr>
        <w:tc>
          <w:tcPr>
            <w:tcW w:w="675" w:type="dxa"/>
            <w:shd w:val="clear" w:color="auto" w:fill="C6EFCE"/>
            <w:noWrap/>
          </w:tcPr>
          <w:p w14:paraId="5EA54054" w14:textId="77777777" w:rsidR="00C45D59" w:rsidRDefault="009B0962">
            <w:pPr>
              <w:pStyle w:val="P68B1DB1-Normal12"/>
              <w:spacing w:after="0" w:line="240" w:lineRule="auto"/>
              <w:rPr>
                <w:rFonts w:eastAsia="Times New Roman"/>
                <w:noProof/>
              </w:rPr>
            </w:pPr>
            <w:r>
              <w:rPr>
                <w:noProof/>
              </w:rPr>
              <w:t>36</w:t>
            </w:r>
          </w:p>
        </w:tc>
        <w:tc>
          <w:tcPr>
            <w:tcW w:w="1833" w:type="dxa"/>
            <w:shd w:val="clear" w:color="auto" w:fill="C6EFCE"/>
            <w:noWrap/>
          </w:tcPr>
          <w:p w14:paraId="04A1B18F" w14:textId="77777777" w:rsidR="00C45D59" w:rsidRDefault="009B0962">
            <w:pPr>
              <w:pStyle w:val="P68B1DB1-Normal12"/>
              <w:spacing w:after="0" w:line="240" w:lineRule="auto"/>
              <w:rPr>
                <w:rFonts w:eastAsia="Times New Roman"/>
                <w:noProof/>
              </w:rPr>
            </w:pPr>
            <w:r>
              <w:rPr>
                <w:noProof/>
              </w:rPr>
              <w:t>2-1.2. Renovare – 16874_Energie și antreprenoriat</w:t>
            </w:r>
          </w:p>
        </w:tc>
        <w:tc>
          <w:tcPr>
            <w:tcW w:w="1080" w:type="dxa"/>
            <w:shd w:val="clear" w:color="auto" w:fill="C6EFCE"/>
            <w:noWrap/>
          </w:tcPr>
          <w:p w14:paraId="4A2562A9" w14:textId="77777777" w:rsidR="00C45D59" w:rsidRDefault="009B0962">
            <w:pPr>
              <w:pStyle w:val="P68B1DB1-Normal12"/>
              <w:spacing w:after="0" w:line="240" w:lineRule="auto"/>
              <w:rPr>
                <w:noProof/>
              </w:rPr>
            </w:pPr>
            <w:r>
              <w:rPr>
                <w:noProof/>
              </w:rPr>
              <w:t>Țintă</w:t>
            </w:r>
          </w:p>
        </w:tc>
        <w:tc>
          <w:tcPr>
            <w:tcW w:w="1371" w:type="dxa"/>
            <w:shd w:val="clear" w:color="auto" w:fill="C6EFCE"/>
            <w:noWrap/>
          </w:tcPr>
          <w:p w14:paraId="1746D194" w14:textId="77777777" w:rsidR="00C45D59" w:rsidRDefault="009B0962">
            <w:pPr>
              <w:pStyle w:val="P68B1DB1-Normal12"/>
              <w:spacing w:after="0" w:line="240" w:lineRule="auto"/>
              <w:rPr>
                <w:rFonts w:eastAsia="Times New Roman"/>
                <w:noProof/>
              </w:rPr>
            </w:pPr>
            <w:r>
              <w:rPr>
                <w:noProof/>
              </w:rPr>
              <w:t xml:space="preserve">Eficiența energetică în sectorul privat </w:t>
            </w:r>
          </w:p>
        </w:tc>
        <w:tc>
          <w:tcPr>
            <w:tcW w:w="1418" w:type="dxa"/>
            <w:shd w:val="clear" w:color="auto" w:fill="C6EFCE"/>
            <w:noWrap/>
          </w:tcPr>
          <w:p w14:paraId="12E2C8A0"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276" w:type="dxa"/>
            <w:shd w:val="clear" w:color="auto" w:fill="C6EFCE"/>
            <w:noWrap/>
          </w:tcPr>
          <w:p w14:paraId="21375BE6" w14:textId="77777777" w:rsidR="00C45D59" w:rsidRDefault="009B0962">
            <w:pPr>
              <w:pStyle w:val="P68B1DB1-Normal12"/>
              <w:spacing w:after="0" w:line="240" w:lineRule="auto"/>
              <w:rPr>
                <w:rFonts w:eastAsia="Times New Roman"/>
                <w:noProof/>
              </w:rPr>
            </w:pPr>
            <w:r>
              <w:rPr>
                <w:noProof/>
              </w:rPr>
              <w:t>Numărul de entități din sectorul privat cu intervenții executate</w:t>
            </w:r>
          </w:p>
        </w:tc>
        <w:tc>
          <w:tcPr>
            <w:tcW w:w="992" w:type="dxa"/>
            <w:shd w:val="clear" w:color="auto" w:fill="C6EFCE"/>
            <w:noWrap/>
          </w:tcPr>
          <w:p w14:paraId="63CD3BC0" w14:textId="77777777" w:rsidR="00C45D59" w:rsidRDefault="009B0962">
            <w:pPr>
              <w:pStyle w:val="P68B1DB1-Normal12"/>
              <w:spacing w:after="0" w:line="240" w:lineRule="auto"/>
              <w:rPr>
                <w:rFonts w:eastAsia="Times New Roman"/>
                <w:noProof/>
              </w:rPr>
            </w:pPr>
            <w:r>
              <w:rPr>
                <w:noProof/>
              </w:rPr>
              <w:t>0</w:t>
            </w:r>
          </w:p>
        </w:tc>
        <w:tc>
          <w:tcPr>
            <w:tcW w:w="775" w:type="dxa"/>
            <w:shd w:val="clear" w:color="auto" w:fill="C6EFCE"/>
            <w:noWrap/>
          </w:tcPr>
          <w:p w14:paraId="537A339A" w14:textId="432B5E4B" w:rsidR="00C45D59" w:rsidRDefault="009B0962">
            <w:pPr>
              <w:pStyle w:val="P68B1DB1-Normal12"/>
              <w:spacing w:after="0" w:line="240" w:lineRule="auto"/>
              <w:rPr>
                <w:rFonts w:eastAsia="Times New Roman"/>
                <w:noProof/>
              </w:rPr>
            </w:pPr>
            <w:r>
              <w:rPr>
                <w:noProof/>
              </w:rPr>
              <w:t>1 060</w:t>
            </w:r>
          </w:p>
        </w:tc>
        <w:tc>
          <w:tcPr>
            <w:tcW w:w="894" w:type="dxa"/>
            <w:shd w:val="clear" w:color="auto" w:fill="C6EFCE"/>
            <w:noWrap/>
          </w:tcPr>
          <w:p w14:paraId="121A88A5" w14:textId="77777777" w:rsidR="00C45D59" w:rsidRDefault="009B0962">
            <w:pPr>
              <w:pStyle w:val="P68B1DB1-Normal12"/>
              <w:spacing w:after="0" w:line="240" w:lineRule="auto"/>
              <w:rPr>
                <w:rFonts w:eastAsia="Times New Roman"/>
                <w:noProof/>
              </w:rPr>
            </w:pPr>
            <w:r>
              <w:rPr>
                <w:noProof/>
              </w:rPr>
              <w:t>Î4</w:t>
            </w:r>
          </w:p>
        </w:tc>
        <w:tc>
          <w:tcPr>
            <w:tcW w:w="709" w:type="dxa"/>
            <w:shd w:val="clear" w:color="auto" w:fill="C6EFCE"/>
            <w:noWrap/>
          </w:tcPr>
          <w:p w14:paraId="1EF8D26C" w14:textId="77777777" w:rsidR="00C45D59" w:rsidRDefault="009B0962">
            <w:pPr>
              <w:pStyle w:val="P68B1DB1-Normal12"/>
              <w:spacing w:after="0" w:line="240" w:lineRule="auto"/>
              <w:rPr>
                <w:rFonts w:eastAsia="Times New Roman"/>
                <w:noProof/>
              </w:rPr>
            </w:pPr>
            <w:r>
              <w:rPr>
                <w:noProof/>
              </w:rPr>
              <w:t>2025</w:t>
            </w:r>
          </w:p>
        </w:tc>
        <w:tc>
          <w:tcPr>
            <w:tcW w:w="4394" w:type="dxa"/>
            <w:shd w:val="clear" w:color="auto" w:fill="C6EFCE"/>
            <w:noWrap/>
          </w:tcPr>
          <w:p w14:paraId="4AAD40B7" w14:textId="6A9BDBED" w:rsidR="00C45D59" w:rsidRDefault="009B0962">
            <w:pPr>
              <w:pStyle w:val="P68B1DB1-Normal12"/>
              <w:spacing w:after="0" w:line="240" w:lineRule="auto"/>
              <w:rPr>
                <w:rFonts w:eastAsia="Times New Roman"/>
                <w:noProof/>
              </w:rPr>
            </w:pPr>
            <w:r>
              <w:rPr>
                <w:noProof/>
              </w:rPr>
              <w:t>Au fost executate intervenții în materie de eficiență energetică pentru 1 060 de entități din sectorul privat.</w:t>
            </w:r>
          </w:p>
        </w:tc>
      </w:tr>
    </w:tbl>
    <w:p w14:paraId="3F097694" w14:textId="77777777" w:rsidR="00C45D59" w:rsidRDefault="00C45D59">
      <w:pPr>
        <w:rPr>
          <w:noProof/>
        </w:rPr>
      </w:pPr>
    </w:p>
    <w:p w14:paraId="6916F14B" w14:textId="77777777" w:rsidR="00C45D59" w:rsidRDefault="00C45D59">
      <w:pPr>
        <w:rPr>
          <w:noProof/>
        </w:rPr>
      </w:pPr>
    </w:p>
    <w:p w14:paraId="3033A8CF" w14:textId="77777777" w:rsidR="00C45D59" w:rsidRDefault="00C45D59">
      <w:pPr>
        <w:rPr>
          <w:rFonts w:ascii="Cambria" w:hAnsi="Cambria"/>
          <w:noProof/>
          <w:sz w:val="24"/>
        </w:rPr>
        <w:sectPr w:rsidR="00C45D59">
          <w:headerReference w:type="even" r:id="rId54"/>
          <w:headerReference w:type="default" r:id="rId55"/>
          <w:footerReference w:type="even" r:id="rId56"/>
          <w:footerReference w:type="default" r:id="rId57"/>
          <w:headerReference w:type="first" r:id="rId58"/>
          <w:footerReference w:type="first" r:id="rId59"/>
          <w:pgSz w:w="16839" w:h="11907" w:orient="landscape"/>
          <w:pgMar w:top="1134" w:right="1134" w:bottom="1134" w:left="1134" w:header="567" w:footer="567" w:gutter="0"/>
          <w:cols w:space="720"/>
          <w:docGrid w:linePitch="360"/>
        </w:sectPr>
      </w:pPr>
    </w:p>
    <w:p w14:paraId="48DFC984" w14:textId="77777777" w:rsidR="00C45D59" w:rsidRDefault="009B0962">
      <w:pPr>
        <w:pStyle w:val="P68B1DB1-Normal9"/>
        <w:keepNext/>
        <w:keepLines/>
        <w:spacing w:before="40" w:after="0" w:line="240" w:lineRule="auto"/>
        <w:jc w:val="both"/>
        <w:outlineLvl w:val="4"/>
        <w:rPr>
          <w:rFonts w:eastAsia="Times New Roman"/>
          <w:noProof/>
        </w:rPr>
      </w:pPr>
      <w:r>
        <w:rPr>
          <w:noProof/>
        </w:rPr>
        <w:t>Grupul 3: Intervenții în zonele rezidențiale și în parcul imobiliar</w:t>
      </w:r>
    </w:p>
    <w:p w14:paraId="4C42AF42" w14:textId="77777777" w:rsidR="00C45D59" w:rsidRDefault="009B0962">
      <w:pPr>
        <w:pStyle w:val="P68B1DB1-Normal5"/>
        <w:spacing w:before="120" w:after="120" w:line="240" w:lineRule="auto"/>
        <w:rPr>
          <w:rFonts w:cs="Times New Roman"/>
          <w:noProof/>
        </w:rPr>
      </w:pPr>
      <w:r>
        <w:rPr>
          <w:noProof/>
        </w:rPr>
        <w:t>Măsurile incluse în acest grup sunt:</w:t>
      </w:r>
    </w:p>
    <w:p w14:paraId="354A5CCE" w14:textId="77777777" w:rsidR="00C45D59" w:rsidRDefault="009B0962">
      <w:pPr>
        <w:spacing w:before="120" w:after="120" w:line="240" w:lineRule="auto"/>
        <w:rPr>
          <w:rFonts w:ascii="Times New Roman" w:hAnsi="Times New Roman" w:cs="Times New Roman"/>
          <w:noProof/>
          <w:sz w:val="24"/>
        </w:rPr>
      </w:pPr>
      <w:r>
        <w:rPr>
          <w:rFonts w:ascii="Times New Roman" w:hAnsi="Times New Roman"/>
          <w:noProof/>
          <w:sz w:val="24"/>
        </w:rPr>
        <w:t>●</w:t>
      </w:r>
      <w:r>
        <w:rPr>
          <w:noProof/>
        </w:rPr>
        <w:t xml:space="preserve"> </w:t>
      </w:r>
      <w:r>
        <w:rPr>
          <w:rFonts w:ascii="Times New Roman" w:hAnsi="Times New Roman"/>
          <w:noProof/>
          <w:sz w:val="24"/>
        </w:rPr>
        <w:t>Intervenții în zonele rezidențiale și în parcul imobiliar (ID: 16873)</w:t>
      </w:r>
    </w:p>
    <w:p w14:paraId="00D71EE9" w14:textId="77777777" w:rsidR="00C45D59" w:rsidRDefault="009B0962">
      <w:pPr>
        <w:spacing w:before="120" w:after="120" w:line="240" w:lineRule="auto"/>
        <w:rPr>
          <w:rFonts w:ascii="Times New Roman" w:hAnsi="Times New Roman" w:cs="Times New Roman"/>
          <w:noProof/>
          <w:sz w:val="24"/>
        </w:rPr>
      </w:pPr>
      <w:r>
        <w:rPr>
          <w:rFonts w:ascii="Times New Roman" w:hAnsi="Times New Roman"/>
          <w:noProof/>
          <w:sz w:val="24"/>
        </w:rPr>
        <w:t>●</w:t>
      </w:r>
      <w:r>
        <w:rPr>
          <w:noProof/>
        </w:rPr>
        <w:t xml:space="preserve"> </w:t>
      </w:r>
      <w:r>
        <w:rPr>
          <w:rFonts w:ascii="Times New Roman" w:hAnsi="Times New Roman"/>
          <w:noProof/>
          <w:sz w:val="24"/>
        </w:rPr>
        <w:t>Dezvoltarea infrastructurii și restaurarea clădirilor în fosta proprietate regală din Tatoi (ID: 16875)</w:t>
      </w:r>
    </w:p>
    <w:p w14:paraId="57C97C7A" w14:textId="77777777" w:rsidR="00C45D59" w:rsidRDefault="009B0962">
      <w:pPr>
        <w:spacing w:before="120" w:after="120" w:line="240" w:lineRule="auto"/>
        <w:rPr>
          <w:rFonts w:ascii="Times New Roman" w:hAnsi="Times New Roman"/>
          <w:noProof/>
          <w:sz w:val="24"/>
        </w:rPr>
      </w:pPr>
      <w:r>
        <w:rPr>
          <w:rFonts w:ascii="Times New Roman" w:hAnsi="Times New Roman"/>
          <w:noProof/>
          <w:sz w:val="24"/>
        </w:rPr>
        <w:t>●</w:t>
      </w:r>
      <w:r>
        <w:rPr>
          <w:noProof/>
        </w:rPr>
        <w:t xml:space="preserve"> </w:t>
      </w:r>
      <w:r>
        <w:rPr>
          <w:rFonts w:ascii="Times New Roman" w:hAnsi="Times New Roman"/>
          <w:noProof/>
          <w:sz w:val="24"/>
        </w:rPr>
        <w:t>Centrul Olimpic de Atletism din Atena (ID: 16932)</w:t>
      </w:r>
    </w:p>
    <w:tbl>
      <w:tblPr>
        <w:tblW w:w="155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1"/>
        <w:gridCol w:w="1691"/>
        <w:gridCol w:w="1080"/>
        <w:gridCol w:w="1566"/>
        <w:gridCol w:w="1276"/>
        <w:gridCol w:w="1134"/>
        <w:gridCol w:w="992"/>
        <w:gridCol w:w="851"/>
        <w:gridCol w:w="850"/>
        <w:gridCol w:w="709"/>
        <w:gridCol w:w="4592"/>
      </w:tblGrid>
      <w:tr w:rsidR="00C45D59" w14:paraId="7056208E" w14:textId="77777777">
        <w:trPr>
          <w:trHeight w:val="939"/>
          <w:tblHeader/>
          <w:jc w:val="center"/>
        </w:trPr>
        <w:tc>
          <w:tcPr>
            <w:tcW w:w="761" w:type="dxa"/>
            <w:vMerge w:val="restart"/>
            <w:shd w:val="clear" w:color="auto" w:fill="BDD7EE"/>
            <w:vAlign w:val="center"/>
            <w:hideMark/>
          </w:tcPr>
          <w:p w14:paraId="67B93820" w14:textId="3BDA8080" w:rsidR="00C45D59" w:rsidRDefault="009B0962">
            <w:pPr>
              <w:pStyle w:val="P68B1DB1-Normal10"/>
              <w:spacing w:after="0" w:line="240" w:lineRule="auto"/>
              <w:jc w:val="center"/>
              <w:rPr>
                <w:rFonts w:eastAsia="Times New Roman" w:cs="Times New Roman"/>
                <w:bCs/>
                <w:noProof/>
                <w:szCs w:val="18"/>
              </w:rPr>
            </w:pPr>
            <w:r>
              <w:rPr>
                <w:noProof/>
              </w:rPr>
              <w:t>N</w:t>
            </w:r>
            <w:r w:rsidR="009F5BD9">
              <w:rPr>
                <w:noProof/>
              </w:rPr>
              <w:t>r.</w:t>
            </w:r>
            <w:r>
              <w:rPr>
                <w:noProof/>
              </w:rPr>
              <w:br/>
            </w:r>
            <w:r w:rsidR="009F5BD9">
              <w:rPr>
                <w:noProof/>
              </w:rPr>
              <w:t>crt.</w:t>
            </w:r>
          </w:p>
        </w:tc>
        <w:tc>
          <w:tcPr>
            <w:tcW w:w="1691" w:type="dxa"/>
            <w:vMerge w:val="restart"/>
            <w:shd w:val="clear" w:color="auto" w:fill="BDD7EE"/>
            <w:vAlign w:val="center"/>
            <w:hideMark/>
          </w:tcPr>
          <w:p w14:paraId="47AB06D4" w14:textId="77777777" w:rsidR="00C45D59" w:rsidRDefault="009B0962">
            <w:pPr>
              <w:pStyle w:val="P68B1DB1-Normal10"/>
              <w:spacing w:after="0" w:line="240" w:lineRule="auto"/>
              <w:jc w:val="center"/>
              <w:rPr>
                <w:rFonts w:eastAsia="Times New Roman" w:cs="Times New Roman"/>
                <w:bCs/>
                <w:noProof/>
                <w:szCs w:val="18"/>
              </w:rPr>
            </w:pPr>
            <w:r>
              <w:rPr>
                <w:noProof/>
              </w:rPr>
              <w:t>Măsură conexă (reformă sau investiții)</w:t>
            </w:r>
          </w:p>
        </w:tc>
        <w:tc>
          <w:tcPr>
            <w:tcW w:w="1080" w:type="dxa"/>
            <w:vMerge w:val="restart"/>
            <w:shd w:val="clear" w:color="auto" w:fill="BDD7EE"/>
            <w:vAlign w:val="center"/>
            <w:hideMark/>
          </w:tcPr>
          <w:p w14:paraId="0731DFBE" w14:textId="77777777" w:rsidR="00C45D59" w:rsidRDefault="009B0962">
            <w:pPr>
              <w:pStyle w:val="P68B1DB1-Normal10"/>
              <w:spacing w:after="0" w:line="240" w:lineRule="auto"/>
              <w:jc w:val="center"/>
              <w:rPr>
                <w:rFonts w:eastAsia="Times New Roman" w:cs="Times New Roman"/>
                <w:bCs/>
                <w:noProof/>
                <w:szCs w:val="18"/>
              </w:rPr>
            </w:pPr>
            <w:r>
              <w:rPr>
                <w:noProof/>
              </w:rPr>
              <w:t>Etapă/Obiectiv</w:t>
            </w:r>
          </w:p>
        </w:tc>
        <w:tc>
          <w:tcPr>
            <w:tcW w:w="1566" w:type="dxa"/>
            <w:vMerge w:val="restart"/>
            <w:shd w:val="clear" w:color="auto" w:fill="BDD7EE"/>
            <w:vAlign w:val="center"/>
            <w:hideMark/>
          </w:tcPr>
          <w:p w14:paraId="1F611EA5" w14:textId="2C101986" w:rsidR="00C45D59" w:rsidRDefault="009F5BD9">
            <w:pPr>
              <w:pStyle w:val="P68B1DB1-Normal10"/>
              <w:spacing w:after="0" w:line="240" w:lineRule="auto"/>
              <w:jc w:val="center"/>
              <w:rPr>
                <w:rFonts w:eastAsia="Times New Roman" w:cs="Times New Roman"/>
                <w:bCs/>
                <w:noProof/>
                <w:szCs w:val="18"/>
              </w:rPr>
            </w:pPr>
            <w:r>
              <w:rPr>
                <w:noProof/>
              </w:rPr>
              <w:t>Denumire</w:t>
            </w:r>
          </w:p>
        </w:tc>
        <w:tc>
          <w:tcPr>
            <w:tcW w:w="1276" w:type="dxa"/>
            <w:vMerge w:val="restart"/>
            <w:shd w:val="clear" w:color="auto" w:fill="BDD7EE"/>
            <w:vAlign w:val="center"/>
            <w:hideMark/>
          </w:tcPr>
          <w:p w14:paraId="6BE15045" w14:textId="77777777" w:rsidR="00C45D59" w:rsidRDefault="009B0962">
            <w:pPr>
              <w:pStyle w:val="P68B1DB1-Normal10"/>
              <w:spacing w:after="0" w:line="240" w:lineRule="auto"/>
              <w:jc w:val="center"/>
              <w:rPr>
                <w:rFonts w:eastAsia="Times New Roman" w:cs="Times New Roman"/>
                <w:bCs/>
                <w:noProof/>
                <w:szCs w:val="18"/>
              </w:rPr>
            </w:pPr>
            <w:r>
              <w:rPr>
                <w:noProof/>
              </w:rPr>
              <w:t>Indicatori calitativi (pentru obiectivele de etapă)</w:t>
            </w:r>
          </w:p>
        </w:tc>
        <w:tc>
          <w:tcPr>
            <w:tcW w:w="2977" w:type="dxa"/>
            <w:gridSpan w:val="3"/>
            <w:shd w:val="clear" w:color="auto" w:fill="BDD7EE"/>
            <w:vAlign w:val="center"/>
            <w:hideMark/>
          </w:tcPr>
          <w:p w14:paraId="3DD146FA" w14:textId="77777777" w:rsidR="00C45D59" w:rsidRDefault="009B0962">
            <w:pPr>
              <w:pStyle w:val="P68B1DB1-Normal18"/>
              <w:spacing w:after="0" w:line="240" w:lineRule="auto"/>
              <w:jc w:val="center"/>
              <w:rPr>
                <w:rFonts w:ascii="Times New Roman" w:eastAsia="Times New Roman" w:hAnsi="Times New Roman" w:cs="Times New Roman"/>
                <w:bCs/>
                <w:noProof/>
                <w:szCs w:val="18"/>
              </w:rPr>
            </w:pPr>
            <w:r>
              <w:rPr>
                <w:rFonts w:ascii="Times New Roman" w:hAnsi="Times New Roman"/>
                <w:noProof/>
              </w:rPr>
              <w:t xml:space="preserve">Indicatori cantitativi </w:t>
            </w:r>
            <w:r>
              <w:rPr>
                <w:rFonts w:ascii="Times New Roman" w:hAnsi="Times New Roman" w:cs="Times New Roman"/>
                <w:noProof/>
                <w:szCs w:val="18"/>
              </w:rPr>
              <w:br/>
            </w:r>
            <w:r>
              <w:rPr>
                <w:rFonts w:ascii="Times New Roman" w:hAnsi="Times New Roman"/>
                <w:noProof/>
              </w:rPr>
              <w:t>(pentru obiective)</w:t>
            </w:r>
          </w:p>
        </w:tc>
        <w:tc>
          <w:tcPr>
            <w:tcW w:w="1559" w:type="dxa"/>
            <w:gridSpan w:val="2"/>
            <w:shd w:val="clear" w:color="auto" w:fill="BDD7EE"/>
            <w:vAlign w:val="center"/>
            <w:hideMark/>
          </w:tcPr>
          <w:p w14:paraId="209CAB7B" w14:textId="77777777" w:rsidR="00C45D59" w:rsidRDefault="009B0962">
            <w:pPr>
              <w:pStyle w:val="P68B1DB1-Normal10"/>
              <w:spacing w:after="0" w:line="240" w:lineRule="auto"/>
              <w:jc w:val="center"/>
              <w:rPr>
                <w:rFonts w:eastAsia="Times New Roman" w:cs="Times New Roman"/>
                <w:bCs/>
                <w:noProof/>
                <w:szCs w:val="18"/>
              </w:rPr>
            </w:pPr>
            <w:r>
              <w:rPr>
                <w:noProof/>
              </w:rPr>
              <w:t xml:space="preserve">Calendar orientativ pentru finalizare </w:t>
            </w:r>
          </w:p>
        </w:tc>
        <w:tc>
          <w:tcPr>
            <w:tcW w:w="4592" w:type="dxa"/>
            <w:vMerge w:val="restart"/>
            <w:shd w:val="clear" w:color="auto" w:fill="BDD7EE"/>
            <w:vAlign w:val="center"/>
            <w:hideMark/>
          </w:tcPr>
          <w:p w14:paraId="356B4C2D" w14:textId="77777777" w:rsidR="00C45D59" w:rsidRDefault="009B0962">
            <w:pPr>
              <w:pStyle w:val="P68B1DB1-Normal10"/>
              <w:spacing w:after="0" w:line="240" w:lineRule="auto"/>
              <w:jc w:val="center"/>
              <w:rPr>
                <w:rFonts w:eastAsia="Times New Roman" w:cs="Times New Roman"/>
                <w:bCs/>
                <w:noProof/>
                <w:szCs w:val="18"/>
              </w:rPr>
            </w:pPr>
            <w:r>
              <w:rPr>
                <w:noProof/>
              </w:rPr>
              <w:t>Descrierea fiecărui jalon și a fiecărei ținte</w:t>
            </w:r>
          </w:p>
        </w:tc>
      </w:tr>
      <w:tr w:rsidR="00C45D59" w14:paraId="7746644C" w14:textId="77777777">
        <w:trPr>
          <w:trHeight w:val="654"/>
          <w:tblHeader/>
          <w:jc w:val="center"/>
        </w:trPr>
        <w:tc>
          <w:tcPr>
            <w:tcW w:w="761" w:type="dxa"/>
            <w:vMerge/>
            <w:vAlign w:val="center"/>
            <w:hideMark/>
          </w:tcPr>
          <w:p w14:paraId="332BC8FE" w14:textId="77777777" w:rsidR="00C45D59" w:rsidRDefault="00C45D59">
            <w:pPr>
              <w:spacing w:after="0" w:line="240" w:lineRule="auto"/>
              <w:rPr>
                <w:rFonts w:ascii="Times New Roman" w:eastAsia="Times New Roman" w:hAnsi="Times New Roman" w:cs="Times New Roman"/>
                <w:b/>
                <w:bCs/>
                <w:noProof/>
                <w:sz w:val="18"/>
                <w:szCs w:val="18"/>
              </w:rPr>
            </w:pPr>
          </w:p>
        </w:tc>
        <w:tc>
          <w:tcPr>
            <w:tcW w:w="1691" w:type="dxa"/>
            <w:vMerge/>
            <w:vAlign w:val="center"/>
            <w:hideMark/>
          </w:tcPr>
          <w:p w14:paraId="31CA9735" w14:textId="77777777" w:rsidR="00C45D59" w:rsidRDefault="00C45D59">
            <w:pPr>
              <w:spacing w:after="0" w:line="240" w:lineRule="auto"/>
              <w:rPr>
                <w:rFonts w:ascii="Times New Roman" w:eastAsia="Times New Roman" w:hAnsi="Times New Roman" w:cs="Times New Roman"/>
                <w:b/>
                <w:bCs/>
                <w:noProof/>
                <w:sz w:val="18"/>
                <w:szCs w:val="18"/>
              </w:rPr>
            </w:pPr>
          </w:p>
        </w:tc>
        <w:tc>
          <w:tcPr>
            <w:tcW w:w="1080" w:type="dxa"/>
            <w:vMerge/>
            <w:vAlign w:val="center"/>
            <w:hideMark/>
          </w:tcPr>
          <w:p w14:paraId="4417AB6A" w14:textId="77777777" w:rsidR="00C45D59" w:rsidRDefault="00C45D59">
            <w:pPr>
              <w:spacing w:after="0" w:line="240" w:lineRule="auto"/>
              <w:rPr>
                <w:rFonts w:ascii="Times New Roman" w:eastAsia="Times New Roman" w:hAnsi="Times New Roman" w:cs="Times New Roman"/>
                <w:b/>
                <w:bCs/>
                <w:noProof/>
                <w:sz w:val="18"/>
                <w:szCs w:val="18"/>
              </w:rPr>
            </w:pPr>
          </w:p>
        </w:tc>
        <w:tc>
          <w:tcPr>
            <w:tcW w:w="1566" w:type="dxa"/>
            <w:vMerge/>
            <w:vAlign w:val="center"/>
            <w:hideMark/>
          </w:tcPr>
          <w:p w14:paraId="5B17CF35" w14:textId="77777777" w:rsidR="00C45D59" w:rsidRDefault="00C45D59">
            <w:pPr>
              <w:spacing w:after="0" w:line="240" w:lineRule="auto"/>
              <w:rPr>
                <w:rFonts w:ascii="Times New Roman" w:eastAsia="Times New Roman" w:hAnsi="Times New Roman" w:cs="Times New Roman"/>
                <w:b/>
                <w:bCs/>
                <w:noProof/>
                <w:sz w:val="18"/>
                <w:szCs w:val="18"/>
              </w:rPr>
            </w:pPr>
          </w:p>
        </w:tc>
        <w:tc>
          <w:tcPr>
            <w:tcW w:w="1276" w:type="dxa"/>
            <w:vMerge/>
            <w:vAlign w:val="center"/>
            <w:hideMark/>
          </w:tcPr>
          <w:p w14:paraId="3B750BF5" w14:textId="77777777" w:rsidR="00C45D59" w:rsidRDefault="00C45D59">
            <w:pPr>
              <w:spacing w:after="0" w:line="240" w:lineRule="auto"/>
              <w:rPr>
                <w:rFonts w:ascii="Times New Roman" w:eastAsia="Times New Roman" w:hAnsi="Times New Roman" w:cs="Times New Roman"/>
                <w:b/>
                <w:bCs/>
                <w:noProof/>
                <w:sz w:val="18"/>
                <w:szCs w:val="18"/>
              </w:rPr>
            </w:pPr>
          </w:p>
        </w:tc>
        <w:tc>
          <w:tcPr>
            <w:tcW w:w="1134" w:type="dxa"/>
            <w:shd w:val="clear" w:color="auto" w:fill="BDD7EE"/>
            <w:vAlign w:val="center"/>
            <w:hideMark/>
          </w:tcPr>
          <w:p w14:paraId="14587878" w14:textId="77777777" w:rsidR="00C45D59" w:rsidRDefault="009B0962">
            <w:pPr>
              <w:pStyle w:val="P68B1DB1-Normal10"/>
              <w:spacing w:after="0" w:line="240" w:lineRule="auto"/>
              <w:jc w:val="center"/>
              <w:rPr>
                <w:rFonts w:eastAsia="Times New Roman" w:cs="Times New Roman"/>
                <w:bCs/>
                <w:noProof/>
                <w:szCs w:val="18"/>
              </w:rPr>
            </w:pPr>
            <w:r>
              <w:rPr>
                <w:noProof/>
              </w:rPr>
              <w:t>Unitatea de măsură</w:t>
            </w:r>
          </w:p>
        </w:tc>
        <w:tc>
          <w:tcPr>
            <w:tcW w:w="992" w:type="dxa"/>
            <w:shd w:val="clear" w:color="auto" w:fill="BDD7EE"/>
            <w:vAlign w:val="center"/>
            <w:hideMark/>
          </w:tcPr>
          <w:p w14:paraId="21124B7E" w14:textId="77777777" w:rsidR="00C45D59" w:rsidRDefault="009B0962">
            <w:pPr>
              <w:pStyle w:val="P68B1DB1-Normal10"/>
              <w:spacing w:after="0" w:line="240" w:lineRule="auto"/>
              <w:jc w:val="center"/>
              <w:rPr>
                <w:rFonts w:eastAsia="Times New Roman" w:cs="Times New Roman"/>
                <w:bCs/>
                <w:noProof/>
                <w:szCs w:val="18"/>
              </w:rPr>
            </w:pPr>
            <w:r>
              <w:rPr>
                <w:noProof/>
              </w:rPr>
              <w:t xml:space="preserve">Situația de referință </w:t>
            </w:r>
          </w:p>
        </w:tc>
        <w:tc>
          <w:tcPr>
            <w:tcW w:w="851" w:type="dxa"/>
            <w:shd w:val="clear" w:color="auto" w:fill="BDD7EE"/>
            <w:vAlign w:val="center"/>
            <w:hideMark/>
          </w:tcPr>
          <w:p w14:paraId="55E6E794" w14:textId="77777777" w:rsidR="00C45D59" w:rsidRDefault="009B0962">
            <w:pPr>
              <w:pStyle w:val="P68B1DB1-Normal10"/>
              <w:spacing w:after="0" w:line="240" w:lineRule="auto"/>
              <w:jc w:val="center"/>
              <w:rPr>
                <w:rFonts w:eastAsia="Times New Roman" w:cs="Times New Roman"/>
                <w:bCs/>
                <w:noProof/>
                <w:szCs w:val="18"/>
              </w:rPr>
            </w:pPr>
            <w:r>
              <w:rPr>
                <w:noProof/>
              </w:rPr>
              <w:t xml:space="preserve">Obiectiv </w:t>
            </w:r>
          </w:p>
        </w:tc>
        <w:tc>
          <w:tcPr>
            <w:tcW w:w="850" w:type="dxa"/>
            <w:shd w:val="clear" w:color="auto" w:fill="BDD7EE"/>
            <w:vAlign w:val="center"/>
            <w:hideMark/>
          </w:tcPr>
          <w:p w14:paraId="164F0B8F" w14:textId="77777777" w:rsidR="00C45D59" w:rsidRDefault="009B0962">
            <w:pPr>
              <w:pStyle w:val="P68B1DB1-Normal10"/>
              <w:spacing w:after="0" w:line="240" w:lineRule="auto"/>
              <w:jc w:val="center"/>
              <w:rPr>
                <w:rFonts w:eastAsia="Times New Roman" w:cs="Times New Roman"/>
                <w:bCs/>
                <w:noProof/>
                <w:szCs w:val="18"/>
              </w:rPr>
            </w:pPr>
            <w:r>
              <w:rPr>
                <w:noProof/>
              </w:rPr>
              <w:t>Trimestru</w:t>
            </w:r>
          </w:p>
        </w:tc>
        <w:tc>
          <w:tcPr>
            <w:tcW w:w="709" w:type="dxa"/>
            <w:shd w:val="clear" w:color="auto" w:fill="BDD7EE"/>
            <w:vAlign w:val="center"/>
            <w:hideMark/>
          </w:tcPr>
          <w:p w14:paraId="717B2AEA" w14:textId="77777777" w:rsidR="00C45D59" w:rsidRDefault="009B0962">
            <w:pPr>
              <w:pStyle w:val="P68B1DB1-Normal10"/>
              <w:spacing w:after="0" w:line="240" w:lineRule="auto"/>
              <w:jc w:val="center"/>
              <w:rPr>
                <w:rFonts w:eastAsia="Times New Roman" w:cs="Times New Roman"/>
                <w:bCs/>
                <w:noProof/>
                <w:szCs w:val="18"/>
              </w:rPr>
            </w:pPr>
            <w:r>
              <w:rPr>
                <w:noProof/>
              </w:rPr>
              <w:t>Anul</w:t>
            </w:r>
          </w:p>
        </w:tc>
        <w:tc>
          <w:tcPr>
            <w:tcW w:w="4592" w:type="dxa"/>
            <w:vMerge/>
            <w:vAlign w:val="center"/>
            <w:hideMark/>
          </w:tcPr>
          <w:p w14:paraId="1D2A352B" w14:textId="77777777" w:rsidR="00C45D59" w:rsidRDefault="00C45D59">
            <w:pPr>
              <w:spacing w:after="0" w:line="240" w:lineRule="auto"/>
              <w:rPr>
                <w:rFonts w:ascii="Times New Roman" w:eastAsia="Times New Roman" w:hAnsi="Times New Roman" w:cs="Times New Roman"/>
                <w:b/>
                <w:bCs/>
                <w:noProof/>
                <w:sz w:val="18"/>
                <w:szCs w:val="18"/>
              </w:rPr>
            </w:pPr>
          </w:p>
        </w:tc>
      </w:tr>
      <w:tr w:rsidR="00C45D59" w14:paraId="4A499EF2" w14:textId="77777777">
        <w:trPr>
          <w:trHeight w:val="313"/>
          <w:jc w:val="center"/>
        </w:trPr>
        <w:tc>
          <w:tcPr>
            <w:tcW w:w="761" w:type="dxa"/>
            <w:shd w:val="clear" w:color="auto" w:fill="C6EFCE"/>
            <w:noWrap/>
          </w:tcPr>
          <w:p w14:paraId="6282A1DB" w14:textId="77777777" w:rsidR="00C45D59" w:rsidRDefault="009B0962">
            <w:pPr>
              <w:pStyle w:val="P68B1DB1-Normal12"/>
              <w:spacing w:after="0" w:line="240" w:lineRule="auto"/>
              <w:rPr>
                <w:rFonts w:eastAsia="Times New Roman"/>
                <w:noProof/>
              </w:rPr>
            </w:pPr>
            <w:r>
              <w:rPr>
                <w:noProof/>
              </w:rPr>
              <w:t>37</w:t>
            </w:r>
          </w:p>
        </w:tc>
        <w:tc>
          <w:tcPr>
            <w:tcW w:w="1691" w:type="dxa"/>
            <w:shd w:val="clear" w:color="auto" w:fill="C6EFCE"/>
            <w:noWrap/>
          </w:tcPr>
          <w:p w14:paraId="48883E47" w14:textId="77777777" w:rsidR="00C45D59" w:rsidRDefault="009B0962">
            <w:pPr>
              <w:pStyle w:val="P68B1DB1-Normal12"/>
              <w:spacing w:after="0" w:line="240" w:lineRule="auto"/>
              <w:rPr>
                <w:rFonts w:eastAsia="Times New Roman"/>
                <w:noProof/>
              </w:rPr>
            </w:pPr>
            <w:r>
              <w:rPr>
                <w:noProof/>
              </w:rPr>
              <w:t>2-1.2. Renovare – 16932_Centrul Olimpic de Atletism din Atena</w:t>
            </w:r>
          </w:p>
        </w:tc>
        <w:tc>
          <w:tcPr>
            <w:tcW w:w="1080" w:type="dxa"/>
            <w:shd w:val="clear" w:color="auto" w:fill="C6EFCE"/>
            <w:noWrap/>
          </w:tcPr>
          <w:p w14:paraId="2DC9FCF7" w14:textId="77777777" w:rsidR="00C45D59" w:rsidRDefault="009B0962">
            <w:pPr>
              <w:pStyle w:val="P68B1DB1-Normal12"/>
              <w:spacing w:after="0" w:line="240" w:lineRule="auto"/>
              <w:rPr>
                <w:rFonts w:eastAsia="Times New Roman"/>
                <w:noProof/>
              </w:rPr>
            </w:pPr>
            <w:r>
              <w:rPr>
                <w:noProof/>
              </w:rPr>
              <w:t>Etapă</w:t>
            </w:r>
          </w:p>
        </w:tc>
        <w:tc>
          <w:tcPr>
            <w:tcW w:w="1566" w:type="dxa"/>
            <w:shd w:val="clear" w:color="auto" w:fill="C6EFCE"/>
            <w:noWrap/>
          </w:tcPr>
          <w:p w14:paraId="38FA5B09" w14:textId="77777777" w:rsidR="00C45D59" w:rsidRDefault="009B0962">
            <w:pPr>
              <w:pStyle w:val="P68B1DB1-Normal12"/>
              <w:spacing w:after="0" w:line="240" w:lineRule="auto"/>
              <w:rPr>
                <w:rFonts w:eastAsia="Times New Roman"/>
                <w:noProof/>
              </w:rPr>
            </w:pPr>
            <w:r>
              <w:rPr>
                <w:noProof/>
              </w:rPr>
              <w:t>OAKA – Atribuirea contractelor</w:t>
            </w:r>
          </w:p>
        </w:tc>
        <w:tc>
          <w:tcPr>
            <w:tcW w:w="1276" w:type="dxa"/>
            <w:shd w:val="clear" w:color="auto" w:fill="C6EFCE"/>
            <w:noWrap/>
          </w:tcPr>
          <w:p w14:paraId="778330CC" w14:textId="77777777" w:rsidR="00C45D59" w:rsidRDefault="009B0962">
            <w:pPr>
              <w:pStyle w:val="P68B1DB1-Normal12"/>
              <w:spacing w:after="0" w:line="240" w:lineRule="auto"/>
              <w:rPr>
                <w:rFonts w:eastAsia="Times New Roman"/>
                <w:noProof/>
              </w:rPr>
            </w:pPr>
            <w:r>
              <w:rPr>
                <w:noProof/>
              </w:rPr>
              <w:t>Notificarea atribuirii contractului (contractelor)</w:t>
            </w:r>
          </w:p>
        </w:tc>
        <w:tc>
          <w:tcPr>
            <w:tcW w:w="1134" w:type="dxa"/>
            <w:shd w:val="clear" w:color="auto" w:fill="C6EFCE"/>
            <w:noWrap/>
          </w:tcPr>
          <w:p w14:paraId="7EF3FBB7"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992" w:type="dxa"/>
            <w:shd w:val="clear" w:color="auto" w:fill="C6EFCE"/>
            <w:noWrap/>
          </w:tcPr>
          <w:p w14:paraId="710C9430"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51" w:type="dxa"/>
            <w:shd w:val="clear" w:color="auto" w:fill="C6EFCE"/>
            <w:noWrap/>
          </w:tcPr>
          <w:p w14:paraId="0A9DE742"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50" w:type="dxa"/>
            <w:shd w:val="clear" w:color="auto" w:fill="C6EFCE"/>
            <w:noWrap/>
          </w:tcPr>
          <w:p w14:paraId="66BD7F27" w14:textId="77777777" w:rsidR="00C45D59" w:rsidRDefault="009B0962">
            <w:pPr>
              <w:pStyle w:val="P68B1DB1-Normal12"/>
              <w:spacing w:after="0" w:line="240" w:lineRule="auto"/>
              <w:rPr>
                <w:rFonts w:eastAsia="Times New Roman"/>
                <w:noProof/>
              </w:rPr>
            </w:pPr>
            <w:r>
              <w:rPr>
                <w:noProof/>
              </w:rPr>
              <w:t>Î1</w:t>
            </w:r>
          </w:p>
        </w:tc>
        <w:tc>
          <w:tcPr>
            <w:tcW w:w="709" w:type="dxa"/>
            <w:shd w:val="clear" w:color="auto" w:fill="C6EFCE"/>
            <w:noWrap/>
          </w:tcPr>
          <w:p w14:paraId="0EC3F382" w14:textId="77777777" w:rsidR="00C45D59" w:rsidRDefault="009B0962">
            <w:pPr>
              <w:pStyle w:val="P68B1DB1-Normal12"/>
              <w:spacing w:after="0" w:line="240" w:lineRule="auto"/>
              <w:rPr>
                <w:rFonts w:eastAsia="Times New Roman"/>
                <w:noProof/>
              </w:rPr>
            </w:pPr>
            <w:r>
              <w:rPr>
                <w:noProof/>
              </w:rPr>
              <w:t>2023</w:t>
            </w:r>
          </w:p>
        </w:tc>
        <w:tc>
          <w:tcPr>
            <w:tcW w:w="4592" w:type="dxa"/>
            <w:shd w:val="clear" w:color="auto" w:fill="C6EFCE"/>
            <w:noWrap/>
          </w:tcPr>
          <w:p w14:paraId="0E616AC4" w14:textId="77777777" w:rsidR="00C45D59" w:rsidRDefault="009B0962">
            <w:pPr>
              <w:pStyle w:val="P68B1DB1-Normal12"/>
              <w:spacing w:after="0" w:line="240" w:lineRule="auto"/>
              <w:rPr>
                <w:rFonts w:eastAsia="Times New Roman"/>
                <w:noProof/>
              </w:rPr>
            </w:pPr>
            <w:r>
              <w:rPr>
                <w:noProof/>
              </w:rPr>
              <w:t xml:space="preserve">Notificarea atribuirii contractului (contractelor) pentru numirea unui (unor) partener (i) din sectorul privat care să efectueze lucrările de construcție și renovare care sporesc eficiența energetică pentru (i) stadionul central; (II) Lucrări mecanice și electrice; și (iii) zonele în aer liber și începerea lucrărilor. </w:t>
            </w:r>
          </w:p>
        </w:tc>
      </w:tr>
      <w:tr w:rsidR="00C45D59" w14:paraId="459D1484" w14:textId="77777777">
        <w:trPr>
          <w:trHeight w:val="313"/>
          <w:jc w:val="center"/>
        </w:trPr>
        <w:tc>
          <w:tcPr>
            <w:tcW w:w="761" w:type="dxa"/>
            <w:shd w:val="clear" w:color="auto" w:fill="C6EFCE"/>
            <w:noWrap/>
          </w:tcPr>
          <w:p w14:paraId="0563772B" w14:textId="77777777" w:rsidR="00C45D59" w:rsidRDefault="009B0962">
            <w:pPr>
              <w:pStyle w:val="P68B1DB1-Normal12"/>
              <w:spacing w:after="0" w:line="240" w:lineRule="auto"/>
              <w:rPr>
                <w:rFonts w:eastAsia="Times New Roman"/>
                <w:noProof/>
              </w:rPr>
            </w:pPr>
            <w:r>
              <w:rPr>
                <w:noProof/>
              </w:rPr>
              <w:t>38</w:t>
            </w:r>
          </w:p>
        </w:tc>
        <w:tc>
          <w:tcPr>
            <w:tcW w:w="1691" w:type="dxa"/>
            <w:shd w:val="clear" w:color="auto" w:fill="C6EFCE"/>
            <w:noWrap/>
          </w:tcPr>
          <w:p w14:paraId="53DF6A83" w14:textId="77777777" w:rsidR="00C45D59" w:rsidRDefault="009B0962">
            <w:pPr>
              <w:pStyle w:val="P68B1DB1-Normal12"/>
              <w:spacing w:after="0" w:line="240" w:lineRule="auto"/>
              <w:rPr>
                <w:rFonts w:eastAsia="Times New Roman"/>
                <w:noProof/>
              </w:rPr>
            </w:pPr>
            <w:r>
              <w:rPr>
                <w:noProof/>
              </w:rPr>
              <w:t>2-1.2. Renovare – 16873_ Intervenții în zonele rezidențiale și în parcul imobiliar</w:t>
            </w:r>
          </w:p>
        </w:tc>
        <w:tc>
          <w:tcPr>
            <w:tcW w:w="1080" w:type="dxa"/>
            <w:shd w:val="clear" w:color="auto" w:fill="C6EFCE"/>
            <w:noWrap/>
          </w:tcPr>
          <w:p w14:paraId="3D05FEC7" w14:textId="77777777" w:rsidR="00C45D59" w:rsidRDefault="009B0962">
            <w:pPr>
              <w:pStyle w:val="P68B1DB1-Normal12"/>
              <w:spacing w:after="0" w:line="240" w:lineRule="auto"/>
              <w:rPr>
                <w:rFonts w:eastAsia="Times New Roman"/>
                <w:noProof/>
              </w:rPr>
            </w:pPr>
            <w:r>
              <w:rPr>
                <w:noProof/>
              </w:rPr>
              <w:t>Etapă</w:t>
            </w:r>
          </w:p>
        </w:tc>
        <w:tc>
          <w:tcPr>
            <w:tcW w:w="1566" w:type="dxa"/>
            <w:shd w:val="clear" w:color="auto" w:fill="C6EFCE"/>
            <w:noWrap/>
          </w:tcPr>
          <w:p w14:paraId="2A0BF44E" w14:textId="77777777" w:rsidR="00C45D59" w:rsidRDefault="009B0962">
            <w:pPr>
              <w:pStyle w:val="P68B1DB1-Normal12"/>
              <w:spacing w:after="0" w:line="240" w:lineRule="auto"/>
              <w:rPr>
                <w:rFonts w:eastAsia="Times New Roman"/>
                <w:noProof/>
              </w:rPr>
            </w:pPr>
            <w:r>
              <w:rPr>
                <w:noProof/>
              </w:rPr>
              <w:t>Intervenții urbane – atribuirea contractelor</w:t>
            </w:r>
          </w:p>
        </w:tc>
        <w:tc>
          <w:tcPr>
            <w:tcW w:w="1276" w:type="dxa"/>
            <w:shd w:val="clear" w:color="auto" w:fill="C6EFCE"/>
            <w:noWrap/>
          </w:tcPr>
          <w:p w14:paraId="27A83046" w14:textId="77777777" w:rsidR="00C45D59" w:rsidRDefault="009B0962">
            <w:pPr>
              <w:pStyle w:val="P68B1DB1-Normal12"/>
              <w:spacing w:after="0" w:line="240" w:lineRule="auto"/>
              <w:rPr>
                <w:rFonts w:eastAsia="Times New Roman"/>
                <w:noProof/>
              </w:rPr>
            </w:pPr>
            <w:r>
              <w:rPr>
                <w:noProof/>
              </w:rPr>
              <w:t>Notificarea atribuirii contractului (contractelor)</w:t>
            </w:r>
          </w:p>
        </w:tc>
        <w:tc>
          <w:tcPr>
            <w:tcW w:w="1134" w:type="dxa"/>
            <w:shd w:val="clear" w:color="auto" w:fill="C6EFCE"/>
            <w:noWrap/>
          </w:tcPr>
          <w:p w14:paraId="7A50C265"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992" w:type="dxa"/>
            <w:shd w:val="clear" w:color="auto" w:fill="C6EFCE"/>
            <w:noWrap/>
          </w:tcPr>
          <w:p w14:paraId="073E9C26"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51" w:type="dxa"/>
            <w:shd w:val="clear" w:color="auto" w:fill="C6EFCE"/>
            <w:noWrap/>
          </w:tcPr>
          <w:p w14:paraId="07F9103C"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50" w:type="dxa"/>
            <w:shd w:val="clear" w:color="auto" w:fill="C6EFCE"/>
            <w:noWrap/>
          </w:tcPr>
          <w:p w14:paraId="78F08AA3" w14:textId="77777777" w:rsidR="00C45D59" w:rsidRDefault="009B0962">
            <w:pPr>
              <w:pStyle w:val="P68B1DB1-Normal12"/>
              <w:spacing w:after="0" w:line="240" w:lineRule="auto"/>
              <w:rPr>
                <w:rFonts w:eastAsia="Times New Roman"/>
                <w:noProof/>
              </w:rPr>
            </w:pPr>
            <w:r>
              <w:rPr>
                <w:noProof/>
              </w:rPr>
              <w:t>Î4</w:t>
            </w:r>
          </w:p>
        </w:tc>
        <w:tc>
          <w:tcPr>
            <w:tcW w:w="709" w:type="dxa"/>
            <w:shd w:val="clear" w:color="auto" w:fill="C6EFCE"/>
            <w:noWrap/>
          </w:tcPr>
          <w:p w14:paraId="3F037BF0" w14:textId="77777777" w:rsidR="00C45D59" w:rsidRDefault="009B0962">
            <w:pPr>
              <w:pStyle w:val="P68B1DB1-Normal12"/>
              <w:spacing w:after="0" w:line="240" w:lineRule="auto"/>
              <w:rPr>
                <w:rFonts w:eastAsia="Times New Roman"/>
                <w:noProof/>
              </w:rPr>
            </w:pPr>
            <w:r>
              <w:rPr>
                <w:noProof/>
              </w:rPr>
              <w:t>2023</w:t>
            </w:r>
          </w:p>
        </w:tc>
        <w:tc>
          <w:tcPr>
            <w:tcW w:w="4592" w:type="dxa"/>
            <w:shd w:val="clear" w:color="auto" w:fill="C6EFCE"/>
            <w:noWrap/>
          </w:tcPr>
          <w:p w14:paraId="03B66F3F" w14:textId="77777777" w:rsidR="00C45D59" w:rsidRDefault="009B0962">
            <w:pPr>
              <w:pStyle w:val="P68B1DB1-Normal12"/>
              <w:spacing w:after="0" w:line="240" w:lineRule="auto"/>
              <w:rPr>
                <w:rFonts w:eastAsia="Times New Roman"/>
                <w:noProof/>
              </w:rPr>
            </w:pPr>
            <w:r>
              <w:rPr>
                <w:noProof/>
              </w:rPr>
              <w:t xml:space="preserve">Notificarea atribuirii contractului (contractelor) de execuție a lucrărilor pentru </w:t>
            </w:r>
          </w:p>
          <w:p w14:paraId="08D67B30" w14:textId="77777777" w:rsidR="00C45D59" w:rsidRDefault="009B0962">
            <w:pPr>
              <w:pStyle w:val="P68B1DB1-Normal12"/>
              <w:spacing w:after="0" w:line="240" w:lineRule="auto"/>
              <w:rPr>
                <w:rFonts w:eastAsia="Times New Roman"/>
                <w:noProof/>
              </w:rPr>
            </w:pPr>
            <w:r>
              <w:rPr>
                <w:noProof/>
              </w:rPr>
              <w:t>(I) îmbunătățirea mediului urban și a spațiului public în municipalitățile selectate în urma unei cereri deschise de propuneri menite să consolideze reziliența la schimbările climatice;</w:t>
            </w:r>
          </w:p>
          <w:p w14:paraId="274095DD" w14:textId="77777777" w:rsidR="00C45D59" w:rsidRDefault="009B0962">
            <w:pPr>
              <w:pStyle w:val="P68B1DB1-Normal12"/>
              <w:spacing w:after="0" w:line="240" w:lineRule="auto"/>
              <w:rPr>
                <w:rFonts w:eastAsia="Times New Roman"/>
                <w:noProof/>
              </w:rPr>
            </w:pPr>
            <w:r>
              <w:rPr>
                <w:noProof/>
              </w:rPr>
              <w:t xml:space="preserve">(II) regenerarea urbană a fostei zone industriale Votanikos/Elaionas și renovarea campusului Universității Agricole din Atena (AUA); </w:t>
            </w:r>
          </w:p>
          <w:p w14:paraId="73C20650" w14:textId="77777777" w:rsidR="00C45D59" w:rsidRDefault="009B0962">
            <w:pPr>
              <w:pStyle w:val="P68B1DB1-Normal12"/>
              <w:spacing w:after="0" w:line="240" w:lineRule="auto"/>
              <w:rPr>
                <w:rFonts w:eastAsia="Times New Roman"/>
                <w:noProof/>
              </w:rPr>
            </w:pPr>
            <w:r>
              <w:rPr>
                <w:noProof/>
              </w:rPr>
              <w:t xml:space="preserve">(III) Atena Riviera: infrastructura pentru biciclete; și </w:t>
            </w:r>
          </w:p>
          <w:p w14:paraId="757932C1" w14:textId="77777777" w:rsidR="00C45D59" w:rsidRDefault="009B0962">
            <w:pPr>
              <w:pStyle w:val="P68B1DB1-Normal12"/>
              <w:spacing w:after="0" w:line="240" w:lineRule="auto"/>
              <w:rPr>
                <w:rFonts w:eastAsia="Times New Roman"/>
                <w:noProof/>
              </w:rPr>
            </w:pPr>
            <w:r>
              <w:rPr>
                <w:noProof/>
              </w:rPr>
              <w:t xml:space="preserve">(IV) alte intervenții strategice, care se selectează în urma unei cereri deschise de propuneri adresate municipalităților, care acoperă: (1) eficiența energetică și proiectele demonstrative din cadrul IMM-urilor sau al întreprinderilor mari și realizarea cel puțin a unei renovări de amploare medie, astfel cum este definită în Recomandarea (UE) 2019/786 a Comisiei privind renovarea clădirilor, sau, în medie, a unei reduceri de cel puțin 30 % a emisiilor directe și indirecte de CO2 în comparație cu emisiile ex ante; (2) construirea de clădiri noi eficiente din punct de vedere energetic și cu o cerere de energie primară (PED) care este cu cel puțin 20 % mai mică decât cerința privind clădirile al căror consum de energie este aproape egal cu zero (directive naționale); și (3) protecția naturii și a biodiversității, patrimoniul și resursele naturale, infrastructura verde și albastră. </w:t>
            </w:r>
          </w:p>
        </w:tc>
      </w:tr>
      <w:tr w:rsidR="00C45D59" w14:paraId="4C4523DC" w14:textId="77777777">
        <w:trPr>
          <w:trHeight w:val="313"/>
          <w:jc w:val="center"/>
        </w:trPr>
        <w:tc>
          <w:tcPr>
            <w:tcW w:w="761" w:type="dxa"/>
            <w:shd w:val="clear" w:color="auto" w:fill="C6EFCE"/>
            <w:noWrap/>
          </w:tcPr>
          <w:p w14:paraId="3628F647" w14:textId="77777777" w:rsidR="00C45D59" w:rsidRDefault="009B0962">
            <w:pPr>
              <w:pStyle w:val="P68B1DB1-Normal12"/>
              <w:spacing w:after="0" w:line="240" w:lineRule="auto"/>
              <w:rPr>
                <w:rFonts w:eastAsia="Times New Roman"/>
                <w:noProof/>
              </w:rPr>
            </w:pPr>
            <w:r>
              <w:rPr>
                <w:noProof/>
              </w:rPr>
              <w:t>39</w:t>
            </w:r>
          </w:p>
        </w:tc>
        <w:tc>
          <w:tcPr>
            <w:tcW w:w="1691" w:type="dxa"/>
            <w:shd w:val="clear" w:color="auto" w:fill="C6EFCE"/>
            <w:noWrap/>
          </w:tcPr>
          <w:p w14:paraId="5C7CD1F7" w14:textId="77777777" w:rsidR="00C45D59" w:rsidRDefault="009B0962">
            <w:pPr>
              <w:pStyle w:val="P68B1DB1-Normal12"/>
              <w:spacing w:after="0" w:line="240" w:lineRule="auto"/>
              <w:rPr>
                <w:rFonts w:eastAsia="Times New Roman"/>
                <w:noProof/>
              </w:rPr>
            </w:pPr>
            <w:r>
              <w:rPr>
                <w:noProof/>
              </w:rPr>
              <w:t>2-1.2. Renovare – 16932_Centrul Olimpic de Atletism din Atena</w:t>
            </w:r>
          </w:p>
        </w:tc>
        <w:tc>
          <w:tcPr>
            <w:tcW w:w="1080" w:type="dxa"/>
            <w:shd w:val="clear" w:color="auto" w:fill="C6EFCE"/>
            <w:noWrap/>
          </w:tcPr>
          <w:p w14:paraId="3B8FD835" w14:textId="77777777" w:rsidR="00C45D59" w:rsidRDefault="009B0962">
            <w:pPr>
              <w:pStyle w:val="P68B1DB1-Normal12"/>
              <w:spacing w:after="0" w:line="240" w:lineRule="auto"/>
              <w:rPr>
                <w:rFonts w:eastAsia="Times New Roman"/>
                <w:noProof/>
              </w:rPr>
            </w:pPr>
            <w:r>
              <w:rPr>
                <w:noProof/>
              </w:rPr>
              <w:t>Etapă</w:t>
            </w:r>
          </w:p>
        </w:tc>
        <w:tc>
          <w:tcPr>
            <w:tcW w:w="1566" w:type="dxa"/>
            <w:shd w:val="clear" w:color="auto" w:fill="C6EFCE"/>
            <w:noWrap/>
          </w:tcPr>
          <w:p w14:paraId="18663D2D" w14:textId="77777777" w:rsidR="00C45D59" w:rsidRDefault="009B0962">
            <w:pPr>
              <w:pStyle w:val="P68B1DB1-Normal12"/>
              <w:spacing w:after="0" w:line="240" w:lineRule="auto"/>
              <w:rPr>
                <w:rFonts w:eastAsia="Times New Roman"/>
                <w:noProof/>
              </w:rPr>
            </w:pPr>
            <w:r>
              <w:rPr>
                <w:noProof/>
              </w:rPr>
              <w:t xml:space="preserve">OAKA – executarea lucrărilor </w:t>
            </w:r>
          </w:p>
        </w:tc>
        <w:tc>
          <w:tcPr>
            <w:tcW w:w="1276" w:type="dxa"/>
            <w:shd w:val="clear" w:color="auto" w:fill="C6EFCE"/>
            <w:noWrap/>
          </w:tcPr>
          <w:p w14:paraId="2545AB9C" w14:textId="77777777" w:rsidR="00C45D59" w:rsidRDefault="009B0962">
            <w:pPr>
              <w:pStyle w:val="P68B1DB1-Normal12"/>
              <w:spacing w:after="0" w:line="240" w:lineRule="auto"/>
              <w:rPr>
                <w:noProof/>
              </w:rPr>
            </w:pPr>
            <w:r>
              <w:rPr>
                <w:noProof/>
              </w:rPr>
              <w:t>Executarea de lucrări</w:t>
            </w:r>
          </w:p>
        </w:tc>
        <w:tc>
          <w:tcPr>
            <w:tcW w:w="1134" w:type="dxa"/>
            <w:shd w:val="clear" w:color="auto" w:fill="C6EFCE"/>
            <w:noWrap/>
          </w:tcPr>
          <w:p w14:paraId="7CD5455A"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992" w:type="dxa"/>
            <w:shd w:val="clear" w:color="auto" w:fill="C6EFCE"/>
            <w:noWrap/>
          </w:tcPr>
          <w:p w14:paraId="1CD28B0E"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51" w:type="dxa"/>
            <w:shd w:val="clear" w:color="auto" w:fill="C6EFCE"/>
            <w:noWrap/>
          </w:tcPr>
          <w:p w14:paraId="542D4737"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50" w:type="dxa"/>
            <w:shd w:val="clear" w:color="auto" w:fill="C6EFCE"/>
            <w:noWrap/>
          </w:tcPr>
          <w:p w14:paraId="6811EC7C" w14:textId="77777777" w:rsidR="00C45D59" w:rsidRDefault="009B0962">
            <w:pPr>
              <w:pStyle w:val="P68B1DB1-Normal12"/>
              <w:spacing w:after="0" w:line="240" w:lineRule="auto"/>
              <w:rPr>
                <w:rFonts w:eastAsia="Times New Roman"/>
                <w:noProof/>
              </w:rPr>
            </w:pPr>
            <w:r>
              <w:rPr>
                <w:noProof/>
              </w:rPr>
              <w:t>Î4</w:t>
            </w:r>
          </w:p>
        </w:tc>
        <w:tc>
          <w:tcPr>
            <w:tcW w:w="709" w:type="dxa"/>
            <w:shd w:val="clear" w:color="auto" w:fill="C6EFCE"/>
            <w:noWrap/>
          </w:tcPr>
          <w:p w14:paraId="12AA3348" w14:textId="77777777" w:rsidR="00C45D59" w:rsidRDefault="009B0962">
            <w:pPr>
              <w:pStyle w:val="P68B1DB1-Normal12"/>
              <w:spacing w:after="0" w:line="240" w:lineRule="auto"/>
              <w:rPr>
                <w:rFonts w:eastAsia="Times New Roman"/>
                <w:noProof/>
              </w:rPr>
            </w:pPr>
            <w:r>
              <w:rPr>
                <w:noProof/>
              </w:rPr>
              <w:t>2025</w:t>
            </w:r>
          </w:p>
        </w:tc>
        <w:tc>
          <w:tcPr>
            <w:tcW w:w="4592" w:type="dxa"/>
            <w:shd w:val="clear" w:color="auto" w:fill="C6EFCE"/>
            <w:noWrap/>
          </w:tcPr>
          <w:p w14:paraId="267E09A7" w14:textId="2FAFF669" w:rsidR="00C45D59" w:rsidRDefault="009B0962">
            <w:pPr>
              <w:pStyle w:val="P68B1DB1-Normal12"/>
              <w:spacing w:after="0" w:line="240" w:lineRule="auto"/>
              <w:rPr>
                <w:rFonts w:eastAsia="Times New Roman"/>
                <w:noProof/>
              </w:rPr>
            </w:pPr>
            <w:r>
              <w:rPr>
                <w:noProof/>
              </w:rPr>
              <w:t>Certificate de finalizare pentru următoarele intervenții: (I) modernizarea instalațiilor mecanice și electrice ale stadionului central; (II) lucrări pentru instalații mecanice și electrice și mașini pentru instalațiile acvatice; (III) restaurarea coronamentului din oțel al Velodrome; și (iv) renovarea zonelor exterioare, inclusiv a structurilor siderurgice din Agora și din Zidul Națiunilor.</w:t>
            </w:r>
          </w:p>
        </w:tc>
      </w:tr>
      <w:tr w:rsidR="00C45D59" w14:paraId="679A3CAF" w14:textId="77777777">
        <w:trPr>
          <w:trHeight w:val="313"/>
          <w:jc w:val="center"/>
        </w:trPr>
        <w:tc>
          <w:tcPr>
            <w:tcW w:w="761" w:type="dxa"/>
            <w:shd w:val="clear" w:color="auto" w:fill="C6EFCE"/>
            <w:noWrap/>
          </w:tcPr>
          <w:p w14:paraId="137D80BF" w14:textId="77777777" w:rsidR="00C45D59" w:rsidRDefault="009B0962">
            <w:pPr>
              <w:pStyle w:val="P68B1DB1-Normal12"/>
              <w:spacing w:after="0" w:line="240" w:lineRule="auto"/>
              <w:rPr>
                <w:rFonts w:eastAsia="Times New Roman"/>
                <w:noProof/>
              </w:rPr>
            </w:pPr>
            <w:r>
              <w:rPr>
                <w:noProof/>
              </w:rPr>
              <w:t>40</w:t>
            </w:r>
          </w:p>
        </w:tc>
        <w:tc>
          <w:tcPr>
            <w:tcW w:w="1691" w:type="dxa"/>
            <w:shd w:val="clear" w:color="auto" w:fill="C6EFCE"/>
            <w:noWrap/>
          </w:tcPr>
          <w:p w14:paraId="50C0E059" w14:textId="77777777" w:rsidR="00C45D59" w:rsidRDefault="009B0962">
            <w:pPr>
              <w:pStyle w:val="P68B1DB1-Normal12"/>
              <w:spacing w:after="0" w:line="240" w:lineRule="auto"/>
              <w:rPr>
                <w:rFonts w:eastAsia="Times New Roman"/>
                <w:noProof/>
              </w:rPr>
            </w:pPr>
            <w:r>
              <w:rPr>
                <w:noProof/>
              </w:rPr>
              <w:t>2-1.2. Renovare – 16873_ – Intervenții în zonele rezidențiale și în parcul imobiliar</w:t>
            </w:r>
          </w:p>
        </w:tc>
        <w:tc>
          <w:tcPr>
            <w:tcW w:w="1080" w:type="dxa"/>
            <w:shd w:val="clear" w:color="auto" w:fill="C6EFCE"/>
            <w:noWrap/>
          </w:tcPr>
          <w:p w14:paraId="126BA2AE" w14:textId="77777777" w:rsidR="00C45D59" w:rsidRDefault="009B0962">
            <w:pPr>
              <w:pStyle w:val="P68B1DB1-Normal12"/>
              <w:spacing w:after="0" w:line="240" w:lineRule="auto"/>
              <w:rPr>
                <w:rFonts w:eastAsia="Times New Roman"/>
                <w:noProof/>
              </w:rPr>
            </w:pPr>
            <w:r>
              <w:rPr>
                <w:noProof/>
              </w:rPr>
              <w:t>Etapă</w:t>
            </w:r>
          </w:p>
        </w:tc>
        <w:tc>
          <w:tcPr>
            <w:tcW w:w="1566" w:type="dxa"/>
            <w:shd w:val="clear" w:color="auto" w:fill="C6EFCE"/>
            <w:noWrap/>
          </w:tcPr>
          <w:p w14:paraId="464CB9B6" w14:textId="77777777" w:rsidR="00C45D59" w:rsidRDefault="009B0962">
            <w:pPr>
              <w:pStyle w:val="P68B1DB1-Normal12"/>
              <w:spacing w:after="0" w:line="240" w:lineRule="auto"/>
              <w:rPr>
                <w:noProof/>
              </w:rPr>
            </w:pPr>
            <w:r>
              <w:rPr>
                <w:noProof/>
              </w:rPr>
              <w:t>Intervenții urbane – Executarea lucrărilor</w:t>
            </w:r>
          </w:p>
        </w:tc>
        <w:tc>
          <w:tcPr>
            <w:tcW w:w="1276" w:type="dxa"/>
            <w:shd w:val="clear" w:color="auto" w:fill="C6EFCE"/>
            <w:noWrap/>
          </w:tcPr>
          <w:p w14:paraId="087D666B" w14:textId="500ED46A" w:rsidR="00C45D59" w:rsidRDefault="009B0962">
            <w:pPr>
              <w:pStyle w:val="P68B1DB1-Normal12"/>
              <w:spacing w:after="0" w:line="240" w:lineRule="auto"/>
              <w:rPr>
                <w:noProof/>
              </w:rPr>
            </w:pPr>
            <w:r>
              <w:rPr>
                <w:noProof/>
              </w:rPr>
              <w:t>Executarea de lucrări</w:t>
            </w:r>
          </w:p>
        </w:tc>
        <w:tc>
          <w:tcPr>
            <w:tcW w:w="1134" w:type="dxa"/>
            <w:shd w:val="clear" w:color="auto" w:fill="C6EFCE"/>
            <w:noWrap/>
          </w:tcPr>
          <w:p w14:paraId="4DCECE8B"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992" w:type="dxa"/>
            <w:shd w:val="clear" w:color="auto" w:fill="C6EFCE"/>
            <w:noWrap/>
          </w:tcPr>
          <w:p w14:paraId="11D682C4"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51" w:type="dxa"/>
            <w:shd w:val="clear" w:color="auto" w:fill="C6EFCE"/>
            <w:noWrap/>
          </w:tcPr>
          <w:p w14:paraId="6D634BA1"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50" w:type="dxa"/>
            <w:shd w:val="clear" w:color="auto" w:fill="C6EFCE"/>
            <w:noWrap/>
          </w:tcPr>
          <w:p w14:paraId="155942B2" w14:textId="77777777" w:rsidR="00C45D59" w:rsidRDefault="009B0962">
            <w:pPr>
              <w:pStyle w:val="P68B1DB1-Normal12"/>
              <w:spacing w:after="0" w:line="240" w:lineRule="auto"/>
              <w:rPr>
                <w:rFonts w:eastAsia="Times New Roman"/>
                <w:noProof/>
              </w:rPr>
            </w:pPr>
            <w:r>
              <w:rPr>
                <w:noProof/>
              </w:rPr>
              <w:t>Î4</w:t>
            </w:r>
          </w:p>
        </w:tc>
        <w:tc>
          <w:tcPr>
            <w:tcW w:w="709" w:type="dxa"/>
            <w:shd w:val="clear" w:color="auto" w:fill="C6EFCE"/>
            <w:noWrap/>
          </w:tcPr>
          <w:p w14:paraId="1C606D06" w14:textId="77777777" w:rsidR="00C45D59" w:rsidRDefault="009B0962">
            <w:pPr>
              <w:pStyle w:val="P68B1DB1-Normal12"/>
              <w:spacing w:after="0" w:line="240" w:lineRule="auto"/>
              <w:rPr>
                <w:rFonts w:eastAsia="Times New Roman"/>
                <w:noProof/>
              </w:rPr>
            </w:pPr>
            <w:r>
              <w:rPr>
                <w:noProof/>
              </w:rPr>
              <w:t>2025</w:t>
            </w:r>
          </w:p>
        </w:tc>
        <w:tc>
          <w:tcPr>
            <w:tcW w:w="4592" w:type="dxa"/>
            <w:shd w:val="clear" w:color="auto" w:fill="C6EFCE"/>
            <w:noWrap/>
          </w:tcPr>
          <w:p w14:paraId="3A434829" w14:textId="38E57FC6" w:rsidR="00C45D59" w:rsidRDefault="009B0962">
            <w:pPr>
              <w:pStyle w:val="P68B1DB1-Normal12"/>
              <w:spacing w:after="0" w:line="240" w:lineRule="auto"/>
              <w:rPr>
                <w:rFonts w:eastAsia="Times New Roman"/>
                <w:noProof/>
              </w:rPr>
            </w:pPr>
            <w:r>
              <w:rPr>
                <w:noProof/>
              </w:rPr>
              <w:t>Certificate de încheiere a execuției lucrărilor pentru:</w:t>
            </w:r>
          </w:p>
          <w:p w14:paraId="42342396" w14:textId="52593159" w:rsidR="00C45D59" w:rsidRDefault="009B0962">
            <w:pPr>
              <w:pStyle w:val="P68B1DB1-Normal12"/>
              <w:spacing w:after="0" w:line="240" w:lineRule="auto"/>
              <w:rPr>
                <w:rFonts w:eastAsia="Times New Roman"/>
                <w:noProof/>
              </w:rPr>
            </w:pPr>
            <w:r>
              <w:rPr>
                <w:noProof/>
              </w:rPr>
              <w:t xml:space="preserve">(I) Intervenții în mediul urban și în spațiul public în 35 zone urbane și de coastă; </w:t>
            </w:r>
          </w:p>
          <w:p w14:paraId="11E3B4C2" w14:textId="5A9722AF" w:rsidR="00C45D59" w:rsidRDefault="009B0962">
            <w:pPr>
              <w:pStyle w:val="P68B1DB1-Normal12"/>
              <w:spacing w:after="0" w:line="240" w:lineRule="auto"/>
              <w:jc w:val="both"/>
              <w:rPr>
                <w:noProof/>
              </w:rPr>
            </w:pPr>
            <w:r>
              <w:rPr>
                <w:noProof/>
              </w:rPr>
              <w:t>(II) Intervenții în zonele exterioare ale campusului Universității Agricole din Atena</w:t>
            </w:r>
          </w:p>
        </w:tc>
      </w:tr>
      <w:tr w:rsidR="00C45D59" w14:paraId="1AC75F75" w14:textId="77777777">
        <w:trPr>
          <w:trHeight w:val="313"/>
          <w:jc w:val="center"/>
        </w:trPr>
        <w:tc>
          <w:tcPr>
            <w:tcW w:w="761" w:type="dxa"/>
            <w:shd w:val="clear" w:color="auto" w:fill="C6EFCE"/>
            <w:noWrap/>
          </w:tcPr>
          <w:p w14:paraId="2316E6FC" w14:textId="77777777" w:rsidR="00C45D59" w:rsidRDefault="009B0962">
            <w:pPr>
              <w:pStyle w:val="P68B1DB1-Normal12"/>
              <w:spacing w:after="0" w:line="240" w:lineRule="auto"/>
              <w:rPr>
                <w:rFonts w:eastAsia="Times New Roman"/>
                <w:noProof/>
              </w:rPr>
            </w:pPr>
            <w:r>
              <w:rPr>
                <w:noProof/>
              </w:rPr>
              <w:t>41</w:t>
            </w:r>
          </w:p>
        </w:tc>
        <w:tc>
          <w:tcPr>
            <w:tcW w:w="1691" w:type="dxa"/>
            <w:shd w:val="clear" w:color="auto" w:fill="C6EFCE"/>
            <w:noWrap/>
          </w:tcPr>
          <w:p w14:paraId="40A80A1E" w14:textId="77777777" w:rsidR="00C45D59" w:rsidRDefault="009B0962">
            <w:pPr>
              <w:pStyle w:val="P68B1DB1-Normal12"/>
              <w:spacing w:after="0" w:line="240" w:lineRule="auto"/>
              <w:rPr>
                <w:rFonts w:eastAsia="Times New Roman"/>
                <w:noProof/>
              </w:rPr>
            </w:pPr>
            <w:r>
              <w:rPr>
                <w:noProof/>
              </w:rPr>
              <w:t>2-1.2. Renovare – 16875_ Dezvoltarea infrastructurii și restaurarea clădirilor în fosta proprietate regală din Tatoi</w:t>
            </w:r>
          </w:p>
        </w:tc>
        <w:tc>
          <w:tcPr>
            <w:tcW w:w="1080" w:type="dxa"/>
            <w:shd w:val="clear" w:color="auto" w:fill="C6EFCE"/>
            <w:noWrap/>
          </w:tcPr>
          <w:p w14:paraId="09990010" w14:textId="77777777" w:rsidR="00C45D59" w:rsidRDefault="009B0962">
            <w:pPr>
              <w:pStyle w:val="P68B1DB1-Normal12"/>
              <w:spacing w:after="0" w:line="240" w:lineRule="auto"/>
              <w:rPr>
                <w:rFonts w:eastAsia="Times New Roman"/>
                <w:noProof/>
              </w:rPr>
            </w:pPr>
            <w:r>
              <w:rPr>
                <w:noProof/>
              </w:rPr>
              <w:t>Etapă</w:t>
            </w:r>
          </w:p>
        </w:tc>
        <w:tc>
          <w:tcPr>
            <w:tcW w:w="1566" w:type="dxa"/>
            <w:shd w:val="clear" w:color="auto" w:fill="C6EFCE"/>
            <w:noWrap/>
          </w:tcPr>
          <w:p w14:paraId="4DA40D26" w14:textId="77777777" w:rsidR="00C45D59" w:rsidRDefault="009B0962">
            <w:pPr>
              <w:pStyle w:val="P68B1DB1-Normal12"/>
              <w:spacing w:after="0" w:line="240" w:lineRule="auto"/>
              <w:rPr>
                <w:rFonts w:eastAsia="Times New Roman"/>
                <w:noProof/>
              </w:rPr>
            </w:pPr>
            <w:r>
              <w:rPr>
                <w:noProof/>
              </w:rPr>
              <w:t>Tatoi – restaurată</w:t>
            </w:r>
          </w:p>
        </w:tc>
        <w:tc>
          <w:tcPr>
            <w:tcW w:w="1276" w:type="dxa"/>
            <w:shd w:val="clear" w:color="auto" w:fill="C6EFCE"/>
            <w:noWrap/>
          </w:tcPr>
          <w:p w14:paraId="29995282" w14:textId="77777777" w:rsidR="00C45D59" w:rsidRDefault="009B0962">
            <w:pPr>
              <w:pStyle w:val="P68B1DB1-Normal12"/>
              <w:spacing w:after="0" w:line="240" w:lineRule="auto"/>
              <w:rPr>
                <w:rFonts w:eastAsia="Times New Roman"/>
                <w:noProof/>
              </w:rPr>
            </w:pPr>
            <w:r>
              <w:rPr>
                <w:noProof/>
              </w:rPr>
              <w:t xml:space="preserve">Restaurarea regiunii Tatoi </w:t>
            </w:r>
          </w:p>
        </w:tc>
        <w:tc>
          <w:tcPr>
            <w:tcW w:w="1134" w:type="dxa"/>
            <w:shd w:val="clear" w:color="auto" w:fill="C6EFCE"/>
            <w:noWrap/>
          </w:tcPr>
          <w:p w14:paraId="79FF07AF"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992" w:type="dxa"/>
            <w:shd w:val="clear" w:color="auto" w:fill="C6EFCE"/>
            <w:noWrap/>
          </w:tcPr>
          <w:p w14:paraId="47D6C932"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51" w:type="dxa"/>
            <w:shd w:val="clear" w:color="auto" w:fill="C6EFCE"/>
            <w:noWrap/>
          </w:tcPr>
          <w:p w14:paraId="15F1707D"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50" w:type="dxa"/>
            <w:shd w:val="clear" w:color="auto" w:fill="C6EFCE"/>
            <w:noWrap/>
          </w:tcPr>
          <w:p w14:paraId="6A751F68" w14:textId="77777777" w:rsidR="00C45D59" w:rsidRDefault="009B0962">
            <w:pPr>
              <w:pStyle w:val="P68B1DB1-Normal12"/>
              <w:spacing w:after="0" w:line="240" w:lineRule="auto"/>
              <w:rPr>
                <w:rFonts w:eastAsia="Times New Roman"/>
                <w:noProof/>
              </w:rPr>
            </w:pPr>
            <w:r>
              <w:rPr>
                <w:noProof/>
              </w:rPr>
              <w:t>Î4</w:t>
            </w:r>
          </w:p>
        </w:tc>
        <w:tc>
          <w:tcPr>
            <w:tcW w:w="709" w:type="dxa"/>
            <w:shd w:val="clear" w:color="auto" w:fill="C6EFCE"/>
            <w:noWrap/>
          </w:tcPr>
          <w:p w14:paraId="2A42DB3C" w14:textId="77777777" w:rsidR="00C45D59" w:rsidRDefault="009B0962">
            <w:pPr>
              <w:pStyle w:val="P68B1DB1-Normal12"/>
              <w:spacing w:after="0" w:line="240" w:lineRule="auto"/>
              <w:rPr>
                <w:rFonts w:eastAsia="Times New Roman"/>
                <w:noProof/>
              </w:rPr>
            </w:pPr>
            <w:r>
              <w:rPr>
                <w:noProof/>
              </w:rPr>
              <w:t>2025</w:t>
            </w:r>
          </w:p>
        </w:tc>
        <w:tc>
          <w:tcPr>
            <w:tcW w:w="4592" w:type="dxa"/>
            <w:shd w:val="clear" w:color="auto" w:fill="C6EFCE"/>
            <w:noWrap/>
          </w:tcPr>
          <w:p w14:paraId="61E14956" w14:textId="77777777" w:rsidR="00C45D59" w:rsidRDefault="009B0962">
            <w:pPr>
              <w:pStyle w:val="P68B1DB1-Normal12"/>
              <w:spacing w:after="0" w:line="240" w:lineRule="auto"/>
              <w:rPr>
                <w:rFonts w:eastAsia="Times New Roman"/>
                <w:noProof/>
              </w:rPr>
            </w:pPr>
            <w:r>
              <w:rPr>
                <w:noProof/>
              </w:rPr>
              <w:t>Executarea de lucrări în cadrul programului „Dezvoltarea infrastructurii și restaurarea clădirilor” în fostele proprietăți regale din Tatoi.</w:t>
            </w:r>
          </w:p>
        </w:tc>
      </w:tr>
    </w:tbl>
    <w:p w14:paraId="6DA5BE9A" w14:textId="77777777" w:rsidR="00C45D59" w:rsidRDefault="00C45D59">
      <w:pPr>
        <w:framePr w:w="15464" w:wrap="auto" w:hAnchor="text"/>
        <w:spacing w:before="120" w:after="120" w:line="240" w:lineRule="auto"/>
        <w:rPr>
          <w:rFonts w:ascii="Times New Roman" w:hAnsi="Times New Roman" w:cs="Times New Roman"/>
          <w:noProof/>
          <w:sz w:val="24"/>
        </w:rPr>
        <w:sectPr w:rsidR="00C45D59">
          <w:headerReference w:type="even" r:id="rId60"/>
          <w:headerReference w:type="default" r:id="rId61"/>
          <w:footerReference w:type="even" r:id="rId62"/>
          <w:footerReference w:type="default" r:id="rId63"/>
          <w:headerReference w:type="first" r:id="rId64"/>
          <w:footerReference w:type="first" r:id="rId65"/>
          <w:pgSz w:w="16839" w:h="11907" w:orient="landscape"/>
          <w:pgMar w:top="1134" w:right="1134" w:bottom="1134" w:left="1134" w:header="567" w:footer="567" w:gutter="0"/>
          <w:cols w:space="720"/>
          <w:docGrid w:linePitch="360"/>
        </w:sectPr>
      </w:pPr>
    </w:p>
    <w:p w14:paraId="0A8E1581" w14:textId="77777777" w:rsidR="00C45D59" w:rsidRDefault="009B0962">
      <w:pPr>
        <w:pStyle w:val="P68B1DB1-Normal19"/>
        <w:spacing w:before="120" w:after="120" w:line="240" w:lineRule="auto"/>
        <w:jc w:val="both"/>
        <w:rPr>
          <w:rFonts w:cs="Times New Roman"/>
          <w:bCs/>
          <w:i/>
          <w:iCs/>
          <w:noProof/>
          <w:color w:val="4F81BD"/>
        </w:rPr>
      </w:pPr>
      <w:r>
        <w:rPr>
          <w:noProof/>
        </w:rPr>
        <w:t xml:space="preserve">B.3. Descrierea reformelor și a investițiilor pentru împrumut </w:t>
      </w:r>
    </w:p>
    <w:p w14:paraId="07DBBD93" w14:textId="77777777" w:rsidR="00C45D59" w:rsidRDefault="009B0962">
      <w:pPr>
        <w:pStyle w:val="P68B1DB1-Normal5"/>
        <w:spacing w:before="120" w:after="120" w:line="240" w:lineRule="auto"/>
        <w:jc w:val="both"/>
        <w:rPr>
          <w:rFonts w:cs="Times New Roman"/>
          <w:noProof/>
        </w:rPr>
      </w:pPr>
      <w:r>
        <w:rPr>
          <w:b/>
          <w:noProof/>
        </w:rPr>
        <w:t>Investiții:</w:t>
      </w:r>
      <w:r>
        <w:rPr>
          <w:noProof/>
        </w:rPr>
        <w:t xml:space="preserve"> Programul de actualizare a energiei „Upgrade My Home” (măsura ID 16401)</w:t>
      </w:r>
    </w:p>
    <w:p w14:paraId="14045D5D" w14:textId="0C6CEFA3" w:rsidR="00C45D59" w:rsidRDefault="009B0962">
      <w:pPr>
        <w:pStyle w:val="NormalWeb"/>
        <w:spacing w:line="240" w:lineRule="auto"/>
        <w:jc w:val="both"/>
        <w:rPr>
          <w:noProof/>
        </w:rPr>
      </w:pPr>
      <w:r>
        <w:rPr>
          <w:noProof/>
        </w:rPr>
        <w:t>Această măsură constă într-o investiție publică în facilitatea „Upgrade My Home”, pentru a stimula investițiile private și a îmbunătăți accesul la finanțare în sectorul locuințelor din Grecia. Mecanismul funcționează prin acordarea de împrumuturi direct sectorului privat. Pe baza investiției MRR, mecanismul „Upgrade My Home” urmărește să ofere inițial o finanțare de cel puțin 62 000 000 EUR.</w:t>
      </w:r>
    </w:p>
    <w:p w14:paraId="067E6BAA" w14:textId="77777777" w:rsidR="00C45D59" w:rsidRDefault="009B0962">
      <w:pPr>
        <w:pStyle w:val="NormalWeb"/>
        <w:spacing w:line="240" w:lineRule="auto"/>
        <w:jc w:val="both"/>
        <w:rPr>
          <w:noProof/>
        </w:rPr>
      </w:pPr>
      <w:r>
        <w:rPr>
          <w:noProof/>
        </w:rPr>
        <w:t xml:space="preserve">Facilitatea „Upgrade My Home” este gestionată de Banca Elenă de Dezvoltare în calitate de partener de implementare. Facilitatea include următoarea linie de produse: </w:t>
      </w:r>
    </w:p>
    <w:p w14:paraId="3AF5190C" w14:textId="77777777" w:rsidR="00C45D59" w:rsidRDefault="009B0962">
      <w:pPr>
        <w:pStyle w:val="P68B1DB1-LegalNumPar220"/>
        <w:numPr>
          <w:ilvl w:val="1"/>
          <w:numId w:val="24"/>
        </w:numPr>
        <w:jc w:val="both"/>
        <w:rPr>
          <w:noProof/>
        </w:rPr>
      </w:pPr>
      <w:r>
        <w:rPr>
          <w:noProof/>
        </w:rPr>
        <w:t>Banca Elenă de Dezvoltare selectează băncile comerciale în calitate de intermediari financiari pentru a participa la facilitate, în mod deschis, transparent și nediscriminatoriu, prin intermediul unei cereri deschise de propuneri. Băncile comerciale cofinanțează împrumuturile pentru renovări vizând eficiența energetică emise în cadrul mecanismului. Aceste împrumuturi vor fi acordate persoanelor fizice pentru modernizarea energetică a reședințelor lor secundare primare sau neînchiriate. Structura de împrumut prevede o finanțare fără dobândă de 75 % din facilitatea „Upgrade My Home” și o finanțare de 25 % din partea băncilor participante la ratele pieței. Cheltuielile eligibile vor include, de exemplu, următoarele intervenții:</w:t>
      </w:r>
    </w:p>
    <w:p w14:paraId="67CEB55A" w14:textId="77777777" w:rsidR="00C45D59" w:rsidRDefault="009B0962">
      <w:pPr>
        <w:pStyle w:val="P68B1DB1-LegalNumPar220"/>
        <w:jc w:val="both"/>
        <w:rPr>
          <w:noProof/>
        </w:rPr>
      </w:pPr>
      <w:r>
        <w:rPr>
          <w:noProof/>
        </w:rPr>
        <w:t>Izolație termică (internă/externă).</w:t>
      </w:r>
    </w:p>
    <w:p w14:paraId="00102F4A" w14:textId="77777777" w:rsidR="00C45D59" w:rsidRDefault="009B0962">
      <w:pPr>
        <w:pStyle w:val="P68B1DB1-LegalNumPar220"/>
        <w:jc w:val="both"/>
        <w:rPr>
          <w:noProof/>
        </w:rPr>
      </w:pPr>
      <w:r>
        <w:rPr>
          <w:noProof/>
        </w:rPr>
        <w:t>Instalarea unui acoperiș verde.</w:t>
      </w:r>
    </w:p>
    <w:p w14:paraId="07F2EB73" w14:textId="77777777" w:rsidR="00C45D59" w:rsidRDefault="009B0962">
      <w:pPr>
        <w:pStyle w:val="P68B1DB1-LegalNumPar220"/>
        <w:jc w:val="both"/>
        <w:rPr>
          <w:noProof/>
        </w:rPr>
      </w:pPr>
      <w:r>
        <w:rPr>
          <w:noProof/>
        </w:rPr>
        <w:t>Înlocuirea cadrelor de ferestre și a geamurilor din sticlă eficiente din punct de vedere energetic.</w:t>
      </w:r>
    </w:p>
    <w:p w14:paraId="0D3F4BC9" w14:textId="77777777" w:rsidR="00C45D59" w:rsidRDefault="009B0962">
      <w:pPr>
        <w:pStyle w:val="P68B1DB1-LegalNumPar220"/>
        <w:jc w:val="both"/>
        <w:rPr>
          <w:noProof/>
        </w:rPr>
      </w:pPr>
      <w:r>
        <w:rPr>
          <w:noProof/>
        </w:rPr>
        <w:t>Înlocuirea/instalarea unei instalații solare pentru încălzirea apei.</w:t>
      </w:r>
    </w:p>
    <w:p w14:paraId="504B1735" w14:textId="77777777" w:rsidR="00C45D59" w:rsidRDefault="009B0962">
      <w:pPr>
        <w:pStyle w:val="P68B1DB1-LegalNumPar220"/>
        <w:jc w:val="both"/>
        <w:rPr>
          <w:noProof/>
        </w:rPr>
      </w:pPr>
      <w:r>
        <w:rPr>
          <w:noProof/>
        </w:rPr>
        <w:t>Instalarea de sisteme de umbrire externe permanente.</w:t>
      </w:r>
    </w:p>
    <w:p w14:paraId="6BC634F2" w14:textId="77777777" w:rsidR="00C45D59" w:rsidRDefault="009B0962">
      <w:pPr>
        <w:pStyle w:val="P68B1DB1-LegalNumPar220"/>
        <w:jc w:val="both"/>
        <w:rPr>
          <w:noProof/>
        </w:rPr>
      </w:pPr>
      <w:r>
        <w:rPr>
          <w:noProof/>
        </w:rPr>
        <w:t>Înlocuirea/instalarea sistemelor de încălzire și răcire (combustibilii fosili generați nu sunt eligibili) care utilizează surse regenerabile de energie sau sisteme combinate de căldură și energie electrică de înaltă eficiență (de exemplu, pompe de căldură electrice, unități de climatizare invertoare cu clasa energetică A + sau mai mare).</w:t>
      </w:r>
    </w:p>
    <w:p w14:paraId="2DEA16BC" w14:textId="77777777" w:rsidR="00C45D59" w:rsidRDefault="009B0962">
      <w:pPr>
        <w:pStyle w:val="P68B1DB1-LegalNumPar220"/>
        <w:jc w:val="both"/>
        <w:rPr>
          <w:noProof/>
        </w:rPr>
      </w:pPr>
      <w:r>
        <w:rPr>
          <w:noProof/>
        </w:rPr>
        <w:t>Instalarea de sisteme de reglare termostatică.</w:t>
      </w:r>
    </w:p>
    <w:p w14:paraId="0876F6A7" w14:textId="77777777" w:rsidR="00C45D59" w:rsidRDefault="009B0962">
      <w:pPr>
        <w:pStyle w:val="P68B1DB1-LegalNumPar220"/>
        <w:jc w:val="both"/>
        <w:rPr>
          <w:noProof/>
        </w:rPr>
      </w:pPr>
      <w:r>
        <w:rPr>
          <w:noProof/>
        </w:rPr>
        <w:t>Instalarea de sisteme de stocare a energiei (baterii) din surse regenerabile de energie.</w:t>
      </w:r>
    </w:p>
    <w:p w14:paraId="56E11BAA" w14:textId="77777777" w:rsidR="00C45D59" w:rsidRDefault="009B0962">
      <w:pPr>
        <w:pStyle w:val="P68B1DB1-LegalNumPar220"/>
        <w:jc w:val="both"/>
        <w:rPr>
          <w:noProof/>
        </w:rPr>
      </w:pPr>
      <w:r>
        <w:rPr>
          <w:noProof/>
        </w:rPr>
        <w:t>Instalarea de stații fotovoltaice, turbine eoliene de mici dimensiuni și alte surse regenerabile de energie.</w:t>
      </w:r>
    </w:p>
    <w:p w14:paraId="14EF2F0A" w14:textId="77777777" w:rsidR="00C45D59" w:rsidRDefault="009B0962">
      <w:pPr>
        <w:pStyle w:val="P68B1DB1-LegalNumPar220"/>
        <w:jc w:val="both"/>
        <w:rPr>
          <w:noProof/>
        </w:rPr>
      </w:pPr>
      <w:r>
        <w:rPr>
          <w:noProof/>
        </w:rPr>
        <w:t>Lucrări de instalare/Servicii furnizate de consultanți tehnici sau ingineri.</w:t>
      </w:r>
    </w:p>
    <w:p w14:paraId="36EC43C9" w14:textId="77777777" w:rsidR="00C45D59" w:rsidRDefault="009B0962">
      <w:pPr>
        <w:pStyle w:val="NormalWeb"/>
        <w:spacing w:line="240" w:lineRule="auto"/>
        <w:jc w:val="both"/>
        <w:rPr>
          <w:noProof/>
        </w:rPr>
      </w:pPr>
      <w:r>
        <w:rPr>
          <w:noProof/>
        </w:rPr>
        <w:t>Pentru a pune în aplicare investiția în facilitatea „Upgrade My Home”, Grecia și Banca Elenă de Dezvoltare semnează un acord de punere în aplicare. Acordul de punere în aplicare include următorul conținut:</w:t>
      </w:r>
    </w:p>
    <w:p w14:paraId="20F155DB" w14:textId="77777777" w:rsidR="00C45D59" w:rsidRDefault="009B0962">
      <w:pPr>
        <w:pStyle w:val="P68B1DB1-LegalNumPar21"/>
        <w:numPr>
          <w:ilvl w:val="0"/>
          <w:numId w:val="25"/>
        </w:numPr>
        <w:jc w:val="both"/>
        <w:rPr>
          <w:rFonts w:eastAsia="Times New Roman"/>
          <w:noProof/>
        </w:rPr>
      </w:pPr>
      <w:r>
        <w:rPr>
          <w:noProof/>
        </w:rPr>
        <w:t>Descrierea procesului decizional al instrumentului „Upgrade My Home”. Decizia finală de investiții a facilității este luată de un comitet pentru investiții sau de un alt organ de conducere echivalent relevant și este aprobată cu o majoritate de voturi de către membri care sunt independenți de guvern.</w:t>
      </w:r>
    </w:p>
    <w:p w14:paraId="6577723F" w14:textId="77777777" w:rsidR="00C45D59" w:rsidRDefault="009B0962">
      <w:pPr>
        <w:pStyle w:val="P68B1DB1-LegalNumPar21"/>
        <w:jc w:val="both"/>
        <w:rPr>
          <w:noProof/>
        </w:rPr>
      </w:pPr>
      <w:r>
        <w:rPr>
          <w:noProof/>
        </w:rPr>
        <w:t>Cerințele-cheie ale produselor financiare,</w:t>
      </w:r>
      <w:r>
        <w:rPr>
          <w:b/>
          <w:noProof/>
        </w:rPr>
        <w:t xml:space="preserve"> </w:t>
      </w:r>
      <w:r>
        <w:rPr>
          <w:noProof/>
        </w:rPr>
        <w:t>care includ:</w:t>
      </w:r>
    </w:p>
    <w:p w14:paraId="3266C3DD" w14:textId="77777777" w:rsidR="00C45D59" w:rsidRDefault="009B0962">
      <w:pPr>
        <w:pStyle w:val="P68B1DB1-LegalNumPar220"/>
        <w:spacing w:after="0"/>
        <w:ind w:left="952" w:hanging="476"/>
        <w:jc w:val="both"/>
        <w:rPr>
          <w:noProof/>
        </w:rPr>
      </w:pPr>
      <w:r>
        <w:rPr>
          <w:noProof/>
        </w:rPr>
        <w:t>Descrierea produselor financiare și a beneficiarilor finali eligibili.</w:t>
      </w:r>
    </w:p>
    <w:p w14:paraId="2B74BB1F" w14:textId="77777777" w:rsidR="00C45D59" w:rsidRDefault="009B0962">
      <w:pPr>
        <w:pStyle w:val="P68B1DB1-LegalNumPar220"/>
        <w:spacing w:after="0"/>
        <w:ind w:left="952" w:hanging="476"/>
        <w:jc w:val="both"/>
        <w:rPr>
          <w:noProof/>
        </w:rPr>
      </w:pPr>
      <w:r>
        <w:rPr>
          <w:noProof/>
        </w:rPr>
        <w:t>Cerința ca toate investițiile care beneficiază de sprijin să fie viabile din punct de vedere economic</w:t>
      </w:r>
      <w:r>
        <w:rPr>
          <w:b/>
          <w:noProof/>
        </w:rPr>
        <w:t>.</w:t>
      </w:r>
    </w:p>
    <w:p w14:paraId="383B52D4" w14:textId="77777777" w:rsidR="00C45D59" w:rsidRDefault="009B0962">
      <w:pPr>
        <w:pStyle w:val="P68B1DB1-LegalNumPar220"/>
        <w:spacing w:after="0"/>
        <w:ind w:left="952" w:hanging="476"/>
        <w:jc w:val="both"/>
        <w:rPr>
          <w:noProof/>
        </w:rPr>
      </w:pPr>
      <w:r>
        <w:rPr>
          <w:noProof/>
        </w:rPr>
        <w:t>Cerința ca beneficiarii finali ai mecanismului să nu primească sprijin din partea altor instrumente ale Uniunii pentru a acoperi aceleași costuri.</w:t>
      </w:r>
    </w:p>
    <w:p w14:paraId="56E55C31" w14:textId="77777777" w:rsidR="00C45D59" w:rsidRDefault="009B0962">
      <w:pPr>
        <w:pStyle w:val="P68B1DB1-LegalNumPar22"/>
        <w:jc w:val="both"/>
        <w:rPr>
          <w:rFonts w:ascii="Times New Roman" w:hAnsi="Times New Roman" w:cs="Times New Roman"/>
          <w:noProof/>
        </w:rPr>
      </w:pPr>
      <w:r>
        <w:rPr>
          <w:rFonts w:ascii="Times New Roman" w:hAnsi="Times New Roman" w:cs="Times New Roman"/>
          <w:noProof/>
        </w:rPr>
        <w:t xml:space="preserve">Suma care face obiectul acordului de punere în aplicare, structura comisioanelor pentru partenerul de implementare și intermediarii financiari și </w:t>
      </w:r>
      <w:r>
        <w:rPr>
          <w:rFonts w:ascii="Times New Roman" w:eastAsia="Times New Roman" w:hAnsi="Times New Roman" w:cs="Times New Roman"/>
          <w:noProof/>
          <w:color w:val="000000" w:themeColor="text1"/>
        </w:rPr>
        <w:t>cerința de a reinvesti orice restituiri în conformitate cu politica de investiții a mecanismului, cu excepția cazului în care acestea sunt utilizate pentru a rambursa împrumuturile din cadrul Mecanismului de redresare și reziliență.</w:t>
      </w:r>
    </w:p>
    <w:p w14:paraId="380EA116" w14:textId="77777777" w:rsidR="00C45D59" w:rsidRDefault="009B0962">
      <w:pPr>
        <w:pStyle w:val="P68B1DB1-LegalNumPar21"/>
        <w:jc w:val="both"/>
        <w:rPr>
          <w:noProof/>
        </w:rPr>
      </w:pPr>
      <w:r>
        <w:rPr>
          <w:noProof/>
        </w:rPr>
        <w:t>Cerințele de monitorizare, audit și control, inclusiv descrierea procedurilor partenerului de implementare care asigură prevenirea, depistarea și corectarea fraudei, a corupției și a conflictelor de interese.</w:t>
      </w:r>
    </w:p>
    <w:p w14:paraId="2446A84E" w14:textId="77777777" w:rsidR="00C45D59" w:rsidRDefault="009B0962">
      <w:pPr>
        <w:pStyle w:val="P68B1DB1-LegalNumPar21"/>
        <w:jc w:val="both"/>
        <w:rPr>
          <w:noProof/>
        </w:rPr>
      </w:pPr>
      <w:r>
        <w:rPr>
          <w:noProof/>
        </w:rPr>
        <w:t>Banca Elenă de Dezvoltare semnează acorduri de finanțare cu intermediarii financiari în conformitate cu cerințele-cheie care vor fi furnizate ca anexă la acordul de punere în aplicare. Cerințele-cheie ale acordurilor de finanțare includ toate cerințele în temeiul cărora funcționează mecanismul, inclusiv: </w:t>
      </w:r>
    </w:p>
    <w:p w14:paraId="45B36D9C" w14:textId="77777777" w:rsidR="00C45D59" w:rsidRDefault="009B0962">
      <w:pPr>
        <w:pStyle w:val="P68B1DB1-LegalNumPar220"/>
        <w:numPr>
          <w:ilvl w:val="1"/>
          <w:numId w:val="24"/>
        </w:numPr>
        <w:jc w:val="both"/>
        <w:rPr>
          <w:noProof/>
        </w:rPr>
      </w:pPr>
      <w:r>
        <w:rPr>
          <w:noProof/>
        </w:rPr>
        <w:t>Decizia finală privind emisiunile de credite este luată de intermediarii financiari în conformitate cu politicile și procedurile lor, independent de guvern.</w:t>
      </w:r>
    </w:p>
    <w:p w14:paraId="0F80D922" w14:textId="77777777" w:rsidR="00C45D59" w:rsidRDefault="009B0962">
      <w:pPr>
        <w:pStyle w:val="P68B1DB1-LegalNumPar220"/>
        <w:numPr>
          <w:ilvl w:val="1"/>
          <w:numId w:val="24"/>
        </w:numPr>
        <w:jc w:val="both"/>
        <w:rPr>
          <w:noProof/>
        </w:rPr>
      </w:pPr>
      <w:r>
        <w:rPr>
          <w:noProof/>
        </w:rPr>
        <w:t xml:space="preserve">Obligația intermediarilor financiari de a lua decizii în conformitate, </w:t>
      </w:r>
      <w:r>
        <w:rPr>
          <w:i/>
          <w:noProof/>
        </w:rPr>
        <w:t>mutatis mutandis</w:t>
      </w:r>
      <w:r>
        <w:rPr>
          <w:noProof/>
        </w:rPr>
        <w:t>, cu cerințele politicii de investiții menționate mai sus. </w:t>
      </w:r>
    </w:p>
    <w:p w14:paraId="5D16B090" w14:textId="77777777" w:rsidR="00C45D59" w:rsidRDefault="009B0962">
      <w:pPr>
        <w:pStyle w:val="P68B1DB1-LegalNumPar220"/>
        <w:numPr>
          <w:ilvl w:val="1"/>
          <w:numId w:val="24"/>
        </w:numPr>
        <w:jc w:val="both"/>
        <w:rPr>
          <w:noProof/>
        </w:rPr>
      </w:pPr>
      <w:r>
        <w:rPr>
          <w:noProof/>
        </w:rPr>
        <w:t>Cerințe de monitorizare, audit și control pentru intermediarii financiari, inclusiv:</w:t>
      </w:r>
    </w:p>
    <w:p w14:paraId="4A805B87" w14:textId="77777777" w:rsidR="00C45D59" w:rsidRDefault="009B0962">
      <w:pPr>
        <w:pStyle w:val="P68B1DB1-LegalNumPar220"/>
        <w:numPr>
          <w:ilvl w:val="2"/>
          <w:numId w:val="26"/>
        </w:numPr>
        <w:jc w:val="both"/>
        <w:rPr>
          <w:noProof/>
        </w:rPr>
      </w:pPr>
      <w:r>
        <w:rPr>
          <w:noProof/>
        </w:rPr>
        <w:t>Descrierea sistemului de monitorizare al intermediarilor financiari pentru raportarea cu privire la investițiile mobilizate.</w:t>
      </w:r>
    </w:p>
    <w:p w14:paraId="3944345E" w14:textId="77777777" w:rsidR="00C45D59" w:rsidRDefault="009B0962">
      <w:pPr>
        <w:pStyle w:val="P68B1DB1-LegalNumPar220"/>
        <w:numPr>
          <w:ilvl w:val="2"/>
          <w:numId w:val="26"/>
        </w:numPr>
        <w:jc w:val="both"/>
        <w:rPr>
          <w:noProof/>
        </w:rPr>
      </w:pPr>
      <w:r>
        <w:rPr>
          <w:noProof/>
        </w:rPr>
        <w:t xml:space="preserve">Descrierea procedurilor intermediarilor financiari care asigură prevenirea, detectarea și corectarea fraudei, a corupției și a conflictelor de interese. </w:t>
      </w:r>
    </w:p>
    <w:p w14:paraId="0899CA53" w14:textId="77777777" w:rsidR="00C45D59" w:rsidRDefault="009B0962">
      <w:pPr>
        <w:pStyle w:val="P68B1DB1-LegalNumPar220"/>
        <w:numPr>
          <w:ilvl w:val="2"/>
          <w:numId w:val="26"/>
        </w:numPr>
        <w:jc w:val="both"/>
        <w:rPr>
          <w:noProof/>
        </w:rPr>
      </w:pPr>
      <w:r>
        <w:rPr>
          <w:noProof/>
        </w:rPr>
        <w:t>Obligația de a verifica eligibilitatea fiecărei operațiuni în conformitate cu cerințele prevăzute în acordul de punere în aplicare înainte de a se angaja să finanțeze o operațiune.</w:t>
      </w:r>
    </w:p>
    <w:p w14:paraId="0EF39345" w14:textId="77777777" w:rsidR="00C45D59" w:rsidRDefault="009B0962">
      <w:pPr>
        <w:pStyle w:val="P68B1DB1-LegalNumPar220"/>
        <w:numPr>
          <w:ilvl w:val="2"/>
          <w:numId w:val="26"/>
        </w:numPr>
        <w:jc w:val="both"/>
        <w:rPr>
          <w:noProof/>
        </w:rPr>
      </w:pPr>
      <w:r>
        <w:rPr>
          <w:noProof/>
        </w:rPr>
        <w:t xml:space="preserve">Obligația de a efectua audituri ex post bazate pe riscuri, în conformitate cu un plan de audit al intermediarilor financiari. Aceste audituri verifică: că sistemele de control sunt eficace, inclusiv detectarea fraudei, a corupției și a conflictelor de interese; II) respectarea cerințelor privind obiectivul climatic; și iii) respectarea cerinței ca beneficiarii finali ai mecanismului să nu fi primit sprijin din partea altor instrumente ale Uniunii pentru a acoperi aceleași costuri. Auditurile verifică, de asemenea, legalitatea tranzacțiilor și respectarea condițiilor acordurilor aplicabile. </w:t>
      </w:r>
    </w:p>
    <w:p w14:paraId="6948A4A5" w14:textId="5382DE46" w:rsidR="00C45D59" w:rsidRDefault="009B0962">
      <w:pPr>
        <w:pStyle w:val="LegalNumPar"/>
        <w:ind w:left="709"/>
        <w:contextualSpacing/>
        <w:jc w:val="both"/>
        <w:rPr>
          <w:noProof/>
        </w:rPr>
        <w:sectPr w:rsidR="00C45D59">
          <w:headerReference w:type="even" r:id="rId66"/>
          <w:headerReference w:type="default" r:id="rId67"/>
          <w:footerReference w:type="even" r:id="rId68"/>
          <w:footerReference w:type="default" r:id="rId69"/>
          <w:headerReference w:type="first" r:id="rId70"/>
          <w:footerReference w:type="first" r:id="rId71"/>
          <w:pgSz w:w="11907" w:h="16839"/>
          <w:pgMar w:top="1134" w:right="1134" w:bottom="1134" w:left="1134" w:header="567" w:footer="567" w:gutter="0"/>
          <w:cols w:space="720"/>
          <w:docGrid w:linePitch="360"/>
        </w:sectPr>
      </w:pPr>
      <w:r>
        <w:rPr>
          <w:rStyle w:val="normaltextrun"/>
          <w:rFonts w:ascii="Times New Roman" w:hAnsi="Times New Roman" w:cs="Times New Roman"/>
          <w:noProof/>
          <w:sz w:val="24"/>
          <w:szCs w:val="24"/>
        </w:rPr>
        <w:t>Cerințe pentru investițiile în domeniul climei efectuate de partenerul de implementare: cel puțin 40 % din investițiile MRR în mecanismul „Upgrade My Home” contribuie la obiectivele legate de schimbările climatice în conformitate cu anexa VI la Regulamentul privind MRR</w:t>
      </w:r>
      <w:r>
        <w:rPr>
          <w:rStyle w:val="FootnoteReference"/>
          <w:rFonts w:ascii="Times New Roman" w:hAnsi="Times New Roman" w:cs="Times New Roman"/>
          <w:noProof/>
          <w:szCs w:val="24"/>
        </w:rPr>
        <w:footnoteReference w:id="2"/>
      </w:r>
      <w:r>
        <w:rPr>
          <w:rFonts w:ascii="Times New Roman" w:hAnsi="Times New Roman" w:cs="Times New Roman"/>
          <w:noProof/>
          <w:sz w:val="24"/>
          <w:szCs w:val="24"/>
        </w:rPr>
        <w:t>.</w:t>
      </w:r>
    </w:p>
    <w:p w14:paraId="22E14B4C" w14:textId="77777777" w:rsidR="00C45D59" w:rsidRDefault="009B0962">
      <w:pPr>
        <w:pStyle w:val="P68B1DB1-Normal6"/>
        <w:spacing w:before="120" w:after="120" w:line="240" w:lineRule="auto"/>
        <w:jc w:val="both"/>
        <w:rPr>
          <w:rFonts w:cs="Times New Roman"/>
          <w:bCs/>
          <w:noProof/>
        </w:rPr>
      </w:pPr>
      <w:r>
        <w:rPr>
          <w:noProof/>
        </w:rPr>
        <w:t xml:space="preserve">B.4. Jaloane, ținte, indicatori și calendarul de monitorizare și implementare aplicabile împrumutului </w:t>
      </w:r>
    </w:p>
    <w:p w14:paraId="38127807" w14:textId="77777777" w:rsidR="00C45D59" w:rsidRDefault="009B0962">
      <w:pPr>
        <w:pStyle w:val="P68B1DB1-Normal9"/>
        <w:keepNext/>
        <w:keepLines/>
        <w:spacing w:before="40" w:after="240" w:line="240" w:lineRule="auto"/>
        <w:jc w:val="both"/>
        <w:outlineLvl w:val="4"/>
        <w:rPr>
          <w:rFonts w:eastAsia="Times New Roman"/>
          <w:noProof/>
        </w:rPr>
      </w:pPr>
      <w:r>
        <w:rPr>
          <w:noProof/>
        </w:rPr>
        <w:t>Programul de actualizare a energiei „Upgrade My Home” (16401)</w:t>
      </w:r>
    </w:p>
    <w:tbl>
      <w:tblPr>
        <w:tblW w:w="158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2"/>
        <w:gridCol w:w="1945"/>
        <w:gridCol w:w="1134"/>
        <w:gridCol w:w="1276"/>
        <w:gridCol w:w="1278"/>
        <w:gridCol w:w="1200"/>
        <w:gridCol w:w="1080"/>
        <w:gridCol w:w="720"/>
        <w:gridCol w:w="960"/>
        <w:gridCol w:w="840"/>
        <w:gridCol w:w="4848"/>
      </w:tblGrid>
      <w:tr w:rsidR="00C45D59" w14:paraId="6C1F14B5" w14:textId="77777777">
        <w:trPr>
          <w:trHeight w:val="810"/>
          <w:tblHeader/>
          <w:jc w:val="center"/>
        </w:trPr>
        <w:tc>
          <w:tcPr>
            <w:tcW w:w="602" w:type="dxa"/>
            <w:vMerge w:val="restart"/>
            <w:shd w:val="clear" w:color="auto" w:fill="BDD7EE"/>
            <w:vAlign w:val="center"/>
            <w:hideMark/>
          </w:tcPr>
          <w:p w14:paraId="37938115" w14:textId="38E1E26E" w:rsidR="00C45D59" w:rsidRDefault="009B0962">
            <w:pPr>
              <w:pStyle w:val="P68B1DB1-Normal18"/>
              <w:spacing w:after="0" w:line="240" w:lineRule="auto"/>
              <w:jc w:val="center"/>
              <w:rPr>
                <w:rFonts w:ascii="Times New Roman" w:eastAsia="Times New Roman" w:hAnsi="Times New Roman" w:cs="Times New Roman"/>
                <w:noProof/>
                <w:szCs w:val="18"/>
              </w:rPr>
            </w:pPr>
            <w:r>
              <w:rPr>
                <w:rFonts w:ascii="Times New Roman" w:hAnsi="Times New Roman"/>
                <w:noProof/>
              </w:rPr>
              <w:t>N</w:t>
            </w:r>
            <w:r w:rsidR="009F5BD9">
              <w:rPr>
                <w:rFonts w:ascii="Times New Roman" w:hAnsi="Times New Roman"/>
                <w:noProof/>
              </w:rPr>
              <w:t>r.</w:t>
            </w:r>
            <w:r>
              <w:rPr>
                <w:rFonts w:ascii="Times New Roman" w:hAnsi="Times New Roman"/>
                <w:noProof/>
              </w:rPr>
              <w:br/>
            </w:r>
            <w:r w:rsidR="009F5BD9">
              <w:rPr>
                <w:rFonts w:ascii="Times New Roman" w:hAnsi="Times New Roman"/>
                <w:noProof/>
              </w:rPr>
              <w:t>crt</w:t>
            </w:r>
            <w:r>
              <w:rPr>
                <w:rFonts w:ascii="Times New Roman" w:hAnsi="Times New Roman" w:cs="Times New Roman"/>
                <w:noProof/>
                <w:szCs w:val="18"/>
              </w:rPr>
              <w:t>.</w:t>
            </w:r>
          </w:p>
        </w:tc>
        <w:tc>
          <w:tcPr>
            <w:tcW w:w="1945" w:type="dxa"/>
            <w:vMerge w:val="restart"/>
            <w:shd w:val="clear" w:color="auto" w:fill="BDD7EE"/>
            <w:vAlign w:val="center"/>
            <w:hideMark/>
          </w:tcPr>
          <w:p w14:paraId="30CBC29E" w14:textId="77777777" w:rsidR="00C45D59" w:rsidRDefault="009B0962">
            <w:pPr>
              <w:pStyle w:val="P68B1DB1-Normal15"/>
              <w:spacing w:after="0" w:line="240" w:lineRule="auto"/>
              <w:jc w:val="center"/>
              <w:rPr>
                <w:rFonts w:eastAsia="Times New Roman"/>
                <w:noProof/>
              </w:rPr>
            </w:pPr>
            <w:r>
              <w:rPr>
                <w:noProof/>
              </w:rPr>
              <w:t>Măsură conexă (reformă sau investiții)</w:t>
            </w:r>
          </w:p>
        </w:tc>
        <w:tc>
          <w:tcPr>
            <w:tcW w:w="1134" w:type="dxa"/>
            <w:vMerge w:val="restart"/>
            <w:shd w:val="clear" w:color="auto" w:fill="BDD7EE"/>
            <w:vAlign w:val="center"/>
            <w:hideMark/>
          </w:tcPr>
          <w:p w14:paraId="13F605E3" w14:textId="77777777" w:rsidR="00C45D59" w:rsidRDefault="009B0962">
            <w:pPr>
              <w:pStyle w:val="P68B1DB1-Normal15"/>
              <w:spacing w:after="0" w:line="240" w:lineRule="auto"/>
              <w:jc w:val="center"/>
              <w:rPr>
                <w:rFonts w:eastAsia="Times New Roman"/>
                <w:noProof/>
              </w:rPr>
            </w:pPr>
            <w:r>
              <w:rPr>
                <w:noProof/>
              </w:rPr>
              <w:t>Etapă/Obiectiv</w:t>
            </w:r>
          </w:p>
        </w:tc>
        <w:tc>
          <w:tcPr>
            <w:tcW w:w="1276" w:type="dxa"/>
            <w:vMerge w:val="restart"/>
            <w:shd w:val="clear" w:color="auto" w:fill="BDD7EE"/>
            <w:vAlign w:val="center"/>
            <w:hideMark/>
          </w:tcPr>
          <w:p w14:paraId="604C8AD0" w14:textId="397B4C26" w:rsidR="00C45D59" w:rsidRDefault="009F5BD9">
            <w:pPr>
              <w:pStyle w:val="P68B1DB1-Normal15"/>
              <w:spacing w:after="0" w:line="240" w:lineRule="auto"/>
              <w:jc w:val="center"/>
              <w:rPr>
                <w:rFonts w:eastAsia="Times New Roman"/>
                <w:noProof/>
              </w:rPr>
            </w:pPr>
            <w:r>
              <w:rPr>
                <w:noProof/>
              </w:rPr>
              <w:t>Denumire</w:t>
            </w:r>
          </w:p>
        </w:tc>
        <w:tc>
          <w:tcPr>
            <w:tcW w:w="1278" w:type="dxa"/>
            <w:vMerge w:val="restart"/>
            <w:shd w:val="clear" w:color="auto" w:fill="BDD7EE"/>
            <w:vAlign w:val="center"/>
            <w:hideMark/>
          </w:tcPr>
          <w:p w14:paraId="737633FD" w14:textId="77777777" w:rsidR="00C45D59" w:rsidRDefault="009B0962">
            <w:pPr>
              <w:pStyle w:val="P68B1DB1-Normal15"/>
              <w:spacing w:after="0" w:line="240" w:lineRule="auto"/>
              <w:jc w:val="center"/>
              <w:rPr>
                <w:rFonts w:eastAsia="Times New Roman"/>
                <w:noProof/>
              </w:rPr>
            </w:pPr>
            <w:r>
              <w:rPr>
                <w:noProof/>
              </w:rPr>
              <w:t>Indicatori calitativi (pentru obiectivele de etapă)</w:t>
            </w:r>
          </w:p>
        </w:tc>
        <w:tc>
          <w:tcPr>
            <w:tcW w:w="3000" w:type="dxa"/>
            <w:gridSpan w:val="3"/>
            <w:shd w:val="clear" w:color="auto" w:fill="BDD7EE"/>
            <w:vAlign w:val="center"/>
            <w:hideMark/>
          </w:tcPr>
          <w:p w14:paraId="18B5565E" w14:textId="77777777" w:rsidR="00C45D59" w:rsidRDefault="009B0962">
            <w:pPr>
              <w:pStyle w:val="P68B1DB1-Normal15"/>
              <w:spacing w:after="0" w:line="240" w:lineRule="auto"/>
              <w:jc w:val="center"/>
              <w:rPr>
                <w:rFonts w:eastAsia="Times New Roman"/>
                <w:noProof/>
              </w:rPr>
            </w:pPr>
            <w:r>
              <w:rPr>
                <w:noProof/>
              </w:rPr>
              <w:t>Indicatori cantitativi (pentru ținte)</w:t>
            </w:r>
          </w:p>
        </w:tc>
        <w:tc>
          <w:tcPr>
            <w:tcW w:w="1800" w:type="dxa"/>
            <w:gridSpan w:val="2"/>
            <w:shd w:val="clear" w:color="auto" w:fill="BDD7EE"/>
            <w:vAlign w:val="center"/>
            <w:hideMark/>
          </w:tcPr>
          <w:p w14:paraId="7FBF0586" w14:textId="77777777" w:rsidR="00C45D59" w:rsidRDefault="009B0962">
            <w:pPr>
              <w:pStyle w:val="P68B1DB1-Normal15"/>
              <w:spacing w:after="0" w:line="240" w:lineRule="auto"/>
              <w:jc w:val="center"/>
              <w:rPr>
                <w:rFonts w:eastAsia="Times New Roman"/>
                <w:noProof/>
              </w:rPr>
            </w:pPr>
            <w:r>
              <w:rPr>
                <w:noProof/>
              </w:rPr>
              <w:t>Calendar orientativ pentru finalizare</w:t>
            </w:r>
          </w:p>
        </w:tc>
        <w:tc>
          <w:tcPr>
            <w:tcW w:w="4848" w:type="dxa"/>
            <w:vMerge w:val="restart"/>
            <w:shd w:val="clear" w:color="auto" w:fill="BDD7EE"/>
            <w:vAlign w:val="center"/>
            <w:hideMark/>
          </w:tcPr>
          <w:p w14:paraId="5E43DA6B" w14:textId="77777777" w:rsidR="00C45D59" w:rsidRDefault="009B0962">
            <w:pPr>
              <w:pStyle w:val="P68B1DB1-Normal15"/>
              <w:spacing w:after="0" w:line="240" w:lineRule="auto"/>
              <w:jc w:val="center"/>
              <w:rPr>
                <w:rFonts w:eastAsia="Times New Roman"/>
                <w:noProof/>
              </w:rPr>
            </w:pPr>
            <w:r>
              <w:rPr>
                <w:noProof/>
              </w:rPr>
              <w:t>Descrierea fiecărui jalon și a fiecărei ținte</w:t>
            </w:r>
          </w:p>
        </w:tc>
      </w:tr>
      <w:tr w:rsidR="00C45D59" w14:paraId="2F4CC3AB" w14:textId="77777777">
        <w:trPr>
          <w:trHeight w:val="581"/>
          <w:tblHeader/>
          <w:jc w:val="center"/>
        </w:trPr>
        <w:tc>
          <w:tcPr>
            <w:tcW w:w="602" w:type="dxa"/>
            <w:vMerge/>
            <w:vAlign w:val="center"/>
            <w:hideMark/>
          </w:tcPr>
          <w:p w14:paraId="7F6A5BC9" w14:textId="77777777" w:rsidR="00C45D59" w:rsidRDefault="00C45D59">
            <w:pPr>
              <w:spacing w:after="0" w:line="240" w:lineRule="auto"/>
              <w:rPr>
                <w:rFonts w:ascii="Times New Roman" w:eastAsia="Times New Roman" w:hAnsi="Times New Roman" w:cs="Times New Roman"/>
                <w:b/>
                <w:bCs/>
                <w:noProof/>
                <w:sz w:val="18"/>
                <w:szCs w:val="18"/>
              </w:rPr>
            </w:pPr>
          </w:p>
        </w:tc>
        <w:tc>
          <w:tcPr>
            <w:tcW w:w="1945" w:type="dxa"/>
            <w:vMerge/>
            <w:vAlign w:val="center"/>
            <w:hideMark/>
          </w:tcPr>
          <w:p w14:paraId="2E502DEC" w14:textId="77777777" w:rsidR="00C45D59" w:rsidRDefault="00C45D59">
            <w:pPr>
              <w:spacing w:after="0" w:line="240" w:lineRule="auto"/>
              <w:rPr>
                <w:rFonts w:ascii="Times New Roman" w:eastAsia="Times New Roman" w:hAnsi="Times New Roman" w:cs="Times New Roman"/>
                <w:b/>
                <w:bCs/>
                <w:noProof/>
                <w:sz w:val="18"/>
                <w:szCs w:val="18"/>
              </w:rPr>
            </w:pPr>
          </w:p>
        </w:tc>
        <w:tc>
          <w:tcPr>
            <w:tcW w:w="1134" w:type="dxa"/>
            <w:vMerge/>
            <w:vAlign w:val="center"/>
            <w:hideMark/>
          </w:tcPr>
          <w:p w14:paraId="54FE92F8" w14:textId="77777777" w:rsidR="00C45D59" w:rsidRDefault="00C45D59">
            <w:pPr>
              <w:spacing w:after="0" w:line="240" w:lineRule="auto"/>
              <w:rPr>
                <w:rFonts w:ascii="Times New Roman" w:eastAsia="Times New Roman" w:hAnsi="Times New Roman" w:cs="Times New Roman"/>
                <w:b/>
                <w:bCs/>
                <w:noProof/>
                <w:sz w:val="18"/>
                <w:szCs w:val="18"/>
              </w:rPr>
            </w:pPr>
          </w:p>
        </w:tc>
        <w:tc>
          <w:tcPr>
            <w:tcW w:w="1276" w:type="dxa"/>
            <w:vMerge/>
            <w:vAlign w:val="center"/>
            <w:hideMark/>
          </w:tcPr>
          <w:p w14:paraId="455924F0" w14:textId="77777777" w:rsidR="00C45D59" w:rsidRDefault="00C45D59">
            <w:pPr>
              <w:spacing w:after="0" w:line="240" w:lineRule="auto"/>
              <w:rPr>
                <w:rFonts w:ascii="Times New Roman" w:eastAsia="Times New Roman" w:hAnsi="Times New Roman" w:cs="Times New Roman"/>
                <w:b/>
                <w:bCs/>
                <w:noProof/>
                <w:sz w:val="18"/>
                <w:szCs w:val="18"/>
              </w:rPr>
            </w:pPr>
          </w:p>
        </w:tc>
        <w:tc>
          <w:tcPr>
            <w:tcW w:w="1278" w:type="dxa"/>
            <w:vMerge/>
            <w:vAlign w:val="center"/>
            <w:hideMark/>
          </w:tcPr>
          <w:p w14:paraId="07EAD3CC" w14:textId="77777777" w:rsidR="00C45D59" w:rsidRDefault="00C45D59">
            <w:pPr>
              <w:spacing w:after="0" w:line="240" w:lineRule="auto"/>
              <w:rPr>
                <w:rFonts w:ascii="Times New Roman" w:eastAsia="Times New Roman" w:hAnsi="Times New Roman" w:cs="Times New Roman"/>
                <w:b/>
                <w:bCs/>
                <w:noProof/>
                <w:sz w:val="18"/>
                <w:szCs w:val="18"/>
              </w:rPr>
            </w:pPr>
          </w:p>
        </w:tc>
        <w:tc>
          <w:tcPr>
            <w:tcW w:w="1200" w:type="dxa"/>
            <w:shd w:val="clear" w:color="auto" w:fill="BDD7EE"/>
            <w:vAlign w:val="center"/>
            <w:hideMark/>
          </w:tcPr>
          <w:p w14:paraId="56CBECF5" w14:textId="77777777" w:rsidR="00C45D59" w:rsidRDefault="009B0962">
            <w:pPr>
              <w:pStyle w:val="P68B1DB1-Normal10"/>
              <w:spacing w:after="0" w:line="240" w:lineRule="auto"/>
              <w:jc w:val="center"/>
              <w:rPr>
                <w:rFonts w:eastAsia="Times New Roman" w:cs="Times New Roman"/>
                <w:noProof/>
                <w:szCs w:val="18"/>
              </w:rPr>
            </w:pPr>
            <w:r>
              <w:rPr>
                <w:noProof/>
              </w:rPr>
              <w:t>Unitatea de măsură</w:t>
            </w:r>
          </w:p>
        </w:tc>
        <w:tc>
          <w:tcPr>
            <w:tcW w:w="1080" w:type="dxa"/>
            <w:shd w:val="clear" w:color="auto" w:fill="BDD7EE"/>
            <w:vAlign w:val="center"/>
            <w:hideMark/>
          </w:tcPr>
          <w:p w14:paraId="684E6784" w14:textId="77777777" w:rsidR="00C45D59" w:rsidRDefault="009B0962">
            <w:pPr>
              <w:pStyle w:val="P68B1DB1-Normal10"/>
              <w:spacing w:after="0" w:line="240" w:lineRule="auto"/>
              <w:jc w:val="center"/>
              <w:rPr>
                <w:rFonts w:eastAsia="Times New Roman" w:cs="Times New Roman"/>
                <w:noProof/>
                <w:szCs w:val="18"/>
              </w:rPr>
            </w:pPr>
            <w:r>
              <w:rPr>
                <w:noProof/>
              </w:rPr>
              <w:t>Situația de referință</w:t>
            </w:r>
          </w:p>
        </w:tc>
        <w:tc>
          <w:tcPr>
            <w:tcW w:w="720" w:type="dxa"/>
            <w:shd w:val="clear" w:color="auto" w:fill="BDD7EE"/>
            <w:vAlign w:val="center"/>
            <w:hideMark/>
          </w:tcPr>
          <w:p w14:paraId="22E61E1A" w14:textId="77777777" w:rsidR="00C45D59" w:rsidRDefault="009B0962">
            <w:pPr>
              <w:pStyle w:val="P68B1DB1-Normal10"/>
              <w:spacing w:after="0" w:line="240" w:lineRule="auto"/>
              <w:jc w:val="center"/>
              <w:rPr>
                <w:rFonts w:eastAsia="Times New Roman" w:cs="Times New Roman"/>
                <w:noProof/>
                <w:szCs w:val="18"/>
              </w:rPr>
            </w:pPr>
            <w:r>
              <w:rPr>
                <w:noProof/>
              </w:rPr>
              <w:t>Obiectiv</w:t>
            </w:r>
          </w:p>
        </w:tc>
        <w:tc>
          <w:tcPr>
            <w:tcW w:w="960" w:type="dxa"/>
            <w:shd w:val="clear" w:color="auto" w:fill="BDD7EE"/>
            <w:vAlign w:val="center"/>
            <w:hideMark/>
          </w:tcPr>
          <w:p w14:paraId="711D9B8A" w14:textId="77777777" w:rsidR="00C45D59" w:rsidRDefault="009B0962">
            <w:pPr>
              <w:pStyle w:val="P68B1DB1-Normal10"/>
              <w:spacing w:after="0" w:line="240" w:lineRule="auto"/>
              <w:jc w:val="center"/>
              <w:rPr>
                <w:rFonts w:eastAsia="Times New Roman" w:cs="Times New Roman"/>
                <w:noProof/>
                <w:szCs w:val="18"/>
              </w:rPr>
            </w:pPr>
            <w:r>
              <w:rPr>
                <w:noProof/>
              </w:rPr>
              <w:t>Trimestru</w:t>
            </w:r>
          </w:p>
        </w:tc>
        <w:tc>
          <w:tcPr>
            <w:tcW w:w="840" w:type="dxa"/>
            <w:shd w:val="clear" w:color="auto" w:fill="BDD7EE"/>
            <w:vAlign w:val="center"/>
            <w:hideMark/>
          </w:tcPr>
          <w:p w14:paraId="17E50402" w14:textId="77777777" w:rsidR="00C45D59" w:rsidRDefault="009B0962">
            <w:pPr>
              <w:pStyle w:val="P68B1DB1-Normal10"/>
              <w:spacing w:after="0" w:line="240" w:lineRule="auto"/>
              <w:jc w:val="center"/>
              <w:rPr>
                <w:rFonts w:eastAsia="Times New Roman" w:cs="Times New Roman"/>
                <w:noProof/>
                <w:szCs w:val="18"/>
              </w:rPr>
            </w:pPr>
            <w:r>
              <w:rPr>
                <w:noProof/>
              </w:rPr>
              <w:t>Anul</w:t>
            </w:r>
          </w:p>
        </w:tc>
        <w:tc>
          <w:tcPr>
            <w:tcW w:w="4848" w:type="dxa"/>
            <w:vMerge/>
            <w:vAlign w:val="center"/>
            <w:hideMark/>
          </w:tcPr>
          <w:p w14:paraId="47D77267" w14:textId="77777777" w:rsidR="00C45D59" w:rsidRDefault="00C45D59">
            <w:pPr>
              <w:spacing w:after="0" w:line="240" w:lineRule="auto"/>
              <w:rPr>
                <w:rFonts w:ascii="Times New Roman" w:eastAsia="Times New Roman" w:hAnsi="Times New Roman" w:cs="Times New Roman"/>
                <w:b/>
                <w:bCs/>
                <w:noProof/>
                <w:sz w:val="18"/>
                <w:szCs w:val="18"/>
              </w:rPr>
            </w:pPr>
          </w:p>
        </w:tc>
      </w:tr>
      <w:tr w:rsidR="00C45D59" w14:paraId="112ECA95" w14:textId="77777777">
        <w:trPr>
          <w:trHeight w:val="314"/>
          <w:jc w:val="center"/>
        </w:trPr>
        <w:tc>
          <w:tcPr>
            <w:tcW w:w="602" w:type="dxa"/>
            <w:shd w:val="clear" w:color="auto" w:fill="C6EFCE"/>
            <w:noWrap/>
          </w:tcPr>
          <w:p w14:paraId="2EFB4054" w14:textId="77777777" w:rsidR="00C45D59" w:rsidRDefault="009B0962">
            <w:pPr>
              <w:pStyle w:val="P68B1DB1-Normal12"/>
              <w:spacing w:after="0" w:line="240" w:lineRule="auto"/>
              <w:rPr>
                <w:rFonts w:eastAsia="Times New Roman"/>
                <w:noProof/>
              </w:rPr>
            </w:pPr>
            <w:r>
              <w:rPr>
                <w:noProof/>
              </w:rPr>
              <w:t>374</w:t>
            </w:r>
          </w:p>
        </w:tc>
        <w:tc>
          <w:tcPr>
            <w:tcW w:w="1945" w:type="dxa"/>
            <w:shd w:val="clear" w:color="auto" w:fill="C6EFCE"/>
            <w:noWrap/>
          </w:tcPr>
          <w:p w14:paraId="77DF9BBF" w14:textId="77777777" w:rsidR="00C45D59" w:rsidRDefault="009B0962">
            <w:pPr>
              <w:pStyle w:val="P68B1DB1-Normal12"/>
              <w:spacing w:after="0" w:line="240" w:lineRule="auto"/>
              <w:rPr>
                <w:rFonts w:eastAsia="Times New Roman"/>
                <w:noProof/>
              </w:rPr>
            </w:pPr>
            <w:r>
              <w:rPr>
                <w:noProof/>
              </w:rPr>
              <w:t>2-1.2. Renovare – 16401_ Programul de actualizare a energiei „Actualizarea casei mele”</w:t>
            </w:r>
          </w:p>
        </w:tc>
        <w:tc>
          <w:tcPr>
            <w:tcW w:w="1134" w:type="dxa"/>
            <w:shd w:val="clear" w:color="auto" w:fill="C6EFCE"/>
            <w:noWrap/>
          </w:tcPr>
          <w:p w14:paraId="5866E84B" w14:textId="77777777" w:rsidR="00C45D59" w:rsidRDefault="009B0962">
            <w:pPr>
              <w:pStyle w:val="P68B1DB1-Normal12"/>
              <w:spacing w:after="0" w:line="240" w:lineRule="auto"/>
              <w:rPr>
                <w:rFonts w:eastAsia="Times New Roman"/>
                <w:noProof/>
              </w:rPr>
            </w:pPr>
            <w:r>
              <w:rPr>
                <w:noProof/>
              </w:rPr>
              <w:t>Etapă</w:t>
            </w:r>
          </w:p>
        </w:tc>
        <w:tc>
          <w:tcPr>
            <w:tcW w:w="1276" w:type="dxa"/>
            <w:shd w:val="clear" w:color="auto" w:fill="C6EFCE"/>
            <w:noWrap/>
          </w:tcPr>
          <w:p w14:paraId="7EEA7376" w14:textId="77777777" w:rsidR="00C45D59" w:rsidRDefault="009B0962">
            <w:pPr>
              <w:pStyle w:val="P68B1DB1-Normal12"/>
              <w:spacing w:after="0" w:line="240" w:lineRule="auto"/>
              <w:rPr>
                <w:rFonts w:eastAsia="Times New Roman"/>
                <w:noProof/>
              </w:rPr>
            </w:pPr>
            <w:r>
              <w:rPr>
                <w:noProof/>
              </w:rPr>
              <w:t>Upgrade My Home – Implementing Agreement between the Hellenic Development Bank and the Ministry of Finance (Modernizarea acordului meu de punere în aplicare între Banca Elenă de Dezvoltare și Ministerul Finanțelor)</w:t>
            </w:r>
          </w:p>
        </w:tc>
        <w:tc>
          <w:tcPr>
            <w:tcW w:w="1278" w:type="dxa"/>
            <w:shd w:val="clear" w:color="auto" w:fill="C6EFCE"/>
            <w:noWrap/>
          </w:tcPr>
          <w:p w14:paraId="035C7D7E" w14:textId="77777777" w:rsidR="00C45D59" w:rsidRDefault="009B0962">
            <w:pPr>
              <w:pStyle w:val="P68B1DB1-Normal12"/>
              <w:spacing w:after="0" w:line="240" w:lineRule="auto"/>
              <w:rPr>
                <w:noProof/>
              </w:rPr>
            </w:pPr>
            <w:r>
              <w:rPr>
                <w:noProof/>
              </w:rPr>
              <w:t>Intrarea în vigoare a acordului de punere în aplicare</w:t>
            </w:r>
          </w:p>
        </w:tc>
        <w:tc>
          <w:tcPr>
            <w:tcW w:w="1200" w:type="dxa"/>
            <w:shd w:val="clear" w:color="auto" w:fill="C6EFCE"/>
            <w:noWrap/>
          </w:tcPr>
          <w:p w14:paraId="0E46F590" w14:textId="77777777" w:rsidR="00C45D59" w:rsidRDefault="00C45D59">
            <w:pPr>
              <w:spacing w:after="0" w:line="240" w:lineRule="auto"/>
              <w:rPr>
                <w:rFonts w:ascii="Times New Roman" w:hAnsi="Times New Roman" w:cs="Times New Roman"/>
                <w:noProof/>
                <w:color w:val="006100"/>
                <w:sz w:val="18"/>
                <w:szCs w:val="18"/>
              </w:rPr>
            </w:pPr>
          </w:p>
        </w:tc>
        <w:tc>
          <w:tcPr>
            <w:tcW w:w="1080" w:type="dxa"/>
            <w:shd w:val="clear" w:color="auto" w:fill="C6EFCE"/>
            <w:noWrap/>
          </w:tcPr>
          <w:p w14:paraId="53473DEC" w14:textId="77777777" w:rsidR="00C45D59" w:rsidRDefault="00C45D59">
            <w:pPr>
              <w:spacing w:after="0" w:line="240" w:lineRule="auto"/>
              <w:rPr>
                <w:rFonts w:ascii="Times New Roman" w:hAnsi="Times New Roman" w:cs="Times New Roman"/>
                <w:noProof/>
                <w:color w:val="006100"/>
                <w:sz w:val="18"/>
                <w:szCs w:val="18"/>
              </w:rPr>
            </w:pPr>
          </w:p>
        </w:tc>
        <w:tc>
          <w:tcPr>
            <w:tcW w:w="720" w:type="dxa"/>
            <w:shd w:val="clear" w:color="auto" w:fill="C6EFCE"/>
            <w:noWrap/>
          </w:tcPr>
          <w:p w14:paraId="6F1F71CE" w14:textId="77777777" w:rsidR="00C45D59" w:rsidRDefault="00C45D59">
            <w:pPr>
              <w:spacing w:after="0" w:line="240" w:lineRule="auto"/>
              <w:rPr>
                <w:rFonts w:ascii="Times New Roman" w:hAnsi="Times New Roman" w:cs="Times New Roman"/>
                <w:noProof/>
                <w:color w:val="006100"/>
                <w:sz w:val="18"/>
                <w:szCs w:val="18"/>
              </w:rPr>
            </w:pPr>
          </w:p>
        </w:tc>
        <w:tc>
          <w:tcPr>
            <w:tcW w:w="960" w:type="dxa"/>
            <w:shd w:val="clear" w:color="auto" w:fill="C6EFCE"/>
            <w:noWrap/>
          </w:tcPr>
          <w:p w14:paraId="245DDB55" w14:textId="77777777" w:rsidR="00C45D59" w:rsidRDefault="009B0962">
            <w:pPr>
              <w:pStyle w:val="P68B1DB1-Normal12"/>
              <w:spacing w:after="0" w:line="240" w:lineRule="auto"/>
              <w:rPr>
                <w:noProof/>
              </w:rPr>
            </w:pPr>
            <w:r>
              <w:rPr>
                <w:noProof/>
              </w:rPr>
              <w:t>Î4</w:t>
            </w:r>
          </w:p>
        </w:tc>
        <w:tc>
          <w:tcPr>
            <w:tcW w:w="840" w:type="dxa"/>
            <w:shd w:val="clear" w:color="auto" w:fill="C6EFCE"/>
            <w:noWrap/>
          </w:tcPr>
          <w:p w14:paraId="3FB40A25" w14:textId="77777777" w:rsidR="00C45D59" w:rsidRDefault="009B0962">
            <w:pPr>
              <w:pStyle w:val="P68B1DB1-Normal12"/>
              <w:spacing w:after="0" w:line="240" w:lineRule="auto"/>
              <w:rPr>
                <w:noProof/>
              </w:rPr>
            </w:pPr>
            <w:r>
              <w:rPr>
                <w:noProof/>
              </w:rPr>
              <w:t>2024</w:t>
            </w:r>
          </w:p>
        </w:tc>
        <w:tc>
          <w:tcPr>
            <w:tcW w:w="4848" w:type="dxa"/>
            <w:shd w:val="clear" w:color="auto" w:fill="C6EFCE"/>
            <w:noWrap/>
          </w:tcPr>
          <w:p w14:paraId="78F6051B" w14:textId="77777777" w:rsidR="00C45D59" w:rsidRDefault="009B0962">
            <w:pPr>
              <w:pStyle w:val="P68B1DB1-Normal12"/>
              <w:spacing w:after="0" w:line="240" w:lineRule="auto"/>
              <w:rPr>
                <w:noProof/>
              </w:rPr>
            </w:pPr>
            <w:r>
              <w:rPr>
                <w:noProof/>
              </w:rPr>
              <w:t>Intrarea în vigoare a acordului de punere în aplicare.</w:t>
            </w:r>
          </w:p>
        </w:tc>
      </w:tr>
      <w:tr w:rsidR="00C45D59" w14:paraId="10396878" w14:textId="77777777">
        <w:trPr>
          <w:trHeight w:val="314"/>
          <w:jc w:val="center"/>
        </w:trPr>
        <w:tc>
          <w:tcPr>
            <w:tcW w:w="602" w:type="dxa"/>
            <w:shd w:val="clear" w:color="auto" w:fill="C6EFCE"/>
            <w:noWrap/>
          </w:tcPr>
          <w:p w14:paraId="4B1E6DA7" w14:textId="77777777" w:rsidR="00C45D59" w:rsidRDefault="009B0962">
            <w:pPr>
              <w:pStyle w:val="P68B1DB1-Normal12"/>
              <w:spacing w:after="0" w:line="240" w:lineRule="auto"/>
              <w:rPr>
                <w:noProof/>
              </w:rPr>
            </w:pPr>
            <w:r>
              <w:rPr>
                <w:noProof/>
              </w:rPr>
              <w:t>376</w:t>
            </w:r>
          </w:p>
        </w:tc>
        <w:tc>
          <w:tcPr>
            <w:tcW w:w="1945" w:type="dxa"/>
            <w:shd w:val="clear" w:color="auto" w:fill="C6EFCE"/>
            <w:noWrap/>
          </w:tcPr>
          <w:p w14:paraId="696169FF" w14:textId="77777777" w:rsidR="00C45D59" w:rsidRDefault="009B0962">
            <w:pPr>
              <w:pStyle w:val="P68B1DB1-Normal12"/>
              <w:spacing w:after="0" w:line="240" w:lineRule="auto"/>
              <w:rPr>
                <w:noProof/>
              </w:rPr>
            </w:pPr>
            <w:r>
              <w:rPr>
                <w:noProof/>
              </w:rPr>
              <w:t>2-1.2. Renovare – 16401_ Programul de actualizare a energiei „Actualizarea casei mele”</w:t>
            </w:r>
          </w:p>
        </w:tc>
        <w:tc>
          <w:tcPr>
            <w:tcW w:w="1134" w:type="dxa"/>
            <w:shd w:val="clear" w:color="auto" w:fill="C6EFCE"/>
            <w:noWrap/>
          </w:tcPr>
          <w:p w14:paraId="592C3CAB" w14:textId="77777777" w:rsidR="00C45D59" w:rsidRDefault="009B0962">
            <w:pPr>
              <w:pStyle w:val="P68B1DB1-Normal23"/>
              <w:spacing w:after="0" w:line="240" w:lineRule="auto"/>
              <w:rPr>
                <w:noProof/>
              </w:rPr>
            </w:pPr>
            <w:r>
              <w:rPr>
                <w:noProof/>
              </w:rPr>
              <w:t>Țintă</w:t>
            </w:r>
          </w:p>
        </w:tc>
        <w:tc>
          <w:tcPr>
            <w:tcW w:w="1276" w:type="dxa"/>
            <w:shd w:val="clear" w:color="auto" w:fill="C6EFCE"/>
            <w:noWrap/>
          </w:tcPr>
          <w:p w14:paraId="11204E94" w14:textId="77777777" w:rsidR="00C45D59" w:rsidRDefault="009B0962">
            <w:pPr>
              <w:pStyle w:val="P68B1DB1-Normal12"/>
              <w:spacing w:after="0" w:line="240" w:lineRule="auto"/>
              <w:rPr>
                <w:rFonts w:eastAsia="Times New Roman"/>
                <w:noProof/>
              </w:rPr>
            </w:pPr>
            <w:r>
              <w:rPr>
                <w:noProof/>
              </w:rPr>
              <w:t>Upgrade My Home – Acorduri juridice semnate cu beneficiarii finali – 100 %</w:t>
            </w:r>
          </w:p>
        </w:tc>
        <w:tc>
          <w:tcPr>
            <w:tcW w:w="1278" w:type="dxa"/>
            <w:shd w:val="clear" w:color="auto" w:fill="C6EFCE"/>
            <w:noWrap/>
          </w:tcPr>
          <w:p w14:paraId="1F73512B"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200" w:type="dxa"/>
            <w:shd w:val="clear" w:color="auto" w:fill="C6EFCE"/>
            <w:noWrap/>
          </w:tcPr>
          <w:p w14:paraId="25FDAA73" w14:textId="77777777" w:rsidR="00C45D59" w:rsidRDefault="009B0962">
            <w:pPr>
              <w:pStyle w:val="P68B1DB1-Normal12"/>
              <w:spacing w:after="0" w:line="240" w:lineRule="auto"/>
              <w:rPr>
                <w:rFonts w:eastAsia="Times New Roman"/>
                <w:noProof/>
              </w:rPr>
            </w:pPr>
            <w:r>
              <w:rPr>
                <w:noProof/>
              </w:rPr>
              <w:t>Procentul (%)</w:t>
            </w:r>
          </w:p>
        </w:tc>
        <w:tc>
          <w:tcPr>
            <w:tcW w:w="1080" w:type="dxa"/>
            <w:shd w:val="clear" w:color="auto" w:fill="C6EFCE"/>
            <w:noWrap/>
          </w:tcPr>
          <w:p w14:paraId="0F80D0BA" w14:textId="77777777" w:rsidR="00C45D59" w:rsidRDefault="009B0962">
            <w:pPr>
              <w:pStyle w:val="P68B1DB1-Normal12"/>
              <w:spacing w:after="0" w:line="240" w:lineRule="auto"/>
              <w:rPr>
                <w:rFonts w:eastAsia="Times New Roman"/>
                <w:noProof/>
              </w:rPr>
            </w:pPr>
            <w:r>
              <w:rPr>
                <w:noProof/>
              </w:rPr>
              <w:t>0 %</w:t>
            </w:r>
          </w:p>
        </w:tc>
        <w:tc>
          <w:tcPr>
            <w:tcW w:w="720" w:type="dxa"/>
            <w:shd w:val="clear" w:color="auto" w:fill="C6EFCE"/>
            <w:noWrap/>
          </w:tcPr>
          <w:p w14:paraId="5BD425F8" w14:textId="77777777" w:rsidR="00C45D59" w:rsidRDefault="009B0962">
            <w:pPr>
              <w:pStyle w:val="P68B1DB1-Normal12"/>
              <w:spacing w:after="0" w:line="240" w:lineRule="auto"/>
              <w:rPr>
                <w:rFonts w:eastAsia="Times New Roman"/>
                <w:noProof/>
              </w:rPr>
            </w:pPr>
            <w:r>
              <w:rPr>
                <w:noProof/>
              </w:rPr>
              <w:t>100 %</w:t>
            </w:r>
          </w:p>
        </w:tc>
        <w:tc>
          <w:tcPr>
            <w:tcW w:w="960" w:type="dxa"/>
            <w:shd w:val="clear" w:color="auto" w:fill="C6EFCE"/>
            <w:noWrap/>
          </w:tcPr>
          <w:p w14:paraId="74C16FFC" w14:textId="152A3B54" w:rsidR="00C45D59" w:rsidRDefault="009B0962">
            <w:pPr>
              <w:pStyle w:val="P68B1DB1-Normal12"/>
              <w:spacing w:after="0" w:line="240" w:lineRule="auto"/>
              <w:rPr>
                <w:rFonts w:eastAsia="Times New Roman"/>
                <w:noProof/>
              </w:rPr>
            </w:pPr>
            <w:r>
              <w:rPr>
                <w:noProof/>
              </w:rPr>
              <w:t>Î1</w:t>
            </w:r>
          </w:p>
        </w:tc>
        <w:tc>
          <w:tcPr>
            <w:tcW w:w="840" w:type="dxa"/>
            <w:shd w:val="clear" w:color="auto" w:fill="C6EFCE"/>
            <w:noWrap/>
          </w:tcPr>
          <w:p w14:paraId="3BF20F08" w14:textId="77777777" w:rsidR="00C45D59" w:rsidRDefault="009B0962">
            <w:pPr>
              <w:pStyle w:val="P68B1DB1-Normal12"/>
              <w:spacing w:after="0" w:line="240" w:lineRule="auto"/>
              <w:rPr>
                <w:rFonts w:eastAsia="Times New Roman"/>
                <w:noProof/>
              </w:rPr>
            </w:pPr>
            <w:r>
              <w:rPr>
                <w:noProof/>
              </w:rPr>
              <w:t>2026</w:t>
            </w:r>
          </w:p>
        </w:tc>
        <w:tc>
          <w:tcPr>
            <w:tcW w:w="4848" w:type="dxa"/>
            <w:shd w:val="clear" w:color="auto" w:fill="C6EFCE"/>
            <w:noWrap/>
          </w:tcPr>
          <w:p w14:paraId="503782BE" w14:textId="77777777" w:rsidR="00C45D59" w:rsidRDefault="009B0962">
            <w:pPr>
              <w:pStyle w:val="P68B1DB1-Normal12"/>
              <w:spacing w:line="240" w:lineRule="auto"/>
              <w:jc w:val="both"/>
              <w:rPr>
                <w:noProof/>
              </w:rPr>
            </w:pPr>
            <w:r>
              <w:rPr>
                <w:noProof/>
              </w:rPr>
              <w:t xml:space="preserve">Intermediarii financiari trebuie să fi încheiat acorduri juridice de finanțare cu beneficiarii finali pentru o sumă necesară pentru a utiliza 100 % din investițiile MRR în mecanism (ținând seama de comisioanele de gestionare). </w:t>
            </w:r>
          </w:p>
          <w:p w14:paraId="7C9F8EE2" w14:textId="77777777" w:rsidR="00C45D59" w:rsidRDefault="009B0962">
            <w:pPr>
              <w:pStyle w:val="P68B1DB1-Normal12"/>
              <w:spacing w:after="0" w:line="240" w:lineRule="auto"/>
              <w:rPr>
                <w:rFonts w:eastAsia="Times New Roman"/>
                <w:noProof/>
              </w:rPr>
            </w:pPr>
            <w:r>
              <w:rPr>
                <w:noProof/>
              </w:rPr>
              <w:t>Cel puțin 40 % din această finanțare contribuie la obiectivele climatice utilizând metodologia din anexa VI la Regulamentul privind MRR.</w:t>
            </w:r>
          </w:p>
        </w:tc>
      </w:tr>
      <w:tr w:rsidR="00C45D59" w14:paraId="4091B565" w14:textId="77777777">
        <w:trPr>
          <w:trHeight w:val="314"/>
          <w:jc w:val="center"/>
        </w:trPr>
        <w:tc>
          <w:tcPr>
            <w:tcW w:w="602" w:type="dxa"/>
            <w:shd w:val="clear" w:color="auto" w:fill="C6EFCE"/>
            <w:noWrap/>
          </w:tcPr>
          <w:p w14:paraId="05697A85" w14:textId="77777777" w:rsidR="00C45D59" w:rsidRDefault="009B0962">
            <w:pPr>
              <w:pStyle w:val="P68B1DB1-Normal12"/>
              <w:spacing w:after="0" w:line="240" w:lineRule="auto"/>
              <w:rPr>
                <w:rFonts w:eastAsia="Times New Roman"/>
                <w:noProof/>
              </w:rPr>
            </w:pPr>
            <w:r>
              <w:rPr>
                <w:noProof/>
              </w:rPr>
              <w:t>377</w:t>
            </w:r>
          </w:p>
        </w:tc>
        <w:tc>
          <w:tcPr>
            <w:tcW w:w="1945" w:type="dxa"/>
            <w:shd w:val="clear" w:color="auto" w:fill="C6EFCE"/>
            <w:noWrap/>
          </w:tcPr>
          <w:p w14:paraId="3A8DF943" w14:textId="77777777" w:rsidR="00C45D59" w:rsidRDefault="009B0962">
            <w:pPr>
              <w:pStyle w:val="P68B1DB1-Normal12"/>
              <w:spacing w:after="0" w:line="240" w:lineRule="auto"/>
              <w:rPr>
                <w:noProof/>
              </w:rPr>
            </w:pPr>
            <w:r>
              <w:rPr>
                <w:noProof/>
              </w:rPr>
              <w:t>2-1.2. Renovare – 16401_ Programul de actualizare a energiei „Actualizarea casei mele”</w:t>
            </w:r>
          </w:p>
        </w:tc>
        <w:tc>
          <w:tcPr>
            <w:tcW w:w="1134" w:type="dxa"/>
            <w:shd w:val="clear" w:color="auto" w:fill="C6EFCE"/>
            <w:noWrap/>
          </w:tcPr>
          <w:p w14:paraId="73A05AF9" w14:textId="77777777" w:rsidR="00C45D59" w:rsidRDefault="009B0962">
            <w:pPr>
              <w:pStyle w:val="P68B1DB1-Normal12"/>
              <w:spacing w:after="0" w:line="240" w:lineRule="auto"/>
              <w:rPr>
                <w:rFonts w:eastAsia="Times New Roman"/>
                <w:noProof/>
              </w:rPr>
            </w:pPr>
            <w:r>
              <w:rPr>
                <w:noProof/>
              </w:rPr>
              <w:t>Etapă</w:t>
            </w:r>
          </w:p>
        </w:tc>
        <w:tc>
          <w:tcPr>
            <w:tcW w:w="1276" w:type="dxa"/>
            <w:shd w:val="clear" w:color="auto" w:fill="C6EFCE"/>
            <w:noWrap/>
          </w:tcPr>
          <w:p w14:paraId="69CF0847" w14:textId="77777777" w:rsidR="00C45D59" w:rsidRDefault="009B0962">
            <w:pPr>
              <w:pStyle w:val="P68B1DB1-Normal12"/>
              <w:spacing w:after="0" w:line="240" w:lineRule="auto"/>
              <w:rPr>
                <w:rFonts w:eastAsia="Times New Roman"/>
                <w:noProof/>
              </w:rPr>
            </w:pPr>
            <w:r>
              <w:rPr>
                <w:noProof/>
              </w:rPr>
              <w:t>Upgrade My Home – Ministerul Finanțelor a finalizat investiția</w:t>
            </w:r>
          </w:p>
        </w:tc>
        <w:tc>
          <w:tcPr>
            <w:tcW w:w="1278" w:type="dxa"/>
            <w:shd w:val="clear" w:color="auto" w:fill="C6EFCE"/>
            <w:noWrap/>
          </w:tcPr>
          <w:p w14:paraId="467D7584" w14:textId="77777777" w:rsidR="00C45D59" w:rsidRDefault="009B0962">
            <w:pPr>
              <w:pStyle w:val="P68B1DB1-Normal12"/>
              <w:spacing w:after="0" w:line="240" w:lineRule="auto"/>
              <w:rPr>
                <w:rFonts w:eastAsia="Times New Roman"/>
                <w:noProof/>
              </w:rPr>
            </w:pPr>
            <w:r>
              <w:rPr>
                <w:noProof/>
              </w:rPr>
              <w:t xml:space="preserve">Certificatul de transfer </w:t>
            </w:r>
          </w:p>
        </w:tc>
        <w:tc>
          <w:tcPr>
            <w:tcW w:w="1200" w:type="dxa"/>
            <w:shd w:val="clear" w:color="auto" w:fill="C6EFCE"/>
            <w:noWrap/>
          </w:tcPr>
          <w:p w14:paraId="56122E1B"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080" w:type="dxa"/>
            <w:shd w:val="clear" w:color="auto" w:fill="C6EFCE"/>
            <w:noWrap/>
          </w:tcPr>
          <w:p w14:paraId="127FA3E5"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720" w:type="dxa"/>
            <w:shd w:val="clear" w:color="auto" w:fill="C6EFCE"/>
            <w:noWrap/>
          </w:tcPr>
          <w:p w14:paraId="45BF32C0"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960" w:type="dxa"/>
            <w:shd w:val="clear" w:color="auto" w:fill="C6EFCE"/>
            <w:noWrap/>
          </w:tcPr>
          <w:p w14:paraId="530AD02F" w14:textId="1032CE20" w:rsidR="00C45D59" w:rsidRDefault="009B0962">
            <w:pPr>
              <w:pStyle w:val="P68B1DB1-Normal12"/>
              <w:spacing w:after="0" w:line="240" w:lineRule="auto"/>
              <w:rPr>
                <w:rFonts w:eastAsia="Times New Roman"/>
                <w:noProof/>
              </w:rPr>
            </w:pPr>
            <w:r>
              <w:rPr>
                <w:noProof/>
              </w:rPr>
              <w:t>Î1</w:t>
            </w:r>
          </w:p>
        </w:tc>
        <w:tc>
          <w:tcPr>
            <w:tcW w:w="840" w:type="dxa"/>
            <w:shd w:val="clear" w:color="auto" w:fill="C6EFCE"/>
            <w:noWrap/>
          </w:tcPr>
          <w:p w14:paraId="60E16C25" w14:textId="77777777" w:rsidR="00C45D59" w:rsidRDefault="009B0962">
            <w:pPr>
              <w:pStyle w:val="P68B1DB1-Normal12"/>
              <w:spacing w:after="0" w:line="240" w:lineRule="auto"/>
              <w:rPr>
                <w:rFonts w:eastAsia="Times New Roman"/>
                <w:noProof/>
              </w:rPr>
            </w:pPr>
            <w:r>
              <w:rPr>
                <w:noProof/>
              </w:rPr>
              <w:t>2026</w:t>
            </w:r>
          </w:p>
        </w:tc>
        <w:tc>
          <w:tcPr>
            <w:tcW w:w="4848" w:type="dxa"/>
            <w:shd w:val="clear" w:color="auto" w:fill="C6EFCE"/>
            <w:noWrap/>
          </w:tcPr>
          <w:p w14:paraId="42FEB5D0" w14:textId="0D82777B" w:rsidR="00C45D59" w:rsidRDefault="009B0962">
            <w:pPr>
              <w:pStyle w:val="P68B1DB1-Normal12"/>
              <w:spacing w:after="0" w:line="240" w:lineRule="auto"/>
              <w:rPr>
                <w:rFonts w:eastAsia="Times New Roman"/>
                <w:noProof/>
              </w:rPr>
            </w:pPr>
            <w:r>
              <w:rPr>
                <w:noProof/>
              </w:rPr>
              <w:t>Grecia transferă 62 000 000 EUR către Banca Elenă de Dezvoltare pentru instrument.</w:t>
            </w:r>
          </w:p>
        </w:tc>
      </w:tr>
    </w:tbl>
    <w:p w14:paraId="30E8AC73" w14:textId="77777777" w:rsidR="00C45D59" w:rsidRDefault="00C45D59">
      <w:pPr>
        <w:spacing w:before="120" w:after="120" w:line="240" w:lineRule="auto"/>
        <w:jc w:val="both"/>
        <w:rPr>
          <w:rFonts w:ascii="Times New Roman" w:hAnsi="Times New Roman" w:cs="Times New Roman"/>
          <w:noProof/>
          <w:sz w:val="24"/>
        </w:rPr>
        <w:sectPr w:rsidR="00C45D59">
          <w:headerReference w:type="even" r:id="rId72"/>
          <w:headerReference w:type="default" r:id="rId73"/>
          <w:footerReference w:type="even" r:id="rId74"/>
          <w:footerReference w:type="default" r:id="rId75"/>
          <w:headerReference w:type="first" r:id="rId76"/>
          <w:footerReference w:type="first" r:id="rId77"/>
          <w:pgSz w:w="16839" w:h="11907" w:orient="landscape"/>
          <w:pgMar w:top="1134" w:right="1134" w:bottom="1134" w:left="1134" w:header="567" w:footer="567" w:gutter="0"/>
          <w:cols w:space="720"/>
          <w:docGrid w:linePitch="360"/>
        </w:sectPr>
      </w:pPr>
    </w:p>
    <w:p w14:paraId="692C7990" w14:textId="77777777" w:rsidR="00C45D59" w:rsidRDefault="009B0962">
      <w:pPr>
        <w:pStyle w:val="P68B1DB1-Normal24"/>
        <w:spacing w:before="120" w:after="120" w:line="240" w:lineRule="auto"/>
        <w:jc w:val="both"/>
        <w:outlineLvl w:val="3"/>
        <w:rPr>
          <w:noProof/>
        </w:rPr>
      </w:pPr>
      <w:r>
        <w:rPr>
          <w:noProof/>
        </w:rPr>
        <w:t>C. COMPONENTA 1.3: REÎNCĂRCARE ȘI REALIMENTARE</w:t>
      </w:r>
    </w:p>
    <w:p w14:paraId="6A407595" w14:textId="77777777" w:rsidR="00C45D59" w:rsidRDefault="009B0962">
      <w:pPr>
        <w:pStyle w:val="P68B1DB1-Normal5"/>
        <w:spacing w:before="120" w:after="120" w:line="240" w:lineRule="auto"/>
        <w:jc w:val="both"/>
        <w:rPr>
          <w:rFonts w:cs="Times New Roman"/>
          <w:noProof/>
        </w:rPr>
      </w:pPr>
      <w:r>
        <w:rPr>
          <w:noProof/>
        </w:rPr>
        <w:t xml:space="preserve">Componenta de reîncărcare și realimentare a planului de redresare și reziliență al Greciei cuprinde reforme și investiții specifice menite să sporească mobilitatea durabilă, să consolideze creșterea economică, să creeze oportunități de angajare și să promoveze reziliența socială. Măsurile incluse în cadrul acestei componente sunt legate de strategia națională privind mobilitatea durabilă, sprijinind astfel punerea în aplicare a Planului național privind energia și clima (PNEC). Acestea contribuie, de asemenea, la tranziția verde prin acordarea de sprijin întreprinderilor care desfășoară operațiuni legate de economia cu emisii scăzute de dioxid de carbon și de reziliența la schimbările climatice. Componenta include, de asemenea, reforme menite să sprijine instalarea infrastructurii de electromobilitate și revizuirea serviciilor publice de transport urban și regional de călători. Componenta include, de asemenea, investiții pentru a sprijini dezvoltarea capacității de producție a materialelor legate de electromobilitate și înlocuirea autobuzelor și taxiurilor cu vehicule electrice pe bază de baterii. </w:t>
      </w:r>
    </w:p>
    <w:p w14:paraId="45EBC107" w14:textId="77777777" w:rsidR="00C45D59" w:rsidRDefault="009B0962">
      <w:pPr>
        <w:pStyle w:val="P68B1DB1-Normal5"/>
        <w:spacing w:before="120" w:after="120" w:line="240" w:lineRule="auto"/>
        <w:jc w:val="both"/>
        <w:rPr>
          <w:rFonts w:cs="Times New Roman"/>
          <w:noProof/>
        </w:rPr>
      </w:pPr>
      <w:r>
        <w:rPr>
          <w:noProof/>
        </w:rPr>
        <w:t>Componenta sprijină abordarea Recomandării specifice fiecărei țări nr. 3 din 2020 și a Recomandării specifice fiecărei țări nr. 2 din 2019 privind investițiile publice și private. Se preconizează că nicio măsură din cadrul acestei componente nu prejudiciază în mod semnificativ obiectivele de mediu în sensul articolului 17 din Regulamentul (UE) 2020/852, ținând seama de descrierea măsurilor și a etapelor de atenuare prevăzute în planul de redresare și reziliență în conformitate cu Orientările tehnice privind aplicarea principiului de „a nu prejudicia în mod semnificativ” (2021/C58/01).</w:t>
      </w:r>
    </w:p>
    <w:p w14:paraId="0058F29A" w14:textId="0311DF06" w:rsidR="00C45D59" w:rsidRDefault="009B0962">
      <w:pPr>
        <w:pStyle w:val="P68B1DB1-Normal25"/>
        <w:spacing w:before="120" w:after="120" w:line="240" w:lineRule="auto"/>
        <w:jc w:val="both"/>
        <w:rPr>
          <w:rFonts w:ascii="Times New Roman" w:hAnsi="Times New Roman" w:cs="Times New Roman"/>
          <w:b/>
          <w:bCs/>
          <w:i/>
          <w:iCs/>
          <w:noProof/>
          <w:color w:val="4F81BD"/>
          <w:sz w:val="24"/>
        </w:rPr>
      </w:pPr>
      <w:r>
        <w:rPr>
          <w:rFonts w:ascii="Times New Roman" w:hAnsi="Times New Roman"/>
          <w:b/>
          <w:noProof/>
          <w:sz w:val="24"/>
        </w:rPr>
        <w:t>C.1.</w:t>
      </w:r>
      <w:r w:rsidR="00CD2DBD">
        <w:rPr>
          <w:rFonts w:ascii="Times New Roman" w:hAnsi="Times New Roman"/>
          <w:b/>
          <w:noProof/>
          <w:sz w:val="24"/>
        </w:rPr>
        <w:t xml:space="preserve"> </w:t>
      </w:r>
      <w:r>
        <w:rPr>
          <w:rFonts w:ascii="Times New Roman" w:hAnsi="Times New Roman"/>
          <w:b/>
          <w:noProof/>
          <w:sz w:val="24"/>
        </w:rPr>
        <w:t>Descrierea reformelor și a investițiilor pentru sprijinul financiar nerambursabil</w:t>
      </w:r>
    </w:p>
    <w:p w14:paraId="6F5FB53D" w14:textId="77777777" w:rsidR="00C45D59" w:rsidRDefault="009B0962">
      <w:pPr>
        <w:pStyle w:val="P68B1DB1-Normal7"/>
        <w:spacing w:before="120" w:after="120" w:line="240" w:lineRule="auto"/>
        <w:jc w:val="both"/>
        <w:rPr>
          <w:rFonts w:cs="Times New Roman"/>
          <w:noProof/>
        </w:rPr>
      </w:pPr>
      <w:r>
        <w:rPr>
          <w:b/>
          <w:noProof/>
        </w:rPr>
        <w:t>Investiții:</w:t>
      </w:r>
      <w:r>
        <w:rPr>
          <w:noProof/>
        </w:rPr>
        <w:t xml:space="preserve"> Produc-E Green (numărul de identificare al măsurii: 16831)</w:t>
      </w:r>
    </w:p>
    <w:p w14:paraId="45B8E750" w14:textId="378BBE93" w:rsidR="00C45D59" w:rsidRDefault="009B0962">
      <w:pPr>
        <w:pStyle w:val="P68B1DB1-Normal7"/>
        <w:spacing w:before="120" w:after="120" w:line="240" w:lineRule="auto"/>
        <w:jc w:val="both"/>
        <w:rPr>
          <w:noProof/>
        </w:rPr>
      </w:pPr>
      <w:r>
        <w:rPr>
          <w:noProof/>
        </w:rPr>
        <w:t>Obiectivul acestei măsuri este de a contribui la economia cu emisii scăzute de dioxid de carbon și de a spori reziliența la schimbările climatice. Această măsură constă în dezvoltarea de unități industriale pentru tranziția verde și în sprijinirea înființării primei instalații de stocare a CO2 în Grecia.</w:t>
      </w:r>
    </w:p>
    <w:p w14:paraId="618EBD8E" w14:textId="77777777" w:rsidR="00C45D59" w:rsidRDefault="009B0962">
      <w:pPr>
        <w:pStyle w:val="P68B1DB1-Normal7"/>
        <w:spacing w:before="120" w:after="120" w:line="240" w:lineRule="auto"/>
        <w:jc w:val="both"/>
        <w:rPr>
          <w:rFonts w:cs="Times New Roman"/>
          <w:noProof/>
        </w:rPr>
      </w:pPr>
      <w:r>
        <w:rPr>
          <w:b/>
          <w:noProof/>
        </w:rPr>
        <w:t>Reformă:</w:t>
      </w:r>
      <w:r>
        <w:rPr>
          <w:noProof/>
        </w:rPr>
        <w:t xml:space="preserve"> Cadrul pentru instalarea și exploatarea infrastructurii de încărcare a vehiculelor electrice (identificatorul măsurii: 16281)</w:t>
      </w:r>
    </w:p>
    <w:p w14:paraId="3C0AD417" w14:textId="77777777" w:rsidR="00C45D59" w:rsidRDefault="009B0962">
      <w:pPr>
        <w:pStyle w:val="P68B1DB1-Normal7"/>
        <w:spacing w:before="120" w:after="120" w:line="240" w:lineRule="auto"/>
        <w:jc w:val="both"/>
        <w:rPr>
          <w:rFonts w:cs="Times New Roman"/>
          <w:noProof/>
        </w:rPr>
      </w:pPr>
      <w:r>
        <w:rPr>
          <w:noProof/>
        </w:rPr>
        <w:t>Reforma stabilește un cadru de reglementare cuprinzător pentru instalarea și exploatarea punctelor de încărcare pentru vehiculele electrice. Acest lucru va plasa Grecia pe calea îndeplinirii obiectivului PNEC privind o pondere de 30 % a vehiculelor electrice pe piața internă până în 2030. Până la sfârșitul anului 2022, Ministerul Mediului și Energiei adoptă cel puțin 300 planuri prezentate de autoritățile locale pentru instalarea de puncte de încărcare a vehiculelor electrice accesibile publicului. Punerea în aplicare a reformei se finalizează până la 31 decembrie 2022.</w:t>
      </w:r>
    </w:p>
    <w:p w14:paraId="06775897" w14:textId="77777777" w:rsidR="00C45D59" w:rsidRDefault="009B0962">
      <w:pPr>
        <w:pStyle w:val="P68B1DB1-Normal7"/>
        <w:spacing w:before="120" w:after="120" w:line="240" w:lineRule="auto"/>
        <w:jc w:val="both"/>
        <w:rPr>
          <w:rFonts w:cs="Times New Roman"/>
          <w:noProof/>
        </w:rPr>
      </w:pPr>
      <w:r>
        <w:rPr>
          <w:b/>
          <w:noProof/>
        </w:rPr>
        <w:t>Investiții:</w:t>
      </w:r>
      <w:r>
        <w:rPr>
          <w:noProof/>
        </w:rPr>
        <w:t xml:space="preserve"> Electromobilitate (identificatorul măsurii: 16924)</w:t>
      </w:r>
    </w:p>
    <w:p w14:paraId="2B8E515A" w14:textId="77777777" w:rsidR="00C45D59" w:rsidRDefault="009B0962">
      <w:pPr>
        <w:pStyle w:val="P68B1DB1-Normal5"/>
        <w:spacing w:before="120" w:after="120" w:line="240" w:lineRule="auto"/>
        <w:jc w:val="both"/>
        <w:rPr>
          <w:rFonts w:cs="Times New Roman"/>
          <w:b/>
          <w:bCs/>
          <w:noProof/>
          <w:szCs w:val="24"/>
          <w:u w:val="single"/>
        </w:rPr>
      </w:pPr>
      <w:r>
        <w:rPr>
          <w:noProof/>
        </w:rPr>
        <w:t>Obiectivul acestei măsuri este de a sprijini electromobilitatea. Măsura constă în noi autobuze electrice de transport public și într-o modificare a obligațiilor de serviciu public pentru societățile de transport cu autobuzul.</w:t>
      </w:r>
    </w:p>
    <w:p w14:paraId="0DD3C1E4" w14:textId="77777777" w:rsidR="00C45D59" w:rsidRDefault="00C45D59">
      <w:pPr>
        <w:spacing w:before="120" w:after="120" w:line="240" w:lineRule="auto"/>
        <w:ind w:left="709"/>
        <w:jc w:val="both"/>
        <w:rPr>
          <w:rFonts w:ascii="Times New Roman" w:hAnsi="Times New Roman" w:cs="Times New Roman"/>
          <w:noProof/>
          <w:sz w:val="24"/>
        </w:rPr>
        <w:sectPr w:rsidR="00C45D59">
          <w:headerReference w:type="even" r:id="rId78"/>
          <w:headerReference w:type="default" r:id="rId79"/>
          <w:footerReference w:type="even" r:id="rId80"/>
          <w:footerReference w:type="default" r:id="rId81"/>
          <w:headerReference w:type="first" r:id="rId82"/>
          <w:footerReference w:type="first" r:id="rId83"/>
          <w:pgSz w:w="11906" w:h="16838"/>
          <w:pgMar w:top="1134" w:right="1134" w:bottom="1134" w:left="1134" w:header="567" w:footer="567" w:gutter="0"/>
          <w:cols w:space="708"/>
          <w:docGrid w:linePitch="360"/>
        </w:sectPr>
      </w:pPr>
    </w:p>
    <w:p w14:paraId="0FC1F34A" w14:textId="77777777" w:rsidR="00C45D59" w:rsidRDefault="009B0962">
      <w:pPr>
        <w:pStyle w:val="P68B1DB1-Normal6"/>
        <w:keepNext/>
        <w:keepLines/>
        <w:spacing w:before="40" w:after="0" w:line="240" w:lineRule="auto"/>
        <w:jc w:val="both"/>
        <w:outlineLvl w:val="4"/>
        <w:rPr>
          <w:rFonts w:cs="Times New Roman"/>
          <w:bCs/>
          <w:noProof/>
        </w:rPr>
      </w:pPr>
      <w:r>
        <w:rPr>
          <w:noProof/>
        </w:rPr>
        <w:t>C.2. Jaloane, ținte, indicatori și calendarul de monitorizare și implementare aplicabile sprijinului financiar nerambursabil</w:t>
      </w:r>
    </w:p>
    <w:p w14:paraId="1E9F1ED9" w14:textId="77777777" w:rsidR="00C45D59" w:rsidRDefault="009B0962">
      <w:pPr>
        <w:pStyle w:val="P68B1DB1-Normal9"/>
        <w:keepNext/>
        <w:keepLines/>
        <w:spacing w:before="40" w:after="240" w:line="240" w:lineRule="auto"/>
        <w:jc w:val="both"/>
        <w:outlineLvl w:val="4"/>
        <w:rPr>
          <w:noProof/>
        </w:rPr>
      </w:pPr>
      <w:r>
        <w:rPr>
          <w:noProof/>
        </w:rPr>
        <w:t>Reforma cheie 3: Cadrul pentru instalarea și exploatarea infrastructurii de încărcare a vehiculelor electrice</w:t>
      </w:r>
    </w:p>
    <w:tbl>
      <w:tblPr>
        <w:tblW w:w="157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8"/>
        <w:gridCol w:w="1920"/>
        <w:gridCol w:w="1376"/>
        <w:gridCol w:w="1197"/>
        <w:gridCol w:w="1717"/>
        <w:gridCol w:w="1162"/>
        <w:gridCol w:w="1090"/>
        <w:gridCol w:w="866"/>
        <w:gridCol w:w="1006"/>
        <w:gridCol w:w="851"/>
        <w:gridCol w:w="4438"/>
      </w:tblGrid>
      <w:tr w:rsidR="00C45D59" w14:paraId="0A98342D" w14:textId="77777777">
        <w:trPr>
          <w:trHeight w:val="927"/>
          <w:tblHeader/>
          <w:jc w:val="center"/>
        </w:trPr>
        <w:tc>
          <w:tcPr>
            <w:tcW w:w="588" w:type="dxa"/>
            <w:vMerge w:val="restart"/>
            <w:shd w:val="clear" w:color="auto" w:fill="BDD7EE"/>
            <w:vAlign w:val="center"/>
            <w:hideMark/>
          </w:tcPr>
          <w:p w14:paraId="596F30D0" w14:textId="6DAE2706" w:rsidR="00C45D59" w:rsidRDefault="009B0962">
            <w:pPr>
              <w:pStyle w:val="P68B1DB1-Normal10"/>
              <w:spacing w:after="0" w:line="240" w:lineRule="auto"/>
              <w:jc w:val="center"/>
              <w:rPr>
                <w:rFonts w:eastAsia="Times New Roman" w:cs="Times New Roman"/>
                <w:bCs/>
                <w:noProof/>
                <w:szCs w:val="18"/>
              </w:rPr>
            </w:pPr>
            <w:r>
              <w:rPr>
                <w:noProof/>
              </w:rPr>
              <w:t>Nr</w:t>
            </w:r>
            <w:r w:rsidR="009F5BD9">
              <w:rPr>
                <w:noProof/>
              </w:rPr>
              <w:t>.</w:t>
            </w:r>
            <w:r>
              <w:rPr>
                <w:noProof/>
              </w:rPr>
              <w:br/>
            </w:r>
            <w:r w:rsidR="009F5BD9">
              <w:rPr>
                <w:noProof/>
              </w:rPr>
              <w:t>crt</w:t>
            </w:r>
            <w:r>
              <w:rPr>
                <w:noProof/>
              </w:rPr>
              <w:t>.</w:t>
            </w:r>
          </w:p>
        </w:tc>
        <w:tc>
          <w:tcPr>
            <w:tcW w:w="1920" w:type="dxa"/>
            <w:vMerge w:val="restart"/>
            <w:shd w:val="clear" w:color="auto" w:fill="BDD7EE"/>
            <w:vAlign w:val="center"/>
            <w:hideMark/>
          </w:tcPr>
          <w:p w14:paraId="19B08E6E" w14:textId="77777777" w:rsidR="00C45D59" w:rsidRDefault="009B0962">
            <w:pPr>
              <w:pStyle w:val="P68B1DB1-Normal10"/>
              <w:spacing w:after="0" w:line="240" w:lineRule="auto"/>
              <w:jc w:val="center"/>
              <w:rPr>
                <w:rFonts w:eastAsia="Times New Roman" w:cs="Times New Roman"/>
                <w:bCs/>
                <w:noProof/>
                <w:szCs w:val="18"/>
              </w:rPr>
            </w:pPr>
            <w:r>
              <w:rPr>
                <w:noProof/>
              </w:rPr>
              <w:t>Măsură conexă (reformă sau investiții)</w:t>
            </w:r>
          </w:p>
        </w:tc>
        <w:tc>
          <w:tcPr>
            <w:tcW w:w="1081" w:type="dxa"/>
            <w:vMerge w:val="restart"/>
            <w:shd w:val="clear" w:color="auto" w:fill="BDD7EE"/>
            <w:vAlign w:val="center"/>
            <w:hideMark/>
          </w:tcPr>
          <w:p w14:paraId="2554D6E6" w14:textId="77777777" w:rsidR="00C45D59" w:rsidRDefault="009B0962">
            <w:pPr>
              <w:pStyle w:val="P68B1DB1-Normal10"/>
              <w:spacing w:after="0" w:line="240" w:lineRule="auto"/>
              <w:jc w:val="center"/>
              <w:rPr>
                <w:rFonts w:eastAsia="Times New Roman" w:cs="Times New Roman"/>
                <w:bCs/>
                <w:noProof/>
                <w:szCs w:val="18"/>
              </w:rPr>
            </w:pPr>
            <w:r>
              <w:rPr>
                <w:noProof/>
              </w:rPr>
              <w:t>Etapă/Obiectiv</w:t>
            </w:r>
          </w:p>
        </w:tc>
        <w:tc>
          <w:tcPr>
            <w:tcW w:w="1197" w:type="dxa"/>
            <w:vMerge w:val="restart"/>
            <w:shd w:val="clear" w:color="auto" w:fill="BDD7EE"/>
            <w:vAlign w:val="center"/>
            <w:hideMark/>
          </w:tcPr>
          <w:p w14:paraId="42C4ED3A" w14:textId="3DCB95D4" w:rsidR="00C45D59" w:rsidRDefault="009F5BD9">
            <w:pPr>
              <w:pStyle w:val="P68B1DB1-Normal10"/>
              <w:spacing w:after="0" w:line="240" w:lineRule="auto"/>
              <w:jc w:val="center"/>
              <w:rPr>
                <w:rFonts w:eastAsia="Times New Roman" w:cs="Times New Roman"/>
                <w:bCs/>
                <w:noProof/>
                <w:szCs w:val="18"/>
              </w:rPr>
            </w:pPr>
            <w:r>
              <w:rPr>
                <w:noProof/>
              </w:rPr>
              <w:t>Denumire</w:t>
            </w:r>
          </w:p>
        </w:tc>
        <w:tc>
          <w:tcPr>
            <w:tcW w:w="1717" w:type="dxa"/>
            <w:vMerge w:val="restart"/>
            <w:shd w:val="clear" w:color="auto" w:fill="BDD7EE"/>
            <w:vAlign w:val="center"/>
            <w:hideMark/>
          </w:tcPr>
          <w:p w14:paraId="17CDA257" w14:textId="77777777" w:rsidR="00C45D59" w:rsidRDefault="009B0962">
            <w:pPr>
              <w:pStyle w:val="P68B1DB1-Normal10"/>
              <w:spacing w:after="0" w:line="240" w:lineRule="auto"/>
              <w:jc w:val="center"/>
              <w:rPr>
                <w:rFonts w:eastAsia="Times New Roman" w:cs="Times New Roman"/>
                <w:bCs/>
                <w:noProof/>
                <w:szCs w:val="18"/>
              </w:rPr>
            </w:pPr>
            <w:r>
              <w:rPr>
                <w:noProof/>
              </w:rPr>
              <w:t xml:space="preserve">Indicatori calitativi </w:t>
            </w:r>
            <w:r>
              <w:rPr>
                <w:noProof/>
              </w:rPr>
              <w:br/>
              <w:t>(pentru jaloane)</w:t>
            </w:r>
          </w:p>
        </w:tc>
        <w:tc>
          <w:tcPr>
            <w:tcW w:w="2961" w:type="dxa"/>
            <w:gridSpan w:val="3"/>
            <w:shd w:val="clear" w:color="auto" w:fill="BDD7EE"/>
            <w:vAlign w:val="center"/>
            <w:hideMark/>
          </w:tcPr>
          <w:p w14:paraId="46D99608" w14:textId="77777777" w:rsidR="00C45D59" w:rsidRDefault="009B0962">
            <w:pPr>
              <w:pStyle w:val="P68B1DB1-Normal10"/>
              <w:spacing w:after="0" w:line="240" w:lineRule="auto"/>
              <w:jc w:val="center"/>
              <w:rPr>
                <w:rFonts w:eastAsia="Times New Roman" w:cs="Times New Roman"/>
                <w:bCs/>
                <w:noProof/>
                <w:szCs w:val="18"/>
              </w:rPr>
            </w:pPr>
            <w:r>
              <w:rPr>
                <w:noProof/>
              </w:rPr>
              <w:t>Indicatori cantitativi (pentru ținte)</w:t>
            </w:r>
          </w:p>
        </w:tc>
        <w:tc>
          <w:tcPr>
            <w:tcW w:w="1843" w:type="dxa"/>
            <w:gridSpan w:val="2"/>
            <w:shd w:val="clear" w:color="auto" w:fill="BDD7EE"/>
            <w:vAlign w:val="center"/>
            <w:hideMark/>
          </w:tcPr>
          <w:p w14:paraId="245D941D" w14:textId="77777777" w:rsidR="00C45D59" w:rsidRDefault="009B0962">
            <w:pPr>
              <w:pStyle w:val="P68B1DB1-Normal10"/>
              <w:spacing w:after="0" w:line="240" w:lineRule="auto"/>
              <w:jc w:val="center"/>
              <w:rPr>
                <w:rFonts w:eastAsia="Times New Roman" w:cs="Times New Roman"/>
                <w:bCs/>
                <w:noProof/>
                <w:szCs w:val="18"/>
              </w:rPr>
            </w:pPr>
            <w:r>
              <w:rPr>
                <w:noProof/>
              </w:rPr>
              <w:t xml:space="preserve">Calendar orientativ pentru finalizare </w:t>
            </w:r>
          </w:p>
        </w:tc>
        <w:tc>
          <w:tcPr>
            <w:tcW w:w="4438" w:type="dxa"/>
            <w:vMerge w:val="restart"/>
            <w:shd w:val="clear" w:color="auto" w:fill="BDD7EE"/>
            <w:vAlign w:val="center"/>
            <w:hideMark/>
          </w:tcPr>
          <w:p w14:paraId="3507E2E5" w14:textId="77777777" w:rsidR="00C45D59" w:rsidRDefault="009B0962">
            <w:pPr>
              <w:pStyle w:val="P68B1DB1-Normal10"/>
              <w:spacing w:after="0" w:line="240" w:lineRule="auto"/>
              <w:jc w:val="center"/>
              <w:rPr>
                <w:rFonts w:eastAsia="Times New Roman" w:cs="Times New Roman"/>
                <w:bCs/>
                <w:noProof/>
                <w:szCs w:val="18"/>
              </w:rPr>
            </w:pPr>
            <w:r>
              <w:rPr>
                <w:noProof/>
              </w:rPr>
              <w:t>Descrierea fiecărui jalon și a fiecărei ținte</w:t>
            </w:r>
          </w:p>
        </w:tc>
      </w:tr>
      <w:tr w:rsidR="00C45D59" w14:paraId="0AB3B3E5" w14:textId="77777777">
        <w:trPr>
          <w:trHeight w:val="327"/>
          <w:jc w:val="center"/>
        </w:trPr>
        <w:tc>
          <w:tcPr>
            <w:tcW w:w="588" w:type="dxa"/>
            <w:vMerge/>
            <w:vAlign w:val="center"/>
            <w:hideMark/>
          </w:tcPr>
          <w:p w14:paraId="0C1652AE" w14:textId="77777777" w:rsidR="00C45D59" w:rsidRDefault="00C45D59">
            <w:pPr>
              <w:spacing w:after="0" w:line="240" w:lineRule="auto"/>
              <w:rPr>
                <w:rFonts w:ascii="Times New Roman" w:eastAsia="Times New Roman" w:hAnsi="Times New Roman" w:cs="Times New Roman"/>
                <w:b/>
                <w:bCs/>
                <w:noProof/>
                <w:sz w:val="18"/>
                <w:szCs w:val="18"/>
              </w:rPr>
            </w:pPr>
          </w:p>
        </w:tc>
        <w:tc>
          <w:tcPr>
            <w:tcW w:w="1920" w:type="dxa"/>
            <w:vMerge/>
            <w:vAlign w:val="center"/>
            <w:hideMark/>
          </w:tcPr>
          <w:p w14:paraId="4F6E96C1" w14:textId="77777777" w:rsidR="00C45D59" w:rsidRDefault="00C45D59">
            <w:pPr>
              <w:spacing w:after="0" w:line="240" w:lineRule="auto"/>
              <w:rPr>
                <w:rFonts w:ascii="Times New Roman" w:eastAsia="Times New Roman" w:hAnsi="Times New Roman" w:cs="Times New Roman"/>
                <w:b/>
                <w:bCs/>
                <w:noProof/>
                <w:sz w:val="18"/>
                <w:szCs w:val="18"/>
              </w:rPr>
            </w:pPr>
          </w:p>
        </w:tc>
        <w:tc>
          <w:tcPr>
            <w:tcW w:w="1081" w:type="dxa"/>
            <w:vMerge/>
            <w:vAlign w:val="center"/>
            <w:hideMark/>
          </w:tcPr>
          <w:p w14:paraId="609A5722" w14:textId="77777777" w:rsidR="00C45D59" w:rsidRDefault="00C45D59">
            <w:pPr>
              <w:spacing w:after="0" w:line="240" w:lineRule="auto"/>
              <w:rPr>
                <w:rFonts w:ascii="Times New Roman" w:eastAsia="Times New Roman" w:hAnsi="Times New Roman" w:cs="Times New Roman"/>
                <w:b/>
                <w:bCs/>
                <w:noProof/>
                <w:sz w:val="18"/>
                <w:szCs w:val="18"/>
              </w:rPr>
            </w:pPr>
          </w:p>
        </w:tc>
        <w:tc>
          <w:tcPr>
            <w:tcW w:w="1197" w:type="dxa"/>
            <w:vMerge/>
            <w:vAlign w:val="center"/>
            <w:hideMark/>
          </w:tcPr>
          <w:p w14:paraId="1C0D9835" w14:textId="77777777" w:rsidR="00C45D59" w:rsidRDefault="00C45D59">
            <w:pPr>
              <w:spacing w:after="0" w:line="240" w:lineRule="auto"/>
              <w:rPr>
                <w:rFonts w:ascii="Times New Roman" w:eastAsia="Times New Roman" w:hAnsi="Times New Roman" w:cs="Times New Roman"/>
                <w:b/>
                <w:bCs/>
                <w:noProof/>
                <w:sz w:val="18"/>
                <w:szCs w:val="18"/>
              </w:rPr>
            </w:pPr>
          </w:p>
        </w:tc>
        <w:tc>
          <w:tcPr>
            <w:tcW w:w="1717" w:type="dxa"/>
            <w:vMerge/>
            <w:vAlign w:val="center"/>
            <w:hideMark/>
          </w:tcPr>
          <w:p w14:paraId="5094EF76" w14:textId="77777777" w:rsidR="00C45D59" w:rsidRDefault="00C45D59">
            <w:pPr>
              <w:spacing w:after="0" w:line="240" w:lineRule="auto"/>
              <w:rPr>
                <w:rFonts w:ascii="Times New Roman" w:eastAsia="Times New Roman" w:hAnsi="Times New Roman" w:cs="Times New Roman"/>
                <w:b/>
                <w:bCs/>
                <w:noProof/>
                <w:sz w:val="18"/>
                <w:szCs w:val="18"/>
              </w:rPr>
            </w:pPr>
          </w:p>
        </w:tc>
        <w:tc>
          <w:tcPr>
            <w:tcW w:w="1162" w:type="dxa"/>
            <w:shd w:val="clear" w:color="auto" w:fill="BDD7EE"/>
            <w:vAlign w:val="center"/>
            <w:hideMark/>
          </w:tcPr>
          <w:p w14:paraId="7CB36345" w14:textId="77777777" w:rsidR="00C45D59" w:rsidRDefault="009B0962">
            <w:pPr>
              <w:pStyle w:val="P68B1DB1-Normal10"/>
              <w:spacing w:after="0" w:line="240" w:lineRule="auto"/>
              <w:jc w:val="center"/>
              <w:rPr>
                <w:rFonts w:eastAsia="Times New Roman" w:cs="Times New Roman"/>
                <w:bCs/>
                <w:noProof/>
                <w:szCs w:val="18"/>
              </w:rPr>
            </w:pPr>
            <w:r>
              <w:rPr>
                <w:noProof/>
              </w:rPr>
              <w:t>Unitatea de măsură</w:t>
            </w:r>
          </w:p>
        </w:tc>
        <w:tc>
          <w:tcPr>
            <w:tcW w:w="1090" w:type="dxa"/>
            <w:shd w:val="clear" w:color="auto" w:fill="BDD7EE"/>
            <w:vAlign w:val="center"/>
            <w:hideMark/>
          </w:tcPr>
          <w:p w14:paraId="08F4535E" w14:textId="77777777" w:rsidR="00C45D59" w:rsidRDefault="009B0962">
            <w:pPr>
              <w:pStyle w:val="P68B1DB1-Normal10"/>
              <w:spacing w:after="0" w:line="240" w:lineRule="auto"/>
              <w:jc w:val="center"/>
              <w:rPr>
                <w:rFonts w:eastAsia="Times New Roman" w:cs="Times New Roman"/>
                <w:bCs/>
                <w:noProof/>
                <w:szCs w:val="18"/>
              </w:rPr>
            </w:pPr>
            <w:r>
              <w:rPr>
                <w:noProof/>
              </w:rPr>
              <w:t xml:space="preserve">Situația de referință </w:t>
            </w:r>
          </w:p>
        </w:tc>
        <w:tc>
          <w:tcPr>
            <w:tcW w:w="709" w:type="dxa"/>
            <w:shd w:val="clear" w:color="auto" w:fill="BDD7EE"/>
            <w:vAlign w:val="center"/>
            <w:hideMark/>
          </w:tcPr>
          <w:p w14:paraId="202EF605" w14:textId="77777777" w:rsidR="00C45D59" w:rsidRDefault="009B0962">
            <w:pPr>
              <w:pStyle w:val="P68B1DB1-Normal10"/>
              <w:spacing w:after="0" w:line="240" w:lineRule="auto"/>
              <w:jc w:val="center"/>
              <w:rPr>
                <w:rFonts w:eastAsia="Times New Roman" w:cs="Times New Roman"/>
                <w:bCs/>
                <w:noProof/>
                <w:szCs w:val="18"/>
              </w:rPr>
            </w:pPr>
            <w:r>
              <w:rPr>
                <w:noProof/>
              </w:rPr>
              <w:t xml:space="preserve">Obiectiv </w:t>
            </w:r>
          </w:p>
        </w:tc>
        <w:tc>
          <w:tcPr>
            <w:tcW w:w="992" w:type="dxa"/>
            <w:shd w:val="clear" w:color="auto" w:fill="BDD7EE"/>
            <w:vAlign w:val="center"/>
            <w:hideMark/>
          </w:tcPr>
          <w:p w14:paraId="44A0F27C" w14:textId="77777777" w:rsidR="00C45D59" w:rsidRDefault="009B0962">
            <w:pPr>
              <w:pStyle w:val="P68B1DB1-Normal10"/>
              <w:spacing w:after="0" w:line="240" w:lineRule="auto"/>
              <w:jc w:val="center"/>
              <w:rPr>
                <w:rFonts w:eastAsia="Times New Roman" w:cs="Times New Roman"/>
                <w:bCs/>
                <w:noProof/>
                <w:szCs w:val="18"/>
              </w:rPr>
            </w:pPr>
            <w:r>
              <w:rPr>
                <w:noProof/>
              </w:rPr>
              <w:t>Trimestru</w:t>
            </w:r>
          </w:p>
        </w:tc>
        <w:tc>
          <w:tcPr>
            <w:tcW w:w="851" w:type="dxa"/>
            <w:shd w:val="clear" w:color="auto" w:fill="BDD7EE"/>
            <w:vAlign w:val="center"/>
            <w:hideMark/>
          </w:tcPr>
          <w:p w14:paraId="6D8362A0" w14:textId="77777777" w:rsidR="00C45D59" w:rsidRDefault="009B0962">
            <w:pPr>
              <w:pStyle w:val="P68B1DB1-Normal10"/>
              <w:spacing w:after="0" w:line="240" w:lineRule="auto"/>
              <w:jc w:val="center"/>
              <w:rPr>
                <w:rFonts w:eastAsia="Times New Roman" w:cs="Times New Roman"/>
                <w:bCs/>
                <w:noProof/>
                <w:szCs w:val="18"/>
              </w:rPr>
            </w:pPr>
            <w:r>
              <w:rPr>
                <w:noProof/>
              </w:rPr>
              <w:t>Anul</w:t>
            </w:r>
          </w:p>
        </w:tc>
        <w:tc>
          <w:tcPr>
            <w:tcW w:w="4438" w:type="dxa"/>
            <w:vMerge/>
            <w:vAlign w:val="center"/>
            <w:hideMark/>
          </w:tcPr>
          <w:p w14:paraId="646B7D53" w14:textId="77777777" w:rsidR="00C45D59" w:rsidRDefault="00C45D59">
            <w:pPr>
              <w:spacing w:after="0" w:line="240" w:lineRule="auto"/>
              <w:rPr>
                <w:rFonts w:ascii="Times New Roman" w:eastAsia="Times New Roman" w:hAnsi="Times New Roman" w:cs="Times New Roman"/>
                <w:b/>
                <w:bCs/>
                <w:noProof/>
                <w:sz w:val="18"/>
                <w:szCs w:val="18"/>
              </w:rPr>
            </w:pPr>
          </w:p>
        </w:tc>
      </w:tr>
      <w:tr w:rsidR="00C45D59" w14:paraId="671BDDAC" w14:textId="77777777">
        <w:trPr>
          <w:trHeight w:val="309"/>
          <w:jc w:val="center"/>
        </w:trPr>
        <w:tc>
          <w:tcPr>
            <w:tcW w:w="588" w:type="dxa"/>
            <w:shd w:val="clear" w:color="auto" w:fill="C6EFCE"/>
            <w:noWrap/>
          </w:tcPr>
          <w:p w14:paraId="2B090A65" w14:textId="77777777" w:rsidR="00C45D59" w:rsidRDefault="009B0962">
            <w:pPr>
              <w:pStyle w:val="P68B1DB1-Normal13"/>
              <w:spacing w:after="0" w:line="240" w:lineRule="auto"/>
              <w:rPr>
                <w:rFonts w:eastAsia="Times New Roman"/>
                <w:noProof/>
                <w:szCs w:val="18"/>
              </w:rPr>
            </w:pPr>
            <w:r>
              <w:rPr>
                <w:noProof/>
              </w:rPr>
              <w:t>42</w:t>
            </w:r>
          </w:p>
        </w:tc>
        <w:tc>
          <w:tcPr>
            <w:tcW w:w="1920" w:type="dxa"/>
            <w:shd w:val="clear" w:color="auto" w:fill="C6EFCE"/>
            <w:noWrap/>
          </w:tcPr>
          <w:p w14:paraId="14E092FF" w14:textId="77777777" w:rsidR="00C45D59" w:rsidRDefault="009B0962">
            <w:pPr>
              <w:pStyle w:val="P68B1DB1-Normal13"/>
              <w:spacing w:after="0" w:line="240" w:lineRule="auto"/>
              <w:rPr>
                <w:rFonts w:eastAsia="Times New Roman"/>
                <w:noProof/>
                <w:szCs w:val="18"/>
              </w:rPr>
            </w:pPr>
            <w:r>
              <w:rPr>
                <w:noProof/>
              </w:rPr>
              <w:t>3-1.3. Reîncărcarea și realimentarea – 16281_Cadru pentru instalarea și exploatarea infrastructurii de încărcare a vehiculelor electrice</w:t>
            </w:r>
          </w:p>
        </w:tc>
        <w:tc>
          <w:tcPr>
            <w:tcW w:w="1081" w:type="dxa"/>
            <w:shd w:val="clear" w:color="auto" w:fill="C6EFCE"/>
            <w:noWrap/>
          </w:tcPr>
          <w:p w14:paraId="0673ED00" w14:textId="77777777" w:rsidR="00C45D59" w:rsidRDefault="009B0962">
            <w:pPr>
              <w:pStyle w:val="P68B1DB1-Normal13"/>
              <w:spacing w:after="0" w:line="240" w:lineRule="auto"/>
              <w:rPr>
                <w:rFonts w:eastAsia="Times New Roman"/>
                <w:noProof/>
                <w:szCs w:val="18"/>
              </w:rPr>
            </w:pPr>
            <w:r>
              <w:rPr>
                <w:noProof/>
              </w:rPr>
              <w:t>Etapă</w:t>
            </w:r>
          </w:p>
        </w:tc>
        <w:tc>
          <w:tcPr>
            <w:tcW w:w="1197" w:type="dxa"/>
            <w:shd w:val="clear" w:color="auto" w:fill="C6EFCE"/>
            <w:noWrap/>
          </w:tcPr>
          <w:p w14:paraId="2857BA7F" w14:textId="77777777" w:rsidR="00C45D59" w:rsidRDefault="009B0962">
            <w:pPr>
              <w:pStyle w:val="P68B1DB1-Normal13"/>
              <w:spacing w:after="0" w:line="240" w:lineRule="auto"/>
              <w:rPr>
                <w:rFonts w:eastAsia="Times New Roman"/>
                <w:noProof/>
                <w:szCs w:val="18"/>
              </w:rPr>
            </w:pPr>
            <w:r>
              <w:rPr>
                <w:noProof/>
              </w:rPr>
              <w:t>Punctele de încărcare pentru vehiculele electrice – Intrarea în vigoare a cadrului juridic</w:t>
            </w:r>
          </w:p>
        </w:tc>
        <w:tc>
          <w:tcPr>
            <w:tcW w:w="1717" w:type="dxa"/>
            <w:shd w:val="clear" w:color="auto" w:fill="C6EFCE"/>
            <w:noWrap/>
          </w:tcPr>
          <w:p w14:paraId="489A5508" w14:textId="7A7CF522" w:rsidR="00C45D59" w:rsidRDefault="009B0962">
            <w:pPr>
              <w:pStyle w:val="P68B1DB1-Normal13"/>
              <w:spacing w:after="0" w:line="240" w:lineRule="auto"/>
              <w:rPr>
                <w:rFonts w:eastAsia="Times New Roman"/>
                <w:noProof/>
                <w:szCs w:val="18"/>
              </w:rPr>
            </w:pPr>
            <w:r>
              <w:rPr>
                <w:noProof/>
              </w:rPr>
              <w:t>Intrarea în vigoare a deciziilor ministeriale adoptate</w:t>
            </w:r>
          </w:p>
        </w:tc>
        <w:tc>
          <w:tcPr>
            <w:tcW w:w="1162" w:type="dxa"/>
            <w:shd w:val="clear" w:color="auto" w:fill="C6EFCE"/>
            <w:noWrap/>
          </w:tcPr>
          <w:p w14:paraId="63BCE4E7"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090" w:type="dxa"/>
            <w:shd w:val="clear" w:color="auto" w:fill="C6EFCE"/>
            <w:noWrap/>
          </w:tcPr>
          <w:p w14:paraId="60A65951"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709" w:type="dxa"/>
            <w:shd w:val="clear" w:color="auto" w:fill="C6EFCE"/>
            <w:noWrap/>
          </w:tcPr>
          <w:p w14:paraId="68BD6BBD"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992" w:type="dxa"/>
            <w:shd w:val="clear" w:color="auto" w:fill="C6EFCE"/>
            <w:noWrap/>
          </w:tcPr>
          <w:p w14:paraId="45DB2067" w14:textId="77777777" w:rsidR="00C45D59" w:rsidRDefault="009B0962">
            <w:pPr>
              <w:pStyle w:val="P68B1DB1-Normal13"/>
              <w:spacing w:after="0" w:line="240" w:lineRule="auto"/>
              <w:rPr>
                <w:rFonts w:eastAsia="Times New Roman"/>
                <w:noProof/>
                <w:szCs w:val="18"/>
              </w:rPr>
            </w:pPr>
            <w:r>
              <w:rPr>
                <w:noProof/>
              </w:rPr>
              <w:t>Î3</w:t>
            </w:r>
          </w:p>
        </w:tc>
        <w:tc>
          <w:tcPr>
            <w:tcW w:w="851" w:type="dxa"/>
            <w:shd w:val="clear" w:color="auto" w:fill="C6EFCE"/>
            <w:noWrap/>
          </w:tcPr>
          <w:p w14:paraId="0276FB18" w14:textId="77777777" w:rsidR="00C45D59" w:rsidRDefault="009B0962">
            <w:pPr>
              <w:pStyle w:val="P68B1DB1-Normal13"/>
              <w:spacing w:after="0" w:line="240" w:lineRule="auto"/>
              <w:rPr>
                <w:rFonts w:eastAsia="Times New Roman"/>
                <w:noProof/>
                <w:szCs w:val="18"/>
              </w:rPr>
            </w:pPr>
            <w:r>
              <w:rPr>
                <w:noProof/>
              </w:rPr>
              <w:t>2021</w:t>
            </w:r>
          </w:p>
        </w:tc>
        <w:tc>
          <w:tcPr>
            <w:tcW w:w="4438" w:type="dxa"/>
            <w:shd w:val="clear" w:color="auto" w:fill="C6EFCE"/>
            <w:noWrap/>
          </w:tcPr>
          <w:p w14:paraId="298B7BDF" w14:textId="77777777" w:rsidR="00C45D59" w:rsidRDefault="009B0962">
            <w:pPr>
              <w:pStyle w:val="P68B1DB1-Normal13"/>
              <w:spacing w:after="0" w:line="240" w:lineRule="auto"/>
              <w:rPr>
                <w:rFonts w:eastAsia="Times New Roman"/>
                <w:noProof/>
                <w:szCs w:val="18"/>
              </w:rPr>
            </w:pPr>
            <w:r>
              <w:rPr>
                <w:noProof/>
              </w:rPr>
              <w:t>Intrarea în vigoare a tuturor deciziilor ministeriale (MD) prevăzute în Legea nr. 4710/2020 și semnate de ministrul mediului și energiei; Ministrul Infrastructurii și Transporturilor, Ministrul Internelor și Ministrul Finanțelor, organizând piața vehiculelor electrice, cu accent pe piața serviciilor de încărcare și oferind stimulente fiscale pentru achiziționarea de vehicule electrice și instalarea infrastructurii de încărcare pentru vehiculele electrice.</w:t>
            </w:r>
          </w:p>
        </w:tc>
      </w:tr>
      <w:tr w:rsidR="00C45D59" w14:paraId="46080850" w14:textId="77777777">
        <w:trPr>
          <w:trHeight w:val="309"/>
          <w:jc w:val="center"/>
        </w:trPr>
        <w:tc>
          <w:tcPr>
            <w:tcW w:w="588" w:type="dxa"/>
            <w:shd w:val="clear" w:color="auto" w:fill="C6EFCE"/>
            <w:noWrap/>
          </w:tcPr>
          <w:p w14:paraId="33140127" w14:textId="77777777" w:rsidR="00C45D59" w:rsidRDefault="009B0962">
            <w:pPr>
              <w:pStyle w:val="P68B1DB1-Normal13"/>
              <w:spacing w:after="0" w:line="240" w:lineRule="auto"/>
              <w:rPr>
                <w:rFonts w:eastAsia="Times New Roman"/>
                <w:noProof/>
                <w:szCs w:val="18"/>
              </w:rPr>
            </w:pPr>
            <w:r>
              <w:rPr>
                <w:noProof/>
              </w:rPr>
              <w:t>43</w:t>
            </w:r>
          </w:p>
        </w:tc>
        <w:tc>
          <w:tcPr>
            <w:tcW w:w="1920" w:type="dxa"/>
            <w:shd w:val="clear" w:color="auto" w:fill="C6EFCE"/>
            <w:noWrap/>
          </w:tcPr>
          <w:p w14:paraId="217CFDB3" w14:textId="77777777" w:rsidR="00C45D59" w:rsidRDefault="009B0962">
            <w:pPr>
              <w:pStyle w:val="P68B1DB1-Normal13"/>
              <w:spacing w:after="0" w:line="240" w:lineRule="auto"/>
              <w:rPr>
                <w:rFonts w:eastAsia="Times New Roman"/>
                <w:noProof/>
                <w:szCs w:val="18"/>
              </w:rPr>
            </w:pPr>
            <w:r>
              <w:rPr>
                <w:noProof/>
              </w:rPr>
              <w:t>3-1.3. Reîncărcarea și realimentarea – 16281_Cadru pentru instalarea și exploatarea infrastructurii de încărcare a vehiculelor electrice</w:t>
            </w:r>
          </w:p>
        </w:tc>
        <w:tc>
          <w:tcPr>
            <w:tcW w:w="1081" w:type="dxa"/>
            <w:shd w:val="clear" w:color="auto" w:fill="C6EFCE"/>
            <w:noWrap/>
          </w:tcPr>
          <w:p w14:paraId="531D8F46" w14:textId="77777777" w:rsidR="00C45D59" w:rsidRDefault="009B0962">
            <w:pPr>
              <w:pStyle w:val="P68B1DB1-Normal13"/>
              <w:spacing w:after="0" w:line="240" w:lineRule="auto"/>
              <w:rPr>
                <w:rFonts w:eastAsia="Times New Roman"/>
                <w:noProof/>
                <w:szCs w:val="18"/>
              </w:rPr>
            </w:pPr>
            <w:r>
              <w:rPr>
                <w:noProof/>
              </w:rPr>
              <w:t>Țintă</w:t>
            </w:r>
          </w:p>
        </w:tc>
        <w:tc>
          <w:tcPr>
            <w:tcW w:w="1197" w:type="dxa"/>
            <w:shd w:val="clear" w:color="auto" w:fill="C6EFCE"/>
            <w:noWrap/>
          </w:tcPr>
          <w:p w14:paraId="300E42B4" w14:textId="77777777" w:rsidR="00C45D59" w:rsidRDefault="009B0962">
            <w:pPr>
              <w:pStyle w:val="P68B1DB1-Normal13"/>
              <w:spacing w:after="0" w:line="240" w:lineRule="auto"/>
              <w:rPr>
                <w:rFonts w:eastAsia="Times New Roman"/>
                <w:noProof/>
                <w:szCs w:val="18"/>
              </w:rPr>
            </w:pPr>
            <w:r>
              <w:rPr>
                <w:noProof/>
              </w:rPr>
              <w:t>Puncte de încărcare pentru vehicule electrice – planuri locale aprobate</w:t>
            </w:r>
          </w:p>
        </w:tc>
        <w:tc>
          <w:tcPr>
            <w:tcW w:w="1717" w:type="dxa"/>
            <w:shd w:val="clear" w:color="auto" w:fill="C6EFCE"/>
            <w:noWrap/>
          </w:tcPr>
          <w:p w14:paraId="2E21B7CD"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162" w:type="dxa"/>
            <w:shd w:val="clear" w:color="auto" w:fill="C6EFCE"/>
            <w:noWrap/>
          </w:tcPr>
          <w:p w14:paraId="5E950717" w14:textId="77777777" w:rsidR="00C45D59" w:rsidRDefault="009B0962">
            <w:pPr>
              <w:pStyle w:val="P68B1DB1-Normal13"/>
              <w:spacing w:after="0" w:line="240" w:lineRule="auto"/>
              <w:rPr>
                <w:rFonts w:eastAsia="Times New Roman"/>
                <w:noProof/>
                <w:szCs w:val="18"/>
              </w:rPr>
            </w:pPr>
            <w:r>
              <w:rPr>
                <w:noProof/>
              </w:rPr>
              <w:t>Numărul de planuri adoptate de Ministerul Mediului și Energiei</w:t>
            </w:r>
          </w:p>
        </w:tc>
        <w:tc>
          <w:tcPr>
            <w:tcW w:w="1090" w:type="dxa"/>
            <w:shd w:val="clear" w:color="auto" w:fill="C6EFCE"/>
            <w:noWrap/>
          </w:tcPr>
          <w:p w14:paraId="163DF279" w14:textId="77777777" w:rsidR="00C45D59" w:rsidRDefault="009B0962">
            <w:pPr>
              <w:pStyle w:val="P68B1DB1-Normal13"/>
              <w:spacing w:after="0" w:line="240" w:lineRule="auto"/>
              <w:rPr>
                <w:rFonts w:eastAsia="Times New Roman"/>
                <w:noProof/>
                <w:szCs w:val="18"/>
              </w:rPr>
            </w:pPr>
            <w:r>
              <w:rPr>
                <w:noProof/>
              </w:rPr>
              <w:t>0</w:t>
            </w:r>
          </w:p>
        </w:tc>
        <w:tc>
          <w:tcPr>
            <w:tcW w:w="709" w:type="dxa"/>
            <w:shd w:val="clear" w:color="auto" w:fill="C6EFCE"/>
            <w:noWrap/>
          </w:tcPr>
          <w:p w14:paraId="618BBBC2" w14:textId="77777777" w:rsidR="00C45D59" w:rsidRDefault="009B0962">
            <w:pPr>
              <w:pStyle w:val="P68B1DB1-Normal13"/>
              <w:spacing w:after="0" w:line="240" w:lineRule="auto"/>
              <w:rPr>
                <w:rFonts w:eastAsia="Times New Roman"/>
                <w:noProof/>
                <w:szCs w:val="18"/>
              </w:rPr>
            </w:pPr>
            <w:r>
              <w:rPr>
                <w:noProof/>
              </w:rPr>
              <w:t>300</w:t>
            </w:r>
          </w:p>
        </w:tc>
        <w:tc>
          <w:tcPr>
            <w:tcW w:w="992" w:type="dxa"/>
            <w:shd w:val="clear" w:color="auto" w:fill="C6EFCE"/>
            <w:noWrap/>
          </w:tcPr>
          <w:p w14:paraId="48AEFD55" w14:textId="77777777" w:rsidR="00C45D59" w:rsidRDefault="009B0962">
            <w:pPr>
              <w:pStyle w:val="P68B1DB1-Normal13"/>
              <w:spacing w:after="0" w:line="240" w:lineRule="auto"/>
              <w:rPr>
                <w:rFonts w:eastAsia="Times New Roman"/>
                <w:noProof/>
                <w:szCs w:val="18"/>
              </w:rPr>
            </w:pPr>
            <w:r>
              <w:rPr>
                <w:noProof/>
              </w:rPr>
              <w:t>Î4</w:t>
            </w:r>
          </w:p>
        </w:tc>
        <w:tc>
          <w:tcPr>
            <w:tcW w:w="851" w:type="dxa"/>
            <w:shd w:val="clear" w:color="auto" w:fill="C6EFCE"/>
            <w:noWrap/>
          </w:tcPr>
          <w:p w14:paraId="7C398961" w14:textId="77777777" w:rsidR="00C45D59" w:rsidRDefault="009B0962">
            <w:pPr>
              <w:pStyle w:val="P68B1DB1-Normal13"/>
              <w:spacing w:after="0" w:line="240" w:lineRule="auto"/>
              <w:rPr>
                <w:rFonts w:eastAsia="Times New Roman"/>
                <w:noProof/>
                <w:szCs w:val="18"/>
              </w:rPr>
            </w:pPr>
            <w:r>
              <w:rPr>
                <w:noProof/>
              </w:rPr>
              <w:t>2022</w:t>
            </w:r>
          </w:p>
        </w:tc>
        <w:tc>
          <w:tcPr>
            <w:tcW w:w="4438" w:type="dxa"/>
            <w:shd w:val="clear" w:color="auto" w:fill="C6EFCE"/>
            <w:noWrap/>
          </w:tcPr>
          <w:p w14:paraId="465856D5" w14:textId="77777777" w:rsidR="00C45D59" w:rsidRDefault="009B0962">
            <w:pPr>
              <w:pStyle w:val="P68B1DB1-Normal13"/>
              <w:spacing w:after="0" w:line="240" w:lineRule="auto"/>
              <w:rPr>
                <w:rFonts w:eastAsia="Times New Roman"/>
                <w:noProof/>
                <w:szCs w:val="18"/>
              </w:rPr>
            </w:pPr>
            <w:r>
              <w:rPr>
                <w:noProof/>
              </w:rPr>
              <w:t>Adoptarea de către Ministerul Mediului și Energiei a cel puțin 300 de planuri prezentate de autoritățile locale pentru instalarea de puncte de încărcare a vehiculelor electrice accesibile publicului.</w:t>
            </w:r>
          </w:p>
        </w:tc>
      </w:tr>
    </w:tbl>
    <w:p w14:paraId="3D33C439" w14:textId="77777777" w:rsidR="00C45D59" w:rsidRDefault="00C45D59">
      <w:pPr>
        <w:spacing w:before="120" w:after="120" w:line="240" w:lineRule="auto"/>
        <w:ind w:left="709"/>
        <w:jc w:val="both"/>
        <w:rPr>
          <w:rFonts w:ascii="Times New Roman" w:hAnsi="Times New Roman" w:cs="Times New Roman"/>
          <w:noProof/>
          <w:sz w:val="24"/>
          <w:szCs w:val="24"/>
        </w:rPr>
      </w:pPr>
    </w:p>
    <w:p w14:paraId="05FB8C69" w14:textId="77777777" w:rsidR="00C45D59" w:rsidRDefault="00C45D59">
      <w:pPr>
        <w:keepNext/>
        <w:keepLines/>
        <w:spacing w:before="40" w:after="0" w:line="240" w:lineRule="auto"/>
        <w:jc w:val="both"/>
        <w:outlineLvl w:val="4"/>
        <w:rPr>
          <w:rFonts w:ascii="Cambria" w:hAnsi="Cambria"/>
          <w:noProof/>
          <w:color w:val="365F91"/>
          <w:sz w:val="24"/>
        </w:rPr>
        <w:sectPr w:rsidR="00C45D59">
          <w:headerReference w:type="even" r:id="rId84"/>
          <w:headerReference w:type="default" r:id="rId85"/>
          <w:footerReference w:type="even" r:id="rId86"/>
          <w:footerReference w:type="default" r:id="rId87"/>
          <w:headerReference w:type="first" r:id="rId88"/>
          <w:footerReference w:type="first" r:id="rId89"/>
          <w:pgSz w:w="16839" w:h="11907" w:orient="landscape"/>
          <w:pgMar w:top="1134" w:right="1134" w:bottom="1134" w:left="1134" w:header="567" w:footer="567" w:gutter="0"/>
          <w:cols w:space="720"/>
          <w:docGrid w:linePitch="360"/>
        </w:sectPr>
      </w:pPr>
    </w:p>
    <w:p w14:paraId="1E46597C" w14:textId="77777777" w:rsidR="00C45D59" w:rsidRDefault="009B0962">
      <w:pPr>
        <w:pStyle w:val="P68B1DB1-Normal9"/>
        <w:keepNext/>
        <w:keepLines/>
        <w:spacing w:before="40" w:after="0" w:line="240" w:lineRule="auto"/>
        <w:jc w:val="both"/>
        <w:outlineLvl w:val="4"/>
        <w:rPr>
          <w:rFonts w:eastAsia="Times New Roman"/>
          <w:noProof/>
        </w:rPr>
      </w:pPr>
      <w:r>
        <w:rPr>
          <w:noProof/>
        </w:rPr>
        <w:t>Grupul 4: Electromobilitate</w:t>
      </w:r>
    </w:p>
    <w:p w14:paraId="0BE3AC83" w14:textId="77777777" w:rsidR="00C45D59" w:rsidRDefault="009B0962">
      <w:pPr>
        <w:pStyle w:val="P68B1DB1-Normal5"/>
        <w:spacing w:before="120" w:after="120" w:line="240" w:lineRule="auto"/>
        <w:ind w:left="709"/>
        <w:rPr>
          <w:rFonts w:cs="Times New Roman"/>
          <w:noProof/>
        </w:rPr>
      </w:pPr>
      <w:r>
        <w:rPr>
          <w:noProof/>
        </w:rPr>
        <w:t>Măsurile incluse în acest grup sunt:</w:t>
      </w:r>
    </w:p>
    <w:p w14:paraId="385DD57D" w14:textId="77777777" w:rsidR="00C45D59" w:rsidRDefault="009B0962">
      <w:pPr>
        <w:spacing w:before="120" w:after="120" w:line="240" w:lineRule="auto"/>
        <w:ind w:left="709"/>
        <w:rPr>
          <w:rFonts w:ascii="Times New Roman" w:hAnsi="Times New Roman" w:cs="Times New Roman"/>
          <w:noProof/>
          <w:sz w:val="24"/>
        </w:rPr>
      </w:pPr>
      <w:r>
        <w:rPr>
          <w:rFonts w:ascii="Times New Roman" w:hAnsi="Times New Roman"/>
          <w:noProof/>
          <w:sz w:val="24"/>
        </w:rPr>
        <w:t>●</w:t>
      </w:r>
      <w:r>
        <w:rPr>
          <w:noProof/>
        </w:rPr>
        <w:t xml:space="preserve"> </w:t>
      </w:r>
      <w:r>
        <w:rPr>
          <w:rFonts w:ascii="Times New Roman" w:hAnsi="Times New Roman"/>
          <w:noProof/>
          <w:sz w:val="24"/>
        </w:rPr>
        <w:t>Produs – E verde (ID: 16831)</w:t>
      </w:r>
    </w:p>
    <w:p w14:paraId="02D3E339" w14:textId="77777777" w:rsidR="00C45D59" w:rsidRDefault="009B0962">
      <w:pPr>
        <w:spacing w:before="120" w:after="120" w:line="240" w:lineRule="auto"/>
        <w:ind w:left="709"/>
        <w:rPr>
          <w:rFonts w:ascii="Times New Roman" w:hAnsi="Times New Roman" w:cs="Times New Roman"/>
          <w:noProof/>
          <w:sz w:val="24"/>
        </w:rPr>
      </w:pPr>
      <w:r>
        <w:rPr>
          <w:rFonts w:ascii="Times New Roman" w:hAnsi="Times New Roman"/>
          <w:noProof/>
          <w:sz w:val="24"/>
        </w:rPr>
        <w:t>●</w:t>
      </w:r>
      <w:r>
        <w:rPr>
          <w:noProof/>
        </w:rPr>
        <w:t xml:space="preserve"> </w:t>
      </w:r>
      <w:r>
        <w:rPr>
          <w:rFonts w:ascii="Times New Roman" w:hAnsi="Times New Roman"/>
          <w:noProof/>
          <w:sz w:val="24"/>
        </w:rPr>
        <w:t xml:space="preserve">Electromobilitate (ID: 16924) </w:t>
      </w:r>
    </w:p>
    <w:tbl>
      <w:tblPr>
        <w:tblW w:w="151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1588"/>
        <w:gridCol w:w="1376"/>
        <w:gridCol w:w="1203"/>
        <w:gridCol w:w="2629"/>
        <w:gridCol w:w="1460"/>
        <w:gridCol w:w="896"/>
        <w:gridCol w:w="936"/>
        <w:gridCol w:w="1006"/>
        <w:gridCol w:w="709"/>
        <w:gridCol w:w="3191"/>
      </w:tblGrid>
      <w:tr w:rsidR="00C45D59" w14:paraId="74640075" w14:textId="77777777">
        <w:trPr>
          <w:trHeight w:val="939"/>
          <w:tblHeader/>
          <w:jc w:val="center"/>
        </w:trPr>
        <w:tc>
          <w:tcPr>
            <w:tcW w:w="817" w:type="dxa"/>
            <w:vMerge w:val="restart"/>
            <w:shd w:val="clear" w:color="auto" w:fill="BDD7EE"/>
            <w:vAlign w:val="center"/>
            <w:hideMark/>
          </w:tcPr>
          <w:p w14:paraId="15C0A7C6" w14:textId="10869D78" w:rsidR="00C45D59" w:rsidRDefault="009B0962">
            <w:pPr>
              <w:pStyle w:val="P68B1DB1-Normal10"/>
              <w:spacing w:after="0" w:line="240" w:lineRule="auto"/>
              <w:jc w:val="center"/>
              <w:rPr>
                <w:rFonts w:eastAsia="Times New Roman" w:cs="Times New Roman"/>
                <w:bCs/>
                <w:noProof/>
                <w:szCs w:val="18"/>
              </w:rPr>
            </w:pPr>
            <w:r>
              <w:rPr>
                <w:noProof/>
              </w:rPr>
              <w:t>Nr</w:t>
            </w:r>
            <w:r w:rsidR="009F5BD9">
              <w:rPr>
                <w:noProof/>
              </w:rPr>
              <w:t>.</w:t>
            </w:r>
            <w:r>
              <w:rPr>
                <w:noProof/>
              </w:rPr>
              <w:br/>
            </w:r>
            <w:r w:rsidR="009F5BD9">
              <w:rPr>
                <w:noProof/>
              </w:rPr>
              <w:t>crt</w:t>
            </w:r>
            <w:r>
              <w:rPr>
                <w:noProof/>
              </w:rPr>
              <w:t>.</w:t>
            </w:r>
          </w:p>
        </w:tc>
        <w:tc>
          <w:tcPr>
            <w:tcW w:w="1588" w:type="dxa"/>
            <w:vMerge w:val="restart"/>
            <w:shd w:val="clear" w:color="auto" w:fill="BDD7EE"/>
            <w:vAlign w:val="center"/>
            <w:hideMark/>
          </w:tcPr>
          <w:p w14:paraId="1AF114E6" w14:textId="77777777" w:rsidR="00C45D59" w:rsidRDefault="009B0962">
            <w:pPr>
              <w:pStyle w:val="P68B1DB1-Normal10"/>
              <w:spacing w:after="0" w:line="240" w:lineRule="auto"/>
              <w:jc w:val="center"/>
              <w:rPr>
                <w:rFonts w:eastAsia="Times New Roman" w:cs="Times New Roman"/>
                <w:bCs/>
                <w:noProof/>
                <w:szCs w:val="18"/>
              </w:rPr>
            </w:pPr>
            <w:r>
              <w:rPr>
                <w:noProof/>
              </w:rPr>
              <w:t>Măsură conexă (reformă sau investiții)</w:t>
            </w:r>
          </w:p>
        </w:tc>
        <w:tc>
          <w:tcPr>
            <w:tcW w:w="992" w:type="dxa"/>
            <w:vMerge w:val="restart"/>
            <w:shd w:val="clear" w:color="auto" w:fill="BDD7EE"/>
            <w:vAlign w:val="center"/>
            <w:hideMark/>
          </w:tcPr>
          <w:p w14:paraId="2DBB8E5A" w14:textId="77777777" w:rsidR="00C45D59" w:rsidRDefault="009B0962">
            <w:pPr>
              <w:pStyle w:val="P68B1DB1-Normal10"/>
              <w:spacing w:after="0" w:line="240" w:lineRule="auto"/>
              <w:jc w:val="center"/>
              <w:rPr>
                <w:rFonts w:eastAsia="Times New Roman" w:cs="Times New Roman"/>
                <w:bCs/>
                <w:noProof/>
                <w:szCs w:val="18"/>
              </w:rPr>
            </w:pPr>
            <w:r>
              <w:rPr>
                <w:noProof/>
              </w:rPr>
              <w:t>Etapă/Obiectiv</w:t>
            </w:r>
          </w:p>
        </w:tc>
        <w:tc>
          <w:tcPr>
            <w:tcW w:w="1166" w:type="dxa"/>
            <w:vMerge w:val="restart"/>
            <w:shd w:val="clear" w:color="auto" w:fill="BDD7EE"/>
            <w:vAlign w:val="center"/>
            <w:hideMark/>
          </w:tcPr>
          <w:p w14:paraId="0F50E186" w14:textId="62548109" w:rsidR="00C45D59" w:rsidRDefault="009F5BD9">
            <w:pPr>
              <w:pStyle w:val="P68B1DB1-Normal10"/>
              <w:spacing w:after="0" w:line="240" w:lineRule="auto"/>
              <w:jc w:val="center"/>
              <w:rPr>
                <w:rFonts w:eastAsia="Times New Roman" w:cs="Times New Roman"/>
                <w:bCs/>
                <w:noProof/>
                <w:szCs w:val="18"/>
              </w:rPr>
            </w:pPr>
            <w:r>
              <w:rPr>
                <w:noProof/>
              </w:rPr>
              <w:t>Denumire</w:t>
            </w:r>
          </w:p>
        </w:tc>
        <w:tc>
          <w:tcPr>
            <w:tcW w:w="2629" w:type="dxa"/>
            <w:vMerge w:val="restart"/>
            <w:shd w:val="clear" w:color="auto" w:fill="BDD7EE"/>
            <w:vAlign w:val="center"/>
            <w:hideMark/>
          </w:tcPr>
          <w:p w14:paraId="2CE88874" w14:textId="77777777" w:rsidR="00C45D59" w:rsidRDefault="009B0962">
            <w:pPr>
              <w:pStyle w:val="P68B1DB1-Normal10"/>
              <w:spacing w:after="0" w:line="240" w:lineRule="auto"/>
              <w:jc w:val="center"/>
              <w:rPr>
                <w:rFonts w:eastAsia="Times New Roman" w:cs="Times New Roman"/>
                <w:bCs/>
                <w:noProof/>
                <w:szCs w:val="18"/>
              </w:rPr>
            </w:pPr>
            <w:r>
              <w:rPr>
                <w:noProof/>
              </w:rPr>
              <w:t>Indicatori calitativi</w:t>
            </w:r>
            <w:r>
              <w:rPr>
                <w:noProof/>
              </w:rPr>
              <w:br/>
              <w:t xml:space="preserve"> (pentru jaloane)</w:t>
            </w:r>
          </w:p>
        </w:tc>
        <w:tc>
          <w:tcPr>
            <w:tcW w:w="3253" w:type="dxa"/>
            <w:gridSpan w:val="3"/>
            <w:shd w:val="clear" w:color="auto" w:fill="BDD7EE"/>
            <w:vAlign w:val="center"/>
            <w:hideMark/>
          </w:tcPr>
          <w:p w14:paraId="6FC79B83" w14:textId="77777777" w:rsidR="00C45D59" w:rsidRDefault="009B0962">
            <w:pPr>
              <w:pStyle w:val="P68B1DB1-Normal10"/>
              <w:spacing w:after="0" w:line="240" w:lineRule="auto"/>
              <w:jc w:val="center"/>
              <w:rPr>
                <w:rFonts w:eastAsia="Times New Roman" w:cs="Times New Roman"/>
                <w:bCs/>
                <w:noProof/>
                <w:szCs w:val="18"/>
              </w:rPr>
            </w:pPr>
            <w:r>
              <w:rPr>
                <w:noProof/>
              </w:rPr>
              <w:t xml:space="preserve">Indicatori cantitativi </w:t>
            </w:r>
            <w:r>
              <w:rPr>
                <w:noProof/>
              </w:rPr>
              <w:br/>
              <w:t>(pentru obiective)</w:t>
            </w:r>
          </w:p>
        </w:tc>
        <w:tc>
          <w:tcPr>
            <w:tcW w:w="1555" w:type="dxa"/>
            <w:gridSpan w:val="2"/>
            <w:shd w:val="clear" w:color="auto" w:fill="BDD7EE"/>
            <w:vAlign w:val="center"/>
            <w:hideMark/>
          </w:tcPr>
          <w:p w14:paraId="57A5D478" w14:textId="77777777" w:rsidR="00C45D59" w:rsidRDefault="009B0962">
            <w:pPr>
              <w:pStyle w:val="P68B1DB1-Normal10"/>
              <w:spacing w:after="0" w:line="240" w:lineRule="auto"/>
              <w:jc w:val="center"/>
              <w:rPr>
                <w:rFonts w:eastAsia="Times New Roman" w:cs="Times New Roman"/>
                <w:bCs/>
                <w:noProof/>
                <w:szCs w:val="18"/>
              </w:rPr>
            </w:pPr>
            <w:r>
              <w:rPr>
                <w:noProof/>
              </w:rPr>
              <w:t xml:space="preserve">Calendar orientativ pentru finalizare </w:t>
            </w:r>
          </w:p>
        </w:tc>
        <w:tc>
          <w:tcPr>
            <w:tcW w:w="3191" w:type="dxa"/>
            <w:vMerge w:val="restart"/>
            <w:shd w:val="clear" w:color="auto" w:fill="BDD7EE"/>
            <w:vAlign w:val="center"/>
            <w:hideMark/>
          </w:tcPr>
          <w:p w14:paraId="0FD4DE62" w14:textId="77777777" w:rsidR="00C45D59" w:rsidRDefault="009B0962">
            <w:pPr>
              <w:pStyle w:val="P68B1DB1-Normal10"/>
              <w:spacing w:after="0" w:line="240" w:lineRule="auto"/>
              <w:jc w:val="center"/>
              <w:rPr>
                <w:rFonts w:eastAsia="Times New Roman" w:cs="Times New Roman"/>
                <w:bCs/>
                <w:noProof/>
                <w:szCs w:val="18"/>
              </w:rPr>
            </w:pPr>
            <w:r>
              <w:rPr>
                <w:noProof/>
              </w:rPr>
              <w:t>Descrierea fiecărui jalon și a fiecărei ținte</w:t>
            </w:r>
          </w:p>
        </w:tc>
      </w:tr>
      <w:tr w:rsidR="00C45D59" w14:paraId="64AE8904" w14:textId="77777777">
        <w:trPr>
          <w:trHeight w:val="531"/>
          <w:tblHeader/>
          <w:jc w:val="center"/>
        </w:trPr>
        <w:tc>
          <w:tcPr>
            <w:tcW w:w="817" w:type="dxa"/>
            <w:vMerge/>
            <w:vAlign w:val="center"/>
            <w:hideMark/>
          </w:tcPr>
          <w:p w14:paraId="3B7284D0" w14:textId="77777777" w:rsidR="00C45D59" w:rsidRDefault="00C45D59">
            <w:pPr>
              <w:spacing w:after="0" w:line="240" w:lineRule="auto"/>
              <w:rPr>
                <w:rFonts w:ascii="Times New Roman" w:eastAsia="Times New Roman" w:hAnsi="Times New Roman" w:cs="Times New Roman"/>
                <w:b/>
                <w:bCs/>
                <w:noProof/>
                <w:sz w:val="18"/>
                <w:szCs w:val="18"/>
              </w:rPr>
            </w:pPr>
          </w:p>
        </w:tc>
        <w:tc>
          <w:tcPr>
            <w:tcW w:w="1588" w:type="dxa"/>
            <w:vMerge/>
            <w:vAlign w:val="center"/>
            <w:hideMark/>
          </w:tcPr>
          <w:p w14:paraId="335DE03A" w14:textId="77777777" w:rsidR="00C45D59" w:rsidRDefault="00C45D59">
            <w:pPr>
              <w:spacing w:after="0" w:line="240" w:lineRule="auto"/>
              <w:rPr>
                <w:rFonts w:ascii="Times New Roman" w:eastAsia="Times New Roman" w:hAnsi="Times New Roman" w:cs="Times New Roman"/>
                <w:b/>
                <w:bCs/>
                <w:noProof/>
                <w:sz w:val="18"/>
                <w:szCs w:val="18"/>
              </w:rPr>
            </w:pPr>
          </w:p>
        </w:tc>
        <w:tc>
          <w:tcPr>
            <w:tcW w:w="992" w:type="dxa"/>
            <w:vMerge/>
            <w:vAlign w:val="center"/>
            <w:hideMark/>
          </w:tcPr>
          <w:p w14:paraId="336FE18B" w14:textId="77777777" w:rsidR="00C45D59" w:rsidRDefault="00C45D59">
            <w:pPr>
              <w:spacing w:after="0" w:line="240" w:lineRule="auto"/>
              <w:rPr>
                <w:rFonts w:ascii="Times New Roman" w:eastAsia="Times New Roman" w:hAnsi="Times New Roman" w:cs="Times New Roman"/>
                <w:b/>
                <w:bCs/>
                <w:noProof/>
                <w:sz w:val="18"/>
                <w:szCs w:val="18"/>
              </w:rPr>
            </w:pPr>
          </w:p>
        </w:tc>
        <w:tc>
          <w:tcPr>
            <w:tcW w:w="1166" w:type="dxa"/>
            <w:vMerge/>
            <w:vAlign w:val="center"/>
            <w:hideMark/>
          </w:tcPr>
          <w:p w14:paraId="662C6E7B" w14:textId="77777777" w:rsidR="00C45D59" w:rsidRDefault="00C45D59">
            <w:pPr>
              <w:spacing w:after="0" w:line="240" w:lineRule="auto"/>
              <w:rPr>
                <w:rFonts w:ascii="Times New Roman" w:eastAsia="Times New Roman" w:hAnsi="Times New Roman" w:cs="Times New Roman"/>
                <w:b/>
                <w:bCs/>
                <w:noProof/>
                <w:sz w:val="18"/>
                <w:szCs w:val="18"/>
              </w:rPr>
            </w:pPr>
          </w:p>
        </w:tc>
        <w:tc>
          <w:tcPr>
            <w:tcW w:w="2629" w:type="dxa"/>
            <w:vMerge/>
            <w:vAlign w:val="center"/>
            <w:hideMark/>
          </w:tcPr>
          <w:p w14:paraId="51974E7B" w14:textId="77777777" w:rsidR="00C45D59" w:rsidRDefault="00C45D59">
            <w:pPr>
              <w:spacing w:after="0" w:line="240" w:lineRule="auto"/>
              <w:rPr>
                <w:rFonts w:ascii="Times New Roman" w:eastAsia="Times New Roman" w:hAnsi="Times New Roman" w:cs="Times New Roman"/>
                <w:b/>
                <w:bCs/>
                <w:noProof/>
                <w:sz w:val="18"/>
                <w:szCs w:val="18"/>
              </w:rPr>
            </w:pPr>
          </w:p>
        </w:tc>
        <w:tc>
          <w:tcPr>
            <w:tcW w:w="1460" w:type="dxa"/>
            <w:shd w:val="clear" w:color="auto" w:fill="BDD7EE"/>
            <w:vAlign w:val="center"/>
            <w:hideMark/>
          </w:tcPr>
          <w:p w14:paraId="34AAB0CE" w14:textId="77777777" w:rsidR="00C45D59" w:rsidRDefault="009B0962">
            <w:pPr>
              <w:pStyle w:val="P68B1DB1-Normal10"/>
              <w:spacing w:after="0" w:line="240" w:lineRule="auto"/>
              <w:jc w:val="center"/>
              <w:rPr>
                <w:rFonts w:eastAsia="Times New Roman" w:cs="Times New Roman"/>
                <w:bCs/>
                <w:noProof/>
                <w:szCs w:val="18"/>
              </w:rPr>
            </w:pPr>
            <w:r>
              <w:rPr>
                <w:noProof/>
              </w:rPr>
              <w:t>Unitatea de măsură</w:t>
            </w:r>
          </w:p>
        </w:tc>
        <w:tc>
          <w:tcPr>
            <w:tcW w:w="857" w:type="dxa"/>
            <w:shd w:val="clear" w:color="auto" w:fill="BDD7EE"/>
            <w:vAlign w:val="center"/>
            <w:hideMark/>
          </w:tcPr>
          <w:p w14:paraId="134DACCD" w14:textId="77777777" w:rsidR="00C45D59" w:rsidRDefault="009B0962">
            <w:pPr>
              <w:pStyle w:val="P68B1DB1-Normal10"/>
              <w:spacing w:after="0" w:line="240" w:lineRule="auto"/>
              <w:jc w:val="center"/>
              <w:rPr>
                <w:rFonts w:eastAsia="Times New Roman" w:cs="Times New Roman"/>
                <w:bCs/>
                <w:noProof/>
                <w:szCs w:val="18"/>
              </w:rPr>
            </w:pPr>
            <w:r>
              <w:rPr>
                <w:noProof/>
              </w:rPr>
              <w:t xml:space="preserve">Situația de referință </w:t>
            </w:r>
          </w:p>
        </w:tc>
        <w:tc>
          <w:tcPr>
            <w:tcW w:w="936" w:type="dxa"/>
            <w:shd w:val="clear" w:color="auto" w:fill="BDD7EE"/>
            <w:vAlign w:val="center"/>
            <w:hideMark/>
          </w:tcPr>
          <w:p w14:paraId="25EADF69" w14:textId="77777777" w:rsidR="00C45D59" w:rsidRDefault="009B0962">
            <w:pPr>
              <w:pStyle w:val="P68B1DB1-Normal10"/>
              <w:spacing w:after="0" w:line="240" w:lineRule="auto"/>
              <w:jc w:val="center"/>
              <w:rPr>
                <w:rFonts w:eastAsia="Times New Roman" w:cs="Times New Roman"/>
                <w:bCs/>
                <w:noProof/>
                <w:szCs w:val="18"/>
              </w:rPr>
            </w:pPr>
            <w:r>
              <w:rPr>
                <w:noProof/>
              </w:rPr>
              <w:t xml:space="preserve">Obiectiv </w:t>
            </w:r>
          </w:p>
        </w:tc>
        <w:tc>
          <w:tcPr>
            <w:tcW w:w="846" w:type="dxa"/>
            <w:shd w:val="clear" w:color="auto" w:fill="BDD7EE"/>
            <w:vAlign w:val="center"/>
            <w:hideMark/>
          </w:tcPr>
          <w:p w14:paraId="3E8975B1" w14:textId="77777777" w:rsidR="00C45D59" w:rsidRDefault="009B0962">
            <w:pPr>
              <w:pStyle w:val="P68B1DB1-Normal10"/>
              <w:spacing w:after="0" w:line="240" w:lineRule="auto"/>
              <w:jc w:val="center"/>
              <w:rPr>
                <w:rFonts w:eastAsia="Times New Roman" w:cs="Times New Roman"/>
                <w:bCs/>
                <w:noProof/>
                <w:szCs w:val="18"/>
              </w:rPr>
            </w:pPr>
            <w:r>
              <w:rPr>
                <w:noProof/>
              </w:rPr>
              <w:t>Trimestru</w:t>
            </w:r>
          </w:p>
        </w:tc>
        <w:tc>
          <w:tcPr>
            <w:tcW w:w="709" w:type="dxa"/>
            <w:shd w:val="clear" w:color="auto" w:fill="BDD7EE"/>
            <w:vAlign w:val="center"/>
            <w:hideMark/>
          </w:tcPr>
          <w:p w14:paraId="3A74EA22" w14:textId="77777777" w:rsidR="00C45D59" w:rsidRDefault="009B0962">
            <w:pPr>
              <w:pStyle w:val="P68B1DB1-Normal10"/>
              <w:spacing w:after="0" w:line="240" w:lineRule="auto"/>
              <w:jc w:val="center"/>
              <w:rPr>
                <w:rFonts w:eastAsia="Times New Roman" w:cs="Times New Roman"/>
                <w:bCs/>
                <w:noProof/>
                <w:szCs w:val="18"/>
              </w:rPr>
            </w:pPr>
            <w:r>
              <w:rPr>
                <w:noProof/>
              </w:rPr>
              <w:t>Anul</w:t>
            </w:r>
          </w:p>
        </w:tc>
        <w:tc>
          <w:tcPr>
            <w:tcW w:w="3191" w:type="dxa"/>
            <w:vMerge/>
            <w:vAlign w:val="center"/>
            <w:hideMark/>
          </w:tcPr>
          <w:p w14:paraId="3246E43B" w14:textId="77777777" w:rsidR="00C45D59" w:rsidRDefault="00C45D59">
            <w:pPr>
              <w:spacing w:after="0" w:line="240" w:lineRule="auto"/>
              <w:rPr>
                <w:rFonts w:ascii="Times New Roman" w:eastAsia="Times New Roman" w:hAnsi="Times New Roman" w:cs="Times New Roman"/>
                <w:b/>
                <w:bCs/>
                <w:noProof/>
                <w:sz w:val="18"/>
                <w:szCs w:val="18"/>
              </w:rPr>
            </w:pPr>
          </w:p>
        </w:tc>
      </w:tr>
      <w:tr w:rsidR="00C45D59" w14:paraId="6ADE1E5F" w14:textId="77777777">
        <w:trPr>
          <w:trHeight w:val="313"/>
          <w:jc w:val="center"/>
        </w:trPr>
        <w:tc>
          <w:tcPr>
            <w:tcW w:w="817" w:type="dxa"/>
            <w:shd w:val="clear" w:color="auto" w:fill="C6EFCE"/>
            <w:noWrap/>
          </w:tcPr>
          <w:p w14:paraId="16CB59A3" w14:textId="77777777" w:rsidR="00C45D59" w:rsidRDefault="009B0962">
            <w:pPr>
              <w:pStyle w:val="P68B1DB1-Normal12"/>
              <w:spacing w:after="0" w:line="240" w:lineRule="auto"/>
              <w:rPr>
                <w:rFonts w:eastAsia="Times New Roman"/>
                <w:noProof/>
              </w:rPr>
            </w:pPr>
            <w:r>
              <w:rPr>
                <w:noProof/>
              </w:rPr>
              <w:t>44</w:t>
            </w:r>
          </w:p>
        </w:tc>
        <w:tc>
          <w:tcPr>
            <w:tcW w:w="1588" w:type="dxa"/>
            <w:shd w:val="clear" w:color="auto" w:fill="C6EFCE"/>
            <w:noWrap/>
          </w:tcPr>
          <w:p w14:paraId="123A8D5F" w14:textId="77777777" w:rsidR="00C45D59" w:rsidRDefault="009B0962">
            <w:pPr>
              <w:pStyle w:val="P68B1DB1-Normal12"/>
              <w:spacing w:after="0" w:line="240" w:lineRule="auto"/>
              <w:rPr>
                <w:rFonts w:eastAsia="Times New Roman"/>
                <w:noProof/>
              </w:rPr>
            </w:pPr>
            <w:r>
              <w:rPr>
                <w:noProof/>
              </w:rPr>
              <w:t>3-1.3. Reîncărcare și realimentare – 16924_ Electromobilitate</w:t>
            </w:r>
          </w:p>
        </w:tc>
        <w:tc>
          <w:tcPr>
            <w:tcW w:w="992" w:type="dxa"/>
            <w:shd w:val="clear" w:color="auto" w:fill="C6EFCE"/>
            <w:noWrap/>
          </w:tcPr>
          <w:p w14:paraId="6B4E301A" w14:textId="77777777" w:rsidR="00C45D59" w:rsidRDefault="009B0962">
            <w:pPr>
              <w:pStyle w:val="P68B1DB1-Normal12"/>
              <w:spacing w:after="0" w:line="240" w:lineRule="auto"/>
              <w:rPr>
                <w:rFonts w:eastAsia="Times New Roman"/>
                <w:noProof/>
              </w:rPr>
            </w:pPr>
            <w:r>
              <w:rPr>
                <w:noProof/>
              </w:rPr>
              <w:t>Etapă</w:t>
            </w:r>
          </w:p>
        </w:tc>
        <w:tc>
          <w:tcPr>
            <w:tcW w:w="1166" w:type="dxa"/>
            <w:shd w:val="clear" w:color="auto" w:fill="C6EFCE"/>
            <w:noWrap/>
          </w:tcPr>
          <w:p w14:paraId="3198574C" w14:textId="77777777" w:rsidR="00C45D59" w:rsidRDefault="009B0962">
            <w:pPr>
              <w:pStyle w:val="P68B1DB1-Normal12"/>
              <w:spacing w:after="0" w:line="240" w:lineRule="auto"/>
              <w:rPr>
                <w:rFonts w:eastAsia="Times New Roman"/>
                <w:noProof/>
              </w:rPr>
            </w:pPr>
            <w:r>
              <w:rPr>
                <w:noProof/>
              </w:rPr>
              <w:t>Transportul public – Intrarea în vigoare a reglementării pieței pentru obligația de serviciu public (autobuze)</w:t>
            </w:r>
          </w:p>
        </w:tc>
        <w:tc>
          <w:tcPr>
            <w:tcW w:w="2629" w:type="dxa"/>
            <w:shd w:val="clear" w:color="auto" w:fill="C6EFCE"/>
            <w:noWrap/>
          </w:tcPr>
          <w:p w14:paraId="3C59D035" w14:textId="5CFF8F3E" w:rsidR="00C45D59" w:rsidRDefault="009B0962">
            <w:pPr>
              <w:pStyle w:val="P68B1DB1-Normal12"/>
              <w:spacing w:after="0" w:line="240" w:lineRule="auto"/>
              <w:rPr>
                <w:rFonts w:eastAsia="Times New Roman"/>
                <w:noProof/>
                <w:highlight w:val="yellow"/>
              </w:rPr>
            </w:pPr>
            <w:r>
              <w:rPr>
                <w:noProof/>
              </w:rPr>
              <w:t>Intrarea în vigoare a cadrului juridic revizuit</w:t>
            </w:r>
          </w:p>
        </w:tc>
        <w:tc>
          <w:tcPr>
            <w:tcW w:w="1460" w:type="dxa"/>
            <w:shd w:val="clear" w:color="auto" w:fill="C6EFCE"/>
            <w:noWrap/>
          </w:tcPr>
          <w:p w14:paraId="5C9553AC"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57" w:type="dxa"/>
            <w:shd w:val="clear" w:color="auto" w:fill="C6EFCE"/>
            <w:noWrap/>
          </w:tcPr>
          <w:p w14:paraId="67B7E631"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936" w:type="dxa"/>
            <w:shd w:val="clear" w:color="auto" w:fill="C6EFCE"/>
            <w:noWrap/>
          </w:tcPr>
          <w:p w14:paraId="1506D78B"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46" w:type="dxa"/>
            <w:shd w:val="clear" w:color="auto" w:fill="C6EFCE"/>
            <w:noWrap/>
          </w:tcPr>
          <w:p w14:paraId="4287BEFF" w14:textId="77777777" w:rsidR="00C45D59" w:rsidRDefault="009B0962">
            <w:pPr>
              <w:pStyle w:val="P68B1DB1-Normal12"/>
              <w:spacing w:after="0" w:line="240" w:lineRule="auto"/>
              <w:rPr>
                <w:rFonts w:eastAsia="Times New Roman"/>
                <w:noProof/>
              </w:rPr>
            </w:pPr>
            <w:r>
              <w:rPr>
                <w:noProof/>
              </w:rPr>
              <w:t>Î4</w:t>
            </w:r>
          </w:p>
        </w:tc>
        <w:tc>
          <w:tcPr>
            <w:tcW w:w="709" w:type="dxa"/>
            <w:shd w:val="clear" w:color="auto" w:fill="C6EFCE"/>
            <w:noWrap/>
          </w:tcPr>
          <w:p w14:paraId="6CB70BC2" w14:textId="77777777" w:rsidR="00C45D59" w:rsidRDefault="009B0962">
            <w:pPr>
              <w:pStyle w:val="P68B1DB1-Normal12"/>
              <w:spacing w:after="0" w:line="240" w:lineRule="auto"/>
              <w:rPr>
                <w:rFonts w:eastAsia="Times New Roman"/>
                <w:noProof/>
              </w:rPr>
            </w:pPr>
            <w:r>
              <w:rPr>
                <w:noProof/>
              </w:rPr>
              <w:t>2021</w:t>
            </w:r>
          </w:p>
        </w:tc>
        <w:tc>
          <w:tcPr>
            <w:tcW w:w="3191" w:type="dxa"/>
            <w:shd w:val="clear" w:color="auto" w:fill="C6EFCE"/>
            <w:noWrap/>
          </w:tcPr>
          <w:p w14:paraId="454B0A7C" w14:textId="77777777" w:rsidR="00C45D59" w:rsidRDefault="009B0962">
            <w:pPr>
              <w:pStyle w:val="P68B1DB1-Normal12"/>
              <w:spacing w:after="0" w:line="240" w:lineRule="auto"/>
              <w:rPr>
                <w:rFonts w:eastAsia="Times New Roman"/>
                <w:noProof/>
              </w:rPr>
            </w:pPr>
            <w:r>
              <w:rPr>
                <w:noProof/>
              </w:rPr>
              <w:t>Consolidarea reglementării pieței prin intrarea în vigoare a unui cadru legislativ revizuit pentru serviciile publice de transport urban și regional de călători (în conformitate cu Regulamentul (UE) 1370/2007). Cadrul revizuit: (a) asigurarea furnizării continue a transportului rutier public urban și regional de călători (regulat și pe rute fixe); (b) să supravegheze proiectarea, organizarea și exploatarea rețelelor de transport asociate; (c) asigurarea unui transport rutier public de înaltă calitate la cel mai mic cost posibil; (d) reglementarea procesului de acordare a drepturilor exclusive de exploatare a rutelor publice regionale și urbane (regulate și fixe); și (e) reglementarea nivelului compensației pentru furnizarea serviciilor menționate anterior. În plus, legea stabilește criteriile generale pentru viitoarele achiziții de servicii de transport de călători. Regiunile și unitățile regionale corespunzătoare stabilesc criterii detaliate specifice fiecărei regiuni, care țin seama în mod corespunzător de nevoile de transport specifice fiecărei regiuni și ajustează procesul de achiziții publice în consecință.</w:t>
            </w:r>
          </w:p>
        </w:tc>
      </w:tr>
      <w:tr w:rsidR="00C45D59" w14:paraId="781DEE88" w14:textId="77777777">
        <w:trPr>
          <w:trHeight w:val="313"/>
          <w:jc w:val="center"/>
        </w:trPr>
        <w:tc>
          <w:tcPr>
            <w:tcW w:w="817" w:type="dxa"/>
            <w:shd w:val="clear" w:color="auto" w:fill="C6EFCE"/>
            <w:noWrap/>
          </w:tcPr>
          <w:p w14:paraId="66400EDB" w14:textId="77777777" w:rsidR="00C45D59" w:rsidRDefault="009B0962">
            <w:pPr>
              <w:pStyle w:val="P68B1DB1-Normal12"/>
              <w:spacing w:after="0" w:line="240" w:lineRule="auto"/>
              <w:rPr>
                <w:rFonts w:eastAsia="Times New Roman"/>
                <w:noProof/>
              </w:rPr>
            </w:pPr>
            <w:r>
              <w:rPr>
                <w:noProof/>
              </w:rPr>
              <w:t>45</w:t>
            </w:r>
          </w:p>
        </w:tc>
        <w:tc>
          <w:tcPr>
            <w:tcW w:w="1588" w:type="dxa"/>
            <w:shd w:val="clear" w:color="auto" w:fill="C6EFCE"/>
            <w:noWrap/>
          </w:tcPr>
          <w:p w14:paraId="4286DA93" w14:textId="77777777" w:rsidR="00C45D59" w:rsidRDefault="009B0962">
            <w:pPr>
              <w:pStyle w:val="P68B1DB1-Normal12"/>
              <w:spacing w:after="0" w:line="240" w:lineRule="auto"/>
              <w:rPr>
                <w:rFonts w:eastAsia="Times New Roman"/>
                <w:noProof/>
              </w:rPr>
            </w:pPr>
            <w:r>
              <w:rPr>
                <w:noProof/>
              </w:rPr>
              <w:t>3-1.3. Reîncărcare și realimentare – 16924_ Electromobilitate</w:t>
            </w:r>
          </w:p>
        </w:tc>
        <w:tc>
          <w:tcPr>
            <w:tcW w:w="992" w:type="dxa"/>
            <w:shd w:val="clear" w:color="auto" w:fill="C6EFCE"/>
            <w:noWrap/>
          </w:tcPr>
          <w:p w14:paraId="4A7C0C46" w14:textId="77777777" w:rsidR="00C45D59" w:rsidRDefault="009B0962">
            <w:pPr>
              <w:pStyle w:val="P68B1DB1-Normal12"/>
              <w:spacing w:after="0" w:line="240" w:lineRule="auto"/>
              <w:rPr>
                <w:rFonts w:eastAsia="Times New Roman"/>
                <w:noProof/>
              </w:rPr>
            </w:pPr>
            <w:r>
              <w:rPr>
                <w:noProof/>
              </w:rPr>
              <w:t>Etapă</w:t>
            </w:r>
          </w:p>
        </w:tc>
        <w:tc>
          <w:tcPr>
            <w:tcW w:w="1166" w:type="dxa"/>
            <w:shd w:val="clear" w:color="auto" w:fill="C6EFCE"/>
            <w:noWrap/>
          </w:tcPr>
          <w:p w14:paraId="13EFAF3A" w14:textId="77777777" w:rsidR="00C45D59" w:rsidRDefault="009B0962">
            <w:pPr>
              <w:pStyle w:val="P68B1DB1-Normal12"/>
              <w:spacing w:after="0" w:line="240" w:lineRule="auto"/>
              <w:rPr>
                <w:rFonts w:eastAsia="Times New Roman"/>
                <w:noProof/>
              </w:rPr>
            </w:pPr>
            <w:r>
              <w:rPr>
                <w:noProof/>
              </w:rPr>
              <w:t>Transportul public – punerea în aplicare a unei noi reglementări a pieței pentru obligația de serviciu public (autobuze)</w:t>
            </w:r>
          </w:p>
        </w:tc>
        <w:tc>
          <w:tcPr>
            <w:tcW w:w="2629" w:type="dxa"/>
            <w:shd w:val="clear" w:color="auto" w:fill="C6EFCE"/>
            <w:noWrap/>
          </w:tcPr>
          <w:p w14:paraId="6D21F6B8" w14:textId="04F8EF43" w:rsidR="00C45D59" w:rsidRDefault="009B0962">
            <w:pPr>
              <w:pStyle w:val="P68B1DB1-Normal12"/>
              <w:spacing w:after="0" w:line="240" w:lineRule="auto"/>
              <w:rPr>
                <w:rFonts w:eastAsia="Times New Roman"/>
                <w:noProof/>
                <w:highlight w:val="yellow"/>
              </w:rPr>
            </w:pPr>
            <w:r>
              <w:rPr>
                <w:noProof/>
              </w:rPr>
              <w:t>Intrarea în vigoare a legislației secundare referitoare la cadrul juridic revizuit</w:t>
            </w:r>
          </w:p>
        </w:tc>
        <w:tc>
          <w:tcPr>
            <w:tcW w:w="1460" w:type="dxa"/>
            <w:shd w:val="clear" w:color="auto" w:fill="C6EFCE"/>
            <w:noWrap/>
          </w:tcPr>
          <w:p w14:paraId="4B02E8F4"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57" w:type="dxa"/>
            <w:shd w:val="clear" w:color="auto" w:fill="C6EFCE"/>
            <w:noWrap/>
          </w:tcPr>
          <w:p w14:paraId="49AFB913"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936" w:type="dxa"/>
            <w:shd w:val="clear" w:color="auto" w:fill="C6EFCE"/>
            <w:noWrap/>
          </w:tcPr>
          <w:p w14:paraId="755BDEF9"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46" w:type="dxa"/>
            <w:shd w:val="clear" w:color="auto" w:fill="C6EFCE"/>
            <w:noWrap/>
          </w:tcPr>
          <w:p w14:paraId="6085E4D3" w14:textId="77777777" w:rsidR="00C45D59" w:rsidRDefault="009B0962">
            <w:pPr>
              <w:pStyle w:val="P68B1DB1-Normal12"/>
              <w:spacing w:after="0" w:line="240" w:lineRule="auto"/>
              <w:rPr>
                <w:rFonts w:eastAsia="Times New Roman"/>
                <w:noProof/>
              </w:rPr>
            </w:pPr>
            <w:r>
              <w:rPr>
                <w:noProof/>
              </w:rPr>
              <w:t>Î3</w:t>
            </w:r>
          </w:p>
        </w:tc>
        <w:tc>
          <w:tcPr>
            <w:tcW w:w="709" w:type="dxa"/>
            <w:shd w:val="clear" w:color="auto" w:fill="C6EFCE"/>
            <w:noWrap/>
          </w:tcPr>
          <w:p w14:paraId="0BA861ED" w14:textId="77777777" w:rsidR="00C45D59" w:rsidRDefault="009B0962">
            <w:pPr>
              <w:pStyle w:val="P68B1DB1-Normal12"/>
              <w:spacing w:after="0" w:line="240" w:lineRule="auto"/>
              <w:rPr>
                <w:rFonts w:eastAsia="Times New Roman"/>
                <w:noProof/>
              </w:rPr>
            </w:pPr>
            <w:r>
              <w:rPr>
                <w:noProof/>
              </w:rPr>
              <w:t>2022</w:t>
            </w:r>
          </w:p>
        </w:tc>
        <w:tc>
          <w:tcPr>
            <w:tcW w:w="3191" w:type="dxa"/>
            <w:shd w:val="clear" w:color="auto" w:fill="C6EFCE"/>
            <w:noWrap/>
          </w:tcPr>
          <w:p w14:paraId="55C16A75" w14:textId="77777777" w:rsidR="00C45D59" w:rsidRDefault="009B0962">
            <w:pPr>
              <w:pStyle w:val="P68B1DB1-Normal12"/>
              <w:spacing w:after="0" w:line="240" w:lineRule="auto"/>
              <w:rPr>
                <w:rFonts w:eastAsia="Times New Roman"/>
                <w:noProof/>
              </w:rPr>
            </w:pPr>
            <w:r>
              <w:rPr>
                <w:noProof/>
              </w:rPr>
              <w:t>Intrarea în vigoare a legislației secundare indicate în cadrul juridic revizuit pentru a consolida reglementarea pieței serviciilor publice de transport urban și regional de călători.</w:t>
            </w:r>
          </w:p>
        </w:tc>
      </w:tr>
      <w:tr w:rsidR="00C45D59" w14:paraId="0A9563AE" w14:textId="77777777">
        <w:trPr>
          <w:trHeight w:val="313"/>
          <w:jc w:val="center"/>
        </w:trPr>
        <w:tc>
          <w:tcPr>
            <w:tcW w:w="817" w:type="dxa"/>
            <w:shd w:val="clear" w:color="auto" w:fill="C6EFCE"/>
            <w:noWrap/>
          </w:tcPr>
          <w:p w14:paraId="2F54C40E" w14:textId="77777777" w:rsidR="00C45D59" w:rsidRDefault="009B0962">
            <w:pPr>
              <w:pStyle w:val="P68B1DB1-Normal12"/>
              <w:spacing w:after="0" w:line="240" w:lineRule="auto"/>
              <w:rPr>
                <w:rFonts w:eastAsia="Times New Roman"/>
                <w:noProof/>
              </w:rPr>
            </w:pPr>
            <w:r>
              <w:rPr>
                <w:noProof/>
              </w:rPr>
              <w:t>46</w:t>
            </w:r>
          </w:p>
        </w:tc>
        <w:tc>
          <w:tcPr>
            <w:tcW w:w="1588" w:type="dxa"/>
            <w:shd w:val="clear" w:color="auto" w:fill="C6EFCE"/>
            <w:noWrap/>
          </w:tcPr>
          <w:p w14:paraId="61F20F3F" w14:textId="77777777" w:rsidR="00C45D59" w:rsidRDefault="009B0962">
            <w:pPr>
              <w:pStyle w:val="P68B1DB1-Normal12"/>
              <w:spacing w:after="0" w:line="240" w:lineRule="auto"/>
              <w:rPr>
                <w:rFonts w:eastAsia="Times New Roman"/>
                <w:noProof/>
              </w:rPr>
            </w:pPr>
            <w:r>
              <w:rPr>
                <w:noProof/>
              </w:rPr>
              <w:t xml:space="preserve">3-1.3. Reîncărcare și realimentare – 16831_Produc- E verde </w:t>
            </w:r>
          </w:p>
        </w:tc>
        <w:tc>
          <w:tcPr>
            <w:tcW w:w="992" w:type="dxa"/>
            <w:shd w:val="clear" w:color="auto" w:fill="C6EFCE"/>
            <w:noWrap/>
          </w:tcPr>
          <w:p w14:paraId="1E3FCCA4" w14:textId="77777777" w:rsidR="00C45D59" w:rsidRDefault="009B0962">
            <w:pPr>
              <w:pStyle w:val="P68B1DB1-Normal12"/>
              <w:spacing w:after="0" w:line="240" w:lineRule="auto"/>
              <w:rPr>
                <w:rFonts w:eastAsia="Times New Roman"/>
                <w:noProof/>
              </w:rPr>
            </w:pPr>
            <w:r>
              <w:rPr>
                <w:noProof/>
              </w:rPr>
              <w:t>Etapă</w:t>
            </w:r>
          </w:p>
        </w:tc>
        <w:tc>
          <w:tcPr>
            <w:tcW w:w="1166" w:type="dxa"/>
            <w:shd w:val="clear" w:color="auto" w:fill="C6EFCE"/>
            <w:noWrap/>
          </w:tcPr>
          <w:p w14:paraId="109A6082" w14:textId="77777777" w:rsidR="00C45D59" w:rsidRDefault="009B0962">
            <w:pPr>
              <w:pStyle w:val="P68B1DB1-Normal12"/>
              <w:spacing w:after="0" w:line="240" w:lineRule="auto"/>
              <w:rPr>
                <w:rFonts w:eastAsia="Times New Roman"/>
                <w:noProof/>
              </w:rPr>
            </w:pPr>
            <w:r>
              <w:rPr>
                <w:noProof/>
              </w:rPr>
              <w:t>Unități industriale – lansarea programului</w:t>
            </w:r>
          </w:p>
        </w:tc>
        <w:tc>
          <w:tcPr>
            <w:tcW w:w="2629" w:type="dxa"/>
            <w:shd w:val="clear" w:color="auto" w:fill="C6EFCE"/>
            <w:noWrap/>
          </w:tcPr>
          <w:p w14:paraId="0D752629" w14:textId="5173C89B" w:rsidR="00C45D59" w:rsidRDefault="009B0962">
            <w:pPr>
              <w:pStyle w:val="P68B1DB1-Normal12"/>
              <w:spacing w:after="0" w:line="240" w:lineRule="auto"/>
              <w:rPr>
                <w:rFonts w:eastAsia="Times New Roman"/>
                <w:noProof/>
              </w:rPr>
            </w:pPr>
            <w:r>
              <w:rPr>
                <w:noProof/>
              </w:rPr>
              <w:t>Intrarea în vigoare a deciziei (deciziilor) ministeriale</w:t>
            </w:r>
          </w:p>
          <w:p w14:paraId="62459895" w14:textId="77777777" w:rsidR="00C45D59" w:rsidRDefault="00C45D59">
            <w:pPr>
              <w:spacing w:after="0" w:line="240" w:lineRule="auto"/>
              <w:rPr>
                <w:rFonts w:ascii="Times New Roman" w:eastAsia="Times New Roman" w:hAnsi="Times New Roman" w:cs="Times New Roman"/>
                <w:noProof/>
                <w:color w:val="006100"/>
                <w:sz w:val="18"/>
                <w:szCs w:val="18"/>
                <w:highlight w:val="yellow"/>
              </w:rPr>
            </w:pPr>
          </w:p>
        </w:tc>
        <w:tc>
          <w:tcPr>
            <w:tcW w:w="1460" w:type="dxa"/>
            <w:shd w:val="clear" w:color="auto" w:fill="C6EFCE"/>
            <w:noWrap/>
          </w:tcPr>
          <w:p w14:paraId="22FB73FB"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57" w:type="dxa"/>
            <w:shd w:val="clear" w:color="auto" w:fill="C6EFCE"/>
            <w:noWrap/>
          </w:tcPr>
          <w:p w14:paraId="239D3495"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936" w:type="dxa"/>
            <w:shd w:val="clear" w:color="auto" w:fill="C6EFCE"/>
            <w:noWrap/>
          </w:tcPr>
          <w:p w14:paraId="60F70E25"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46" w:type="dxa"/>
            <w:shd w:val="clear" w:color="auto" w:fill="C6EFCE"/>
            <w:noWrap/>
          </w:tcPr>
          <w:p w14:paraId="00E68F5E" w14:textId="77777777" w:rsidR="00C45D59" w:rsidRDefault="009B0962">
            <w:pPr>
              <w:pStyle w:val="P68B1DB1-Normal12"/>
              <w:spacing w:after="0" w:line="240" w:lineRule="auto"/>
              <w:rPr>
                <w:rFonts w:eastAsia="Times New Roman"/>
                <w:noProof/>
              </w:rPr>
            </w:pPr>
            <w:r>
              <w:rPr>
                <w:noProof/>
              </w:rPr>
              <w:t>Î4</w:t>
            </w:r>
          </w:p>
        </w:tc>
        <w:tc>
          <w:tcPr>
            <w:tcW w:w="709" w:type="dxa"/>
            <w:shd w:val="clear" w:color="auto" w:fill="C6EFCE"/>
            <w:noWrap/>
          </w:tcPr>
          <w:p w14:paraId="2816A82C" w14:textId="77777777" w:rsidR="00C45D59" w:rsidRDefault="009B0962">
            <w:pPr>
              <w:pStyle w:val="P68B1DB1-Normal12"/>
              <w:spacing w:after="0" w:line="240" w:lineRule="auto"/>
              <w:rPr>
                <w:rFonts w:eastAsia="Times New Roman"/>
                <w:noProof/>
              </w:rPr>
            </w:pPr>
            <w:r>
              <w:rPr>
                <w:noProof/>
              </w:rPr>
              <w:t>2022</w:t>
            </w:r>
          </w:p>
        </w:tc>
        <w:tc>
          <w:tcPr>
            <w:tcW w:w="3191" w:type="dxa"/>
            <w:shd w:val="clear" w:color="auto" w:fill="C6EFCE"/>
            <w:noWrap/>
          </w:tcPr>
          <w:p w14:paraId="083E5B1C" w14:textId="77777777" w:rsidR="00C45D59" w:rsidRDefault="009B0962">
            <w:pPr>
              <w:pStyle w:val="P68B1DB1-Normal12"/>
              <w:spacing w:after="0" w:line="240" w:lineRule="auto"/>
              <w:rPr>
                <w:rFonts w:eastAsia="Times New Roman"/>
                <w:noProof/>
              </w:rPr>
            </w:pPr>
            <w:r>
              <w:rPr>
                <w:noProof/>
              </w:rPr>
              <w:t>Lansarea programului de selecție a unităților industriale și intrarea în vigoare a deciziei (deciziilor) ministeriale relevante de către Ministerul Mediului și Energiei, care stabilește:</w:t>
            </w:r>
          </w:p>
          <w:p w14:paraId="5B39E5D9" w14:textId="77777777" w:rsidR="00C45D59" w:rsidRDefault="009B0962">
            <w:pPr>
              <w:pStyle w:val="P68B1DB1-Normal12"/>
              <w:spacing w:after="0" w:line="240" w:lineRule="auto"/>
              <w:rPr>
                <w:rFonts w:eastAsia="Times New Roman"/>
                <w:noProof/>
              </w:rPr>
            </w:pPr>
            <w:r>
              <w:rPr>
                <w:noProof/>
              </w:rPr>
              <w:t>— Procesul de selecție pentru a viza economia cu emisii scăzute de dioxid de carbon și reziliența la schimbările climatice;</w:t>
            </w:r>
          </w:p>
          <w:p w14:paraId="57339F84" w14:textId="77777777" w:rsidR="00C45D59" w:rsidRDefault="009B0962">
            <w:pPr>
              <w:pStyle w:val="P68B1DB1-Normal12"/>
              <w:spacing w:after="0" w:line="240" w:lineRule="auto"/>
              <w:rPr>
                <w:rFonts w:eastAsia="Times New Roman"/>
                <w:noProof/>
              </w:rPr>
            </w:pPr>
            <w:r>
              <w:rPr>
                <w:noProof/>
              </w:rPr>
              <w:t>Definirea mecanismului de punere în aplicare;</w:t>
            </w:r>
          </w:p>
          <w:p w14:paraId="727B7FD7" w14:textId="77777777" w:rsidR="00C45D59" w:rsidRDefault="009B0962">
            <w:pPr>
              <w:pStyle w:val="P68B1DB1-Normal12"/>
              <w:spacing w:after="0" w:line="240" w:lineRule="auto"/>
              <w:rPr>
                <w:rFonts w:eastAsia="Times New Roman"/>
                <w:noProof/>
              </w:rPr>
            </w:pPr>
            <w:r>
              <w:rPr>
                <w:noProof/>
              </w:rPr>
              <w:t>— Mecanismul (mecanismele) de certificare pentru a valida îndeplinirea obiectivului privind schimbările climatice (inclusiv detalii privind posibilele acțiuni corective, dacă este necesar; și</w:t>
            </w:r>
          </w:p>
          <w:p w14:paraId="06E442BC" w14:textId="77777777" w:rsidR="00C45D59" w:rsidRDefault="009B0962">
            <w:pPr>
              <w:pStyle w:val="P68B1DB1-Normal12"/>
              <w:spacing w:after="0" w:line="240" w:lineRule="auto"/>
              <w:rPr>
                <w:rFonts w:eastAsia="Times New Roman"/>
                <w:noProof/>
              </w:rPr>
            </w:pPr>
            <w:r>
              <w:rPr>
                <w:noProof/>
              </w:rPr>
              <w:t>— Calendarul.</w:t>
            </w:r>
          </w:p>
          <w:p w14:paraId="7DE0E1DD" w14:textId="77777777" w:rsidR="00C45D59" w:rsidRDefault="00C45D59">
            <w:pPr>
              <w:spacing w:after="0" w:line="240" w:lineRule="auto"/>
              <w:rPr>
                <w:rFonts w:ascii="Times New Roman" w:eastAsia="Times New Roman" w:hAnsi="Times New Roman" w:cs="Times New Roman"/>
                <w:noProof/>
                <w:color w:val="006100"/>
                <w:sz w:val="18"/>
                <w:szCs w:val="18"/>
              </w:rPr>
            </w:pPr>
          </w:p>
          <w:p w14:paraId="3745C4A3" w14:textId="77777777" w:rsidR="00C45D59" w:rsidRDefault="009B0962">
            <w:pPr>
              <w:pStyle w:val="P68B1DB1-Normal12"/>
              <w:spacing w:after="0" w:line="240" w:lineRule="auto"/>
              <w:rPr>
                <w:rFonts w:eastAsia="Times New Roman"/>
                <w:noProof/>
              </w:rPr>
            </w:pPr>
            <w:r>
              <w:rPr>
                <w:noProof/>
              </w:rPr>
              <w:t>Criteriile de selecție/eligibilitate stabilite asigură faptul că proiectele selectate respectă Orientările tehnice de „a nu prejudicia în mod semnificativ” (2021/C58/01) prin utilizarea unei liste de excludere și a cerinței de conformitate cu legislația UE și națională relevantă în materie de mediu.</w:t>
            </w:r>
          </w:p>
        </w:tc>
      </w:tr>
      <w:tr w:rsidR="00C45D59" w14:paraId="683A8BAD" w14:textId="77777777">
        <w:trPr>
          <w:trHeight w:val="313"/>
          <w:jc w:val="center"/>
        </w:trPr>
        <w:tc>
          <w:tcPr>
            <w:tcW w:w="817" w:type="dxa"/>
            <w:shd w:val="clear" w:color="auto" w:fill="C6EFCE"/>
            <w:noWrap/>
          </w:tcPr>
          <w:p w14:paraId="201DC21C" w14:textId="77777777" w:rsidR="00C45D59" w:rsidRDefault="009B0962">
            <w:pPr>
              <w:pStyle w:val="P68B1DB1-Normal12"/>
              <w:spacing w:after="0" w:line="240" w:lineRule="auto"/>
              <w:rPr>
                <w:rFonts w:eastAsia="Times New Roman"/>
                <w:noProof/>
              </w:rPr>
            </w:pPr>
            <w:r>
              <w:rPr>
                <w:noProof/>
              </w:rPr>
              <w:t>47</w:t>
            </w:r>
          </w:p>
        </w:tc>
        <w:tc>
          <w:tcPr>
            <w:tcW w:w="1588" w:type="dxa"/>
            <w:shd w:val="clear" w:color="auto" w:fill="C6EFCE"/>
            <w:noWrap/>
          </w:tcPr>
          <w:p w14:paraId="30AC72FB" w14:textId="77777777" w:rsidR="00C45D59" w:rsidRDefault="009B0962">
            <w:pPr>
              <w:pStyle w:val="P68B1DB1-Normal12"/>
              <w:spacing w:after="0" w:line="240" w:lineRule="auto"/>
              <w:rPr>
                <w:rFonts w:eastAsia="Times New Roman"/>
                <w:noProof/>
              </w:rPr>
            </w:pPr>
            <w:r>
              <w:rPr>
                <w:noProof/>
              </w:rPr>
              <w:t>3-1.3. Reîncărcare și realimentare – 16924_ Electromobilitate</w:t>
            </w:r>
          </w:p>
        </w:tc>
        <w:tc>
          <w:tcPr>
            <w:tcW w:w="992" w:type="dxa"/>
            <w:shd w:val="clear" w:color="auto" w:fill="C6EFCE"/>
            <w:noWrap/>
          </w:tcPr>
          <w:p w14:paraId="62C3D39C" w14:textId="77777777" w:rsidR="00C45D59" w:rsidRDefault="009B0962">
            <w:pPr>
              <w:pStyle w:val="P68B1DB1-Normal12"/>
              <w:spacing w:after="0" w:line="240" w:lineRule="auto"/>
              <w:rPr>
                <w:rFonts w:eastAsia="Times New Roman"/>
                <w:noProof/>
              </w:rPr>
            </w:pPr>
            <w:r>
              <w:rPr>
                <w:noProof/>
              </w:rPr>
              <w:t>Etapă</w:t>
            </w:r>
          </w:p>
        </w:tc>
        <w:tc>
          <w:tcPr>
            <w:tcW w:w="1166" w:type="dxa"/>
            <w:shd w:val="clear" w:color="auto" w:fill="C6EFCE"/>
            <w:noWrap/>
          </w:tcPr>
          <w:p w14:paraId="0D99EC01" w14:textId="77777777" w:rsidR="00C45D59" w:rsidRDefault="009B0962">
            <w:pPr>
              <w:pStyle w:val="P68B1DB1-Normal12"/>
              <w:spacing w:after="0" w:line="240" w:lineRule="auto"/>
              <w:rPr>
                <w:rFonts w:eastAsia="Times New Roman"/>
                <w:noProof/>
              </w:rPr>
            </w:pPr>
            <w:r>
              <w:rPr>
                <w:noProof/>
              </w:rPr>
              <w:t xml:space="preserve"> Puncte de încărcare a vehiculelor electrice – lansarea programelor</w:t>
            </w:r>
          </w:p>
        </w:tc>
        <w:tc>
          <w:tcPr>
            <w:tcW w:w="2629" w:type="dxa"/>
            <w:shd w:val="clear" w:color="auto" w:fill="C6EFCE"/>
            <w:noWrap/>
          </w:tcPr>
          <w:p w14:paraId="64FF9E27" w14:textId="61E3D64C" w:rsidR="00C45D59" w:rsidRDefault="009B0962">
            <w:pPr>
              <w:pStyle w:val="P68B1DB1-Normal12"/>
              <w:spacing w:after="0" w:line="240" w:lineRule="auto"/>
              <w:rPr>
                <w:rFonts w:eastAsia="Times New Roman"/>
                <w:noProof/>
              </w:rPr>
            </w:pPr>
            <w:r>
              <w:rPr>
                <w:noProof/>
              </w:rPr>
              <w:t>Intrarea în vigoare a deciziei (deciziilor) ministeriale</w:t>
            </w:r>
          </w:p>
          <w:p w14:paraId="3D633C6C"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460" w:type="dxa"/>
            <w:shd w:val="clear" w:color="auto" w:fill="C6EFCE"/>
            <w:noWrap/>
          </w:tcPr>
          <w:p w14:paraId="2311D78C"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57" w:type="dxa"/>
            <w:shd w:val="clear" w:color="auto" w:fill="C6EFCE"/>
            <w:noWrap/>
          </w:tcPr>
          <w:p w14:paraId="7E86E74E"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936" w:type="dxa"/>
            <w:shd w:val="clear" w:color="auto" w:fill="C6EFCE"/>
            <w:noWrap/>
          </w:tcPr>
          <w:p w14:paraId="18648630"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46" w:type="dxa"/>
            <w:shd w:val="clear" w:color="auto" w:fill="C6EFCE"/>
            <w:noWrap/>
          </w:tcPr>
          <w:p w14:paraId="637C93CF" w14:textId="77777777" w:rsidR="00C45D59" w:rsidRDefault="009B0962">
            <w:pPr>
              <w:pStyle w:val="P68B1DB1-Normal12"/>
              <w:spacing w:after="0" w:line="240" w:lineRule="auto"/>
              <w:rPr>
                <w:rFonts w:eastAsia="Times New Roman"/>
                <w:noProof/>
              </w:rPr>
            </w:pPr>
            <w:r>
              <w:rPr>
                <w:noProof/>
              </w:rPr>
              <w:t>Î4</w:t>
            </w:r>
          </w:p>
        </w:tc>
        <w:tc>
          <w:tcPr>
            <w:tcW w:w="709" w:type="dxa"/>
            <w:shd w:val="clear" w:color="auto" w:fill="C6EFCE"/>
            <w:noWrap/>
          </w:tcPr>
          <w:p w14:paraId="3D3F6B21" w14:textId="77777777" w:rsidR="00C45D59" w:rsidRDefault="009B0962">
            <w:pPr>
              <w:pStyle w:val="P68B1DB1-Normal12"/>
              <w:spacing w:after="0" w:line="240" w:lineRule="auto"/>
              <w:rPr>
                <w:rFonts w:eastAsia="Times New Roman"/>
                <w:noProof/>
              </w:rPr>
            </w:pPr>
            <w:r>
              <w:rPr>
                <w:noProof/>
              </w:rPr>
              <w:t>2022</w:t>
            </w:r>
          </w:p>
        </w:tc>
        <w:tc>
          <w:tcPr>
            <w:tcW w:w="3191" w:type="dxa"/>
            <w:shd w:val="clear" w:color="auto" w:fill="C6EFCE"/>
            <w:noWrap/>
          </w:tcPr>
          <w:p w14:paraId="44FD9F4A" w14:textId="47E3B08D" w:rsidR="00C45D59" w:rsidRDefault="009B0962">
            <w:pPr>
              <w:pStyle w:val="P68B1DB1-Normal12"/>
              <w:spacing w:after="0" w:line="240" w:lineRule="auto"/>
              <w:rPr>
                <w:rFonts w:eastAsia="Times New Roman"/>
                <w:noProof/>
              </w:rPr>
            </w:pPr>
            <w:r>
              <w:rPr>
                <w:noProof/>
              </w:rPr>
              <w:t>Lansarea programului pentru selectarea a peste 8 000 de puncte de încărcare pentru vehiculele electrice accesibile publicului în locații urbane și suburbane strategice din orașe și în puncte de interes („electromobilitate”) și intrarea în vigoare a deciziei (deciziilor) ministeriale relevante a (ale) Ministerului Mediului și Energiei care stabilește (stabilesc):</w:t>
            </w:r>
          </w:p>
          <w:p w14:paraId="50D4AC9A" w14:textId="77777777" w:rsidR="00C45D59" w:rsidRDefault="009B0962">
            <w:pPr>
              <w:pStyle w:val="P68B1DB1-Normal12"/>
              <w:spacing w:after="0" w:line="240" w:lineRule="auto"/>
              <w:rPr>
                <w:rFonts w:eastAsia="Times New Roman"/>
                <w:noProof/>
              </w:rPr>
            </w:pPr>
            <w:r>
              <w:rPr>
                <w:noProof/>
              </w:rPr>
              <w:t>— Procesul de selecție;</w:t>
            </w:r>
          </w:p>
          <w:p w14:paraId="09EE7E2B" w14:textId="77777777" w:rsidR="00C45D59" w:rsidRDefault="009B0962">
            <w:pPr>
              <w:pStyle w:val="P68B1DB1-Normal12"/>
              <w:spacing w:after="0" w:line="240" w:lineRule="auto"/>
              <w:rPr>
                <w:rFonts w:eastAsia="Times New Roman"/>
                <w:noProof/>
              </w:rPr>
            </w:pPr>
            <w:r>
              <w:rPr>
                <w:noProof/>
              </w:rPr>
              <w:t>Definirea mecanismului de punere în aplicare;</w:t>
            </w:r>
          </w:p>
          <w:p w14:paraId="1D6AF284" w14:textId="77777777" w:rsidR="00C45D59" w:rsidRDefault="009B0962">
            <w:pPr>
              <w:pStyle w:val="P68B1DB1-Normal12"/>
              <w:spacing w:after="0" w:line="240" w:lineRule="auto"/>
              <w:rPr>
                <w:rFonts w:eastAsia="Times New Roman"/>
                <w:noProof/>
              </w:rPr>
            </w:pPr>
            <w:r>
              <w:rPr>
                <w:noProof/>
              </w:rPr>
              <w:t>— Mecanismul (mecanismele) de certificare pentru a valida îndeplinirea obiectivului privind schimbările climatice (inclusiv detalii privind posibilele acțiuni corective, dacă este necesar; și</w:t>
            </w:r>
          </w:p>
          <w:p w14:paraId="2AE682F4" w14:textId="77777777" w:rsidR="00C45D59" w:rsidRDefault="009B0962">
            <w:pPr>
              <w:pStyle w:val="P68B1DB1-Normal12"/>
              <w:spacing w:after="0" w:line="240" w:lineRule="auto"/>
              <w:rPr>
                <w:rFonts w:eastAsia="Times New Roman"/>
                <w:noProof/>
              </w:rPr>
            </w:pPr>
            <w:r>
              <w:rPr>
                <w:noProof/>
              </w:rPr>
              <w:t>Cronologie</w:t>
            </w:r>
          </w:p>
        </w:tc>
      </w:tr>
      <w:tr w:rsidR="00C45D59" w14:paraId="60ACC744" w14:textId="77777777">
        <w:trPr>
          <w:trHeight w:val="313"/>
          <w:jc w:val="center"/>
        </w:trPr>
        <w:tc>
          <w:tcPr>
            <w:tcW w:w="817" w:type="dxa"/>
            <w:shd w:val="clear" w:color="auto" w:fill="C6EFCE"/>
            <w:noWrap/>
          </w:tcPr>
          <w:p w14:paraId="290D5F2A" w14:textId="77777777" w:rsidR="00C45D59" w:rsidRDefault="009B0962">
            <w:pPr>
              <w:pStyle w:val="P68B1DB1-Normal12"/>
              <w:spacing w:after="0" w:line="240" w:lineRule="auto"/>
              <w:rPr>
                <w:rFonts w:eastAsia="Times New Roman"/>
                <w:noProof/>
              </w:rPr>
            </w:pPr>
            <w:r>
              <w:rPr>
                <w:noProof/>
              </w:rPr>
              <w:t>48</w:t>
            </w:r>
          </w:p>
        </w:tc>
        <w:tc>
          <w:tcPr>
            <w:tcW w:w="1588" w:type="dxa"/>
            <w:shd w:val="clear" w:color="auto" w:fill="C6EFCE"/>
            <w:noWrap/>
          </w:tcPr>
          <w:p w14:paraId="010896A5" w14:textId="77777777" w:rsidR="00C45D59" w:rsidRDefault="009B0962">
            <w:pPr>
              <w:pStyle w:val="P68B1DB1-Normal12"/>
              <w:spacing w:after="0" w:line="240" w:lineRule="auto"/>
              <w:rPr>
                <w:rFonts w:eastAsia="Times New Roman"/>
                <w:noProof/>
              </w:rPr>
            </w:pPr>
            <w:r>
              <w:rPr>
                <w:noProof/>
              </w:rPr>
              <w:t>3-1.3. Reîncărcare și realimentare – 16924_ Electromobilitate</w:t>
            </w:r>
          </w:p>
        </w:tc>
        <w:tc>
          <w:tcPr>
            <w:tcW w:w="992" w:type="dxa"/>
            <w:shd w:val="clear" w:color="auto" w:fill="C6EFCE"/>
            <w:noWrap/>
          </w:tcPr>
          <w:p w14:paraId="4187D6E3" w14:textId="77777777" w:rsidR="00C45D59" w:rsidRDefault="009B0962">
            <w:pPr>
              <w:pStyle w:val="P68B1DB1-Normal12"/>
              <w:spacing w:after="0" w:line="240" w:lineRule="auto"/>
              <w:rPr>
                <w:rFonts w:eastAsia="Times New Roman"/>
                <w:noProof/>
              </w:rPr>
            </w:pPr>
            <w:r>
              <w:rPr>
                <w:noProof/>
              </w:rPr>
              <w:t>Etapă</w:t>
            </w:r>
          </w:p>
        </w:tc>
        <w:tc>
          <w:tcPr>
            <w:tcW w:w="1166" w:type="dxa"/>
            <w:shd w:val="clear" w:color="auto" w:fill="C6EFCE"/>
            <w:noWrap/>
          </w:tcPr>
          <w:p w14:paraId="134B9CFC" w14:textId="77777777" w:rsidR="00C45D59" w:rsidRDefault="009B0962">
            <w:pPr>
              <w:pStyle w:val="P68B1DB1-Normal12"/>
              <w:spacing w:after="0" w:line="240" w:lineRule="auto"/>
              <w:rPr>
                <w:rFonts w:eastAsia="Times New Roman"/>
                <w:noProof/>
              </w:rPr>
            </w:pPr>
            <w:r>
              <w:rPr>
                <w:noProof/>
              </w:rPr>
              <w:t>Transport durabil – studiu de fezabilitate</w:t>
            </w:r>
          </w:p>
        </w:tc>
        <w:tc>
          <w:tcPr>
            <w:tcW w:w="2629" w:type="dxa"/>
            <w:shd w:val="clear" w:color="auto" w:fill="C6EFCE"/>
            <w:noWrap/>
          </w:tcPr>
          <w:p w14:paraId="56D2184F" w14:textId="26D508FF" w:rsidR="00C45D59" w:rsidRDefault="009B0962">
            <w:pPr>
              <w:pStyle w:val="P68B1DB1-Normal12"/>
              <w:spacing w:after="0" w:line="240" w:lineRule="auto"/>
              <w:rPr>
                <w:rFonts w:eastAsia="Times New Roman"/>
                <w:noProof/>
              </w:rPr>
            </w:pPr>
            <w:r>
              <w:rPr>
                <w:noProof/>
              </w:rPr>
              <w:t>Intrarea în vigoare a unei decizii ministeriale comune de adoptare a studiului de fezabilitate pentru o agenție de e-mobilitate</w:t>
            </w:r>
          </w:p>
        </w:tc>
        <w:tc>
          <w:tcPr>
            <w:tcW w:w="1460" w:type="dxa"/>
            <w:shd w:val="clear" w:color="auto" w:fill="C6EFCE"/>
            <w:noWrap/>
          </w:tcPr>
          <w:p w14:paraId="54FB6158"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57" w:type="dxa"/>
            <w:shd w:val="clear" w:color="auto" w:fill="C6EFCE"/>
            <w:noWrap/>
          </w:tcPr>
          <w:p w14:paraId="4AD25438"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936" w:type="dxa"/>
            <w:shd w:val="clear" w:color="auto" w:fill="C6EFCE"/>
            <w:noWrap/>
          </w:tcPr>
          <w:p w14:paraId="01F5CDBA"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46" w:type="dxa"/>
            <w:shd w:val="clear" w:color="auto" w:fill="C6EFCE"/>
            <w:noWrap/>
          </w:tcPr>
          <w:p w14:paraId="4DE202D4" w14:textId="77777777" w:rsidR="00C45D59" w:rsidRDefault="009B0962">
            <w:pPr>
              <w:pStyle w:val="P68B1DB1-Normal12"/>
              <w:spacing w:after="0" w:line="240" w:lineRule="auto"/>
              <w:rPr>
                <w:rFonts w:eastAsia="Times New Roman"/>
                <w:noProof/>
              </w:rPr>
            </w:pPr>
            <w:r>
              <w:rPr>
                <w:noProof/>
              </w:rPr>
              <w:t>Î4</w:t>
            </w:r>
          </w:p>
        </w:tc>
        <w:tc>
          <w:tcPr>
            <w:tcW w:w="709" w:type="dxa"/>
            <w:shd w:val="clear" w:color="auto" w:fill="C6EFCE"/>
            <w:noWrap/>
          </w:tcPr>
          <w:p w14:paraId="729369F0" w14:textId="77777777" w:rsidR="00C45D59" w:rsidRDefault="009B0962">
            <w:pPr>
              <w:pStyle w:val="P68B1DB1-Normal12"/>
              <w:spacing w:after="0" w:line="240" w:lineRule="auto"/>
              <w:rPr>
                <w:rFonts w:eastAsia="Times New Roman"/>
                <w:noProof/>
              </w:rPr>
            </w:pPr>
            <w:r>
              <w:rPr>
                <w:noProof/>
              </w:rPr>
              <w:t>2022</w:t>
            </w:r>
          </w:p>
        </w:tc>
        <w:tc>
          <w:tcPr>
            <w:tcW w:w="3191" w:type="dxa"/>
            <w:shd w:val="clear" w:color="auto" w:fill="C6EFCE"/>
            <w:noWrap/>
          </w:tcPr>
          <w:p w14:paraId="1C5414C0" w14:textId="77777777" w:rsidR="00C45D59" w:rsidRDefault="009B0962">
            <w:pPr>
              <w:pStyle w:val="P68B1DB1-Normal12"/>
              <w:spacing w:after="0" w:line="240" w:lineRule="auto"/>
              <w:rPr>
                <w:rFonts w:eastAsia="Times New Roman"/>
                <w:noProof/>
              </w:rPr>
            </w:pPr>
            <w:r>
              <w:rPr>
                <w:noProof/>
              </w:rPr>
              <w:t>Intrarea în vigoare a unei decizii ministeriale comune de adoptare a unui studiu de fezabilitate pentru înființarea unei agenții pentru electromobilitate care să asigure planificarea și coordonarea corespunzătoare între infrastructurile de transport și energie, administrațiile regionale și locale și să promoveze legăturile dintre lanțul de aprovizionare electronic – inclusiv producătorii de baterii și de SRE – și baza de cercetare și inovare.</w:t>
            </w:r>
          </w:p>
        </w:tc>
      </w:tr>
      <w:tr w:rsidR="00C45D59" w14:paraId="66787F60" w14:textId="77777777">
        <w:trPr>
          <w:trHeight w:val="313"/>
          <w:jc w:val="center"/>
        </w:trPr>
        <w:tc>
          <w:tcPr>
            <w:tcW w:w="817" w:type="dxa"/>
            <w:shd w:val="clear" w:color="auto" w:fill="C6EFCE"/>
            <w:noWrap/>
          </w:tcPr>
          <w:p w14:paraId="5F655A69" w14:textId="77777777" w:rsidR="00C45D59" w:rsidRDefault="009B0962">
            <w:pPr>
              <w:pStyle w:val="P68B1DB1-Normal12"/>
              <w:spacing w:after="0" w:line="240" w:lineRule="auto"/>
              <w:rPr>
                <w:rFonts w:eastAsia="Times New Roman"/>
                <w:noProof/>
              </w:rPr>
            </w:pPr>
            <w:r>
              <w:rPr>
                <w:noProof/>
              </w:rPr>
              <w:t>50</w:t>
            </w:r>
          </w:p>
        </w:tc>
        <w:tc>
          <w:tcPr>
            <w:tcW w:w="1588" w:type="dxa"/>
            <w:shd w:val="clear" w:color="auto" w:fill="C6EFCE"/>
            <w:noWrap/>
          </w:tcPr>
          <w:p w14:paraId="4E4A5EC3" w14:textId="77777777" w:rsidR="00C45D59" w:rsidRDefault="009B0962">
            <w:pPr>
              <w:pStyle w:val="P68B1DB1-Normal12"/>
              <w:spacing w:after="0" w:line="240" w:lineRule="auto"/>
              <w:rPr>
                <w:rFonts w:eastAsia="Times New Roman"/>
                <w:noProof/>
              </w:rPr>
            </w:pPr>
            <w:r>
              <w:rPr>
                <w:noProof/>
              </w:rPr>
              <w:t>3-1.3. Reîncărcare și realimentare – 16831_Produc- E verde</w:t>
            </w:r>
          </w:p>
        </w:tc>
        <w:tc>
          <w:tcPr>
            <w:tcW w:w="992" w:type="dxa"/>
            <w:shd w:val="clear" w:color="auto" w:fill="C6EFCE"/>
            <w:noWrap/>
          </w:tcPr>
          <w:p w14:paraId="162238E8" w14:textId="77777777" w:rsidR="00C45D59" w:rsidRDefault="009B0962">
            <w:pPr>
              <w:pStyle w:val="P68B1DB1-Normal12"/>
              <w:spacing w:after="0" w:line="240" w:lineRule="auto"/>
              <w:rPr>
                <w:rFonts w:eastAsia="Times New Roman"/>
                <w:noProof/>
              </w:rPr>
            </w:pPr>
            <w:r>
              <w:rPr>
                <w:noProof/>
              </w:rPr>
              <w:t>Etapă</w:t>
            </w:r>
          </w:p>
        </w:tc>
        <w:tc>
          <w:tcPr>
            <w:tcW w:w="1166" w:type="dxa"/>
            <w:shd w:val="clear" w:color="auto" w:fill="C6EFCE"/>
            <w:noWrap/>
          </w:tcPr>
          <w:p w14:paraId="39EDDC7F" w14:textId="77777777" w:rsidR="00C45D59" w:rsidRDefault="009B0962">
            <w:pPr>
              <w:pStyle w:val="P68B1DB1-Normal12"/>
              <w:spacing w:after="0" w:line="240" w:lineRule="auto"/>
              <w:rPr>
                <w:rFonts w:eastAsia="Times New Roman"/>
                <w:noProof/>
              </w:rPr>
            </w:pPr>
            <w:r>
              <w:rPr>
                <w:noProof/>
              </w:rPr>
              <w:t>Unități industriale – societăți selectate</w:t>
            </w:r>
          </w:p>
        </w:tc>
        <w:tc>
          <w:tcPr>
            <w:tcW w:w="2629" w:type="dxa"/>
            <w:shd w:val="clear" w:color="auto" w:fill="C6EFCE"/>
            <w:noWrap/>
          </w:tcPr>
          <w:p w14:paraId="7530C129" w14:textId="77777777" w:rsidR="00C45D59" w:rsidRDefault="009B0962">
            <w:pPr>
              <w:pStyle w:val="P68B1DB1-Normal12"/>
              <w:spacing w:after="0" w:line="240" w:lineRule="auto"/>
              <w:rPr>
                <w:rFonts w:eastAsia="Times New Roman"/>
                <w:noProof/>
              </w:rPr>
            </w:pPr>
            <w:r>
              <w:rPr>
                <w:noProof/>
              </w:rPr>
              <w:t>Aprobarea cererilor de către Ministerul Mediului și Energiei</w:t>
            </w:r>
          </w:p>
        </w:tc>
        <w:tc>
          <w:tcPr>
            <w:tcW w:w="1460" w:type="dxa"/>
            <w:shd w:val="clear" w:color="auto" w:fill="C6EFCE"/>
            <w:noWrap/>
          </w:tcPr>
          <w:p w14:paraId="6A6F379B"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57" w:type="dxa"/>
            <w:shd w:val="clear" w:color="auto" w:fill="C6EFCE"/>
            <w:noWrap/>
          </w:tcPr>
          <w:p w14:paraId="47B51CEF"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936" w:type="dxa"/>
            <w:shd w:val="clear" w:color="auto" w:fill="C6EFCE"/>
            <w:noWrap/>
          </w:tcPr>
          <w:p w14:paraId="0A23DEAF"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46" w:type="dxa"/>
            <w:shd w:val="clear" w:color="auto" w:fill="C6EFCE"/>
            <w:noWrap/>
          </w:tcPr>
          <w:p w14:paraId="1D229B98" w14:textId="77777777" w:rsidR="00C45D59" w:rsidRDefault="009B0962">
            <w:pPr>
              <w:pStyle w:val="P68B1DB1-Normal12"/>
              <w:spacing w:after="0" w:line="240" w:lineRule="auto"/>
              <w:rPr>
                <w:rFonts w:eastAsia="Times New Roman"/>
                <w:noProof/>
              </w:rPr>
            </w:pPr>
            <w:r>
              <w:rPr>
                <w:noProof/>
              </w:rPr>
              <w:t>Î4</w:t>
            </w:r>
          </w:p>
        </w:tc>
        <w:tc>
          <w:tcPr>
            <w:tcW w:w="709" w:type="dxa"/>
            <w:shd w:val="clear" w:color="auto" w:fill="C6EFCE"/>
            <w:noWrap/>
          </w:tcPr>
          <w:p w14:paraId="53B7DCA7" w14:textId="77777777" w:rsidR="00C45D59" w:rsidRDefault="009B0962">
            <w:pPr>
              <w:pStyle w:val="P68B1DB1-Normal12"/>
              <w:spacing w:after="0" w:line="240" w:lineRule="auto"/>
              <w:rPr>
                <w:rFonts w:eastAsia="Times New Roman"/>
                <w:noProof/>
              </w:rPr>
            </w:pPr>
            <w:r>
              <w:rPr>
                <w:noProof/>
              </w:rPr>
              <w:t>2023</w:t>
            </w:r>
          </w:p>
        </w:tc>
        <w:tc>
          <w:tcPr>
            <w:tcW w:w="3191" w:type="dxa"/>
            <w:shd w:val="clear" w:color="auto" w:fill="C6EFCE"/>
            <w:noWrap/>
          </w:tcPr>
          <w:p w14:paraId="4F98C29E" w14:textId="77777777" w:rsidR="00C45D59" w:rsidRDefault="009B0962">
            <w:pPr>
              <w:pStyle w:val="P68B1DB1-Normal12"/>
              <w:spacing w:after="0" w:line="240" w:lineRule="auto"/>
              <w:rPr>
                <w:rFonts w:eastAsia="Times New Roman"/>
                <w:noProof/>
              </w:rPr>
            </w:pPr>
            <w:r>
              <w:rPr>
                <w:noProof/>
              </w:rPr>
              <w:t>Aprobarea de către Ministerul Mediului și Energiei a cererilor depuse pentru mai mult de 10 unități industriale („Produce E-Green”).</w:t>
            </w:r>
          </w:p>
          <w:p w14:paraId="326EF9F8" w14:textId="77777777" w:rsidR="00C45D59" w:rsidRDefault="009B0962">
            <w:pPr>
              <w:pStyle w:val="P68B1DB1-Normal12"/>
              <w:spacing w:after="0" w:line="240" w:lineRule="auto"/>
              <w:rPr>
                <w:rFonts w:eastAsia="Times New Roman"/>
                <w:noProof/>
              </w:rPr>
            </w:pPr>
            <w:r>
              <w:rPr>
                <w:noProof/>
              </w:rPr>
              <w:t>Candidaturile se selectează în conformitate cu criteriile de selecție/eligibilitate și asigură faptul că proiectele selectate respectă Orientările tehnice de „a nu prejudicia în mod semnificativ” (2021/C58/01) prin utilizarea unei liste de excludere și a cerinței de conformitate cu legislația UE și națională relevantă în materie de mediu.</w:t>
            </w:r>
          </w:p>
        </w:tc>
      </w:tr>
      <w:tr w:rsidR="00C45D59" w14:paraId="0C0EC2D6" w14:textId="77777777">
        <w:trPr>
          <w:trHeight w:val="313"/>
          <w:jc w:val="center"/>
        </w:trPr>
        <w:tc>
          <w:tcPr>
            <w:tcW w:w="817" w:type="dxa"/>
            <w:shd w:val="clear" w:color="auto" w:fill="C6EFCE"/>
            <w:noWrap/>
          </w:tcPr>
          <w:p w14:paraId="37BB6F60" w14:textId="77777777" w:rsidR="00C45D59" w:rsidRDefault="009B0962">
            <w:pPr>
              <w:pStyle w:val="P68B1DB1-Normal12"/>
              <w:spacing w:after="0" w:line="240" w:lineRule="auto"/>
              <w:rPr>
                <w:rFonts w:eastAsia="Times New Roman"/>
                <w:noProof/>
              </w:rPr>
            </w:pPr>
            <w:r>
              <w:rPr>
                <w:noProof/>
              </w:rPr>
              <w:t>51</w:t>
            </w:r>
          </w:p>
        </w:tc>
        <w:tc>
          <w:tcPr>
            <w:tcW w:w="1588" w:type="dxa"/>
            <w:shd w:val="clear" w:color="auto" w:fill="C6EFCE"/>
            <w:noWrap/>
          </w:tcPr>
          <w:p w14:paraId="2CAC8620" w14:textId="77777777" w:rsidR="00C45D59" w:rsidRDefault="009B0962">
            <w:pPr>
              <w:pStyle w:val="P68B1DB1-Normal12"/>
              <w:spacing w:after="0" w:line="240" w:lineRule="auto"/>
              <w:rPr>
                <w:rFonts w:eastAsia="Times New Roman"/>
                <w:noProof/>
              </w:rPr>
            </w:pPr>
            <w:r>
              <w:rPr>
                <w:noProof/>
              </w:rPr>
              <w:t>3-1.3. Reîncărcare și realimentare – 16831_Produc- E verde</w:t>
            </w:r>
          </w:p>
        </w:tc>
        <w:tc>
          <w:tcPr>
            <w:tcW w:w="992" w:type="dxa"/>
            <w:shd w:val="clear" w:color="auto" w:fill="C6EFCE"/>
            <w:noWrap/>
          </w:tcPr>
          <w:p w14:paraId="71A241B4" w14:textId="77777777" w:rsidR="00C45D59" w:rsidRDefault="009B0962">
            <w:pPr>
              <w:pStyle w:val="P68B1DB1-Normal12"/>
              <w:spacing w:after="0" w:line="240" w:lineRule="auto"/>
              <w:rPr>
                <w:rFonts w:eastAsia="Times New Roman"/>
                <w:noProof/>
              </w:rPr>
            </w:pPr>
            <w:r>
              <w:rPr>
                <w:noProof/>
              </w:rPr>
              <w:t>Etapă</w:t>
            </w:r>
          </w:p>
        </w:tc>
        <w:tc>
          <w:tcPr>
            <w:tcW w:w="1166" w:type="dxa"/>
            <w:shd w:val="clear" w:color="auto" w:fill="C6EFCE"/>
            <w:noWrap/>
          </w:tcPr>
          <w:p w14:paraId="78BF8C8D" w14:textId="77777777" w:rsidR="00C45D59" w:rsidRDefault="009B0962">
            <w:pPr>
              <w:pStyle w:val="P68B1DB1-Normal12"/>
              <w:spacing w:after="0" w:line="240" w:lineRule="auto"/>
              <w:rPr>
                <w:rFonts w:eastAsia="Times New Roman"/>
                <w:noProof/>
              </w:rPr>
            </w:pPr>
            <w:r>
              <w:rPr>
                <w:noProof/>
              </w:rPr>
              <w:t>Captarea și stocarea dioxidului de carbon (CSC) – permisiunea de stocare</w:t>
            </w:r>
          </w:p>
        </w:tc>
        <w:tc>
          <w:tcPr>
            <w:tcW w:w="2629" w:type="dxa"/>
            <w:shd w:val="clear" w:color="auto" w:fill="C6EFCE"/>
            <w:noWrap/>
          </w:tcPr>
          <w:p w14:paraId="677FE84B" w14:textId="55C6EAFD" w:rsidR="00C45D59" w:rsidRDefault="009B0962">
            <w:pPr>
              <w:pStyle w:val="P68B1DB1-Normal12"/>
              <w:spacing w:after="0" w:line="240" w:lineRule="auto"/>
              <w:rPr>
                <w:rFonts w:eastAsia="Times New Roman"/>
                <w:noProof/>
              </w:rPr>
            </w:pPr>
            <w:r>
              <w:rPr>
                <w:noProof/>
              </w:rPr>
              <w:t>Eliberarea autorizației de stocare și instituirea unui sistem de raportare</w:t>
            </w:r>
          </w:p>
        </w:tc>
        <w:tc>
          <w:tcPr>
            <w:tcW w:w="1460" w:type="dxa"/>
            <w:shd w:val="clear" w:color="auto" w:fill="C6EFCE"/>
            <w:noWrap/>
          </w:tcPr>
          <w:p w14:paraId="30FF74D1"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57" w:type="dxa"/>
            <w:shd w:val="clear" w:color="auto" w:fill="C6EFCE"/>
            <w:noWrap/>
          </w:tcPr>
          <w:p w14:paraId="53313B29"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936" w:type="dxa"/>
            <w:shd w:val="clear" w:color="auto" w:fill="C6EFCE"/>
            <w:noWrap/>
          </w:tcPr>
          <w:p w14:paraId="22B76771"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46" w:type="dxa"/>
            <w:shd w:val="clear" w:color="auto" w:fill="C6EFCE"/>
            <w:noWrap/>
          </w:tcPr>
          <w:p w14:paraId="710821D4" w14:textId="77777777" w:rsidR="00C45D59" w:rsidRDefault="009B0962">
            <w:pPr>
              <w:pStyle w:val="P68B1DB1-Normal12"/>
              <w:spacing w:after="0" w:line="240" w:lineRule="auto"/>
              <w:rPr>
                <w:rFonts w:eastAsia="Times New Roman"/>
                <w:noProof/>
              </w:rPr>
            </w:pPr>
            <w:r>
              <w:rPr>
                <w:noProof/>
              </w:rPr>
              <w:t>Î4</w:t>
            </w:r>
          </w:p>
        </w:tc>
        <w:tc>
          <w:tcPr>
            <w:tcW w:w="709" w:type="dxa"/>
            <w:shd w:val="clear" w:color="auto" w:fill="C6EFCE"/>
            <w:noWrap/>
          </w:tcPr>
          <w:p w14:paraId="6006C2AA" w14:textId="77777777" w:rsidR="00C45D59" w:rsidRDefault="009B0962">
            <w:pPr>
              <w:pStyle w:val="P68B1DB1-Normal12"/>
              <w:spacing w:after="0" w:line="240" w:lineRule="auto"/>
              <w:rPr>
                <w:rFonts w:eastAsia="Times New Roman"/>
                <w:noProof/>
              </w:rPr>
            </w:pPr>
            <w:r>
              <w:rPr>
                <w:noProof/>
              </w:rPr>
              <w:t>2024</w:t>
            </w:r>
          </w:p>
        </w:tc>
        <w:tc>
          <w:tcPr>
            <w:tcW w:w="3191" w:type="dxa"/>
            <w:shd w:val="clear" w:color="auto" w:fill="C6EFCE"/>
            <w:noWrap/>
          </w:tcPr>
          <w:p w14:paraId="7E66EF50" w14:textId="77777777" w:rsidR="00C45D59" w:rsidRDefault="009B0962">
            <w:pPr>
              <w:pStyle w:val="P68B1DB1-Normal12"/>
              <w:spacing w:after="0" w:line="240" w:lineRule="auto"/>
              <w:rPr>
                <w:noProof/>
              </w:rPr>
            </w:pPr>
            <w:r>
              <w:rPr>
                <w:noProof/>
              </w:rPr>
              <w:t xml:space="preserve">Eliberarea autorizației de stocare de către ministerul responsabil pentru captarea și stocarea dioxidului de carbon (CSC) către operatorul confirmat. Capacitatea instalației de captare și stocare a dioxidului de carbon are inițial o rată de injectare de CO2 de un milion de tone/an și asigură capacitate pentru cel puțin 20 ani. Depunerea de către solicitant a unei cereri complete la Ministerul Mediului și Energiei, care să includă toate studiile relevante, precum și un studiu de evaluare a impactului asupra mediului. </w:t>
            </w:r>
          </w:p>
          <w:p w14:paraId="4DF7BE0F" w14:textId="77777777" w:rsidR="00C45D59" w:rsidRDefault="009B0962">
            <w:pPr>
              <w:pStyle w:val="P68B1DB1-Normal12"/>
              <w:spacing w:after="0" w:line="240" w:lineRule="auto"/>
              <w:rPr>
                <w:rFonts w:eastAsia="Times New Roman"/>
                <w:noProof/>
              </w:rPr>
            </w:pPr>
            <w:r>
              <w:rPr>
                <w:noProof/>
              </w:rPr>
              <w:t>Instituirea unui sistem de raportare anuală privind CO</w:t>
            </w:r>
            <w:r>
              <w:rPr>
                <w:noProof/>
                <w:vertAlign w:val="subscript"/>
              </w:rPr>
              <w:t xml:space="preserve"> 2</w:t>
            </w:r>
            <w:r>
              <w:rPr>
                <w:noProof/>
              </w:rPr>
              <w:t xml:space="preserve"> stocat și confirmarea faptului că nu se extrage petrol, altul decât cel limitat la necesitățile indispensabile de gestionare a presiunii și de asigurare a siguranței siturilor de stocare, și că orice proces CO</w:t>
            </w:r>
            <w:r>
              <w:rPr>
                <w:noProof/>
                <w:vertAlign w:val="subscript"/>
              </w:rPr>
              <w:t xml:space="preserve"> 2</w:t>
            </w:r>
            <w:r>
              <w:rPr>
                <w:noProof/>
              </w:rPr>
              <w:t xml:space="preserve"> asociat extracției indispensabile este separat și returnat pentru stocare permanentă.</w:t>
            </w:r>
          </w:p>
          <w:p w14:paraId="344311CD" w14:textId="77777777" w:rsidR="00C45D59" w:rsidRDefault="009B0962">
            <w:pPr>
              <w:pStyle w:val="P68B1DB1-Normal12"/>
              <w:spacing w:after="0" w:line="240" w:lineRule="auto"/>
              <w:rPr>
                <w:rFonts w:eastAsia="Times New Roman"/>
                <w:noProof/>
              </w:rPr>
            </w:pPr>
            <w:r>
              <w:rPr>
                <w:noProof/>
              </w:rPr>
              <w:t>Instalația de captare și stocare a dioxidului de carbon funcționează fără a utiliza activități comerciale de extracție sau de recuperare a petrolului din orizonturile rezervoarelor în care are loc injectarea de CO2. În plus, captarea și stocarea dioxidului de carbon trebuie să respecte, de asemenea, cerința conform căreia nu trebuie să existe aplicații tehnologice, nici vreun tip de instalații și echipamente concepute pentru o aplicație de recuperare îmbunătățită a petrolului (EOR) și pentru creșterea producției de petrol. Trebuie avut grijă ca orice eventuală extracție de petrol sau gaze să se limiteze la necesitățile indispensabile de gestionare a presiunii și de asigurare a siguranței siturilor de stocare și ca orice astfel de extracție să se realizeze numai în cazul în care este indispensabilă pentru a asigura stocarea în condiții de siguranță a CO</w:t>
            </w:r>
            <w:r>
              <w:rPr>
                <w:noProof/>
                <w:vertAlign w:val="subscript"/>
              </w:rPr>
              <w:t xml:space="preserve"> 2</w:t>
            </w:r>
            <w:r>
              <w:rPr>
                <w:noProof/>
              </w:rPr>
              <w:t>. CO</w:t>
            </w:r>
            <w:r>
              <w:rPr>
                <w:noProof/>
                <w:vertAlign w:val="subscript"/>
              </w:rPr>
              <w:t xml:space="preserve"> 2</w:t>
            </w:r>
            <w:r>
              <w:rPr>
                <w:noProof/>
              </w:rPr>
              <w:t xml:space="preserve"> cu orice petrol sau gaz care poate fi extras se separă și se returnează pentru depozitare permanentă.</w:t>
            </w:r>
          </w:p>
        </w:tc>
      </w:tr>
      <w:tr w:rsidR="00C45D59" w14:paraId="3263F0BF" w14:textId="77777777">
        <w:trPr>
          <w:trHeight w:val="313"/>
          <w:jc w:val="center"/>
        </w:trPr>
        <w:tc>
          <w:tcPr>
            <w:tcW w:w="817" w:type="dxa"/>
            <w:shd w:val="clear" w:color="auto" w:fill="C6EFCE"/>
            <w:noWrap/>
          </w:tcPr>
          <w:p w14:paraId="2D554BA8" w14:textId="77777777" w:rsidR="00C45D59" w:rsidRDefault="009B0962">
            <w:pPr>
              <w:pStyle w:val="P68B1DB1-Normal12"/>
              <w:spacing w:after="0" w:line="240" w:lineRule="auto"/>
              <w:rPr>
                <w:rFonts w:eastAsia="Times New Roman"/>
                <w:noProof/>
              </w:rPr>
            </w:pPr>
            <w:r>
              <w:rPr>
                <w:noProof/>
              </w:rPr>
              <w:t>45a</w:t>
            </w:r>
          </w:p>
        </w:tc>
        <w:tc>
          <w:tcPr>
            <w:tcW w:w="1588" w:type="dxa"/>
            <w:shd w:val="clear" w:color="auto" w:fill="C6EFCE"/>
            <w:noWrap/>
          </w:tcPr>
          <w:p w14:paraId="3C44438C" w14:textId="77777777" w:rsidR="00C45D59" w:rsidRDefault="009B0962">
            <w:pPr>
              <w:pStyle w:val="P68B1DB1-Normal12"/>
              <w:spacing w:after="0" w:line="240" w:lineRule="auto"/>
              <w:rPr>
                <w:rFonts w:eastAsia="Times New Roman"/>
                <w:noProof/>
              </w:rPr>
            </w:pPr>
            <w:r>
              <w:rPr>
                <w:noProof/>
              </w:rPr>
              <w:t xml:space="preserve">3-1.3. Reîncărcarea și realimentarea — </w:t>
            </w:r>
          </w:p>
          <w:p w14:paraId="21E031B2" w14:textId="77777777" w:rsidR="00C45D59" w:rsidRDefault="009B0962">
            <w:pPr>
              <w:pStyle w:val="P68B1DB1-Normal12"/>
              <w:spacing w:after="0" w:line="240" w:lineRule="auto"/>
              <w:rPr>
                <w:rFonts w:eastAsia="Times New Roman"/>
                <w:noProof/>
              </w:rPr>
            </w:pPr>
            <w:r>
              <w:rPr>
                <w:noProof/>
              </w:rPr>
              <w:t>16924_ electromobilitate</w:t>
            </w:r>
          </w:p>
        </w:tc>
        <w:tc>
          <w:tcPr>
            <w:tcW w:w="992" w:type="dxa"/>
            <w:shd w:val="clear" w:color="auto" w:fill="C6EFCE"/>
            <w:noWrap/>
          </w:tcPr>
          <w:p w14:paraId="30DF395B" w14:textId="77777777" w:rsidR="00C45D59" w:rsidRDefault="009B0962">
            <w:pPr>
              <w:pStyle w:val="P68B1DB1-Normal12"/>
              <w:spacing w:after="0" w:line="240" w:lineRule="auto"/>
              <w:rPr>
                <w:rFonts w:eastAsia="Times New Roman"/>
                <w:noProof/>
              </w:rPr>
            </w:pPr>
            <w:r>
              <w:rPr>
                <w:noProof/>
              </w:rPr>
              <w:t>Etapă</w:t>
            </w:r>
          </w:p>
        </w:tc>
        <w:tc>
          <w:tcPr>
            <w:tcW w:w="1166" w:type="dxa"/>
            <w:shd w:val="clear" w:color="auto" w:fill="C6EFCE"/>
            <w:noWrap/>
          </w:tcPr>
          <w:p w14:paraId="7EA81AAB" w14:textId="77777777" w:rsidR="00C45D59" w:rsidRDefault="009B0962">
            <w:pPr>
              <w:pStyle w:val="P68B1DB1-Normal12"/>
              <w:spacing w:after="0" w:line="240" w:lineRule="auto"/>
              <w:rPr>
                <w:rFonts w:eastAsia="Times New Roman"/>
                <w:noProof/>
              </w:rPr>
            </w:pPr>
            <w:r>
              <w:rPr>
                <w:noProof/>
              </w:rPr>
              <w:t>Autobuz pentru transportul public – publicarea cererilor de oferte pentru regiuni</w:t>
            </w:r>
          </w:p>
        </w:tc>
        <w:tc>
          <w:tcPr>
            <w:tcW w:w="2629" w:type="dxa"/>
            <w:shd w:val="clear" w:color="auto" w:fill="C6EFCE"/>
            <w:noWrap/>
          </w:tcPr>
          <w:p w14:paraId="1213FE52" w14:textId="4B31C945" w:rsidR="00C45D59" w:rsidRDefault="009B0962">
            <w:pPr>
              <w:pStyle w:val="P68B1DB1-Normal12"/>
              <w:spacing w:after="0" w:line="240" w:lineRule="auto"/>
              <w:rPr>
                <w:rFonts w:eastAsia="Times New Roman"/>
                <w:noProof/>
              </w:rPr>
            </w:pPr>
            <w:r>
              <w:rPr>
                <w:noProof/>
              </w:rPr>
              <w:t>Publicarea cererilor de oferte pentru regiuni</w:t>
            </w:r>
          </w:p>
        </w:tc>
        <w:tc>
          <w:tcPr>
            <w:tcW w:w="1460" w:type="dxa"/>
            <w:shd w:val="clear" w:color="auto" w:fill="C6EFCE"/>
            <w:noWrap/>
          </w:tcPr>
          <w:p w14:paraId="24104E5B"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57" w:type="dxa"/>
            <w:shd w:val="clear" w:color="auto" w:fill="C6EFCE"/>
            <w:noWrap/>
          </w:tcPr>
          <w:p w14:paraId="209AC63D"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936" w:type="dxa"/>
            <w:shd w:val="clear" w:color="auto" w:fill="C6EFCE"/>
            <w:noWrap/>
          </w:tcPr>
          <w:p w14:paraId="6CB3C915"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46" w:type="dxa"/>
            <w:shd w:val="clear" w:color="auto" w:fill="C6EFCE"/>
            <w:noWrap/>
          </w:tcPr>
          <w:p w14:paraId="483609F0" w14:textId="77777777" w:rsidR="00C45D59" w:rsidRDefault="009B0962">
            <w:pPr>
              <w:pStyle w:val="P68B1DB1-Normal12"/>
              <w:spacing w:after="0" w:line="240" w:lineRule="auto"/>
              <w:rPr>
                <w:rFonts w:eastAsia="Times New Roman"/>
                <w:noProof/>
              </w:rPr>
            </w:pPr>
            <w:r>
              <w:rPr>
                <w:noProof/>
              </w:rPr>
              <w:t>Î2</w:t>
            </w:r>
          </w:p>
        </w:tc>
        <w:tc>
          <w:tcPr>
            <w:tcW w:w="709" w:type="dxa"/>
            <w:shd w:val="clear" w:color="auto" w:fill="C6EFCE"/>
            <w:noWrap/>
          </w:tcPr>
          <w:p w14:paraId="5C2817D3" w14:textId="77777777" w:rsidR="00C45D59" w:rsidRDefault="009B0962">
            <w:pPr>
              <w:pStyle w:val="P68B1DB1-Normal12"/>
              <w:spacing w:after="0" w:line="240" w:lineRule="auto"/>
              <w:rPr>
                <w:rFonts w:eastAsia="Times New Roman"/>
                <w:noProof/>
              </w:rPr>
            </w:pPr>
            <w:r>
              <w:rPr>
                <w:noProof/>
              </w:rPr>
              <w:t>2025</w:t>
            </w:r>
          </w:p>
        </w:tc>
        <w:tc>
          <w:tcPr>
            <w:tcW w:w="3191" w:type="dxa"/>
            <w:shd w:val="clear" w:color="auto" w:fill="C6EFCE"/>
            <w:noWrap/>
          </w:tcPr>
          <w:p w14:paraId="0926D91D" w14:textId="00C4BFAD" w:rsidR="00C45D59" w:rsidRDefault="009B0962">
            <w:pPr>
              <w:pStyle w:val="P68B1DB1-Normal12"/>
              <w:spacing w:after="0" w:line="240" w:lineRule="auto"/>
              <w:rPr>
                <w:rFonts w:eastAsia="Times New Roman"/>
                <w:noProof/>
              </w:rPr>
            </w:pPr>
            <w:r>
              <w:rPr>
                <w:noProof/>
              </w:rPr>
              <w:t>Cererile de oferte pentru 12 regiuni se lansează în mod eșalonat. Fiecare cerere de propuneri lansată are ca rezultat până la două contracte pentru fiecare regiune: (a) un contract pentru rețeaua interurbană (pe distanțe lungi), cu excepția regiunilor Attica și Egeea de Sud, unde puteau fi atribuite până la două contracte; și/sau (b) un contract pentru rețeaua urbană.</w:t>
            </w:r>
          </w:p>
        </w:tc>
      </w:tr>
      <w:tr w:rsidR="00C45D59" w14:paraId="383057AB" w14:textId="77777777">
        <w:trPr>
          <w:trHeight w:val="313"/>
          <w:jc w:val="center"/>
        </w:trPr>
        <w:tc>
          <w:tcPr>
            <w:tcW w:w="817" w:type="dxa"/>
            <w:shd w:val="clear" w:color="auto" w:fill="C6EFCE"/>
            <w:noWrap/>
          </w:tcPr>
          <w:p w14:paraId="3F17A69B" w14:textId="77777777" w:rsidR="00C45D59" w:rsidRDefault="009B0962">
            <w:pPr>
              <w:pStyle w:val="P68B1DB1-Normal12"/>
              <w:spacing w:after="0" w:line="240" w:lineRule="auto"/>
              <w:rPr>
                <w:rFonts w:eastAsia="Times New Roman"/>
                <w:noProof/>
              </w:rPr>
            </w:pPr>
            <w:r>
              <w:rPr>
                <w:noProof/>
              </w:rPr>
              <w:t>52</w:t>
            </w:r>
          </w:p>
        </w:tc>
        <w:tc>
          <w:tcPr>
            <w:tcW w:w="1588" w:type="dxa"/>
            <w:shd w:val="clear" w:color="auto" w:fill="C6EFCE"/>
            <w:noWrap/>
          </w:tcPr>
          <w:p w14:paraId="095F4C46" w14:textId="77777777" w:rsidR="00C45D59" w:rsidRDefault="009B0962">
            <w:pPr>
              <w:pStyle w:val="P68B1DB1-Normal12"/>
              <w:spacing w:after="0" w:line="240" w:lineRule="auto"/>
              <w:rPr>
                <w:rFonts w:eastAsia="Times New Roman"/>
                <w:noProof/>
              </w:rPr>
            </w:pPr>
            <w:r>
              <w:rPr>
                <w:noProof/>
              </w:rPr>
              <w:t>3-1.3. Reîncărcare și realimentare – 16924_ Electromobilitate</w:t>
            </w:r>
          </w:p>
        </w:tc>
        <w:tc>
          <w:tcPr>
            <w:tcW w:w="992" w:type="dxa"/>
            <w:shd w:val="clear" w:color="auto" w:fill="C6EFCE"/>
            <w:noWrap/>
          </w:tcPr>
          <w:p w14:paraId="27FDC33E" w14:textId="77777777" w:rsidR="00C45D59" w:rsidRDefault="009B0962">
            <w:pPr>
              <w:pStyle w:val="P68B1DB1-Normal12"/>
              <w:spacing w:after="0" w:line="240" w:lineRule="auto"/>
              <w:rPr>
                <w:rFonts w:eastAsia="Times New Roman"/>
                <w:noProof/>
              </w:rPr>
            </w:pPr>
            <w:r>
              <w:rPr>
                <w:noProof/>
              </w:rPr>
              <w:t>Țintă</w:t>
            </w:r>
          </w:p>
        </w:tc>
        <w:tc>
          <w:tcPr>
            <w:tcW w:w="1166" w:type="dxa"/>
            <w:shd w:val="clear" w:color="auto" w:fill="C6EFCE"/>
            <w:noWrap/>
          </w:tcPr>
          <w:p w14:paraId="4D37E2A3" w14:textId="41AAE590" w:rsidR="00C45D59" w:rsidRDefault="009B0962">
            <w:pPr>
              <w:pStyle w:val="P68B1DB1-Normal12"/>
              <w:spacing w:after="0" w:line="240" w:lineRule="auto"/>
              <w:rPr>
                <w:rFonts w:eastAsia="Times New Roman"/>
                <w:noProof/>
              </w:rPr>
            </w:pPr>
            <w:r>
              <w:rPr>
                <w:noProof/>
              </w:rPr>
              <w:t>Autobuze – înlocuirea cu autobuze electrice și intrarea în vigoare a dispozițiilor legale privind proprietatea asupra Organizației de transport urban din Salonic (OASTH)</w:t>
            </w:r>
          </w:p>
        </w:tc>
        <w:tc>
          <w:tcPr>
            <w:tcW w:w="2629" w:type="dxa"/>
            <w:shd w:val="clear" w:color="auto" w:fill="C6EFCE"/>
            <w:noWrap/>
          </w:tcPr>
          <w:p w14:paraId="73FE5B22"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460" w:type="dxa"/>
            <w:shd w:val="clear" w:color="auto" w:fill="C6EFCE"/>
            <w:noWrap/>
          </w:tcPr>
          <w:p w14:paraId="7FFB11F9" w14:textId="77777777" w:rsidR="00C45D59" w:rsidRDefault="009B0962">
            <w:pPr>
              <w:pStyle w:val="P68B1DB1-Normal12"/>
              <w:spacing w:after="0" w:line="240" w:lineRule="auto"/>
              <w:rPr>
                <w:rFonts w:eastAsia="Times New Roman"/>
                <w:noProof/>
              </w:rPr>
            </w:pPr>
            <w:r>
              <w:rPr>
                <w:noProof/>
              </w:rPr>
              <w:t>Numărul de autobuze electrice cu baterie noi</w:t>
            </w:r>
          </w:p>
        </w:tc>
        <w:tc>
          <w:tcPr>
            <w:tcW w:w="857" w:type="dxa"/>
            <w:shd w:val="clear" w:color="auto" w:fill="C6EFCE"/>
            <w:noWrap/>
          </w:tcPr>
          <w:p w14:paraId="5DED6994" w14:textId="77777777" w:rsidR="00C45D59" w:rsidRDefault="009B0962">
            <w:pPr>
              <w:pStyle w:val="P68B1DB1-Normal12"/>
              <w:spacing w:after="0" w:line="240" w:lineRule="auto"/>
              <w:rPr>
                <w:rFonts w:eastAsia="Times New Roman"/>
                <w:noProof/>
              </w:rPr>
            </w:pPr>
            <w:r>
              <w:rPr>
                <w:noProof/>
              </w:rPr>
              <w:t>0</w:t>
            </w:r>
          </w:p>
        </w:tc>
        <w:tc>
          <w:tcPr>
            <w:tcW w:w="936" w:type="dxa"/>
            <w:shd w:val="clear" w:color="auto" w:fill="C6EFCE"/>
            <w:noWrap/>
          </w:tcPr>
          <w:p w14:paraId="77F830CC" w14:textId="77777777" w:rsidR="00C45D59" w:rsidRDefault="009B0962">
            <w:pPr>
              <w:pStyle w:val="P68B1DB1-Normal12"/>
              <w:spacing w:after="0" w:line="240" w:lineRule="auto"/>
              <w:rPr>
                <w:rFonts w:eastAsia="Times New Roman"/>
                <w:noProof/>
              </w:rPr>
            </w:pPr>
            <w:r>
              <w:rPr>
                <w:noProof/>
              </w:rPr>
              <w:t>425</w:t>
            </w:r>
          </w:p>
        </w:tc>
        <w:tc>
          <w:tcPr>
            <w:tcW w:w="846" w:type="dxa"/>
            <w:shd w:val="clear" w:color="auto" w:fill="C6EFCE"/>
            <w:noWrap/>
          </w:tcPr>
          <w:p w14:paraId="077500BE" w14:textId="77777777" w:rsidR="00C45D59" w:rsidRDefault="009B0962">
            <w:pPr>
              <w:pStyle w:val="P68B1DB1-Normal12"/>
              <w:spacing w:after="0" w:line="240" w:lineRule="auto"/>
              <w:rPr>
                <w:rFonts w:eastAsia="Times New Roman"/>
                <w:noProof/>
              </w:rPr>
            </w:pPr>
            <w:r>
              <w:rPr>
                <w:noProof/>
              </w:rPr>
              <w:t>Î4</w:t>
            </w:r>
          </w:p>
        </w:tc>
        <w:tc>
          <w:tcPr>
            <w:tcW w:w="709" w:type="dxa"/>
            <w:shd w:val="clear" w:color="auto" w:fill="C6EFCE"/>
            <w:noWrap/>
          </w:tcPr>
          <w:p w14:paraId="2EAA2B9A" w14:textId="77777777" w:rsidR="00C45D59" w:rsidRDefault="009B0962">
            <w:pPr>
              <w:pStyle w:val="P68B1DB1-Normal12"/>
              <w:spacing w:after="0" w:line="240" w:lineRule="auto"/>
              <w:rPr>
                <w:rFonts w:eastAsia="Times New Roman"/>
                <w:noProof/>
              </w:rPr>
            </w:pPr>
            <w:r>
              <w:rPr>
                <w:noProof/>
              </w:rPr>
              <w:t>2025</w:t>
            </w:r>
          </w:p>
        </w:tc>
        <w:tc>
          <w:tcPr>
            <w:tcW w:w="3191" w:type="dxa"/>
            <w:shd w:val="clear" w:color="auto" w:fill="C6EFCE"/>
            <w:noWrap/>
          </w:tcPr>
          <w:p w14:paraId="51577DB9" w14:textId="77777777" w:rsidR="00C45D59" w:rsidRDefault="009B0962">
            <w:pPr>
              <w:pStyle w:val="P68B1DB1-Normal12"/>
              <w:spacing w:after="0" w:line="240" w:lineRule="auto"/>
              <w:rPr>
                <w:noProof/>
              </w:rPr>
            </w:pPr>
            <w:r>
              <w:rPr>
                <w:noProof/>
              </w:rPr>
              <w:t>Livrarea a 425 autobuze electrice noi și a 425 autobuze vechi a fost retrasă din circulație.</w:t>
            </w:r>
          </w:p>
          <w:p w14:paraId="247F06B0" w14:textId="55B3EE81" w:rsidR="00C45D59" w:rsidRDefault="009B0962">
            <w:pPr>
              <w:pStyle w:val="P68B1DB1-Normal23"/>
              <w:spacing w:after="0" w:line="240" w:lineRule="auto"/>
              <w:rPr>
                <w:noProof/>
              </w:rPr>
            </w:pPr>
            <w:r>
              <w:rPr>
                <w:noProof/>
              </w:rPr>
              <w:t>Intrarea în vigoare a dispozițiilor legale care transferă proprietatea majoritară a Organizației de transport urban din Salonic (OASTH) către Autoritatea de transport din Salonic S.A. (OSETH), permițând OSETH să atribuie direct contractul de servicii publice pentru servicii regulate de transport cu autobuzul în regiunea urbană Salonic, în conformitate cu articolul 5 alineatul (2) din Regulamentul nr. 1370/2007 privind OSP din transporturile terestre.</w:t>
            </w:r>
          </w:p>
        </w:tc>
      </w:tr>
      <w:tr w:rsidR="00C45D59" w14:paraId="484849E9" w14:textId="77777777">
        <w:trPr>
          <w:trHeight w:val="313"/>
          <w:jc w:val="center"/>
        </w:trPr>
        <w:tc>
          <w:tcPr>
            <w:tcW w:w="817" w:type="dxa"/>
            <w:shd w:val="clear" w:color="auto" w:fill="C6EFCE"/>
            <w:noWrap/>
          </w:tcPr>
          <w:p w14:paraId="31A00AC5" w14:textId="77777777" w:rsidR="00C45D59" w:rsidRDefault="009B0962">
            <w:pPr>
              <w:pStyle w:val="P68B1DB1-Normal12"/>
              <w:spacing w:after="0" w:line="240" w:lineRule="auto"/>
              <w:rPr>
                <w:rFonts w:eastAsia="Times New Roman"/>
                <w:noProof/>
              </w:rPr>
            </w:pPr>
            <w:r>
              <w:rPr>
                <w:noProof/>
              </w:rPr>
              <w:t>53</w:t>
            </w:r>
          </w:p>
        </w:tc>
        <w:tc>
          <w:tcPr>
            <w:tcW w:w="1588" w:type="dxa"/>
            <w:shd w:val="clear" w:color="auto" w:fill="C6EFCE"/>
            <w:noWrap/>
          </w:tcPr>
          <w:p w14:paraId="63CA04A0" w14:textId="77777777" w:rsidR="00C45D59" w:rsidRDefault="009B0962">
            <w:pPr>
              <w:pStyle w:val="P68B1DB1-Normal12"/>
              <w:spacing w:after="0" w:line="240" w:lineRule="auto"/>
              <w:rPr>
                <w:rFonts w:eastAsia="Times New Roman"/>
                <w:noProof/>
              </w:rPr>
            </w:pPr>
            <w:r>
              <w:rPr>
                <w:noProof/>
              </w:rPr>
              <w:t>3-1.3. Reîncărcare și realimentare – 16831_Produc- E verde</w:t>
            </w:r>
          </w:p>
        </w:tc>
        <w:tc>
          <w:tcPr>
            <w:tcW w:w="992" w:type="dxa"/>
            <w:shd w:val="clear" w:color="auto" w:fill="C6EFCE"/>
            <w:noWrap/>
          </w:tcPr>
          <w:p w14:paraId="58205EE4" w14:textId="77777777" w:rsidR="00C45D59" w:rsidRDefault="009B0962">
            <w:pPr>
              <w:pStyle w:val="P68B1DB1-Normal12"/>
              <w:spacing w:after="0" w:line="240" w:lineRule="auto"/>
              <w:rPr>
                <w:rFonts w:eastAsia="Times New Roman"/>
                <w:noProof/>
              </w:rPr>
            </w:pPr>
            <w:r>
              <w:rPr>
                <w:noProof/>
              </w:rPr>
              <w:t>Etapă</w:t>
            </w:r>
          </w:p>
        </w:tc>
        <w:tc>
          <w:tcPr>
            <w:tcW w:w="1166" w:type="dxa"/>
            <w:shd w:val="clear" w:color="auto" w:fill="C6EFCE"/>
            <w:noWrap/>
          </w:tcPr>
          <w:p w14:paraId="6CE538D4" w14:textId="3D2D1D99" w:rsidR="00C45D59" w:rsidRDefault="009B0962">
            <w:pPr>
              <w:pStyle w:val="P68B1DB1-Normal12"/>
              <w:spacing w:after="0" w:line="240" w:lineRule="auto"/>
              <w:rPr>
                <w:rFonts w:eastAsia="Times New Roman"/>
                <w:noProof/>
              </w:rPr>
            </w:pPr>
            <w:r>
              <w:rPr>
                <w:noProof/>
              </w:rPr>
              <w:t>CSC – Platforma și aprobarea autorizațiilor</w:t>
            </w:r>
          </w:p>
        </w:tc>
        <w:tc>
          <w:tcPr>
            <w:tcW w:w="2629" w:type="dxa"/>
            <w:shd w:val="clear" w:color="auto" w:fill="C6EFCE"/>
            <w:noWrap/>
          </w:tcPr>
          <w:p w14:paraId="30C1FB5A" w14:textId="2C61319B" w:rsidR="00C45D59" w:rsidRDefault="009B0962">
            <w:pPr>
              <w:pStyle w:val="P68B1DB1-Normal12"/>
              <w:spacing w:after="0" w:line="240" w:lineRule="auto"/>
              <w:rPr>
                <w:rFonts w:eastAsia="Times New Roman"/>
                <w:noProof/>
              </w:rPr>
            </w:pPr>
            <w:r>
              <w:rPr>
                <w:noProof/>
              </w:rPr>
              <w:t>Achiziționarea platformei OMEGA și eliberarea autorizațiilor de instalare și de mediu</w:t>
            </w:r>
          </w:p>
        </w:tc>
        <w:tc>
          <w:tcPr>
            <w:tcW w:w="1460" w:type="dxa"/>
            <w:shd w:val="clear" w:color="auto" w:fill="C6EFCE"/>
            <w:noWrap/>
          </w:tcPr>
          <w:p w14:paraId="1CD4798C"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57" w:type="dxa"/>
            <w:shd w:val="clear" w:color="auto" w:fill="C6EFCE"/>
            <w:noWrap/>
          </w:tcPr>
          <w:p w14:paraId="1E47BF23"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936" w:type="dxa"/>
            <w:shd w:val="clear" w:color="auto" w:fill="C6EFCE"/>
            <w:noWrap/>
          </w:tcPr>
          <w:p w14:paraId="417C5BEF"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46" w:type="dxa"/>
            <w:shd w:val="clear" w:color="auto" w:fill="C6EFCE"/>
            <w:noWrap/>
          </w:tcPr>
          <w:p w14:paraId="5ADFBED5" w14:textId="77777777" w:rsidR="00C45D59" w:rsidRDefault="009B0962">
            <w:pPr>
              <w:pStyle w:val="P68B1DB1-Normal12"/>
              <w:spacing w:after="0" w:line="240" w:lineRule="auto"/>
              <w:rPr>
                <w:rFonts w:eastAsia="Times New Roman"/>
                <w:noProof/>
              </w:rPr>
            </w:pPr>
            <w:r>
              <w:rPr>
                <w:noProof/>
              </w:rPr>
              <w:t>Î4</w:t>
            </w:r>
          </w:p>
        </w:tc>
        <w:tc>
          <w:tcPr>
            <w:tcW w:w="709" w:type="dxa"/>
            <w:shd w:val="clear" w:color="auto" w:fill="C6EFCE"/>
            <w:noWrap/>
          </w:tcPr>
          <w:p w14:paraId="54A8D781" w14:textId="77777777" w:rsidR="00C45D59" w:rsidRDefault="009B0962">
            <w:pPr>
              <w:pStyle w:val="P68B1DB1-Normal12"/>
              <w:spacing w:after="0" w:line="240" w:lineRule="auto"/>
              <w:rPr>
                <w:rFonts w:eastAsia="Times New Roman"/>
                <w:noProof/>
              </w:rPr>
            </w:pPr>
            <w:r>
              <w:rPr>
                <w:noProof/>
              </w:rPr>
              <w:t>2025</w:t>
            </w:r>
          </w:p>
        </w:tc>
        <w:tc>
          <w:tcPr>
            <w:tcW w:w="3191" w:type="dxa"/>
            <w:shd w:val="clear" w:color="auto" w:fill="C6EFCE"/>
            <w:noWrap/>
          </w:tcPr>
          <w:p w14:paraId="63C7DB98" w14:textId="3E07BD6C" w:rsidR="00C45D59" w:rsidRDefault="009B0962">
            <w:pPr>
              <w:pStyle w:val="P68B1DB1-Normal12"/>
              <w:spacing w:after="0" w:line="240" w:lineRule="auto"/>
              <w:rPr>
                <w:noProof/>
              </w:rPr>
            </w:pPr>
            <w:r>
              <w:rPr>
                <w:noProof/>
              </w:rPr>
              <w:t>achiziționarea platformei OMEGA, care cuprinde structura Jacket (inclusiv chingile de ridicare și platforma de greementul), o punte de pivniță, o punte de mezanin, o punte de producție și o punte de foraj.</w:t>
            </w:r>
          </w:p>
          <w:p w14:paraId="6C605FCE" w14:textId="1AB3BE2C" w:rsidR="00C45D59" w:rsidRDefault="009B0962">
            <w:pPr>
              <w:pStyle w:val="P68B1DB1-Normal12"/>
              <w:spacing w:after="0" w:line="240" w:lineRule="auto"/>
              <w:rPr>
                <w:noProof/>
              </w:rPr>
            </w:pPr>
            <w:r>
              <w:rPr>
                <w:noProof/>
              </w:rPr>
              <w:t>(b) Emiterea de: (I) autorizația de instalare a platformei; și (ii) decizia de aprobare a condițiilor de mediu.</w:t>
            </w:r>
          </w:p>
        </w:tc>
      </w:tr>
      <w:tr w:rsidR="00C45D59" w14:paraId="384B5122" w14:textId="77777777">
        <w:trPr>
          <w:trHeight w:val="313"/>
          <w:jc w:val="center"/>
        </w:trPr>
        <w:tc>
          <w:tcPr>
            <w:tcW w:w="817" w:type="dxa"/>
            <w:shd w:val="clear" w:color="auto" w:fill="C6EFCE"/>
            <w:noWrap/>
          </w:tcPr>
          <w:p w14:paraId="18485506" w14:textId="77777777" w:rsidR="00C45D59" w:rsidRDefault="009B0962">
            <w:pPr>
              <w:pStyle w:val="P68B1DB1-Normal12"/>
              <w:spacing w:after="0" w:line="240" w:lineRule="auto"/>
              <w:rPr>
                <w:rFonts w:eastAsia="Times New Roman"/>
                <w:noProof/>
              </w:rPr>
            </w:pPr>
            <w:r>
              <w:rPr>
                <w:noProof/>
              </w:rPr>
              <w:t>54</w:t>
            </w:r>
          </w:p>
        </w:tc>
        <w:tc>
          <w:tcPr>
            <w:tcW w:w="1588" w:type="dxa"/>
            <w:shd w:val="clear" w:color="auto" w:fill="C6EFCE"/>
            <w:noWrap/>
          </w:tcPr>
          <w:p w14:paraId="29F297CE" w14:textId="77777777" w:rsidR="00C45D59" w:rsidRDefault="009B0962">
            <w:pPr>
              <w:pStyle w:val="P68B1DB1-Normal12"/>
              <w:spacing w:after="0" w:line="240" w:lineRule="auto"/>
              <w:rPr>
                <w:rFonts w:eastAsia="Times New Roman"/>
                <w:noProof/>
              </w:rPr>
            </w:pPr>
            <w:r>
              <w:rPr>
                <w:noProof/>
              </w:rPr>
              <w:t>3-1.3. Reîncărcare și realimentare – 16831_Produc- E verde</w:t>
            </w:r>
          </w:p>
        </w:tc>
        <w:tc>
          <w:tcPr>
            <w:tcW w:w="992" w:type="dxa"/>
            <w:shd w:val="clear" w:color="auto" w:fill="C6EFCE"/>
            <w:noWrap/>
          </w:tcPr>
          <w:p w14:paraId="5AB67E65" w14:textId="77777777" w:rsidR="00C45D59" w:rsidRDefault="009B0962">
            <w:pPr>
              <w:pStyle w:val="P68B1DB1-Normal12"/>
              <w:spacing w:after="0" w:line="240" w:lineRule="auto"/>
              <w:rPr>
                <w:rFonts w:eastAsia="Times New Roman"/>
                <w:noProof/>
              </w:rPr>
            </w:pPr>
            <w:r>
              <w:rPr>
                <w:noProof/>
              </w:rPr>
              <w:t>Etapă</w:t>
            </w:r>
          </w:p>
        </w:tc>
        <w:tc>
          <w:tcPr>
            <w:tcW w:w="1166" w:type="dxa"/>
            <w:shd w:val="clear" w:color="auto" w:fill="C6EFCE"/>
            <w:noWrap/>
          </w:tcPr>
          <w:p w14:paraId="261BCA40" w14:textId="70719602" w:rsidR="00C45D59" w:rsidRDefault="009B0962">
            <w:pPr>
              <w:pStyle w:val="P68B1DB1-Normal26"/>
              <w:spacing w:after="0" w:line="240" w:lineRule="auto"/>
              <w:rPr>
                <w:rFonts w:eastAsia="Times New Roman"/>
                <w:noProof/>
              </w:rPr>
            </w:pPr>
            <w:r>
              <w:rPr>
                <w:noProof/>
              </w:rPr>
              <w:t>Unități industriale – Finalizarea lucrărilor de construcții și instalarea echipamentelor</w:t>
            </w:r>
          </w:p>
        </w:tc>
        <w:tc>
          <w:tcPr>
            <w:tcW w:w="2629" w:type="dxa"/>
            <w:shd w:val="clear" w:color="auto" w:fill="C6EFCE"/>
            <w:noWrap/>
          </w:tcPr>
          <w:p w14:paraId="132ABFC3" w14:textId="77777777" w:rsidR="00C45D59" w:rsidRDefault="009B0962">
            <w:pPr>
              <w:pStyle w:val="P68B1DB1-Normal12"/>
              <w:spacing w:after="0" w:line="240" w:lineRule="auto"/>
              <w:rPr>
                <w:rFonts w:eastAsia="Times New Roman"/>
                <w:noProof/>
              </w:rPr>
            </w:pPr>
            <w:r>
              <w:rPr>
                <w:noProof/>
              </w:rPr>
              <w:t xml:space="preserve">Finalizarea lucrărilor de construcție și instalarea echipamentelor </w:t>
            </w:r>
          </w:p>
        </w:tc>
        <w:tc>
          <w:tcPr>
            <w:tcW w:w="1460" w:type="dxa"/>
            <w:shd w:val="clear" w:color="auto" w:fill="C6EFCE"/>
            <w:noWrap/>
          </w:tcPr>
          <w:p w14:paraId="6A0B4C64"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57" w:type="dxa"/>
            <w:shd w:val="clear" w:color="auto" w:fill="C6EFCE"/>
            <w:noWrap/>
          </w:tcPr>
          <w:p w14:paraId="4E7E8D24"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936" w:type="dxa"/>
            <w:shd w:val="clear" w:color="auto" w:fill="C6EFCE"/>
            <w:noWrap/>
          </w:tcPr>
          <w:p w14:paraId="67F97EBC"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46" w:type="dxa"/>
            <w:shd w:val="clear" w:color="auto" w:fill="C6EFCE"/>
            <w:noWrap/>
          </w:tcPr>
          <w:p w14:paraId="697FD846" w14:textId="77777777" w:rsidR="00C45D59" w:rsidRDefault="009B0962">
            <w:pPr>
              <w:pStyle w:val="P68B1DB1-Normal12"/>
              <w:spacing w:after="0" w:line="240" w:lineRule="auto"/>
              <w:rPr>
                <w:rFonts w:eastAsia="Times New Roman"/>
                <w:noProof/>
              </w:rPr>
            </w:pPr>
            <w:r>
              <w:rPr>
                <w:noProof/>
              </w:rPr>
              <w:t>Î4</w:t>
            </w:r>
          </w:p>
        </w:tc>
        <w:tc>
          <w:tcPr>
            <w:tcW w:w="709" w:type="dxa"/>
            <w:shd w:val="clear" w:color="auto" w:fill="C6EFCE"/>
            <w:noWrap/>
          </w:tcPr>
          <w:p w14:paraId="6898D76F" w14:textId="77777777" w:rsidR="00C45D59" w:rsidRDefault="009B0962">
            <w:pPr>
              <w:pStyle w:val="P68B1DB1-Normal12"/>
              <w:spacing w:after="0" w:line="240" w:lineRule="auto"/>
              <w:rPr>
                <w:rFonts w:eastAsia="Times New Roman"/>
                <w:noProof/>
              </w:rPr>
            </w:pPr>
            <w:r>
              <w:rPr>
                <w:noProof/>
              </w:rPr>
              <w:t>2025</w:t>
            </w:r>
          </w:p>
        </w:tc>
        <w:tc>
          <w:tcPr>
            <w:tcW w:w="3191" w:type="dxa"/>
            <w:shd w:val="clear" w:color="auto" w:fill="C6EFCE"/>
            <w:noWrap/>
          </w:tcPr>
          <w:p w14:paraId="4A8DADA4" w14:textId="61A07F93" w:rsidR="00C45D59" w:rsidRDefault="009B0962">
            <w:pPr>
              <w:pStyle w:val="P68B1DB1-Normal12"/>
              <w:spacing w:after="0" w:line="240" w:lineRule="auto"/>
              <w:rPr>
                <w:rFonts w:eastAsia="Times New Roman"/>
                <w:noProof/>
              </w:rPr>
            </w:pPr>
            <w:r>
              <w:rPr>
                <w:noProof/>
              </w:rPr>
              <w:t>11 unitățile industriale trebuie să fi finalizat lucrările de construcții și instalarea echipamentelor.</w:t>
            </w:r>
          </w:p>
        </w:tc>
      </w:tr>
    </w:tbl>
    <w:p w14:paraId="3C74560D" w14:textId="77777777" w:rsidR="00C45D59" w:rsidRDefault="00C45D59">
      <w:pPr>
        <w:spacing w:before="120" w:after="120" w:line="240" w:lineRule="auto"/>
        <w:rPr>
          <w:rFonts w:ascii="Times New Roman" w:hAnsi="Times New Roman" w:cs="Times New Roman"/>
          <w:noProof/>
          <w:sz w:val="24"/>
        </w:rPr>
        <w:sectPr w:rsidR="00C45D59">
          <w:headerReference w:type="even" r:id="rId90"/>
          <w:headerReference w:type="default" r:id="rId91"/>
          <w:footerReference w:type="even" r:id="rId92"/>
          <w:footerReference w:type="default" r:id="rId93"/>
          <w:headerReference w:type="first" r:id="rId94"/>
          <w:footerReference w:type="first" r:id="rId95"/>
          <w:pgSz w:w="16839" w:h="11907" w:orient="landscape"/>
          <w:pgMar w:top="1134" w:right="1134" w:bottom="1134" w:left="1134" w:header="567" w:footer="567" w:gutter="0"/>
          <w:cols w:space="720"/>
          <w:docGrid w:linePitch="360"/>
        </w:sectPr>
      </w:pPr>
    </w:p>
    <w:p w14:paraId="5615FC40" w14:textId="77777777" w:rsidR="00C45D59" w:rsidRDefault="009B0962">
      <w:pPr>
        <w:pStyle w:val="P68B1DB1-Normal17"/>
        <w:spacing w:before="120" w:after="120" w:line="240" w:lineRule="auto"/>
        <w:jc w:val="both"/>
        <w:outlineLvl w:val="3"/>
        <w:rPr>
          <w:rFonts w:cs="Times New Roman"/>
          <w:bCs/>
          <w:noProof/>
        </w:rPr>
      </w:pPr>
      <w:r>
        <w:rPr>
          <w:noProof/>
        </w:rPr>
        <w:t>D. COMPONENTA 1.4: UTILIZAREA SUSTENABILĂ A RESURSELOR, REZILIENȚA LA SCHIMBĂRILE CLIMATICE ȘI PROTECȚIA MEDIULUI</w:t>
      </w:r>
    </w:p>
    <w:p w14:paraId="247B00B0" w14:textId="77777777" w:rsidR="00C45D59" w:rsidRDefault="009B0962">
      <w:pPr>
        <w:spacing w:before="120" w:after="120" w:line="240" w:lineRule="auto"/>
        <w:jc w:val="both"/>
        <w:rPr>
          <w:rFonts w:ascii="Times New Roman" w:hAnsi="Times New Roman" w:cs="Times New Roman"/>
          <w:noProof/>
          <w:sz w:val="24"/>
        </w:rPr>
      </w:pPr>
      <w:r>
        <w:rPr>
          <w:rFonts w:ascii="Times New Roman" w:hAnsi="Times New Roman"/>
          <w:noProof/>
          <w:sz w:val="24"/>
        </w:rPr>
        <w:t>Această componentă a planului de redresare și reziliență al Greciei vizează promovarea tranziției verzi. Acesta cuprinde reforme și investiții specifice menite să consolideze protecția și refacerea mediului natural, inclusiv protecția biodiversității, să îmbunătățească infrastructura de mediu și să recupereze pierderile în ceea ce privește acoperirea forestieră. În plus, aceasta include o reformă a gestionării deșeurilor,</w:t>
      </w:r>
      <w:r>
        <w:rPr>
          <w:noProof/>
        </w:rPr>
        <w:t xml:space="preserve"> </w:t>
      </w:r>
      <w:r>
        <w:rPr>
          <w:rFonts w:ascii="Times New Roman" w:hAnsi="Times New Roman"/>
          <w:noProof/>
          <w:sz w:val="24"/>
        </w:rPr>
        <w:t xml:space="preserve">care include, în special, instituirea unei autorități naționale de reglementare a deșeurilor pentru a sprijini tranziția către o economie circulară bazată pe prevenirea generării de deșeuri, reutilizare și reciclare. Regulamentul instituie, de asemenea, o autoritate națională de reglementare în domeniul apei, cu scopul de a spori sustenabilitatea operațiunilor și a investițiilor în utilitățile de apă. Punerea în aplicare a reformelor și a investițiilor incluse în componentă trebuie să sporească eficiența utilizării resurselor naturale și să promoveze protecția împotriva riscurilor legate de mediu și a impacturilor aferente atât pentru societate, cât și pentru economie. Componenta include, de asemenea, investiții pentru îmbunătățirea aprovizionării cu apă potabilă și a furnizării de servicii de canalizare, precum și pentru prevenirea și atenuarea provocărilor de mediu cauzate de schimbările climatice. </w:t>
      </w:r>
    </w:p>
    <w:p w14:paraId="1DD626D2" w14:textId="77777777" w:rsidR="00C45D59" w:rsidRDefault="009B0962">
      <w:pPr>
        <w:pStyle w:val="P68B1DB1-Normal5"/>
        <w:spacing w:before="120" w:after="120" w:line="240" w:lineRule="auto"/>
        <w:jc w:val="both"/>
        <w:rPr>
          <w:rFonts w:cs="Times New Roman"/>
          <w:noProof/>
        </w:rPr>
      </w:pPr>
      <w:r>
        <w:rPr>
          <w:noProof/>
        </w:rPr>
        <w:t>Componenta sprijină abordarea Recomandării specifice fiecărei țări nr. 3 din 2020 și a Recomandării specifice fiecărei țări nr. 2 din 2019 privind investițiile publice și private. Se preconizează că nicio măsură din cadrul acestei componente nu prejudiciază în mod semnificativ obiectivele de mediu în sensul articolului 17 din Regulamentul (UE) 2020/852, ținând seama de descrierea măsurilor și a etapelor de atenuare prevăzute în planul de redresare și reziliență în conformitate cu Orientările tehnice privind aplicarea principiului de „a nu prejudicia în mod semnificativ” (2021/C58/01).</w:t>
      </w:r>
    </w:p>
    <w:p w14:paraId="3B9C19AF" w14:textId="77777777" w:rsidR="00C45D59" w:rsidRDefault="009B0962">
      <w:pPr>
        <w:pStyle w:val="P68B1DB1-Normal6"/>
        <w:tabs>
          <w:tab w:val="left" w:pos="1134"/>
        </w:tabs>
        <w:spacing w:before="120" w:after="120" w:line="240" w:lineRule="auto"/>
        <w:jc w:val="both"/>
        <w:rPr>
          <w:rFonts w:cs="Times New Roman"/>
          <w:bCs/>
          <w:noProof/>
        </w:rPr>
      </w:pPr>
      <w:r>
        <w:rPr>
          <w:noProof/>
        </w:rPr>
        <w:t>D.1. Descrierea reformelor și a investițiilor pentru sprijinul financiar nerambursabil</w:t>
      </w:r>
    </w:p>
    <w:p w14:paraId="6E922EC8" w14:textId="77777777" w:rsidR="00C45D59" w:rsidRDefault="009B0962">
      <w:pPr>
        <w:pStyle w:val="P68B1DB1-Normal5"/>
        <w:tabs>
          <w:tab w:val="left" w:pos="1134"/>
        </w:tabs>
        <w:spacing w:before="120" w:after="120" w:line="240" w:lineRule="auto"/>
        <w:jc w:val="both"/>
        <w:rPr>
          <w:rFonts w:cs="Times New Roman"/>
          <w:noProof/>
          <w:szCs w:val="24"/>
        </w:rPr>
      </w:pPr>
      <w:r>
        <w:rPr>
          <w:b/>
          <w:noProof/>
        </w:rPr>
        <w:t>Investiții:</w:t>
      </w:r>
      <w:r>
        <w:rPr>
          <w:noProof/>
        </w:rPr>
        <w:t xml:space="preserve"> Planul național de reîmpădurire, măsuri de refacere și prevenire („antiNERO”), măsuri de combatere a eroziunii și de protecție împotriva inundațiilor (identificatorul măsurii: 16849)</w:t>
      </w:r>
    </w:p>
    <w:p w14:paraId="7919912F" w14:textId="77777777" w:rsidR="00C45D59" w:rsidRDefault="009B0962">
      <w:pPr>
        <w:pStyle w:val="P68B1DB1-Normal7"/>
        <w:spacing w:before="120" w:after="120" w:line="240" w:lineRule="auto"/>
        <w:jc w:val="both"/>
        <w:rPr>
          <w:noProof/>
        </w:rPr>
      </w:pPr>
      <w:r>
        <w:rPr>
          <w:noProof/>
        </w:rPr>
        <w:t>Obiectivul măsurii este de a reface ecosistemele forestiere degradate din Grecia și de a preveni viitoare dezastre naturale. Măsura constă în acțiuni de reîmpădurire, de prevenire a incendiilor forestiere, de combatere a eroziunii și de protecție împotriva inundațiilor.</w:t>
      </w:r>
    </w:p>
    <w:p w14:paraId="64E3B2E1" w14:textId="654B17DF" w:rsidR="00C45D59" w:rsidRDefault="009B0962">
      <w:pPr>
        <w:pStyle w:val="P68B1DB1-Normal7"/>
        <w:spacing w:before="120" w:after="120" w:line="240" w:lineRule="auto"/>
        <w:jc w:val="both"/>
        <w:rPr>
          <w:rFonts w:cs="Times New Roman"/>
          <w:noProof/>
        </w:rPr>
      </w:pPr>
      <w:r>
        <w:rPr>
          <w:b/>
          <w:noProof/>
        </w:rPr>
        <w:t>Investiții:</w:t>
      </w:r>
      <w:r>
        <w:rPr>
          <w:noProof/>
        </w:rPr>
        <w:t xml:space="preserve"> Infrastructuri de gestionare a apelor urbane reziduale și a nămolurilor și achiziționarea de echipamente municipale de gestionare a deșeurilor (identificatorul măsurii: 16846)</w:t>
      </w:r>
    </w:p>
    <w:p w14:paraId="0E5256DB" w14:textId="14401C58" w:rsidR="00C45D59" w:rsidRDefault="009B0962">
      <w:pPr>
        <w:pStyle w:val="P68B1DB1-Normal7"/>
        <w:spacing w:before="120" w:after="120" w:line="240" w:lineRule="auto"/>
        <w:jc w:val="both"/>
        <w:rPr>
          <w:rFonts w:cs="Times New Roman"/>
          <w:noProof/>
        </w:rPr>
      </w:pPr>
      <w:r>
        <w:rPr>
          <w:noProof/>
        </w:rPr>
        <w:t xml:space="preserve">Obiectivul măsurii este de a preveni și de a reduce poluarea mediului cauzată de epurarea apelor uzate și de colectarea deșeurilor. Măsura constă în construirea de infrastructuri ale rețelelor de canalizare și de stații de epurare a apelor uzate, în renovarea stațiilor de epurare a apelor uzate existente și în construirea de infrastructuri de gestionare a nămolurilor de la stațiile de epurare a apelor uzate, precum și în achiziționarea de echipamente de gestionare a deșeurilor. </w:t>
      </w:r>
    </w:p>
    <w:p w14:paraId="07DABF5E" w14:textId="77777777" w:rsidR="00C45D59" w:rsidRDefault="009B0962">
      <w:pPr>
        <w:pStyle w:val="P68B1DB1-Normal7"/>
        <w:spacing w:before="120" w:after="120" w:line="240" w:lineRule="auto"/>
        <w:jc w:val="both"/>
        <w:rPr>
          <w:rFonts w:cs="Times New Roman"/>
          <w:noProof/>
        </w:rPr>
      </w:pPr>
      <w:r>
        <w:rPr>
          <w:b/>
          <w:noProof/>
        </w:rPr>
        <w:t>Reformă:</w:t>
      </w:r>
      <w:r>
        <w:rPr>
          <w:noProof/>
        </w:rPr>
        <w:t xml:space="preserve"> Strategia națională privind apa (identificatorul măsurii: 16285)</w:t>
      </w:r>
    </w:p>
    <w:p w14:paraId="6DEC2847" w14:textId="77777777" w:rsidR="00C45D59" w:rsidRDefault="009B0962">
      <w:pPr>
        <w:pStyle w:val="P68B1DB1-Normal8"/>
        <w:spacing w:before="120" w:after="120" w:line="240" w:lineRule="auto"/>
        <w:jc w:val="both"/>
        <w:rPr>
          <w:rFonts w:ascii="Times New Roman" w:hAnsi="Times New Roman"/>
          <w:noProof/>
        </w:rPr>
      </w:pPr>
      <w:r>
        <w:rPr>
          <w:rFonts w:ascii="Times New Roman" w:hAnsi="Times New Roman"/>
          <w:noProof/>
        </w:rPr>
        <w:t xml:space="preserve">Obiectivul măsurii este de a </w:t>
      </w:r>
      <w:r>
        <w:rPr>
          <w:rFonts w:ascii="Times New Roman" w:eastAsia="Times New Roman" w:hAnsi="Times New Roman" w:cs="Times New Roman"/>
          <w:noProof/>
          <w:color w:val="000000" w:themeColor="text1"/>
        </w:rPr>
        <w:t xml:space="preserve">stabili un cadru pentru utilizarea eficientă și durabilă a resurselor de apă și de a sprijini reorganizarea pilot a furnizorilor de servicii de alimentare cu apă. </w:t>
      </w:r>
      <w:r>
        <w:rPr>
          <w:rFonts w:ascii="Times New Roman" w:eastAsia="Times New Roman" w:hAnsi="Times New Roman" w:cs="Times New Roman"/>
          <w:noProof/>
        </w:rPr>
        <w:t xml:space="preserve">Măsura </w:t>
      </w:r>
      <w:r>
        <w:rPr>
          <w:rFonts w:ascii="Times New Roman" w:eastAsia="Times New Roman" w:hAnsi="Times New Roman" w:cs="Times New Roman"/>
          <w:noProof/>
          <w:color w:val="000000" w:themeColor="text1"/>
        </w:rPr>
        <w:t>constă în adoptarea Strategiei naționale privind apa și a unui act juridic pentru extinderea responsabilităților EYDAP (compania de alimentare cu apă și canalizare din Atena) și EYATH (compania de alimentare cu apă și canalizare din Salonic).</w:t>
      </w:r>
    </w:p>
    <w:p w14:paraId="17D20F4D" w14:textId="0990B84A" w:rsidR="00C45D59" w:rsidRDefault="009B0962">
      <w:pPr>
        <w:pStyle w:val="P68B1DB1-Normal7"/>
        <w:spacing w:before="120" w:after="120" w:line="240" w:lineRule="auto"/>
        <w:jc w:val="both"/>
        <w:rPr>
          <w:noProof/>
        </w:rPr>
      </w:pPr>
      <w:r>
        <w:rPr>
          <w:b/>
          <w:noProof/>
        </w:rPr>
        <w:t>Investiții:</w:t>
      </w:r>
      <w:r>
        <w:rPr>
          <w:noProof/>
        </w:rPr>
        <w:t xml:space="preserve"> Proiecte de alimentare cu apă potabilă și de economisire a apei (identificatorul măsurii: 16850)</w:t>
      </w:r>
    </w:p>
    <w:p w14:paraId="70A1B8D6" w14:textId="36B8EE50" w:rsidR="00C45D59" w:rsidRDefault="009B0962">
      <w:pPr>
        <w:pStyle w:val="P68B1DB1-Normal7"/>
        <w:spacing w:before="120" w:after="120" w:line="240" w:lineRule="auto"/>
        <w:jc w:val="both"/>
        <w:rPr>
          <w:rFonts w:cs="Times New Roman"/>
          <w:noProof/>
        </w:rPr>
      </w:pPr>
      <w:r>
        <w:rPr>
          <w:noProof/>
        </w:rPr>
        <w:t>Obiectivul măsurii este de a spori disponibilitatea și calitatea apei potabile și de a reduce scurgerile și riscurile pentru sănătatea publică legate de infrastructura de apă. Măsura constă în construirea de infrastructuri de alimentare cu apă, instalarea de sisteme telemetrice de control la distanță și de contoare digitale de apă.</w:t>
      </w:r>
    </w:p>
    <w:p w14:paraId="073CEEF8" w14:textId="77777777" w:rsidR="00C45D59" w:rsidRDefault="009B0962">
      <w:pPr>
        <w:pStyle w:val="P68B1DB1-Normal7"/>
        <w:spacing w:before="120" w:after="120" w:line="240" w:lineRule="auto"/>
        <w:jc w:val="both"/>
        <w:rPr>
          <w:rFonts w:cs="Times New Roman"/>
          <w:noProof/>
        </w:rPr>
      </w:pPr>
      <w:r>
        <w:rPr>
          <w:b/>
          <w:noProof/>
        </w:rPr>
        <w:t>Investiții:</w:t>
      </w:r>
      <w:r>
        <w:rPr>
          <w:noProof/>
        </w:rPr>
        <w:t xml:space="preserve"> Mijloace aeriene de gestionare a crizelor (identificatorul măsurii: 16911)</w:t>
      </w:r>
    </w:p>
    <w:p w14:paraId="47A85212" w14:textId="77777777" w:rsidR="00C45D59" w:rsidRDefault="009B0962">
      <w:pPr>
        <w:pStyle w:val="P68B1DB1-Normal7"/>
        <w:spacing w:before="120" w:after="120" w:line="240" w:lineRule="auto"/>
        <w:jc w:val="both"/>
        <w:rPr>
          <w:rFonts w:cs="Times New Roman"/>
          <w:noProof/>
        </w:rPr>
      </w:pPr>
      <w:r>
        <w:rPr>
          <w:noProof/>
        </w:rPr>
        <w:t>Obiectivul măsurii este de a spori capacitatea aeriană pentru gestionarea crizelor. Măsura constă în livrarea de mijloace aeriene pentru gestionarea crizelor.</w:t>
      </w:r>
    </w:p>
    <w:p w14:paraId="1F615C4D" w14:textId="77777777" w:rsidR="00C45D59" w:rsidRDefault="009B0962">
      <w:pPr>
        <w:pStyle w:val="P68B1DB1-Normal5"/>
        <w:spacing w:before="120" w:after="120" w:line="240" w:lineRule="auto"/>
        <w:jc w:val="both"/>
        <w:rPr>
          <w:rFonts w:cs="Times New Roman"/>
          <w:noProof/>
        </w:rPr>
      </w:pPr>
      <w:r>
        <w:rPr>
          <w:b/>
          <w:noProof/>
        </w:rPr>
        <w:t>Investiții:</w:t>
      </w:r>
      <w:r>
        <w:rPr>
          <w:noProof/>
        </w:rPr>
        <w:t xml:space="preserve"> Echipamente de combatere a incendiilor forestiere, de prevenire și de răspuns (identificatorul măsurii: 16912)</w:t>
      </w:r>
    </w:p>
    <w:p w14:paraId="751EAEB1" w14:textId="77777777" w:rsidR="00C45D59" w:rsidRDefault="009B0962">
      <w:pPr>
        <w:pStyle w:val="P68B1DB1-Normal5"/>
        <w:spacing w:before="120" w:after="120" w:line="240" w:lineRule="auto"/>
        <w:jc w:val="both"/>
        <w:rPr>
          <w:rFonts w:cs="Times New Roman"/>
          <w:noProof/>
          <w:szCs w:val="24"/>
        </w:rPr>
      </w:pPr>
      <w:r>
        <w:rPr>
          <w:noProof/>
        </w:rPr>
        <w:t>Obiectivul măsurii este de a spori capacitățile de combatere a incendiilor forestiere, de prevenire și de răspuns. Măsura constă în furnizarea de echipamente de stingere a incendiilor și de intervenție.</w:t>
      </w:r>
    </w:p>
    <w:p w14:paraId="3520A966" w14:textId="77777777" w:rsidR="00C45D59" w:rsidRDefault="009B0962">
      <w:pPr>
        <w:pStyle w:val="P68B1DB1-Normal7"/>
        <w:spacing w:before="120" w:after="120" w:line="240" w:lineRule="auto"/>
        <w:jc w:val="both"/>
        <w:rPr>
          <w:rFonts w:cs="Times New Roman"/>
          <w:noProof/>
        </w:rPr>
      </w:pPr>
      <w:r>
        <w:rPr>
          <w:b/>
          <w:noProof/>
        </w:rPr>
        <w:t>Investiții:</w:t>
      </w:r>
      <w:r>
        <w:rPr>
          <w:noProof/>
        </w:rPr>
        <w:t xml:space="preserve"> Protecția biodiversității ca motor al creșterii durabile (identificatorul măsurii: 16851)</w:t>
      </w:r>
    </w:p>
    <w:p w14:paraId="410F7383" w14:textId="7442B013" w:rsidR="00C45D59" w:rsidRDefault="009B0962">
      <w:pPr>
        <w:pStyle w:val="P68B1DB1-Normal7"/>
        <w:spacing w:before="120" w:after="120" w:line="240" w:lineRule="auto"/>
        <w:jc w:val="both"/>
        <w:rPr>
          <w:rFonts w:cs="Times New Roman"/>
          <w:noProof/>
        </w:rPr>
      </w:pPr>
      <w:r>
        <w:rPr>
          <w:noProof/>
        </w:rPr>
        <w:t>Obiectivul măsurii este de a proteja mediul natural al Greciei prin conservarea și punerea în valoare a patrimoniului său natural. Măsura constă în monitorizarea și conservarea biodiversității, executarea proiectelor privind rețelele de drumuri, renovarea muzeelor și digitalizarea colecțiilor de istorie naturală din Grecia.</w:t>
      </w:r>
    </w:p>
    <w:p w14:paraId="08CF510B" w14:textId="77777777" w:rsidR="00C45D59" w:rsidRDefault="009B0962">
      <w:pPr>
        <w:pStyle w:val="P68B1DB1-Normal7"/>
        <w:spacing w:before="120" w:after="120" w:line="240" w:lineRule="auto"/>
        <w:jc w:val="both"/>
        <w:rPr>
          <w:noProof/>
        </w:rPr>
      </w:pPr>
      <w:r>
        <w:rPr>
          <w:b/>
          <w:noProof/>
        </w:rPr>
        <w:t>Investiții</w:t>
      </w:r>
      <w:r>
        <w:rPr>
          <w:noProof/>
        </w:rPr>
        <w:t>: Gestionarea și monitorizarea protecției civile (identificatorul măsurii: 16910)</w:t>
      </w:r>
    </w:p>
    <w:p w14:paraId="1464CE6B" w14:textId="77777777" w:rsidR="00C45D59" w:rsidRDefault="009B0962">
      <w:pPr>
        <w:pStyle w:val="P68B1DB1-Normal7"/>
        <w:spacing w:before="120" w:after="120" w:line="240" w:lineRule="auto"/>
        <w:jc w:val="both"/>
        <w:rPr>
          <w:rFonts w:cs="Times New Roman"/>
          <w:noProof/>
        </w:rPr>
      </w:pPr>
      <w:r>
        <w:rPr>
          <w:noProof/>
        </w:rPr>
        <w:t>Obiectivul măsurii este de a îmbunătăți sistemul de gestionare și monitorizare a protecției civile. Măsura constă în livrarea și instalarea de echipamente și în lucrări de construcție și renovare în clădiri predefinite.</w:t>
      </w:r>
    </w:p>
    <w:p w14:paraId="7A4F93EB" w14:textId="77777777" w:rsidR="00C45D59" w:rsidRDefault="009B0962">
      <w:pPr>
        <w:pStyle w:val="P68B1DB1-Normal7"/>
        <w:spacing w:before="120" w:after="120" w:line="240" w:lineRule="auto"/>
        <w:jc w:val="both"/>
        <w:rPr>
          <w:noProof/>
        </w:rPr>
      </w:pPr>
      <w:r>
        <w:rPr>
          <w:b/>
          <w:noProof/>
        </w:rPr>
        <w:t>Investiții:</w:t>
      </w:r>
      <w:r>
        <w:rPr>
          <w:noProof/>
        </w:rPr>
        <w:t xml:space="preserve"> Punerea în aplicare a centrelor regionale de protecție civilă (PEKEPP) prin intermediul programelor PPP (măsura ID: 16283)</w:t>
      </w:r>
    </w:p>
    <w:p w14:paraId="59EA8F49" w14:textId="77777777" w:rsidR="00C45D59" w:rsidRDefault="009B0962">
      <w:pPr>
        <w:pStyle w:val="P68B1DB1-Normal7"/>
        <w:spacing w:before="120" w:after="120" w:line="240" w:lineRule="auto"/>
        <w:jc w:val="both"/>
        <w:rPr>
          <w:rFonts w:cs="Times New Roman"/>
          <w:noProof/>
        </w:rPr>
      </w:pPr>
      <w:r>
        <w:rPr>
          <w:noProof/>
        </w:rPr>
        <w:t>Construirea a 13 centre regionale de protecție civilă prin parteneriate public-privat. Obiectivul investiției este de a asigura gestionarea eficace și la timp a riscurilor și a crizelor la nivel regional. Clădirile nou construite trebuie să respecte o cerere de energie primară (PED) cu cel puțin 20 % mai mică decât cerința privind clădirile al căror consum de energie este aproape egal cu zero (directive naționale). Se preconizează că această măsură nu prejudiciază în mod semnificativ obiectivele de mediu în sensul articolului 17 din Regulamentul (UE) 2020/852, ținând seama de descrierea măsurii și de etapele de atenuare prevăzute în planul de redresare și reziliență, în conformitate cu Orientările tehnice privind aplicarea principiului de „a nu prejudicia în mod semnificativ” (2021/C58/01). În special, măsura impune operatorilor economici care efectuează lucrări de construcții să se asigure că cel puțin 70 % (în greutate) din deșeurile nepericuloase provenite din construcții și demolări [cu excepția materialelor geologice naturale menționate la categoria 17 05 04 din lista europeană a deșeurilor stabilită prin Decizia 2000/532/CE din 3 mai 2000 de înlocuire a Deciziei 94/3/CE de stabilire a unei liste de deșeuri în temeiul articolului 1 litera a) din Directiva 75/442/CEE a Consiliului privind deșeurile și a Deciziei 94/904/CE a Consiliului de stabilire a unei liste de deșeuri periculoase în temeiul articolului 1 alineatul (4) din Directiva 91/689/CEE a Consiliului privind deșeurile periculoase [notificată cu numărul C (2000) 1147]] și generate pe șantierul de construcții sunt pregătite pentru reutilizare, reciclare și alte operațiuni de valorificare materială, inclusiv operațiuni de rambleiere care utilizează deșeuri pentru a înlocui alte materiale, în conformitate cu ierarhia deșeurilor și cu Protocolul UE de gestionare a deșeurilor din construcții și demolări. Punerea în aplicare a investiției se finalizează până la 31 decembrie 2025.</w:t>
      </w:r>
    </w:p>
    <w:p w14:paraId="1687D989" w14:textId="77777777" w:rsidR="00C45D59" w:rsidRDefault="009B0962">
      <w:pPr>
        <w:pStyle w:val="P68B1DB1-Normal7"/>
        <w:spacing w:before="120" w:after="120" w:line="240" w:lineRule="auto"/>
        <w:jc w:val="both"/>
        <w:rPr>
          <w:rFonts w:cs="Times New Roman"/>
          <w:noProof/>
        </w:rPr>
      </w:pPr>
      <w:r>
        <w:rPr>
          <w:b/>
          <w:noProof/>
        </w:rPr>
        <w:t>Reformă:</w:t>
      </w:r>
      <w:r>
        <w:rPr>
          <w:noProof/>
        </w:rPr>
        <w:t xml:space="preserve"> Legea privind gestionarea deșeurilor pentru depozitarea și reciclarea durabilă a deșeurilor (identificatorul măsurii: 16772)</w:t>
      </w:r>
    </w:p>
    <w:p w14:paraId="74B11377" w14:textId="77777777" w:rsidR="00C45D59" w:rsidRDefault="009B0962">
      <w:pPr>
        <w:pStyle w:val="P68B1DB1-Normal7"/>
        <w:spacing w:before="120" w:after="0" w:line="240" w:lineRule="auto"/>
        <w:jc w:val="both"/>
        <w:rPr>
          <w:noProof/>
        </w:rPr>
      </w:pPr>
      <w:r>
        <w:rPr>
          <w:noProof/>
        </w:rPr>
        <w:t xml:space="preserve">Obiectivul acestei reforme este de a spori prevenirea generării de deșeuri, reutilizarea și reciclarea acestora. Această măsură constă în revizuirea legislației existente privind gestionarea deșeurilor și în instituirea și funcționarea unei autorități de reglementare în domeniul gestionării deșeurilor. </w:t>
      </w:r>
    </w:p>
    <w:p w14:paraId="4844ACFF" w14:textId="77777777" w:rsidR="00C45D59" w:rsidRDefault="009B0962">
      <w:pPr>
        <w:pStyle w:val="P68B1DB1-Normal7"/>
        <w:spacing w:before="120" w:after="120" w:line="240" w:lineRule="auto"/>
        <w:jc w:val="both"/>
        <w:rPr>
          <w:rFonts w:cs="Times New Roman"/>
          <w:noProof/>
        </w:rPr>
      </w:pPr>
      <w:r>
        <w:rPr>
          <w:b/>
          <w:noProof/>
        </w:rPr>
        <w:t>Reformă:</w:t>
      </w:r>
      <w:r>
        <w:rPr>
          <w:noProof/>
        </w:rPr>
        <w:t xml:space="preserve"> Înființarea unei noi autorități de reglementare în domeniul apei și al apelor uzate (identificatorul măsurii: 16979)</w:t>
      </w:r>
    </w:p>
    <w:p w14:paraId="0DAD9AB7" w14:textId="77777777" w:rsidR="00C45D59" w:rsidRDefault="009B0962">
      <w:pPr>
        <w:pStyle w:val="P68B1DB1-Normal7"/>
        <w:spacing w:before="120" w:after="120" w:line="240" w:lineRule="auto"/>
        <w:jc w:val="both"/>
        <w:rPr>
          <w:rFonts w:cs="Times New Roman"/>
          <w:noProof/>
        </w:rPr>
      </w:pPr>
      <w:r>
        <w:rPr>
          <w:noProof/>
        </w:rPr>
        <w:t>Reforma instituie un organism unic, Autoritatea Națională de Reglementare în Domeniul Apei (ANPM), responsabil cu punerea în aplicare a politicii de gestionare rațională a resurselor de apă, concepută de Ministerul Mediului și Energiei. Noua autoritate consolidează cadrul instituțional și supraveghează sectorul, inclusiv raționalizarea politicii tarifare în domeniul apei în conformitate cu principiul „poluatorul plătește” și asigurarea durabilității serviciilor legate de utilizarea apei în Grecia. Punerea în aplicare a reformei se finalizează până la 31 decembrie 2023.</w:t>
      </w:r>
    </w:p>
    <w:p w14:paraId="58151D6B" w14:textId="0B774B16" w:rsidR="00C45D59" w:rsidRDefault="009B0962">
      <w:pPr>
        <w:pStyle w:val="P68B1DB1-Normal5"/>
        <w:spacing w:before="120" w:after="120" w:line="240" w:lineRule="auto"/>
        <w:jc w:val="both"/>
        <w:rPr>
          <w:rFonts w:cs="Times New Roman"/>
          <w:noProof/>
          <w:szCs w:val="24"/>
        </w:rPr>
      </w:pPr>
      <w:r>
        <w:rPr>
          <w:b/>
          <w:noProof/>
        </w:rPr>
        <w:t>Investiții:</w:t>
      </w:r>
      <w:r>
        <w:rPr>
          <w:noProof/>
        </w:rPr>
        <w:t xml:space="preserve"> Inspecția primară a rezistenței seismice a clădirilor sau a instalațiilor sportive (identificatorul măsurii: 16983)</w:t>
      </w:r>
    </w:p>
    <w:p w14:paraId="3D1681E4" w14:textId="2BE86B6B" w:rsidR="00C45D59" w:rsidRDefault="009B0962">
      <w:pPr>
        <w:pStyle w:val="P68B1DB1-Normal5"/>
        <w:spacing w:before="120" w:after="120" w:line="240" w:lineRule="auto"/>
        <w:jc w:val="both"/>
        <w:rPr>
          <w:noProof/>
        </w:rPr>
      </w:pPr>
      <w:r>
        <w:rPr>
          <w:noProof/>
        </w:rPr>
        <w:t xml:space="preserve">Obiectivul investiției este de a evalua reziliența la un cutremur a mai multor clădiri și instalații sportive critice din țară. Măsura constă în eliberarea de certificate primare de inspecție pentru clădiri sau instalații sportive. </w:t>
      </w:r>
    </w:p>
    <w:p w14:paraId="2381D083" w14:textId="77777777" w:rsidR="00C45D59" w:rsidRDefault="009B0962">
      <w:pPr>
        <w:pStyle w:val="P68B1DB1-Normal7"/>
        <w:spacing w:before="120" w:after="120" w:line="240" w:lineRule="auto"/>
        <w:jc w:val="both"/>
        <w:rPr>
          <w:rFonts w:cs="Times New Roman"/>
          <w:noProof/>
        </w:rPr>
      </w:pPr>
      <w:r>
        <w:rPr>
          <w:b/>
          <w:noProof/>
        </w:rPr>
        <w:t>Investiții:</w:t>
      </w:r>
      <w:r>
        <w:rPr>
          <w:noProof/>
        </w:rPr>
        <w:t xml:space="preserve"> Programul de dezvoltare pentru administrația locală „Antonis Tritsis” (identificatorul măsurii: 16404)</w:t>
      </w:r>
    </w:p>
    <w:p w14:paraId="4628EC69" w14:textId="77777777" w:rsidR="00C45D59" w:rsidRDefault="009B0962">
      <w:pPr>
        <w:pStyle w:val="P68B1DB1-Normal7"/>
        <w:spacing w:before="120" w:after="120" w:line="240" w:lineRule="auto"/>
        <w:jc w:val="both"/>
        <w:rPr>
          <w:noProof/>
        </w:rPr>
      </w:pPr>
      <w:r>
        <w:rPr>
          <w:noProof/>
        </w:rPr>
        <w:t xml:space="preserve">Obiectivul acestei investiții este de a sprijini dezvoltarea urbană, reziliența la schimbările climatice și tranziția verde a municipalităților elene. </w:t>
      </w:r>
    </w:p>
    <w:p w14:paraId="2B02422D" w14:textId="77777777" w:rsidR="00C45D59" w:rsidRDefault="009B0962">
      <w:pPr>
        <w:pStyle w:val="P68B1DB1-Normal7"/>
        <w:spacing w:before="120" w:after="120" w:line="240" w:lineRule="auto"/>
        <w:jc w:val="both"/>
        <w:rPr>
          <w:noProof/>
        </w:rPr>
      </w:pPr>
      <w:r>
        <w:rPr>
          <w:noProof/>
        </w:rPr>
        <w:t>Investiția constă în intervenții în spațiul public în zonele urbane, lucrări de atenuare a inundațiilor, achiziționarea de vehicule electrice și instalarea de infrastructuri de încărcare, precum și investiții în infrastructuri urbane de apă potabilă și de ape uzate.</w:t>
      </w:r>
    </w:p>
    <w:p w14:paraId="10B17D82" w14:textId="77777777" w:rsidR="00C45D59" w:rsidRDefault="00C45D59">
      <w:pPr>
        <w:spacing w:before="120" w:after="120" w:line="240" w:lineRule="auto"/>
        <w:jc w:val="both"/>
        <w:rPr>
          <w:rFonts w:ascii="Times New Roman" w:hAnsi="Times New Roman"/>
          <w:noProof/>
          <w:sz w:val="24"/>
          <w:szCs w:val="24"/>
        </w:rPr>
        <w:sectPr w:rsidR="00C45D59">
          <w:headerReference w:type="even" r:id="rId96"/>
          <w:headerReference w:type="default" r:id="rId97"/>
          <w:footerReference w:type="even" r:id="rId98"/>
          <w:footerReference w:type="default" r:id="rId99"/>
          <w:headerReference w:type="first" r:id="rId100"/>
          <w:footerReference w:type="first" r:id="rId101"/>
          <w:pgSz w:w="11906" w:h="16838"/>
          <w:pgMar w:top="1134" w:right="1134" w:bottom="1134" w:left="1134" w:header="567" w:footer="567" w:gutter="0"/>
          <w:cols w:space="708"/>
          <w:docGrid w:linePitch="360"/>
        </w:sectPr>
      </w:pPr>
    </w:p>
    <w:p w14:paraId="0428B0CF" w14:textId="77777777" w:rsidR="00C45D59" w:rsidRDefault="009B0962">
      <w:pPr>
        <w:pStyle w:val="P68B1DB1-Normal6"/>
        <w:keepNext/>
        <w:keepLines/>
        <w:spacing w:before="40" w:after="0" w:line="240" w:lineRule="auto"/>
        <w:jc w:val="both"/>
        <w:outlineLvl w:val="4"/>
        <w:rPr>
          <w:noProof/>
        </w:rPr>
      </w:pPr>
      <w:r>
        <w:rPr>
          <w:noProof/>
        </w:rPr>
        <w:t>D.2. Jaloane, ținte, indicatori și calendarul de monitorizare și implementare aplicabile sprijinului financiar nerambursabil</w:t>
      </w:r>
    </w:p>
    <w:p w14:paraId="28139ABD" w14:textId="77777777" w:rsidR="00C45D59" w:rsidRDefault="009B0962">
      <w:pPr>
        <w:pStyle w:val="P68B1DB1-Normal9"/>
        <w:keepNext/>
        <w:keepLines/>
        <w:spacing w:before="40" w:after="0" w:line="240" w:lineRule="auto"/>
        <w:jc w:val="both"/>
        <w:outlineLvl w:val="4"/>
        <w:rPr>
          <w:rFonts w:eastAsia="Times New Roman"/>
          <w:noProof/>
        </w:rPr>
      </w:pPr>
      <w:r>
        <w:rPr>
          <w:noProof/>
        </w:rPr>
        <w:t>Reforma cheie 4: Gestionarea deșeurilor și reforma apei pentru utilizarea durabilă a resurselor</w:t>
      </w:r>
    </w:p>
    <w:tbl>
      <w:tblPr>
        <w:tblW w:w="157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1953"/>
        <w:gridCol w:w="1162"/>
        <w:gridCol w:w="1190"/>
        <w:gridCol w:w="1468"/>
        <w:gridCol w:w="1031"/>
        <w:gridCol w:w="857"/>
        <w:gridCol w:w="844"/>
        <w:gridCol w:w="851"/>
        <w:gridCol w:w="709"/>
        <w:gridCol w:w="5019"/>
      </w:tblGrid>
      <w:tr w:rsidR="00C45D59" w14:paraId="35275E89" w14:textId="77777777">
        <w:trPr>
          <w:trHeight w:val="927"/>
          <w:tblHeader/>
          <w:jc w:val="center"/>
        </w:trPr>
        <w:tc>
          <w:tcPr>
            <w:tcW w:w="675" w:type="dxa"/>
            <w:vMerge w:val="restart"/>
            <w:shd w:val="clear" w:color="auto" w:fill="BDD7EE"/>
            <w:vAlign w:val="center"/>
            <w:hideMark/>
          </w:tcPr>
          <w:p w14:paraId="13241E94" w14:textId="09BE9779" w:rsidR="00C45D59" w:rsidRDefault="009B0962">
            <w:pPr>
              <w:pStyle w:val="P68B1DB1-Normal10"/>
              <w:spacing w:after="0" w:line="240" w:lineRule="auto"/>
              <w:jc w:val="center"/>
              <w:rPr>
                <w:rFonts w:eastAsia="Times New Roman" w:cs="Times New Roman"/>
                <w:bCs/>
                <w:noProof/>
                <w:szCs w:val="18"/>
              </w:rPr>
            </w:pPr>
            <w:r>
              <w:rPr>
                <w:noProof/>
              </w:rPr>
              <w:t>Nr</w:t>
            </w:r>
            <w:r w:rsidR="009F5BD9">
              <w:rPr>
                <w:noProof/>
              </w:rPr>
              <w:t>.</w:t>
            </w:r>
            <w:r>
              <w:rPr>
                <w:noProof/>
              </w:rPr>
              <w:br/>
            </w:r>
            <w:r w:rsidR="009F5BD9">
              <w:rPr>
                <w:noProof/>
              </w:rPr>
              <w:t>crt</w:t>
            </w:r>
            <w:r>
              <w:rPr>
                <w:noProof/>
              </w:rPr>
              <w:t>.</w:t>
            </w:r>
          </w:p>
        </w:tc>
        <w:tc>
          <w:tcPr>
            <w:tcW w:w="1953" w:type="dxa"/>
            <w:vMerge w:val="restart"/>
            <w:shd w:val="clear" w:color="auto" w:fill="BDD7EE"/>
            <w:vAlign w:val="center"/>
            <w:hideMark/>
          </w:tcPr>
          <w:p w14:paraId="6BB5C60A" w14:textId="77777777" w:rsidR="00C45D59" w:rsidRDefault="009B0962">
            <w:pPr>
              <w:pStyle w:val="P68B1DB1-Normal10"/>
              <w:spacing w:after="0" w:line="240" w:lineRule="auto"/>
              <w:jc w:val="center"/>
              <w:rPr>
                <w:rFonts w:eastAsia="Times New Roman" w:cs="Times New Roman"/>
                <w:bCs/>
                <w:noProof/>
                <w:szCs w:val="18"/>
              </w:rPr>
            </w:pPr>
            <w:r>
              <w:rPr>
                <w:noProof/>
              </w:rPr>
              <w:t>Măsură conexă (reformă sau investiții)</w:t>
            </w:r>
          </w:p>
        </w:tc>
        <w:tc>
          <w:tcPr>
            <w:tcW w:w="1162" w:type="dxa"/>
            <w:vMerge w:val="restart"/>
            <w:shd w:val="clear" w:color="auto" w:fill="BDD7EE"/>
            <w:vAlign w:val="center"/>
            <w:hideMark/>
          </w:tcPr>
          <w:p w14:paraId="377B6944" w14:textId="77777777" w:rsidR="00C45D59" w:rsidRDefault="009B0962">
            <w:pPr>
              <w:pStyle w:val="P68B1DB1-Normal10"/>
              <w:spacing w:after="0" w:line="240" w:lineRule="auto"/>
              <w:jc w:val="center"/>
              <w:rPr>
                <w:rFonts w:eastAsia="Times New Roman" w:cs="Times New Roman"/>
                <w:bCs/>
                <w:noProof/>
                <w:szCs w:val="18"/>
              </w:rPr>
            </w:pPr>
            <w:r>
              <w:rPr>
                <w:noProof/>
              </w:rPr>
              <w:t>Etapă/Obiectiv</w:t>
            </w:r>
          </w:p>
        </w:tc>
        <w:tc>
          <w:tcPr>
            <w:tcW w:w="1190" w:type="dxa"/>
            <w:vMerge w:val="restart"/>
            <w:shd w:val="clear" w:color="auto" w:fill="BDD7EE"/>
            <w:vAlign w:val="center"/>
            <w:hideMark/>
          </w:tcPr>
          <w:p w14:paraId="14822475" w14:textId="61B1F3BC" w:rsidR="00C45D59" w:rsidRDefault="009F5BD9">
            <w:pPr>
              <w:pStyle w:val="P68B1DB1-Normal10"/>
              <w:spacing w:after="0" w:line="240" w:lineRule="auto"/>
              <w:jc w:val="center"/>
              <w:rPr>
                <w:rFonts w:eastAsia="Times New Roman" w:cs="Times New Roman"/>
                <w:bCs/>
                <w:noProof/>
                <w:szCs w:val="18"/>
              </w:rPr>
            </w:pPr>
            <w:r>
              <w:rPr>
                <w:noProof/>
              </w:rPr>
              <w:t>Denumire</w:t>
            </w:r>
          </w:p>
        </w:tc>
        <w:tc>
          <w:tcPr>
            <w:tcW w:w="1468" w:type="dxa"/>
            <w:vMerge w:val="restart"/>
            <w:shd w:val="clear" w:color="auto" w:fill="BDD7EE"/>
            <w:vAlign w:val="center"/>
            <w:hideMark/>
          </w:tcPr>
          <w:p w14:paraId="5FBD4C4E" w14:textId="77777777" w:rsidR="00C45D59" w:rsidRDefault="009B0962">
            <w:pPr>
              <w:pStyle w:val="P68B1DB1-Normal10"/>
              <w:spacing w:after="0" w:line="240" w:lineRule="auto"/>
              <w:jc w:val="center"/>
              <w:rPr>
                <w:rFonts w:eastAsia="Times New Roman" w:cs="Times New Roman"/>
                <w:bCs/>
                <w:noProof/>
                <w:szCs w:val="18"/>
              </w:rPr>
            </w:pPr>
            <w:r>
              <w:rPr>
                <w:noProof/>
              </w:rPr>
              <w:t>Indicatori calitativi (pentru obiectivele de etapă)</w:t>
            </w:r>
          </w:p>
        </w:tc>
        <w:tc>
          <w:tcPr>
            <w:tcW w:w="2732" w:type="dxa"/>
            <w:gridSpan w:val="3"/>
            <w:shd w:val="clear" w:color="auto" w:fill="BDD7EE"/>
            <w:vAlign w:val="center"/>
            <w:hideMark/>
          </w:tcPr>
          <w:p w14:paraId="7C254830" w14:textId="77777777" w:rsidR="00C45D59" w:rsidRDefault="009B0962">
            <w:pPr>
              <w:pStyle w:val="P68B1DB1-Normal10"/>
              <w:spacing w:after="0" w:line="240" w:lineRule="auto"/>
              <w:jc w:val="center"/>
              <w:rPr>
                <w:rFonts w:eastAsia="Times New Roman" w:cs="Times New Roman"/>
                <w:bCs/>
                <w:noProof/>
                <w:szCs w:val="18"/>
              </w:rPr>
            </w:pPr>
            <w:r>
              <w:rPr>
                <w:noProof/>
              </w:rPr>
              <w:t>Indicatori cantitativi (pentru ținte)</w:t>
            </w:r>
          </w:p>
        </w:tc>
        <w:tc>
          <w:tcPr>
            <w:tcW w:w="1560" w:type="dxa"/>
            <w:gridSpan w:val="2"/>
            <w:shd w:val="clear" w:color="auto" w:fill="BDD7EE"/>
            <w:vAlign w:val="center"/>
            <w:hideMark/>
          </w:tcPr>
          <w:p w14:paraId="3D4F634E" w14:textId="77777777" w:rsidR="00C45D59" w:rsidRDefault="009B0962">
            <w:pPr>
              <w:pStyle w:val="P68B1DB1-Normal10"/>
              <w:spacing w:after="0" w:line="240" w:lineRule="auto"/>
              <w:jc w:val="center"/>
              <w:rPr>
                <w:rFonts w:eastAsia="Times New Roman" w:cs="Times New Roman"/>
                <w:bCs/>
                <w:noProof/>
                <w:szCs w:val="18"/>
              </w:rPr>
            </w:pPr>
            <w:r>
              <w:rPr>
                <w:noProof/>
              </w:rPr>
              <w:t xml:space="preserve">Calendar orientativ pentru finalizare </w:t>
            </w:r>
          </w:p>
        </w:tc>
        <w:tc>
          <w:tcPr>
            <w:tcW w:w="5019" w:type="dxa"/>
            <w:vMerge w:val="restart"/>
            <w:shd w:val="clear" w:color="auto" w:fill="BDD7EE"/>
            <w:vAlign w:val="center"/>
            <w:hideMark/>
          </w:tcPr>
          <w:p w14:paraId="29A18992" w14:textId="77777777" w:rsidR="00C45D59" w:rsidRDefault="009B0962">
            <w:pPr>
              <w:pStyle w:val="P68B1DB1-Normal10"/>
              <w:spacing w:after="0" w:line="240" w:lineRule="auto"/>
              <w:jc w:val="center"/>
              <w:rPr>
                <w:rFonts w:eastAsia="Times New Roman" w:cs="Times New Roman"/>
                <w:bCs/>
                <w:noProof/>
                <w:szCs w:val="18"/>
              </w:rPr>
            </w:pPr>
            <w:r>
              <w:rPr>
                <w:noProof/>
              </w:rPr>
              <w:t>Descrierea fiecărui jalon și a fiecărei ținte</w:t>
            </w:r>
          </w:p>
        </w:tc>
      </w:tr>
      <w:tr w:rsidR="00C45D59" w14:paraId="4CDC1DC3" w14:textId="77777777">
        <w:trPr>
          <w:trHeight w:val="479"/>
          <w:tblHeader/>
          <w:jc w:val="center"/>
        </w:trPr>
        <w:tc>
          <w:tcPr>
            <w:tcW w:w="675" w:type="dxa"/>
            <w:vMerge/>
            <w:vAlign w:val="center"/>
            <w:hideMark/>
          </w:tcPr>
          <w:p w14:paraId="426285F6" w14:textId="77777777" w:rsidR="00C45D59" w:rsidRDefault="00C45D59">
            <w:pPr>
              <w:spacing w:after="0" w:line="240" w:lineRule="auto"/>
              <w:rPr>
                <w:rFonts w:ascii="Times New Roman" w:eastAsia="Times New Roman" w:hAnsi="Times New Roman" w:cs="Times New Roman"/>
                <w:b/>
                <w:bCs/>
                <w:noProof/>
                <w:sz w:val="18"/>
                <w:szCs w:val="18"/>
              </w:rPr>
            </w:pPr>
          </w:p>
        </w:tc>
        <w:tc>
          <w:tcPr>
            <w:tcW w:w="1953" w:type="dxa"/>
            <w:vMerge/>
            <w:vAlign w:val="center"/>
            <w:hideMark/>
          </w:tcPr>
          <w:p w14:paraId="58BA0030" w14:textId="77777777" w:rsidR="00C45D59" w:rsidRDefault="00C45D59">
            <w:pPr>
              <w:spacing w:after="0" w:line="240" w:lineRule="auto"/>
              <w:rPr>
                <w:rFonts w:ascii="Times New Roman" w:eastAsia="Times New Roman" w:hAnsi="Times New Roman" w:cs="Times New Roman"/>
                <w:b/>
                <w:bCs/>
                <w:noProof/>
                <w:sz w:val="18"/>
                <w:szCs w:val="18"/>
              </w:rPr>
            </w:pPr>
          </w:p>
        </w:tc>
        <w:tc>
          <w:tcPr>
            <w:tcW w:w="1162" w:type="dxa"/>
            <w:vMerge/>
            <w:vAlign w:val="center"/>
            <w:hideMark/>
          </w:tcPr>
          <w:p w14:paraId="72A618C3" w14:textId="77777777" w:rsidR="00C45D59" w:rsidRDefault="00C45D59">
            <w:pPr>
              <w:spacing w:after="0" w:line="240" w:lineRule="auto"/>
              <w:rPr>
                <w:rFonts w:ascii="Times New Roman" w:eastAsia="Times New Roman" w:hAnsi="Times New Roman" w:cs="Times New Roman"/>
                <w:b/>
                <w:bCs/>
                <w:noProof/>
                <w:sz w:val="18"/>
                <w:szCs w:val="18"/>
              </w:rPr>
            </w:pPr>
          </w:p>
        </w:tc>
        <w:tc>
          <w:tcPr>
            <w:tcW w:w="1190" w:type="dxa"/>
            <w:vMerge/>
            <w:vAlign w:val="center"/>
            <w:hideMark/>
          </w:tcPr>
          <w:p w14:paraId="6910DD2F" w14:textId="77777777" w:rsidR="00C45D59" w:rsidRDefault="00C45D59">
            <w:pPr>
              <w:spacing w:after="0" w:line="240" w:lineRule="auto"/>
              <w:rPr>
                <w:rFonts w:ascii="Times New Roman" w:eastAsia="Times New Roman" w:hAnsi="Times New Roman" w:cs="Times New Roman"/>
                <w:b/>
                <w:bCs/>
                <w:noProof/>
                <w:sz w:val="18"/>
                <w:szCs w:val="18"/>
              </w:rPr>
            </w:pPr>
          </w:p>
        </w:tc>
        <w:tc>
          <w:tcPr>
            <w:tcW w:w="1468" w:type="dxa"/>
            <w:vMerge/>
            <w:vAlign w:val="center"/>
            <w:hideMark/>
          </w:tcPr>
          <w:p w14:paraId="47024717" w14:textId="77777777" w:rsidR="00C45D59" w:rsidRDefault="00C45D59">
            <w:pPr>
              <w:spacing w:after="0" w:line="240" w:lineRule="auto"/>
              <w:rPr>
                <w:rFonts w:ascii="Times New Roman" w:eastAsia="Times New Roman" w:hAnsi="Times New Roman" w:cs="Times New Roman"/>
                <w:b/>
                <w:bCs/>
                <w:noProof/>
                <w:sz w:val="18"/>
                <w:szCs w:val="18"/>
              </w:rPr>
            </w:pPr>
          </w:p>
        </w:tc>
        <w:tc>
          <w:tcPr>
            <w:tcW w:w="1031" w:type="dxa"/>
            <w:shd w:val="clear" w:color="auto" w:fill="BDD7EE"/>
            <w:vAlign w:val="center"/>
            <w:hideMark/>
          </w:tcPr>
          <w:p w14:paraId="3D6E103A" w14:textId="77777777" w:rsidR="00C45D59" w:rsidRDefault="009B0962">
            <w:pPr>
              <w:pStyle w:val="P68B1DB1-Normal10"/>
              <w:spacing w:after="0" w:line="240" w:lineRule="auto"/>
              <w:jc w:val="center"/>
              <w:rPr>
                <w:rFonts w:eastAsia="Times New Roman" w:cs="Times New Roman"/>
                <w:bCs/>
                <w:noProof/>
                <w:szCs w:val="18"/>
              </w:rPr>
            </w:pPr>
            <w:r>
              <w:rPr>
                <w:noProof/>
              </w:rPr>
              <w:t>Unitatea de măsură</w:t>
            </w:r>
          </w:p>
        </w:tc>
        <w:tc>
          <w:tcPr>
            <w:tcW w:w="857" w:type="dxa"/>
            <w:shd w:val="clear" w:color="auto" w:fill="BDD7EE"/>
            <w:vAlign w:val="center"/>
            <w:hideMark/>
          </w:tcPr>
          <w:p w14:paraId="427156DD" w14:textId="77777777" w:rsidR="00C45D59" w:rsidRDefault="009B0962">
            <w:pPr>
              <w:pStyle w:val="P68B1DB1-Normal10"/>
              <w:spacing w:after="0" w:line="240" w:lineRule="auto"/>
              <w:jc w:val="center"/>
              <w:rPr>
                <w:rFonts w:eastAsia="Times New Roman" w:cs="Times New Roman"/>
                <w:bCs/>
                <w:noProof/>
                <w:szCs w:val="18"/>
              </w:rPr>
            </w:pPr>
            <w:r>
              <w:rPr>
                <w:noProof/>
              </w:rPr>
              <w:t xml:space="preserve">Situația de referință </w:t>
            </w:r>
          </w:p>
        </w:tc>
        <w:tc>
          <w:tcPr>
            <w:tcW w:w="844" w:type="dxa"/>
            <w:shd w:val="clear" w:color="auto" w:fill="BDD7EE"/>
            <w:vAlign w:val="center"/>
            <w:hideMark/>
          </w:tcPr>
          <w:p w14:paraId="111E354E" w14:textId="77777777" w:rsidR="00C45D59" w:rsidRDefault="009B0962">
            <w:pPr>
              <w:pStyle w:val="P68B1DB1-Normal10"/>
              <w:spacing w:after="0" w:line="240" w:lineRule="auto"/>
              <w:jc w:val="center"/>
              <w:rPr>
                <w:rFonts w:eastAsia="Times New Roman" w:cs="Times New Roman"/>
                <w:bCs/>
                <w:noProof/>
                <w:szCs w:val="18"/>
              </w:rPr>
            </w:pPr>
            <w:r>
              <w:rPr>
                <w:noProof/>
              </w:rPr>
              <w:t xml:space="preserve">Obiectiv </w:t>
            </w:r>
          </w:p>
        </w:tc>
        <w:tc>
          <w:tcPr>
            <w:tcW w:w="851" w:type="dxa"/>
            <w:shd w:val="clear" w:color="auto" w:fill="BDD7EE"/>
            <w:vAlign w:val="center"/>
            <w:hideMark/>
          </w:tcPr>
          <w:p w14:paraId="4EEF9CB8" w14:textId="77777777" w:rsidR="00C45D59" w:rsidRDefault="009B0962">
            <w:pPr>
              <w:pStyle w:val="P68B1DB1-Normal10"/>
              <w:spacing w:after="0" w:line="240" w:lineRule="auto"/>
              <w:jc w:val="center"/>
              <w:rPr>
                <w:rFonts w:eastAsia="Times New Roman" w:cs="Times New Roman"/>
                <w:bCs/>
                <w:noProof/>
                <w:szCs w:val="18"/>
              </w:rPr>
            </w:pPr>
            <w:r>
              <w:rPr>
                <w:noProof/>
              </w:rPr>
              <w:t>Trimestru</w:t>
            </w:r>
          </w:p>
        </w:tc>
        <w:tc>
          <w:tcPr>
            <w:tcW w:w="709" w:type="dxa"/>
            <w:shd w:val="clear" w:color="auto" w:fill="BDD7EE"/>
            <w:vAlign w:val="center"/>
            <w:hideMark/>
          </w:tcPr>
          <w:p w14:paraId="595C1F33" w14:textId="77777777" w:rsidR="00C45D59" w:rsidRDefault="009B0962">
            <w:pPr>
              <w:pStyle w:val="P68B1DB1-Normal10"/>
              <w:spacing w:after="0" w:line="240" w:lineRule="auto"/>
              <w:jc w:val="center"/>
              <w:rPr>
                <w:rFonts w:eastAsia="Times New Roman" w:cs="Times New Roman"/>
                <w:bCs/>
                <w:noProof/>
                <w:szCs w:val="18"/>
              </w:rPr>
            </w:pPr>
            <w:r>
              <w:rPr>
                <w:noProof/>
              </w:rPr>
              <w:t>Anul</w:t>
            </w:r>
          </w:p>
        </w:tc>
        <w:tc>
          <w:tcPr>
            <w:tcW w:w="5019" w:type="dxa"/>
            <w:vMerge/>
            <w:vAlign w:val="center"/>
            <w:hideMark/>
          </w:tcPr>
          <w:p w14:paraId="3E25D7FF" w14:textId="77777777" w:rsidR="00C45D59" w:rsidRDefault="00C45D59">
            <w:pPr>
              <w:spacing w:after="0" w:line="240" w:lineRule="auto"/>
              <w:rPr>
                <w:rFonts w:ascii="Times New Roman" w:eastAsia="Times New Roman" w:hAnsi="Times New Roman" w:cs="Times New Roman"/>
                <w:b/>
                <w:bCs/>
                <w:noProof/>
                <w:sz w:val="18"/>
                <w:szCs w:val="18"/>
              </w:rPr>
            </w:pPr>
          </w:p>
        </w:tc>
      </w:tr>
      <w:tr w:rsidR="00C45D59" w14:paraId="73DC4C71" w14:textId="77777777">
        <w:trPr>
          <w:trHeight w:val="309"/>
          <w:jc w:val="center"/>
        </w:trPr>
        <w:tc>
          <w:tcPr>
            <w:tcW w:w="675" w:type="dxa"/>
            <w:shd w:val="clear" w:color="auto" w:fill="C6EFCE"/>
            <w:noWrap/>
          </w:tcPr>
          <w:p w14:paraId="336EB0A9" w14:textId="77777777" w:rsidR="00C45D59" w:rsidRDefault="009B0962">
            <w:pPr>
              <w:pStyle w:val="P68B1DB1-Normal12"/>
              <w:spacing w:after="0" w:line="240" w:lineRule="auto"/>
              <w:rPr>
                <w:rFonts w:eastAsia="Times New Roman"/>
                <w:noProof/>
              </w:rPr>
            </w:pPr>
            <w:r>
              <w:rPr>
                <w:noProof/>
              </w:rPr>
              <w:t>56</w:t>
            </w:r>
          </w:p>
        </w:tc>
        <w:tc>
          <w:tcPr>
            <w:tcW w:w="1953" w:type="dxa"/>
            <w:shd w:val="clear" w:color="auto" w:fill="C6EFCE"/>
            <w:noWrap/>
          </w:tcPr>
          <w:p w14:paraId="387C0FAC" w14:textId="77777777" w:rsidR="00C45D59" w:rsidRDefault="009B0962">
            <w:pPr>
              <w:pStyle w:val="P68B1DB1-Normal12"/>
              <w:spacing w:after="0" w:line="240" w:lineRule="auto"/>
              <w:rPr>
                <w:rFonts w:eastAsia="Times New Roman"/>
                <w:noProof/>
              </w:rPr>
            </w:pPr>
            <w:r>
              <w:rPr>
                <w:noProof/>
              </w:rPr>
              <w:t>4-1.4. Utilizarea durabilă a resurselor, reziliența la schimbările climatice și protecția mediului – 16772_Legea privind gestionarea deșeurilor pentru punerea în aplicare a depozitării și reciclării durabile a deșeurilor</w:t>
            </w:r>
          </w:p>
        </w:tc>
        <w:tc>
          <w:tcPr>
            <w:tcW w:w="1162" w:type="dxa"/>
            <w:shd w:val="clear" w:color="auto" w:fill="C6EFCE"/>
            <w:noWrap/>
          </w:tcPr>
          <w:p w14:paraId="0A720FE1" w14:textId="77777777" w:rsidR="00C45D59" w:rsidRDefault="009B0962">
            <w:pPr>
              <w:pStyle w:val="P68B1DB1-Normal12"/>
              <w:spacing w:after="0" w:line="240" w:lineRule="auto"/>
              <w:rPr>
                <w:rFonts w:eastAsia="Times New Roman"/>
                <w:noProof/>
              </w:rPr>
            </w:pPr>
            <w:r>
              <w:rPr>
                <w:noProof/>
              </w:rPr>
              <w:t>Etapă</w:t>
            </w:r>
          </w:p>
        </w:tc>
        <w:tc>
          <w:tcPr>
            <w:tcW w:w="1190" w:type="dxa"/>
            <w:shd w:val="clear" w:color="auto" w:fill="C6EFCE"/>
            <w:noWrap/>
          </w:tcPr>
          <w:p w14:paraId="54D7EEC6" w14:textId="77777777" w:rsidR="00C45D59" w:rsidRDefault="009B0962">
            <w:pPr>
              <w:pStyle w:val="P68B1DB1-Normal12"/>
              <w:spacing w:after="0" w:line="240" w:lineRule="auto"/>
              <w:rPr>
                <w:rFonts w:eastAsia="Times New Roman"/>
                <w:noProof/>
              </w:rPr>
            </w:pPr>
            <w:r>
              <w:rPr>
                <w:noProof/>
              </w:rPr>
              <w:t>Intrarea în vigoare a legislației privind gestionarea deșeurilor</w:t>
            </w:r>
          </w:p>
        </w:tc>
        <w:tc>
          <w:tcPr>
            <w:tcW w:w="1468" w:type="dxa"/>
            <w:shd w:val="clear" w:color="auto" w:fill="C6EFCE"/>
            <w:noWrap/>
          </w:tcPr>
          <w:p w14:paraId="7AEFF911" w14:textId="77777777" w:rsidR="00C45D59" w:rsidRDefault="009B0962">
            <w:pPr>
              <w:pStyle w:val="P68B1DB1-Normal12"/>
              <w:spacing w:after="0" w:line="240" w:lineRule="auto"/>
              <w:rPr>
                <w:rFonts w:eastAsia="Times New Roman"/>
                <w:noProof/>
              </w:rPr>
            </w:pPr>
            <w:r>
              <w:rPr>
                <w:noProof/>
              </w:rPr>
              <w:t>Intrarea în vigoare a legislației</w:t>
            </w:r>
          </w:p>
        </w:tc>
        <w:tc>
          <w:tcPr>
            <w:tcW w:w="1031" w:type="dxa"/>
            <w:shd w:val="clear" w:color="auto" w:fill="C6EFCE"/>
            <w:noWrap/>
          </w:tcPr>
          <w:p w14:paraId="63330AE4"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57" w:type="dxa"/>
            <w:shd w:val="clear" w:color="auto" w:fill="C6EFCE"/>
            <w:noWrap/>
          </w:tcPr>
          <w:p w14:paraId="3835C7A3"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44" w:type="dxa"/>
            <w:shd w:val="clear" w:color="auto" w:fill="C6EFCE"/>
            <w:noWrap/>
          </w:tcPr>
          <w:p w14:paraId="023886E5"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51" w:type="dxa"/>
            <w:shd w:val="clear" w:color="auto" w:fill="C6EFCE"/>
            <w:noWrap/>
          </w:tcPr>
          <w:p w14:paraId="4D9BA807" w14:textId="77777777" w:rsidR="00C45D59" w:rsidRDefault="009B0962">
            <w:pPr>
              <w:pStyle w:val="P68B1DB1-Normal12"/>
              <w:spacing w:after="0" w:line="240" w:lineRule="auto"/>
              <w:rPr>
                <w:rFonts w:eastAsia="Times New Roman"/>
                <w:noProof/>
              </w:rPr>
            </w:pPr>
            <w:r>
              <w:rPr>
                <w:noProof/>
              </w:rPr>
              <w:t>Î3</w:t>
            </w:r>
          </w:p>
        </w:tc>
        <w:tc>
          <w:tcPr>
            <w:tcW w:w="709" w:type="dxa"/>
            <w:shd w:val="clear" w:color="auto" w:fill="C6EFCE"/>
            <w:noWrap/>
          </w:tcPr>
          <w:p w14:paraId="6789EE28" w14:textId="77777777" w:rsidR="00C45D59" w:rsidRDefault="009B0962">
            <w:pPr>
              <w:pStyle w:val="P68B1DB1-Normal12"/>
              <w:spacing w:after="0" w:line="240" w:lineRule="auto"/>
              <w:rPr>
                <w:rFonts w:eastAsia="Times New Roman"/>
                <w:noProof/>
              </w:rPr>
            </w:pPr>
            <w:r>
              <w:rPr>
                <w:noProof/>
              </w:rPr>
              <w:t>2021</w:t>
            </w:r>
          </w:p>
        </w:tc>
        <w:tc>
          <w:tcPr>
            <w:tcW w:w="5019" w:type="dxa"/>
            <w:shd w:val="clear" w:color="auto" w:fill="C6EFCE"/>
            <w:noWrap/>
          </w:tcPr>
          <w:p w14:paraId="31826EAA" w14:textId="77777777" w:rsidR="00C45D59" w:rsidRDefault="009B0962">
            <w:pPr>
              <w:pStyle w:val="P68B1DB1-Normal12"/>
              <w:spacing w:after="0" w:line="240" w:lineRule="auto"/>
              <w:rPr>
                <w:rFonts w:eastAsia="Times New Roman"/>
                <w:noProof/>
              </w:rPr>
            </w:pPr>
            <w:r>
              <w:rPr>
                <w:noProof/>
              </w:rPr>
              <w:t>Intrarea în vigoare a unei legi privind reciclarea și depozitarea deșeurilor, precum și introducerea unor stimulente pentru municipalități în vederea atingerii unor rate ridicate de reutilizare și reciclare și punerea în aplicare a unei taxe de depozitare a deșeurilor. Taxa de depozitare a deșeurilor se aplică începând cu primul trimestru al anului 2022, iar tarifele cresc progresiv până la atingerea pragului superior al taxei de depozitare a deșeurilor până în al treilea trimestru al anului 2024.</w:t>
            </w:r>
          </w:p>
        </w:tc>
      </w:tr>
      <w:tr w:rsidR="00C45D59" w14:paraId="3953229D" w14:textId="77777777">
        <w:trPr>
          <w:trHeight w:val="309"/>
          <w:jc w:val="center"/>
        </w:trPr>
        <w:tc>
          <w:tcPr>
            <w:tcW w:w="675" w:type="dxa"/>
            <w:shd w:val="clear" w:color="auto" w:fill="C6EFCE"/>
            <w:noWrap/>
          </w:tcPr>
          <w:p w14:paraId="656D7F56" w14:textId="77777777" w:rsidR="00C45D59" w:rsidRDefault="009B0962">
            <w:pPr>
              <w:pStyle w:val="P68B1DB1-Normal12"/>
              <w:spacing w:after="0" w:line="240" w:lineRule="auto"/>
              <w:rPr>
                <w:rFonts w:eastAsia="Times New Roman"/>
                <w:noProof/>
              </w:rPr>
            </w:pPr>
            <w:r>
              <w:rPr>
                <w:noProof/>
              </w:rPr>
              <w:t>57</w:t>
            </w:r>
          </w:p>
        </w:tc>
        <w:tc>
          <w:tcPr>
            <w:tcW w:w="1953" w:type="dxa"/>
            <w:shd w:val="clear" w:color="auto" w:fill="C6EFCE"/>
            <w:noWrap/>
          </w:tcPr>
          <w:p w14:paraId="34BB02D9" w14:textId="77777777" w:rsidR="00C45D59" w:rsidRDefault="009B0962">
            <w:pPr>
              <w:pStyle w:val="P68B1DB1-Normal12"/>
              <w:spacing w:after="0" w:line="240" w:lineRule="auto"/>
              <w:rPr>
                <w:rFonts w:eastAsia="Times New Roman"/>
                <w:noProof/>
              </w:rPr>
            </w:pPr>
            <w:r>
              <w:rPr>
                <w:noProof/>
              </w:rPr>
              <w:t>4-1.4. Utilizarea durabilă a resurselor, reziliența la schimbările climatice și protecția mediului – 16772_Legea privind gestionarea deșeurilor pentru punerea în aplicare a depozitării și reciclării durabile a deșeurilor</w:t>
            </w:r>
          </w:p>
        </w:tc>
        <w:tc>
          <w:tcPr>
            <w:tcW w:w="1162" w:type="dxa"/>
            <w:shd w:val="clear" w:color="auto" w:fill="C6EFCE"/>
            <w:noWrap/>
          </w:tcPr>
          <w:p w14:paraId="05691B4C" w14:textId="77777777" w:rsidR="00C45D59" w:rsidRDefault="009B0962">
            <w:pPr>
              <w:pStyle w:val="P68B1DB1-Normal12"/>
              <w:spacing w:after="0" w:line="240" w:lineRule="auto"/>
              <w:rPr>
                <w:rFonts w:eastAsia="Times New Roman"/>
                <w:noProof/>
              </w:rPr>
            </w:pPr>
            <w:r>
              <w:rPr>
                <w:noProof/>
              </w:rPr>
              <w:t>Etapă</w:t>
            </w:r>
          </w:p>
        </w:tc>
        <w:tc>
          <w:tcPr>
            <w:tcW w:w="1190" w:type="dxa"/>
            <w:shd w:val="clear" w:color="auto" w:fill="C6EFCE"/>
            <w:noWrap/>
          </w:tcPr>
          <w:p w14:paraId="2C48EBA2" w14:textId="77777777" w:rsidR="00C45D59" w:rsidRDefault="009B0962">
            <w:pPr>
              <w:pStyle w:val="P68B1DB1-Normal12"/>
              <w:spacing w:after="0" w:line="240" w:lineRule="auto"/>
              <w:rPr>
                <w:rFonts w:eastAsia="Times New Roman"/>
                <w:noProof/>
              </w:rPr>
            </w:pPr>
            <w:r>
              <w:rPr>
                <w:noProof/>
              </w:rPr>
              <w:t>Intrarea în vigoare a legii privind autoritățile de reglementare în domeniul gestionării deșeurilor</w:t>
            </w:r>
          </w:p>
        </w:tc>
        <w:tc>
          <w:tcPr>
            <w:tcW w:w="1468" w:type="dxa"/>
            <w:shd w:val="clear" w:color="auto" w:fill="C6EFCE"/>
            <w:noWrap/>
          </w:tcPr>
          <w:p w14:paraId="04846219" w14:textId="77777777" w:rsidR="00C45D59" w:rsidRDefault="009B0962">
            <w:pPr>
              <w:pStyle w:val="P68B1DB1-Normal12"/>
              <w:spacing w:after="0" w:line="240" w:lineRule="auto"/>
              <w:rPr>
                <w:rFonts w:eastAsia="Times New Roman"/>
                <w:noProof/>
              </w:rPr>
            </w:pPr>
            <w:r>
              <w:rPr>
                <w:noProof/>
              </w:rPr>
              <w:t xml:space="preserve">Intrarea în vigoare a legislației </w:t>
            </w:r>
          </w:p>
        </w:tc>
        <w:tc>
          <w:tcPr>
            <w:tcW w:w="1031" w:type="dxa"/>
            <w:shd w:val="clear" w:color="auto" w:fill="C6EFCE"/>
            <w:noWrap/>
          </w:tcPr>
          <w:p w14:paraId="65B40E0E"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57" w:type="dxa"/>
            <w:shd w:val="clear" w:color="auto" w:fill="C6EFCE"/>
            <w:noWrap/>
          </w:tcPr>
          <w:p w14:paraId="478C1909"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44" w:type="dxa"/>
            <w:shd w:val="clear" w:color="auto" w:fill="C6EFCE"/>
            <w:noWrap/>
          </w:tcPr>
          <w:p w14:paraId="64A941F6"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51" w:type="dxa"/>
            <w:shd w:val="clear" w:color="auto" w:fill="C6EFCE"/>
            <w:noWrap/>
          </w:tcPr>
          <w:p w14:paraId="4C547673" w14:textId="77777777" w:rsidR="00C45D59" w:rsidRDefault="009B0962">
            <w:pPr>
              <w:pStyle w:val="P68B1DB1-Normal12"/>
              <w:spacing w:after="0" w:line="240" w:lineRule="auto"/>
              <w:rPr>
                <w:rFonts w:eastAsia="Times New Roman"/>
                <w:noProof/>
              </w:rPr>
            </w:pPr>
            <w:r>
              <w:rPr>
                <w:noProof/>
              </w:rPr>
              <w:t>Î3</w:t>
            </w:r>
          </w:p>
        </w:tc>
        <w:tc>
          <w:tcPr>
            <w:tcW w:w="709" w:type="dxa"/>
            <w:shd w:val="clear" w:color="auto" w:fill="C6EFCE"/>
            <w:noWrap/>
          </w:tcPr>
          <w:p w14:paraId="5F50EBD2" w14:textId="77777777" w:rsidR="00C45D59" w:rsidRDefault="009B0962">
            <w:pPr>
              <w:pStyle w:val="P68B1DB1-Normal12"/>
              <w:spacing w:after="0" w:line="240" w:lineRule="auto"/>
              <w:rPr>
                <w:rFonts w:eastAsia="Times New Roman"/>
                <w:noProof/>
              </w:rPr>
            </w:pPr>
            <w:r>
              <w:rPr>
                <w:noProof/>
              </w:rPr>
              <w:t>2022</w:t>
            </w:r>
          </w:p>
        </w:tc>
        <w:tc>
          <w:tcPr>
            <w:tcW w:w="5019" w:type="dxa"/>
            <w:shd w:val="clear" w:color="auto" w:fill="C6EFCE"/>
            <w:noWrap/>
          </w:tcPr>
          <w:p w14:paraId="3E73D385" w14:textId="77777777" w:rsidR="00C45D59" w:rsidRDefault="009B0962">
            <w:pPr>
              <w:pStyle w:val="P68B1DB1-Normal12"/>
              <w:spacing w:after="0" w:line="240" w:lineRule="auto"/>
              <w:jc w:val="both"/>
              <w:rPr>
                <w:rFonts w:eastAsia="Times New Roman"/>
                <w:noProof/>
              </w:rPr>
            </w:pPr>
            <w:r>
              <w:rPr>
                <w:noProof/>
              </w:rPr>
              <w:t>Intrarea în vigoare a unei legi care vizează:</w:t>
            </w:r>
          </w:p>
          <w:p w14:paraId="7C86754C" w14:textId="77777777" w:rsidR="00C45D59" w:rsidRDefault="009B0962">
            <w:pPr>
              <w:pStyle w:val="P68B1DB1-Normal12"/>
              <w:numPr>
                <w:ilvl w:val="0"/>
                <w:numId w:val="27"/>
              </w:numPr>
              <w:spacing w:after="0" w:line="240" w:lineRule="auto"/>
              <w:jc w:val="both"/>
              <w:rPr>
                <w:rFonts w:eastAsia="Times New Roman"/>
                <w:noProof/>
              </w:rPr>
            </w:pPr>
            <w:r>
              <w:rPr>
                <w:noProof/>
              </w:rPr>
              <w:t>înființarea unei Autorități Naționale de Reglementare a Deșeurilor, funcționarea și responsabilitățile acesteia;</w:t>
            </w:r>
          </w:p>
          <w:p w14:paraId="4D4ED899" w14:textId="77777777" w:rsidR="00C45D59" w:rsidRDefault="009B0962">
            <w:pPr>
              <w:pStyle w:val="P68B1DB1-Normal12"/>
              <w:numPr>
                <w:ilvl w:val="0"/>
                <w:numId w:val="27"/>
              </w:numPr>
              <w:spacing w:after="0" w:line="240" w:lineRule="auto"/>
              <w:jc w:val="both"/>
              <w:rPr>
                <w:rFonts w:eastAsia="Times New Roman"/>
                <w:noProof/>
              </w:rPr>
            </w:pPr>
            <w:r>
              <w:rPr>
                <w:noProof/>
              </w:rPr>
              <w:t>Reforma organismelor regionale și locale de gestionare a deșeurilor (FOSDA); și</w:t>
            </w:r>
          </w:p>
          <w:p w14:paraId="64D84650" w14:textId="77777777" w:rsidR="00C45D59" w:rsidRDefault="009B0962">
            <w:pPr>
              <w:pStyle w:val="P68B1DB1-Normal23"/>
              <w:numPr>
                <w:ilvl w:val="0"/>
                <w:numId w:val="27"/>
              </w:numPr>
              <w:spacing w:after="0" w:line="240" w:lineRule="auto"/>
              <w:jc w:val="both"/>
              <w:rPr>
                <w:noProof/>
              </w:rPr>
            </w:pPr>
            <w:r>
              <w:rPr>
                <w:noProof/>
              </w:rPr>
              <w:t>Introducerea unor politici solide de calcul al costurilor și de stabilire a prețurilor, în conformitate cu principiile „plătești pe măsură ce arunci” și „poluatorul plătește”.</w:t>
            </w:r>
          </w:p>
          <w:p w14:paraId="580E5802" w14:textId="77777777" w:rsidR="00C45D59" w:rsidRDefault="00C45D59">
            <w:pPr>
              <w:spacing w:after="0" w:line="240" w:lineRule="auto"/>
              <w:ind w:left="720"/>
              <w:jc w:val="both"/>
              <w:rPr>
                <w:rFonts w:ascii="Times New Roman" w:hAnsi="Times New Roman" w:cs="Times New Roman"/>
                <w:noProof/>
                <w:color w:val="006100"/>
                <w:sz w:val="18"/>
                <w:szCs w:val="18"/>
              </w:rPr>
            </w:pPr>
          </w:p>
        </w:tc>
      </w:tr>
      <w:tr w:rsidR="00C45D59" w14:paraId="4AACF50D" w14:textId="77777777">
        <w:trPr>
          <w:trHeight w:val="309"/>
          <w:jc w:val="center"/>
        </w:trPr>
        <w:tc>
          <w:tcPr>
            <w:tcW w:w="675" w:type="dxa"/>
            <w:shd w:val="clear" w:color="auto" w:fill="C6EFCE"/>
            <w:noWrap/>
          </w:tcPr>
          <w:p w14:paraId="4563AB5D" w14:textId="77777777" w:rsidR="00C45D59" w:rsidRDefault="009B0962">
            <w:pPr>
              <w:pStyle w:val="P68B1DB1-Normal12"/>
              <w:spacing w:after="0" w:line="240" w:lineRule="auto"/>
              <w:rPr>
                <w:rFonts w:eastAsia="Times New Roman"/>
                <w:noProof/>
              </w:rPr>
            </w:pPr>
            <w:r>
              <w:rPr>
                <w:noProof/>
              </w:rPr>
              <w:t>58</w:t>
            </w:r>
          </w:p>
        </w:tc>
        <w:tc>
          <w:tcPr>
            <w:tcW w:w="1953" w:type="dxa"/>
            <w:shd w:val="clear" w:color="auto" w:fill="C6EFCE"/>
            <w:noWrap/>
          </w:tcPr>
          <w:p w14:paraId="1BB1EFD2" w14:textId="77777777" w:rsidR="00C45D59" w:rsidRDefault="009B0962">
            <w:pPr>
              <w:pStyle w:val="P68B1DB1-Normal12"/>
              <w:spacing w:after="0" w:line="240" w:lineRule="auto"/>
              <w:rPr>
                <w:rFonts w:eastAsia="Times New Roman"/>
                <w:noProof/>
              </w:rPr>
            </w:pPr>
            <w:r>
              <w:rPr>
                <w:noProof/>
              </w:rPr>
              <w:t>4-1.4. Utilizarea durabilă a resurselor, reziliența la schimbările climatice și protecția mediului – 16979_Instituirea unei noi autorități de reglementare în domeniul apei și al apelor uzate</w:t>
            </w:r>
          </w:p>
        </w:tc>
        <w:tc>
          <w:tcPr>
            <w:tcW w:w="1162" w:type="dxa"/>
            <w:shd w:val="clear" w:color="auto" w:fill="C6EFCE"/>
            <w:noWrap/>
          </w:tcPr>
          <w:p w14:paraId="144A0762" w14:textId="77777777" w:rsidR="00C45D59" w:rsidRDefault="009B0962">
            <w:pPr>
              <w:pStyle w:val="P68B1DB1-Normal12"/>
              <w:spacing w:after="0" w:line="240" w:lineRule="auto"/>
              <w:rPr>
                <w:rFonts w:eastAsia="Times New Roman"/>
                <w:noProof/>
              </w:rPr>
            </w:pPr>
            <w:r>
              <w:rPr>
                <w:noProof/>
              </w:rPr>
              <w:t>Etapă</w:t>
            </w:r>
          </w:p>
        </w:tc>
        <w:tc>
          <w:tcPr>
            <w:tcW w:w="1190" w:type="dxa"/>
            <w:shd w:val="clear" w:color="auto" w:fill="C6EFCE"/>
            <w:noWrap/>
          </w:tcPr>
          <w:p w14:paraId="770A0800" w14:textId="77777777" w:rsidR="00C45D59" w:rsidRDefault="009B0962">
            <w:pPr>
              <w:pStyle w:val="P68B1DB1-Normal12"/>
              <w:spacing w:after="0" w:line="240" w:lineRule="auto"/>
              <w:rPr>
                <w:rFonts w:eastAsia="Times New Roman"/>
                <w:noProof/>
              </w:rPr>
            </w:pPr>
            <w:r>
              <w:rPr>
                <w:noProof/>
              </w:rPr>
              <w:t>Intrarea în vigoare a legii privind autoritatea de reglementare în domeniul apei</w:t>
            </w:r>
          </w:p>
        </w:tc>
        <w:tc>
          <w:tcPr>
            <w:tcW w:w="1468" w:type="dxa"/>
            <w:shd w:val="clear" w:color="auto" w:fill="C6EFCE"/>
            <w:noWrap/>
          </w:tcPr>
          <w:p w14:paraId="56E1DA31" w14:textId="77777777" w:rsidR="00C45D59" w:rsidRDefault="009B0962">
            <w:pPr>
              <w:pStyle w:val="P68B1DB1-Normal12"/>
              <w:spacing w:after="0" w:line="240" w:lineRule="auto"/>
              <w:rPr>
                <w:rFonts w:eastAsia="Times New Roman"/>
                <w:noProof/>
              </w:rPr>
            </w:pPr>
            <w:r>
              <w:rPr>
                <w:noProof/>
              </w:rPr>
              <w:t xml:space="preserve">Intrarea în vigoare a legislației </w:t>
            </w:r>
          </w:p>
        </w:tc>
        <w:tc>
          <w:tcPr>
            <w:tcW w:w="1031" w:type="dxa"/>
            <w:shd w:val="clear" w:color="auto" w:fill="C6EFCE"/>
            <w:noWrap/>
          </w:tcPr>
          <w:p w14:paraId="317C5CBF"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57" w:type="dxa"/>
            <w:shd w:val="clear" w:color="auto" w:fill="C6EFCE"/>
            <w:noWrap/>
          </w:tcPr>
          <w:p w14:paraId="0AFEE827"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44" w:type="dxa"/>
            <w:shd w:val="clear" w:color="auto" w:fill="C6EFCE"/>
            <w:noWrap/>
          </w:tcPr>
          <w:p w14:paraId="701CCEB2"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51" w:type="dxa"/>
            <w:shd w:val="clear" w:color="auto" w:fill="C6EFCE"/>
            <w:noWrap/>
          </w:tcPr>
          <w:p w14:paraId="1C327B27" w14:textId="77777777" w:rsidR="00C45D59" w:rsidRDefault="009B0962">
            <w:pPr>
              <w:pStyle w:val="P68B1DB1-Normal12"/>
              <w:spacing w:after="0" w:line="240" w:lineRule="auto"/>
              <w:rPr>
                <w:rFonts w:eastAsia="Times New Roman"/>
                <w:noProof/>
              </w:rPr>
            </w:pPr>
            <w:r>
              <w:rPr>
                <w:noProof/>
              </w:rPr>
              <w:t>Î4</w:t>
            </w:r>
          </w:p>
        </w:tc>
        <w:tc>
          <w:tcPr>
            <w:tcW w:w="709" w:type="dxa"/>
            <w:shd w:val="clear" w:color="auto" w:fill="C6EFCE"/>
            <w:noWrap/>
          </w:tcPr>
          <w:p w14:paraId="57AB3DA4" w14:textId="77777777" w:rsidR="00C45D59" w:rsidRDefault="009B0962">
            <w:pPr>
              <w:pStyle w:val="P68B1DB1-Normal12"/>
              <w:spacing w:after="0" w:line="240" w:lineRule="auto"/>
              <w:rPr>
                <w:rFonts w:eastAsia="Times New Roman"/>
                <w:noProof/>
              </w:rPr>
            </w:pPr>
            <w:r>
              <w:rPr>
                <w:noProof/>
              </w:rPr>
              <w:t>2022</w:t>
            </w:r>
          </w:p>
        </w:tc>
        <w:tc>
          <w:tcPr>
            <w:tcW w:w="5019" w:type="dxa"/>
            <w:shd w:val="clear" w:color="auto" w:fill="C6EFCE"/>
            <w:noWrap/>
          </w:tcPr>
          <w:p w14:paraId="5F689870" w14:textId="77777777" w:rsidR="00C45D59" w:rsidRDefault="009B0962">
            <w:pPr>
              <w:pStyle w:val="P68B1DB1-Normal12"/>
              <w:spacing w:after="0" w:line="240" w:lineRule="auto"/>
              <w:rPr>
                <w:rFonts w:eastAsia="Times New Roman"/>
                <w:noProof/>
              </w:rPr>
            </w:pPr>
            <w:r>
              <w:rPr>
                <w:noProof/>
              </w:rPr>
              <w:t>Intrarea în vigoare a unei legi privind înființarea și funcționarea unei noi autorități de reglementare în domeniul apei și al apelor uzate.</w:t>
            </w:r>
          </w:p>
        </w:tc>
      </w:tr>
      <w:tr w:rsidR="00C45D59" w14:paraId="7AC514A4" w14:textId="77777777">
        <w:trPr>
          <w:trHeight w:val="309"/>
          <w:jc w:val="center"/>
        </w:trPr>
        <w:tc>
          <w:tcPr>
            <w:tcW w:w="675" w:type="dxa"/>
            <w:shd w:val="clear" w:color="auto" w:fill="C6EFCE"/>
            <w:noWrap/>
          </w:tcPr>
          <w:p w14:paraId="6841D0EE" w14:textId="77777777" w:rsidR="00C45D59" w:rsidRDefault="009B0962">
            <w:pPr>
              <w:pStyle w:val="P68B1DB1-Normal12"/>
              <w:spacing w:after="0" w:line="240" w:lineRule="auto"/>
              <w:rPr>
                <w:rFonts w:eastAsia="Times New Roman"/>
                <w:noProof/>
              </w:rPr>
            </w:pPr>
            <w:r>
              <w:rPr>
                <w:noProof/>
              </w:rPr>
              <w:t>59</w:t>
            </w:r>
          </w:p>
        </w:tc>
        <w:tc>
          <w:tcPr>
            <w:tcW w:w="1953" w:type="dxa"/>
            <w:shd w:val="clear" w:color="auto" w:fill="C6EFCE"/>
            <w:noWrap/>
          </w:tcPr>
          <w:p w14:paraId="3FF9392A" w14:textId="77777777" w:rsidR="00C45D59" w:rsidRDefault="009B0962">
            <w:pPr>
              <w:pStyle w:val="P68B1DB1-Normal12"/>
              <w:spacing w:after="0" w:line="240" w:lineRule="auto"/>
              <w:rPr>
                <w:rFonts w:eastAsia="Times New Roman"/>
                <w:noProof/>
              </w:rPr>
            </w:pPr>
            <w:r>
              <w:rPr>
                <w:noProof/>
              </w:rPr>
              <w:t>4-1.4. Utilizarea durabilă a resurselor, reziliența la schimbările climatice și protecția mediului – 16772_Legea privind gestionarea deșeurilor pentru punerea în aplicare a depozitării și reciclării durabile a deșeurilor</w:t>
            </w:r>
          </w:p>
        </w:tc>
        <w:tc>
          <w:tcPr>
            <w:tcW w:w="1162" w:type="dxa"/>
            <w:shd w:val="clear" w:color="auto" w:fill="C6EFCE"/>
            <w:noWrap/>
          </w:tcPr>
          <w:p w14:paraId="5712E004" w14:textId="77777777" w:rsidR="00C45D59" w:rsidRDefault="009B0962">
            <w:pPr>
              <w:pStyle w:val="P68B1DB1-Normal12"/>
              <w:spacing w:after="0" w:line="240" w:lineRule="auto"/>
              <w:rPr>
                <w:rFonts w:eastAsia="Times New Roman"/>
                <w:noProof/>
              </w:rPr>
            </w:pPr>
            <w:r>
              <w:rPr>
                <w:noProof/>
              </w:rPr>
              <w:t>Etapă</w:t>
            </w:r>
          </w:p>
        </w:tc>
        <w:tc>
          <w:tcPr>
            <w:tcW w:w="1190" w:type="dxa"/>
            <w:shd w:val="clear" w:color="auto" w:fill="C6EFCE"/>
            <w:noWrap/>
          </w:tcPr>
          <w:p w14:paraId="0A28D88A" w14:textId="77777777" w:rsidR="00C45D59" w:rsidRDefault="009B0962">
            <w:pPr>
              <w:pStyle w:val="P68B1DB1-Normal12"/>
              <w:spacing w:after="0" w:line="240" w:lineRule="auto"/>
              <w:rPr>
                <w:rFonts w:eastAsia="Times New Roman"/>
                <w:noProof/>
              </w:rPr>
            </w:pPr>
            <w:r>
              <w:rPr>
                <w:noProof/>
              </w:rPr>
              <w:t>Instituirea și funcționarea autorității de reglementare în domeniul gestionării deșeurilor</w:t>
            </w:r>
          </w:p>
        </w:tc>
        <w:tc>
          <w:tcPr>
            <w:tcW w:w="1468" w:type="dxa"/>
            <w:shd w:val="clear" w:color="auto" w:fill="C6EFCE"/>
            <w:noWrap/>
          </w:tcPr>
          <w:p w14:paraId="5C07ECDD" w14:textId="77777777" w:rsidR="00C45D59" w:rsidRDefault="009B0962">
            <w:pPr>
              <w:pStyle w:val="P68B1DB1-Normal12"/>
              <w:spacing w:after="0" w:line="240" w:lineRule="auto"/>
              <w:rPr>
                <w:rFonts w:eastAsia="Times New Roman"/>
                <w:noProof/>
              </w:rPr>
            </w:pPr>
            <w:r>
              <w:rPr>
                <w:noProof/>
              </w:rPr>
              <w:t xml:space="preserve">Intrarea în vigoare a unei decizii ministeriale comune și toate măsurile administrative și legislative necesare pentru înființarea Autorității </w:t>
            </w:r>
          </w:p>
        </w:tc>
        <w:tc>
          <w:tcPr>
            <w:tcW w:w="1031" w:type="dxa"/>
            <w:shd w:val="clear" w:color="auto" w:fill="C6EFCE"/>
            <w:noWrap/>
          </w:tcPr>
          <w:p w14:paraId="3716C61C"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57" w:type="dxa"/>
            <w:shd w:val="clear" w:color="auto" w:fill="C6EFCE"/>
            <w:noWrap/>
          </w:tcPr>
          <w:p w14:paraId="7FBAE241"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44" w:type="dxa"/>
            <w:shd w:val="clear" w:color="auto" w:fill="C6EFCE"/>
            <w:noWrap/>
          </w:tcPr>
          <w:p w14:paraId="3F86DFC2"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51" w:type="dxa"/>
            <w:shd w:val="clear" w:color="auto" w:fill="C6EFCE"/>
            <w:noWrap/>
          </w:tcPr>
          <w:p w14:paraId="3442F0F7" w14:textId="77777777" w:rsidR="00C45D59" w:rsidRDefault="009B0962">
            <w:pPr>
              <w:pStyle w:val="P68B1DB1-Normal12"/>
              <w:spacing w:after="0" w:line="240" w:lineRule="auto"/>
              <w:rPr>
                <w:rFonts w:eastAsia="Times New Roman"/>
                <w:noProof/>
              </w:rPr>
            </w:pPr>
            <w:r>
              <w:rPr>
                <w:noProof/>
              </w:rPr>
              <w:t>Î4</w:t>
            </w:r>
          </w:p>
        </w:tc>
        <w:tc>
          <w:tcPr>
            <w:tcW w:w="709" w:type="dxa"/>
            <w:shd w:val="clear" w:color="auto" w:fill="C6EFCE"/>
            <w:noWrap/>
          </w:tcPr>
          <w:p w14:paraId="07230542" w14:textId="77777777" w:rsidR="00C45D59" w:rsidRDefault="009B0962">
            <w:pPr>
              <w:pStyle w:val="P68B1DB1-Normal12"/>
              <w:spacing w:after="0" w:line="240" w:lineRule="auto"/>
              <w:rPr>
                <w:rFonts w:eastAsia="Times New Roman"/>
                <w:noProof/>
              </w:rPr>
            </w:pPr>
            <w:r>
              <w:rPr>
                <w:noProof/>
              </w:rPr>
              <w:t>2023</w:t>
            </w:r>
          </w:p>
        </w:tc>
        <w:tc>
          <w:tcPr>
            <w:tcW w:w="5019" w:type="dxa"/>
            <w:shd w:val="clear" w:color="auto" w:fill="C6EFCE"/>
            <w:noWrap/>
          </w:tcPr>
          <w:p w14:paraId="658D5A10" w14:textId="77777777" w:rsidR="00C45D59" w:rsidRDefault="009B0962">
            <w:pPr>
              <w:pStyle w:val="P68B1DB1-Normal12"/>
              <w:spacing w:after="0" w:line="240" w:lineRule="auto"/>
              <w:rPr>
                <w:rFonts w:eastAsia="Times New Roman"/>
                <w:noProof/>
              </w:rPr>
            </w:pPr>
            <w:r>
              <w:rPr>
                <w:noProof/>
              </w:rPr>
              <w:t>Noua Autoritate Națională de Reglementare a Deșeurilor dispune de personal și de spații de lucru.</w:t>
            </w:r>
          </w:p>
        </w:tc>
      </w:tr>
      <w:tr w:rsidR="00C45D59" w14:paraId="137C185B" w14:textId="77777777">
        <w:trPr>
          <w:trHeight w:val="309"/>
          <w:jc w:val="center"/>
        </w:trPr>
        <w:tc>
          <w:tcPr>
            <w:tcW w:w="675" w:type="dxa"/>
            <w:shd w:val="clear" w:color="auto" w:fill="C6EFCE"/>
            <w:noWrap/>
          </w:tcPr>
          <w:p w14:paraId="75B5C8F1" w14:textId="77777777" w:rsidR="00C45D59" w:rsidRDefault="009B0962">
            <w:pPr>
              <w:pStyle w:val="P68B1DB1-Normal12"/>
              <w:spacing w:after="0" w:line="240" w:lineRule="auto"/>
              <w:rPr>
                <w:noProof/>
              </w:rPr>
            </w:pPr>
            <w:r>
              <w:rPr>
                <w:noProof/>
              </w:rPr>
              <w:t>59a</w:t>
            </w:r>
          </w:p>
        </w:tc>
        <w:tc>
          <w:tcPr>
            <w:tcW w:w="1953" w:type="dxa"/>
            <w:shd w:val="clear" w:color="auto" w:fill="C6EFCE"/>
            <w:noWrap/>
          </w:tcPr>
          <w:p w14:paraId="59EABF02" w14:textId="77777777" w:rsidR="00C45D59" w:rsidRDefault="009B0962">
            <w:pPr>
              <w:pStyle w:val="P68B1DB1-Normal12"/>
              <w:spacing w:after="0" w:line="240" w:lineRule="auto"/>
              <w:rPr>
                <w:noProof/>
              </w:rPr>
            </w:pPr>
            <w:r>
              <w:rPr>
                <w:noProof/>
              </w:rPr>
              <w:t>4-1.4. Utilizarea durabilă a resurselor, reziliența la schimbările climatice și protecția mediului – 16772_Legea privind gestionarea deșeurilor pentru depozitarea și reciclarea durabilă a deșeurilor</w:t>
            </w:r>
          </w:p>
        </w:tc>
        <w:tc>
          <w:tcPr>
            <w:tcW w:w="1162" w:type="dxa"/>
            <w:shd w:val="clear" w:color="auto" w:fill="C6EFCE"/>
            <w:noWrap/>
          </w:tcPr>
          <w:p w14:paraId="1DAE9A80" w14:textId="77777777" w:rsidR="00C45D59" w:rsidRDefault="009B0962">
            <w:pPr>
              <w:pStyle w:val="P68B1DB1-Normal12"/>
              <w:spacing w:after="0" w:line="240" w:lineRule="auto"/>
              <w:rPr>
                <w:noProof/>
              </w:rPr>
            </w:pPr>
            <w:r>
              <w:rPr>
                <w:noProof/>
              </w:rPr>
              <w:t>Etapă</w:t>
            </w:r>
          </w:p>
        </w:tc>
        <w:tc>
          <w:tcPr>
            <w:tcW w:w="1190" w:type="dxa"/>
            <w:shd w:val="clear" w:color="auto" w:fill="C6EFCE"/>
            <w:noWrap/>
          </w:tcPr>
          <w:p w14:paraId="4E69F41F" w14:textId="1CCC006B" w:rsidR="00C45D59" w:rsidRDefault="009B0962">
            <w:pPr>
              <w:pStyle w:val="P68B1DB1-Normal12"/>
              <w:spacing w:after="0" w:line="240" w:lineRule="auto"/>
              <w:rPr>
                <w:rFonts w:eastAsiaTheme="minorEastAsia"/>
                <w:noProof/>
              </w:rPr>
            </w:pPr>
            <w:r>
              <w:rPr>
                <w:noProof/>
              </w:rPr>
              <w:t>Evaluarea adecvării manageriale a organismelor de gestionare a deșeurilor solide (FODSA) de către autoritatea de reglementare</w:t>
            </w:r>
          </w:p>
        </w:tc>
        <w:tc>
          <w:tcPr>
            <w:tcW w:w="1468" w:type="dxa"/>
            <w:shd w:val="clear" w:color="auto" w:fill="C6EFCE"/>
            <w:noWrap/>
          </w:tcPr>
          <w:p w14:paraId="51C71803" w14:textId="71030F7A" w:rsidR="00C45D59" w:rsidRDefault="009B0962">
            <w:pPr>
              <w:pStyle w:val="P68B1DB1-Normal23"/>
              <w:spacing w:after="0" w:line="240" w:lineRule="auto"/>
              <w:rPr>
                <w:noProof/>
              </w:rPr>
            </w:pPr>
            <w:r>
              <w:rPr>
                <w:noProof/>
              </w:rPr>
              <w:t>14 decizii anuale privind adecvarea managerială a organismelor elene de gestionare a deșeurilor solide (FODSA) de către Autoritatea de reglementare în domeniul deșeurilor, energiei și apei (RAAEY) pentru anul 2026</w:t>
            </w:r>
          </w:p>
        </w:tc>
        <w:tc>
          <w:tcPr>
            <w:tcW w:w="1031" w:type="dxa"/>
            <w:shd w:val="clear" w:color="auto" w:fill="C6EFCE"/>
            <w:noWrap/>
          </w:tcPr>
          <w:p w14:paraId="5DF10142"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57" w:type="dxa"/>
            <w:shd w:val="clear" w:color="auto" w:fill="C6EFCE"/>
            <w:noWrap/>
          </w:tcPr>
          <w:p w14:paraId="01CA1679"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44" w:type="dxa"/>
            <w:shd w:val="clear" w:color="auto" w:fill="C6EFCE"/>
            <w:noWrap/>
          </w:tcPr>
          <w:p w14:paraId="40CCDD19"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51" w:type="dxa"/>
            <w:shd w:val="clear" w:color="auto" w:fill="C6EFCE"/>
            <w:noWrap/>
          </w:tcPr>
          <w:p w14:paraId="0E4AEA52" w14:textId="77777777" w:rsidR="00C45D59" w:rsidRDefault="009B0962">
            <w:pPr>
              <w:pStyle w:val="P68B1DB1-Normal12"/>
              <w:spacing w:after="0" w:line="240" w:lineRule="auto"/>
              <w:rPr>
                <w:noProof/>
              </w:rPr>
            </w:pPr>
            <w:r>
              <w:rPr>
                <w:noProof/>
              </w:rPr>
              <w:t>Î4</w:t>
            </w:r>
          </w:p>
        </w:tc>
        <w:tc>
          <w:tcPr>
            <w:tcW w:w="709" w:type="dxa"/>
            <w:shd w:val="clear" w:color="auto" w:fill="C6EFCE"/>
            <w:noWrap/>
          </w:tcPr>
          <w:p w14:paraId="6B0BF4EC" w14:textId="77777777" w:rsidR="00C45D59" w:rsidRDefault="009B0962">
            <w:pPr>
              <w:pStyle w:val="P68B1DB1-Normal12"/>
              <w:spacing w:after="0" w:line="240" w:lineRule="auto"/>
              <w:rPr>
                <w:noProof/>
              </w:rPr>
            </w:pPr>
            <w:r>
              <w:rPr>
                <w:noProof/>
              </w:rPr>
              <w:t>2025</w:t>
            </w:r>
          </w:p>
        </w:tc>
        <w:tc>
          <w:tcPr>
            <w:tcW w:w="5019" w:type="dxa"/>
            <w:shd w:val="clear" w:color="auto" w:fill="C6EFCE"/>
            <w:noWrap/>
          </w:tcPr>
          <w:p w14:paraId="44BFF739" w14:textId="5BF3E682" w:rsidR="00C45D59" w:rsidRDefault="009B0962">
            <w:pPr>
              <w:pStyle w:val="P68B1DB1-Normal23"/>
              <w:spacing w:after="0" w:line="240" w:lineRule="auto"/>
              <w:rPr>
                <w:noProof/>
              </w:rPr>
            </w:pPr>
            <w:r>
              <w:rPr>
                <w:noProof/>
              </w:rPr>
              <w:t>Autoritatea de reglementare în domeniul deșeurilor, energiei și apei (RAAEY) emite 14 decizii individuale, fiecare confirmând caracterul adecvat din punct de vedere managerial al unuia dintre cele 14 de organisme de gestionare a deșeurilor solide din Grecia (FODSA) în conformitate cu cerințele anuale de evaluare prevăzute de legislația națională.</w:t>
            </w:r>
          </w:p>
        </w:tc>
      </w:tr>
      <w:tr w:rsidR="00C45D59" w14:paraId="3A7223F1" w14:textId="77777777">
        <w:trPr>
          <w:trHeight w:val="309"/>
          <w:jc w:val="center"/>
        </w:trPr>
        <w:tc>
          <w:tcPr>
            <w:tcW w:w="675" w:type="dxa"/>
            <w:shd w:val="clear" w:color="auto" w:fill="C6EFCE"/>
            <w:noWrap/>
          </w:tcPr>
          <w:p w14:paraId="1ABF1BF3" w14:textId="77777777" w:rsidR="00C45D59" w:rsidRDefault="009B0962">
            <w:pPr>
              <w:pStyle w:val="P68B1DB1-Normal12"/>
              <w:spacing w:after="0" w:line="240" w:lineRule="auto"/>
              <w:rPr>
                <w:rFonts w:eastAsia="Times New Roman"/>
                <w:noProof/>
              </w:rPr>
            </w:pPr>
            <w:r>
              <w:rPr>
                <w:noProof/>
              </w:rPr>
              <w:t>60</w:t>
            </w:r>
          </w:p>
        </w:tc>
        <w:tc>
          <w:tcPr>
            <w:tcW w:w="1953" w:type="dxa"/>
            <w:shd w:val="clear" w:color="auto" w:fill="C6EFCE"/>
            <w:noWrap/>
          </w:tcPr>
          <w:p w14:paraId="309FF84B" w14:textId="77777777" w:rsidR="00C45D59" w:rsidRDefault="009B0962">
            <w:pPr>
              <w:pStyle w:val="P68B1DB1-Normal12"/>
              <w:spacing w:after="0" w:line="240" w:lineRule="auto"/>
              <w:rPr>
                <w:rFonts w:eastAsia="Times New Roman"/>
                <w:noProof/>
              </w:rPr>
            </w:pPr>
            <w:r>
              <w:rPr>
                <w:noProof/>
              </w:rPr>
              <w:t>4-1.4. Utilizarea durabilă a resurselor, reziliența la schimbările climatice și protecția mediului – 16979_Instituirea unei noi autorități de reglementare în domeniul apei și al apelor uzate</w:t>
            </w:r>
          </w:p>
        </w:tc>
        <w:tc>
          <w:tcPr>
            <w:tcW w:w="1162" w:type="dxa"/>
            <w:shd w:val="clear" w:color="auto" w:fill="C6EFCE"/>
            <w:noWrap/>
          </w:tcPr>
          <w:p w14:paraId="040525DF" w14:textId="77777777" w:rsidR="00C45D59" w:rsidRDefault="009B0962">
            <w:pPr>
              <w:pStyle w:val="P68B1DB1-Normal12"/>
              <w:spacing w:after="0" w:line="240" w:lineRule="auto"/>
              <w:rPr>
                <w:rFonts w:eastAsia="Times New Roman"/>
                <w:noProof/>
              </w:rPr>
            </w:pPr>
            <w:r>
              <w:rPr>
                <w:noProof/>
              </w:rPr>
              <w:t>Etapă</w:t>
            </w:r>
          </w:p>
        </w:tc>
        <w:tc>
          <w:tcPr>
            <w:tcW w:w="1190" w:type="dxa"/>
            <w:shd w:val="clear" w:color="auto" w:fill="C6EFCE"/>
            <w:noWrap/>
          </w:tcPr>
          <w:p w14:paraId="548AA092" w14:textId="77777777" w:rsidR="00C45D59" w:rsidRDefault="009B0962">
            <w:pPr>
              <w:pStyle w:val="P68B1DB1-Normal12"/>
              <w:spacing w:after="0" w:line="240" w:lineRule="auto"/>
              <w:rPr>
                <w:rFonts w:eastAsia="Times New Roman"/>
                <w:noProof/>
              </w:rPr>
            </w:pPr>
            <w:r>
              <w:rPr>
                <w:noProof/>
              </w:rPr>
              <w:t>Instituirea și funcționarea autorității de reglementare în domeniul gestionării apei</w:t>
            </w:r>
          </w:p>
        </w:tc>
        <w:tc>
          <w:tcPr>
            <w:tcW w:w="1468" w:type="dxa"/>
            <w:shd w:val="clear" w:color="auto" w:fill="C6EFCE"/>
            <w:noWrap/>
          </w:tcPr>
          <w:p w14:paraId="653EE298" w14:textId="77777777" w:rsidR="00C45D59" w:rsidRDefault="009B0962">
            <w:pPr>
              <w:pStyle w:val="P68B1DB1-Normal12"/>
              <w:spacing w:after="0" w:line="240" w:lineRule="auto"/>
              <w:rPr>
                <w:rFonts w:eastAsia="Times New Roman"/>
                <w:noProof/>
              </w:rPr>
            </w:pPr>
            <w:r>
              <w:rPr>
                <w:noProof/>
              </w:rPr>
              <w:t xml:space="preserve">Intrarea în vigoare a unei decizii ministeriale comune și toate măsurile administrative și legislative necesare pentru înființarea Autorității </w:t>
            </w:r>
          </w:p>
        </w:tc>
        <w:tc>
          <w:tcPr>
            <w:tcW w:w="1031" w:type="dxa"/>
            <w:shd w:val="clear" w:color="auto" w:fill="C6EFCE"/>
            <w:noWrap/>
          </w:tcPr>
          <w:p w14:paraId="3887CE17"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57" w:type="dxa"/>
            <w:shd w:val="clear" w:color="auto" w:fill="C6EFCE"/>
            <w:noWrap/>
          </w:tcPr>
          <w:p w14:paraId="4CFA1F46"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44" w:type="dxa"/>
            <w:shd w:val="clear" w:color="auto" w:fill="C6EFCE"/>
            <w:noWrap/>
          </w:tcPr>
          <w:p w14:paraId="328E8EE1"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51" w:type="dxa"/>
            <w:shd w:val="clear" w:color="auto" w:fill="C6EFCE"/>
            <w:noWrap/>
          </w:tcPr>
          <w:p w14:paraId="220C2E66" w14:textId="77777777" w:rsidR="00C45D59" w:rsidRDefault="009B0962">
            <w:pPr>
              <w:pStyle w:val="P68B1DB1-Normal12"/>
              <w:spacing w:after="0" w:line="240" w:lineRule="auto"/>
              <w:rPr>
                <w:rFonts w:eastAsia="Times New Roman"/>
                <w:noProof/>
              </w:rPr>
            </w:pPr>
            <w:r>
              <w:rPr>
                <w:noProof/>
              </w:rPr>
              <w:t>Î4</w:t>
            </w:r>
          </w:p>
        </w:tc>
        <w:tc>
          <w:tcPr>
            <w:tcW w:w="709" w:type="dxa"/>
            <w:shd w:val="clear" w:color="auto" w:fill="C6EFCE"/>
            <w:noWrap/>
          </w:tcPr>
          <w:p w14:paraId="485CBEAB" w14:textId="77777777" w:rsidR="00C45D59" w:rsidRDefault="009B0962">
            <w:pPr>
              <w:pStyle w:val="P68B1DB1-Normal12"/>
              <w:spacing w:after="0" w:line="240" w:lineRule="auto"/>
              <w:rPr>
                <w:rFonts w:eastAsia="Times New Roman"/>
                <w:noProof/>
              </w:rPr>
            </w:pPr>
            <w:r>
              <w:rPr>
                <w:noProof/>
              </w:rPr>
              <w:t>2023</w:t>
            </w:r>
          </w:p>
        </w:tc>
        <w:tc>
          <w:tcPr>
            <w:tcW w:w="5019" w:type="dxa"/>
            <w:shd w:val="clear" w:color="auto" w:fill="C6EFCE"/>
            <w:noWrap/>
          </w:tcPr>
          <w:p w14:paraId="290B8821" w14:textId="77777777" w:rsidR="00C45D59" w:rsidRDefault="009B0962">
            <w:pPr>
              <w:pStyle w:val="P68B1DB1-Normal12"/>
              <w:spacing w:after="0" w:line="240" w:lineRule="auto"/>
              <w:rPr>
                <w:rFonts w:eastAsia="Times New Roman"/>
                <w:noProof/>
              </w:rPr>
            </w:pPr>
            <w:r>
              <w:rPr>
                <w:noProof/>
              </w:rPr>
              <w:t>Noua autoritate națională de reglementare în domeniul apei și al apelor uzate dispune de personal și de spații de lucru.</w:t>
            </w:r>
          </w:p>
        </w:tc>
      </w:tr>
      <w:tr w:rsidR="00C45D59" w14:paraId="745E33A4" w14:textId="77777777">
        <w:trPr>
          <w:trHeight w:val="300"/>
          <w:jc w:val="center"/>
        </w:trPr>
        <w:tc>
          <w:tcPr>
            <w:tcW w:w="675" w:type="dxa"/>
            <w:shd w:val="clear" w:color="auto" w:fill="C6EFCE"/>
            <w:noWrap/>
          </w:tcPr>
          <w:p w14:paraId="47D9B91B" w14:textId="77777777" w:rsidR="00C45D59" w:rsidRDefault="009B0962">
            <w:pPr>
              <w:pStyle w:val="P68B1DB1-Normal12"/>
              <w:spacing w:line="240" w:lineRule="auto"/>
              <w:rPr>
                <w:noProof/>
              </w:rPr>
            </w:pPr>
            <w:r>
              <w:rPr>
                <w:noProof/>
              </w:rPr>
              <w:t>316</w:t>
            </w:r>
          </w:p>
        </w:tc>
        <w:tc>
          <w:tcPr>
            <w:tcW w:w="1953" w:type="dxa"/>
            <w:shd w:val="clear" w:color="auto" w:fill="C6EFCE"/>
            <w:noWrap/>
          </w:tcPr>
          <w:p w14:paraId="069F1183" w14:textId="77777777" w:rsidR="00C45D59" w:rsidRDefault="009B0962">
            <w:pPr>
              <w:pStyle w:val="P68B1DB1-Normal12"/>
              <w:spacing w:line="240" w:lineRule="auto"/>
              <w:rPr>
                <w:noProof/>
              </w:rPr>
            </w:pPr>
            <w:r>
              <w:rPr>
                <w:noProof/>
              </w:rPr>
              <w:t>4-1.4. Utilizarea durabilă a resurselor, reziliența la schimbările climatice și protecția mediului – 16285_Strategia națională privind apa</w:t>
            </w:r>
          </w:p>
        </w:tc>
        <w:tc>
          <w:tcPr>
            <w:tcW w:w="1162" w:type="dxa"/>
            <w:shd w:val="clear" w:color="auto" w:fill="C6EFCE"/>
            <w:noWrap/>
          </w:tcPr>
          <w:p w14:paraId="1F6F73C2" w14:textId="77777777" w:rsidR="00C45D59" w:rsidRDefault="009B0962">
            <w:pPr>
              <w:pStyle w:val="P68B1DB1-Normal12"/>
              <w:spacing w:line="240" w:lineRule="auto"/>
              <w:rPr>
                <w:noProof/>
              </w:rPr>
            </w:pPr>
            <w:r>
              <w:rPr>
                <w:noProof/>
              </w:rPr>
              <w:t>Etapă</w:t>
            </w:r>
          </w:p>
        </w:tc>
        <w:tc>
          <w:tcPr>
            <w:tcW w:w="1190" w:type="dxa"/>
            <w:shd w:val="clear" w:color="auto" w:fill="C6EFCE"/>
            <w:noWrap/>
          </w:tcPr>
          <w:p w14:paraId="11B8908D" w14:textId="77777777" w:rsidR="00C45D59" w:rsidRDefault="009B0962">
            <w:pPr>
              <w:pStyle w:val="P68B1DB1-Normal27"/>
              <w:spacing w:line="240" w:lineRule="auto"/>
              <w:rPr>
                <w:noProof/>
              </w:rPr>
            </w:pPr>
            <w:r>
              <w:rPr>
                <w:noProof/>
              </w:rPr>
              <w:t>Strategia națională privind apa și extinderea responsabilităților a două servicii de furnizare a apei</w:t>
            </w:r>
          </w:p>
        </w:tc>
        <w:tc>
          <w:tcPr>
            <w:tcW w:w="1468" w:type="dxa"/>
            <w:shd w:val="clear" w:color="auto" w:fill="C6EFCE"/>
            <w:noWrap/>
          </w:tcPr>
          <w:p w14:paraId="1B0B3735" w14:textId="0070DA66" w:rsidR="00C45D59" w:rsidRDefault="009B0962">
            <w:pPr>
              <w:pStyle w:val="P68B1DB1-Normal27"/>
              <w:spacing w:after="0" w:line="240" w:lineRule="auto"/>
              <w:rPr>
                <w:noProof/>
              </w:rPr>
            </w:pPr>
            <w:r>
              <w:rPr>
                <w:noProof/>
              </w:rPr>
              <w:t>Intrarea în vigoare a actelor juridice pentru adoptarea Strategiei naționale privind apa și extinderea responsabilităților EYDAP (compania de alimentare cu apă și canalizare din Atena) și EYATH (compania de alimentare cu apă și canalizare din Salonic)</w:t>
            </w:r>
          </w:p>
        </w:tc>
        <w:tc>
          <w:tcPr>
            <w:tcW w:w="1031" w:type="dxa"/>
            <w:shd w:val="clear" w:color="auto" w:fill="C6EFCE"/>
            <w:noWrap/>
          </w:tcPr>
          <w:p w14:paraId="1851A62D" w14:textId="77777777" w:rsidR="00C45D59" w:rsidRDefault="00C45D59">
            <w:pPr>
              <w:spacing w:line="240" w:lineRule="auto"/>
              <w:rPr>
                <w:rFonts w:ascii="Times New Roman" w:eastAsia="Times New Roman" w:hAnsi="Times New Roman" w:cs="Times New Roman"/>
                <w:noProof/>
                <w:color w:val="006100"/>
                <w:sz w:val="18"/>
                <w:szCs w:val="18"/>
              </w:rPr>
            </w:pPr>
          </w:p>
        </w:tc>
        <w:tc>
          <w:tcPr>
            <w:tcW w:w="857" w:type="dxa"/>
            <w:shd w:val="clear" w:color="auto" w:fill="C6EFCE"/>
            <w:noWrap/>
          </w:tcPr>
          <w:p w14:paraId="0F60CF7D" w14:textId="77777777" w:rsidR="00C45D59" w:rsidRDefault="00C45D59">
            <w:pPr>
              <w:spacing w:line="240" w:lineRule="auto"/>
              <w:rPr>
                <w:rFonts w:ascii="Times New Roman" w:eastAsia="Times New Roman" w:hAnsi="Times New Roman" w:cs="Times New Roman"/>
                <w:noProof/>
                <w:color w:val="006100"/>
                <w:sz w:val="18"/>
                <w:szCs w:val="18"/>
              </w:rPr>
            </w:pPr>
          </w:p>
        </w:tc>
        <w:tc>
          <w:tcPr>
            <w:tcW w:w="844" w:type="dxa"/>
            <w:shd w:val="clear" w:color="auto" w:fill="C6EFCE"/>
            <w:noWrap/>
          </w:tcPr>
          <w:p w14:paraId="1004984C" w14:textId="77777777" w:rsidR="00C45D59" w:rsidRDefault="00C45D59">
            <w:pPr>
              <w:spacing w:line="240" w:lineRule="auto"/>
              <w:rPr>
                <w:rFonts w:ascii="Times New Roman" w:eastAsia="Times New Roman" w:hAnsi="Times New Roman" w:cs="Times New Roman"/>
                <w:noProof/>
                <w:color w:val="006100"/>
                <w:sz w:val="18"/>
                <w:szCs w:val="18"/>
              </w:rPr>
            </w:pPr>
          </w:p>
        </w:tc>
        <w:tc>
          <w:tcPr>
            <w:tcW w:w="851" w:type="dxa"/>
            <w:shd w:val="clear" w:color="auto" w:fill="C6EFCE"/>
            <w:noWrap/>
          </w:tcPr>
          <w:p w14:paraId="1B5363B1" w14:textId="77777777" w:rsidR="00C45D59" w:rsidRDefault="009B0962">
            <w:pPr>
              <w:pStyle w:val="P68B1DB1-Normal12"/>
              <w:spacing w:line="240" w:lineRule="auto"/>
              <w:rPr>
                <w:noProof/>
              </w:rPr>
            </w:pPr>
            <w:r>
              <w:rPr>
                <w:noProof/>
              </w:rPr>
              <w:t>Î4</w:t>
            </w:r>
          </w:p>
        </w:tc>
        <w:tc>
          <w:tcPr>
            <w:tcW w:w="709" w:type="dxa"/>
            <w:shd w:val="clear" w:color="auto" w:fill="C6EFCE"/>
            <w:noWrap/>
          </w:tcPr>
          <w:p w14:paraId="69244D19" w14:textId="77777777" w:rsidR="00C45D59" w:rsidRDefault="009B0962">
            <w:pPr>
              <w:pStyle w:val="P68B1DB1-Normal12"/>
              <w:spacing w:line="240" w:lineRule="auto"/>
              <w:rPr>
                <w:noProof/>
              </w:rPr>
            </w:pPr>
            <w:r>
              <w:rPr>
                <w:noProof/>
              </w:rPr>
              <w:t>2025</w:t>
            </w:r>
          </w:p>
        </w:tc>
        <w:tc>
          <w:tcPr>
            <w:tcW w:w="5019" w:type="dxa"/>
            <w:shd w:val="clear" w:color="auto" w:fill="C6EFCE"/>
            <w:noWrap/>
          </w:tcPr>
          <w:p w14:paraId="30AEA315" w14:textId="0CEE397D" w:rsidR="00C45D59" w:rsidRDefault="009B0962">
            <w:pPr>
              <w:pStyle w:val="P68B1DB1-Normal23"/>
              <w:spacing w:line="240" w:lineRule="auto"/>
              <w:rPr>
                <w:noProof/>
              </w:rPr>
            </w:pPr>
            <w:r>
              <w:rPr>
                <w:noProof/>
              </w:rPr>
              <w:t>Intrarea în vigoare a următoarelor acte juridice:</w:t>
            </w:r>
          </w:p>
          <w:p w14:paraId="36B31ECB" w14:textId="77777777" w:rsidR="00C45D59" w:rsidRDefault="009B0962">
            <w:pPr>
              <w:pStyle w:val="P68B1DB1-Normal23"/>
              <w:spacing w:line="240" w:lineRule="auto"/>
              <w:rPr>
                <w:noProof/>
              </w:rPr>
            </w:pPr>
            <w:r>
              <w:rPr>
                <w:noProof/>
              </w:rPr>
              <w:t>Strategia națională privind apa, care evaluează starea actuală a gestionării apei și stabilește direcțiile de politică pentru asigurarea protecției și a gestionării durabile a resurselor de apă;</w:t>
            </w:r>
          </w:p>
          <w:p w14:paraId="10B11423" w14:textId="7EFA5522" w:rsidR="00C45D59" w:rsidRDefault="009B0962">
            <w:pPr>
              <w:pStyle w:val="P68B1DB1-Normal23"/>
              <w:spacing w:line="240" w:lineRule="auto"/>
              <w:rPr>
                <w:noProof/>
              </w:rPr>
            </w:pPr>
            <w:r>
              <w:rPr>
                <w:noProof/>
              </w:rPr>
              <w:t>actul juridic principal pentru extinderea geografică a responsabilităților EYDAP (compania de alimentare cu apă și de canalizare din Atena) la Attica și Boeotia și ale EYATH (compania de alimentare cu apă și de canalizare din Salonic) la Halkidiki și Salonic</w:t>
            </w:r>
            <w:r>
              <w:rPr>
                <w:noProof/>
                <w:u w:val="single"/>
              </w:rPr>
              <w:t>,</w:t>
            </w:r>
            <w:r>
              <w:rPr>
                <w:noProof/>
              </w:rPr>
              <w:t xml:space="preserve"> precum și extinderea responsabilităților acestora la serviciile de alimentare cu apă pentru irigații.</w:t>
            </w:r>
          </w:p>
        </w:tc>
      </w:tr>
    </w:tbl>
    <w:p w14:paraId="5CF00BDE" w14:textId="77777777" w:rsidR="00C45D59" w:rsidRDefault="00C45D59">
      <w:pPr>
        <w:spacing w:before="120" w:after="120" w:line="240" w:lineRule="auto"/>
        <w:ind w:left="709"/>
        <w:jc w:val="both"/>
        <w:rPr>
          <w:rFonts w:ascii="Times New Roman" w:hAnsi="Times New Roman" w:cs="Times New Roman"/>
          <w:noProof/>
          <w:sz w:val="24"/>
          <w:szCs w:val="24"/>
        </w:rPr>
      </w:pPr>
    </w:p>
    <w:p w14:paraId="00043611" w14:textId="77777777" w:rsidR="00C45D59" w:rsidRDefault="00C45D59">
      <w:pPr>
        <w:keepNext/>
        <w:keepLines/>
        <w:spacing w:before="40" w:after="0" w:line="240" w:lineRule="auto"/>
        <w:jc w:val="both"/>
        <w:outlineLvl w:val="4"/>
        <w:rPr>
          <w:rFonts w:ascii="Cambria" w:hAnsi="Cambria"/>
          <w:noProof/>
          <w:color w:val="365F91"/>
          <w:sz w:val="24"/>
        </w:rPr>
        <w:sectPr w:rsidR="00C45D59">
          <w:headerReference w:type="even" r:id="rId102"/>
          <w:headerReference w:type="default" r:id="rId103"/>
          <w:footerReference w:type="even" r:id="rId104"/>
          <w:footerReference w:type="default" r:id="rId105"/>
          <w:headerReference w:type="first" r:id="rId106"/>
          <w:footerReference w:type="first" r:id="rId107"/>
          <w:pgSz w:w="16839" w:h="11907" w:orient="landscape"/>
          <w:pgMar w:top="1134" w:right="1134" w:bottom="1134" w:left="1134" w:header="567" w:footer="567" w:gutter="0"/>
          <w:cols w:space="720"/>
          <w:docGrid w:linePitch="360"/>
        </w:sectPr>
      </w:pPr>
    </w:p>
    <w:p w14:paraId="3C9AEBAA" w14:textId="77777777" w:rsidR="00C45D59" w:rsidRDefault="009B0962">
      <w:pPr>
        <w:pStyle w:val="P68B1DB1-Normal9"/>
        <w:keepNext/>
        <w:keepLines/>
        <w:spacing w:before="40" w:after="0" w:line="240" w:lineRule="auto"/>
        <w:jc w:val="both"/>
        <w:outlineLvl w:val="4"/>
        <w:rPr>
          <w:rFonts w:eastAsia="Times New Roman"/>
          <w:noProof/>
        </w:rPr>
      </w:pPr>
      <w:r>
        <w:rPr>
          <w:noProof/>
        </w:rPr>
        <w:t>Grupul 5: Planul național de reîmpădurire și protecția biodiversității</w:t>
      </w:r>
    </w:p>
    <w:p w14:paraId="1E4FA929" w14:textId="16268F4F" w:rsidR="00C45D59" w:rsidRDefault="009B0962">
      <w:pPr>
        <w:pStyle w:val="P68B1DB1-Normal5"/>
        <w:spacing w:after="120" w:line="240" w:lineRule="auto"/>
        <w:rPr>
          <w:rFonts w:cs="Times New Roman"/>
          <w:noProof/>
        </w:rPr>
      </w:pPr>
      <w:r>
        <w:rPr>
          <w:noProof/>
        </w:rPr>
        <w:t>Măsurile incluse în acest grup sunt:</w:t>
      </w:r>
    </w:p>
    <w:p w14:paraId="71194768" w14:textId="6F4C8CA5" w:rsidR="00C45D59" w:rsidRDefault="009B0962">
      <w:pPr>
        <w:spacing w:after="0" w:line="240" w:lineRule="auto"/>
        <w:rPr>
          <w:rFonts w:ascii="Times New Roman" w:hAnsi="Times New Roman" w:cs="Times New Roman"/>
          <w:noProof/>
          <w:sz w:val="24"/>
          <w:szCs w:val="24"/>
        </w:rPr>
      </w:pPr>
      <w:r>
        <w:rPr>
          <w:rFonts w:ascii="Times New Roman" w:hAnsi="Times New Roman"/>
          <w:noProof/>
          <w:sz w:val="24"/>
        </w:rPr>
        <w:t>●</w:t>
      </w:r>
      <w:r w:rsidR="00CD2DBD">
        <w:rPr>
          <w:noProof/>
        </w:rPr>
        <w:t xml:space="preserve"> </w:t>
      </w:r>
      <w:r>
        <w:rPr>
          <w:rFonts w:ascii="Times New Roman" w:hAnsi="Times New Roman"/>
          <w:noProof/>
          <w:sz w:val="24"/>
        </w:rPr>
        <w:t>Planul național de reîmpădurire, măsuri de refacere și prevenire („antiNERO”), măsuri de combatere a eroziunii și de protecție împotriva inundațiilor (ID: 16849)</w:t>
      </w:r>
    </w:p>
    <w:p w14:paraId="71D565DA" w14:textId="77777777" w:rsidR="00C45D59" w:rsidRDefault="009B0962">
      <w:pPr>
        <w:spacing w:after="0" w:line="240" w:lineRule="auto"/>
        <w:rPr>
          <w:rFonts w:ascii="Times New Roman" w:hAnsi="Times New Roman"/>
          <w:noProof/>
          <w:sz w:val="16"/>
          <w:szCs w:val="16"/>
        </w:rPr>
      </w:pPr>
      <w:r>
        <w:rPr>
          <w:rFonts w:ascii="Times New Roman" w:hAnsi="Times New Roman"/>
          <w:noProof/>
          <w:sz w:val="24"/>
        </w:rPr>
        <w:t>●</w:t>
      </w:r>
      <w:r>
        <w:rPr>
          <w:noProof/>
        </w:rPr>
        <w:t xml:space="preserve"> </w:t>
      </w:r>
      <w:r>
        <w:rPr>
          <w:rFonts w:ascii="Times New Roman" w:hAnsi="Times New Roman"/>
          <w:noProof/>
          <w:sz w:val="24"/>
        </w:rPr>
        <w:t xml:space="preserve">Protecția biodiversității ca motor al creșterii durabile (ID: 16851) </w:t>
      </w:r>
    </w:p>
    <w:p w14:paraId="074EE3E7" w14:textId="77777777" w:rsidR="00C45D59" w:rsidRDefault="00C45D59">
      <w:pPr>
        <w:spacing w:after="0" w:line="240" w:lineRule="auto"/>
        <w:rPr>
          <w:rFonts w:ascii="Times New Roman" w:hAnsi="Times New Roman"/>
          <w:noProof/>
          <w:sz w:val="6"/>
          <w:szCs w:val="6"/>
        </w:rPr>
      </w:pPr>
    </w:p>
    <w:tbl>
      <w:tblPr>
        <w:tblStyle w:val="TableGrid1"/>
        <w:tblW w:w="15735" w:type="dxa"/>
        <w:tblInd w:w="-743" w:type="dxa"/>
        <w:tblLook w:val="04A0" w:firstRow="1" w:lastRow="0" w:firstColumn="1" w:lastColumn="0" w:noHBand="0" w:noVBand="1"/>
      </w:tblPr>
      <w:tblGrid>
        <w:gridCol w:w="704"/>
        <w:gridCol w:w="2132"/>
        <w:gridCol w:w="1376"/>
        <w:gridCol w:w="1283"/>
        <w:gridCol w:w="1266"/>
        <w:gridCol w:w="1191"/>
        <w:gridCol w:w="1192"/>
        <w:gridCol w:w="1191"/>
        <w:gridCol w:w="1212"/>
        <w:gridCol w:w="1213"/>
        <w:gridCol w:w="2975"/>
      </w:tblGrid>
      <w:tr w:rsidR="00C45D59" w14:paraId="13F8C494" w14:textId="77777777">
        <w:trPr>
          <w:tblHeader/>
        </w:trPr>
        <w:tc>
          <w:tcPr>
            <w:tcW w:w="709" w:type="dxa"/>
            <w:vMerge w:val="restart"/>
            <w:shd w:val="clear" w:color="auto" w:fill="B8CCE4"/>
          </w:tcPr>
          <w:p w14:paraId="0852E30C" w14:textId="10A9E952" w:rsidR="00C45D59" w:rsidRDefault="009B0962">
            <w:pPr>
              <w:pStyle w:val="P68B1DB1-Normal28"/>
              <w:spacing w:after="0" w:line="240" w:lineRule="auto"/>
              <w:jc w:val="center"/>
              <w:rPr>
                <w:rFonts w:ascii="Aptos" w:hAnsi="Aptos"/>
                <w:noProof/>
              </w:rPr>
            </w:pPr>
            <w:r>
              <w:rPr>
                <w:noProof/>
              </w:rPr>
              <w:t>Nr</w:t>
            </w:r>
            <w:r w:rsidR="009F5BD9">
              <w:rPr>
                <w:noProof/>
              </w:rPr>
              <w:t>.</w:t>
            </w:r>
            <w:r>
              <w:rPr>
                <w:noProof/>
              </w:rPr>
              <w:br/>
            </w:r>
            <w:r w:rsidR="009F5BD9">
              <w:rPr>
                <w:noProof/>
              </w:rPr>
              <w:t>crt</w:t>
            </w:r>
            <w:r>
              <w:rPr>
                <w:noProof/>
              </w:rPr>
              <w:t>.</w:t>
            </w:r>
          </w:p>
        </w:tc>
        <w:tc>
          <w:tcPr>
            <w:tcW w:w="2153" w:type="dxa"/>
            <w:vMerge w:val="restart"/>
            <w:shd w:val="clear" w:color="auto" w:fill="B8CCE4"/>
          </w:tcPr>
          <w:p w14:paraId="6EDCFF13" w14:textId="77777777" w:rsidR="00C45D59" w:rsidRDefault="009B0962">
            <w:pPr>
              <w:pStyle w:val="P68B1DB1-Normal28"/>
              <w:spacing w:after="0" w:line="240" w:lineRule="auto"/>
              <w:jc w:val="center"/>
              <w:rPr>
                <w:rFonts w:ascii="Aptos" w:hAnsi="Aptos"/>
                <w:noProof/>
              </w:rPr>
            </w:pPr>
            <w:r>
              <w:rPr>
                <w:noProof/>
              </w:rPr>
              <w:t>Măsură conexă (reformă sau investiții)</w:t>
            </w:r>
          </w:p>
        </w:tc>
        <w:tc>
          <w:tcPr>
            <w:tcW w:w="1259" w:type="dxa"/>
            <w:vMerge w:val="restart"/>
            <w:shd w:val="clear" w:color="auto" w:fill="B8CCE4"/>
          </w:tcPr>
          <w:p w14:paraId="2F327331" w14:textId="77777777" w:rsidR="00C45D59" w:rsidRDefault="009B0962">
            <w:pPr>
              <w:pStyle w:val="P68B1DB1-Normal28"/>
              <w:spacing w:after="0" w:line="240" w:lineRule="auto"/>
              <w:jc w:val="center"/>
              <w:rPr>
                <w:rFonts w:ascii="Aptos" w:hAnsi="Aptos"/>
                <w:noProof/>
              </w:rPr>
            </w:pPr>
            <w:r>
              <w:rPr>
                <w:noProof/>
              </w:rPr>
              <w:t>Etapă/Obiectiv</w:t>
            </w:r>
          </w:p>
        </w:tc>
        <w:tc>
          <w:tcPr>
            <w:tcW w:w="1284" w:type="dxa"/>
            <w:vMerge w:val="restart"/>
            <w:shd w:val="clear" w:color="auto" w:fill="B8CCE4"/>
          </w:tcPr>
          <w:p w14:paraId="3D79D8DF" w14:textId="6724087F" w:rsidR="00C45D59" w:rsidRDefault="009F5BD9">
            <w:pPr>
              <w:pStyle w:val="P68B1DB1-Normal28"/>
              <w:spacing w:after="0" w:line="240" w:lineRule="auto"/>
              <w:jc w:val="center"/>
              <w:rPr>
                <w:rFonts w:ascii="Aptos" w:hAnsi="Aptos"/>
                <w:noProof/>
              </w:rPr>
            </w:pPr>
            <w:r>
              <w:rPr>
                <w:noProof/>
              </w:rPr>
              <w:t>Denumire</w:t>
            </w:r>
          </w:p>
        </w:tc>
        <w:tc>
          <w:tcPr>
            <w:tcW w:w="1271" w:type="dxa"/>
            <w:vMerge w:val="restart"/>
            <w:shd w:val="clear" w:color="auto" w:fill="B8CCE4"/>
          </w:tcPr>
          <w:p w14:paraId="0681B417" w14:textId="77777777" w:rsidR="00C45D59" w:rsidRDefault="009B0962">
            <w:pPr>
              <w:pStyle w:val="P68B1DB1-Normal28"/>
              <w:spacing w:after="0" w:line="240" w:lineRule="auto"/>
              <w:jc w:val="center"/>
              <w:rPr>
                <w:rFonts w:ascii="Aptos" w:hAnsi="Aptos"/>
                <w:noProof/>
              </w:rPr>
            </w:pPr>
            <w:r>
              <w:rPr>
                <w:noProof/>
              </w:rPr>
              <w:t>Indicatori calitativi (pentru obiectivele de etapă)</w:t>
            </w:r>
          </w:p>
        </w:tc>
        <w:tc>
          <w:tcPr>
            <w:tcW w:w="3597" w:type="dxa"/>
            <w:gridSpan w:val="3"/>
            <w:shd w:val="clear" w:color="auto" w:fill="B8CCE4"/>
          </w:tcPr>
          <w:p w14:paraId="38E67800" w14:textId="77777777" w:rsidR="00C45D59" w:rsidRDefault="009B0962">
            <w:pPr>
              <w:pStyle w:val="P68B1DB1-Normal28"/>
              <w:spacing w:after="0" w:line="240" w:lineRule="auto"/>
              <w:jc w:val="center"/>
              <w:rPr>
                <w:rFonts w:ascii="Aptos" w:hAnsi="Aptos"/>
                <w:noProof/>
              </w:rPr>
            </w:pPr>
            <w:r>
              <w:rPr>
                <w:noProof/>
              </w:rPr>
              <w:t xml:space="preserve">Indicatori cantitativi </w:t>
            </w:r>
            <w:r>
              <w:rPr>
                <w:noProof/>
                <w:szCs w:val="18"/>
              </w:rPr>
              <w:br/>
            </w:r>
            <w:r>
              <w:rPr>
                <w:noProof/>
              </w:rPr>
              <w:t>(pentru obiective)</w:t>
            </w:r>
          </w:p>
        </w:tc>
        <w:tc>
          <w:tcPr>
            <w:tcW w:w="2445" w:type="dxa"/>
            <w:gridSpan w:val="2"/>
            <w:shd w:val="clear" w:color="auto" w:fill="B8CCE4"/>
          </w:tcPr>
          <w:p w14:paraId="7C9660D4" w14:textId="77777777" w:rsidR="00C45D59" w:rsidRDefault="009B0962">
            <w:pPr>
              <w:pStyle w:val="P68B1DB1-Normal28"/>
              <w:spacing w:after="0" w:line="240" w:lineRule="auto"/>
              <w:jc w:val="center"/>
              <w:rPr>
                <w:rFonts w:ascii="Aptos" w:hAnsi="Aptos"/>
                <w:noProof/>
              </w:rPr>
            </w:pPr>
            <w:r>
              <w:rPr>
                <w:noProof/>
              </w:rPr>
              <w:t>Calendar orientativ pentru finalizare</w:t>
            </w:r>
          </w:p>
        </w:tc>
        <w:tc>
          <w:tcPr>
            <w:tcW w:w="3017" w:type="dxa"/>
            <w:vMerge w:val="restart"/>
            <w:shd w:val="clear" w:color="auto" w:fill="B8CCE4"/>
          </w:tcPr>
          <w:p w14:paraId="300D9423" w14:textId="77777777" w:rsidR="00C45D59" w:rsidRDefault="009B0962">
            <w:pPr>
              <w:pStyle w:val="P68B1DB1-Normal28"/>
              <w:spacing w:after="0" w:line="240" w:lineRule="auto"/>
              <w:jc w:val="center"/>
              <w:rPr>
                <w:rFonts w:ascii="Aptos" w:hAnsi="Aptos"/>
                <w:noProof/>
              </w:rPr>
            </w:pPr>
            <w:r>
              <w:rPr>
                <w:noProof/>
              </w:rPr>
              <w:t>Descrierea fiecărui jalon și a fiecărei ținte</w:t>
            </w:r>
          </w:p>
        </w:tc>
      </w:tr>
      <w:tr w:rsidR="00C45D59" w14:paraId="29AA5AD1" w14:textId="77777777">
        <w:trPr>
          <w:tblHeader/>
        </w:trPr>
        <w:tc>
          <w:tcPr>
            <w:tcW w:w="709" w:type="dxa"/>
            <w:vMerge/>
            <w:tcBorders>
              <w:bottom w:val="single" w:sz="4" w:space="0" w:color="auto"/>
            </w:tcBorders>
            <w:shd w:val="clear" w:color="auto" w:fill="B8CCE4"/>
            <w:vAlign w:val="center"/>
          </w:tcPr>
          <w:p w14:paraId="499A2EA4" w14:textId="77777777" w:rsidR="00C45D59" w:rsidRDefault="00C45D59">
            <w:pPr>
              <w:spacing w:after="0" w:line="240" w:lineRule="auto"/>
              <w:rPr>
                <w:rFonts w:ascii="Aptos" w:eastAsia="Aptos" w:hAnsi="Aptos" w:cs="Times New Roman"/>
                <w:noProof/>
                <w:kern w:val="2"/>
              </w:rPr>
            </w:pPr>
          </w:p>
        </w:tc>
        <w:tc>
          <w:tcPr>
            <w:tcW w:w="2153" w:type="dxa"/>
            <w:vMerge/>
            <w:tcBorders>
              <w:bottom w:val="single" w:sz="4" w:space="0" w:color="auto"/>
            </w:tcBorders>
            <w:shd w:val="clear" w:color="auto" w:fill="B8CCE4"/>
            <w:vAlign w:val="center"/>
          </w:tcPr>
          <w:p w14:paraId="3AFC315B" w14:textId="77777777" w:rsidR="00C45D59" w:rsidRDefault="00C45D59">
            <w:pPr>
              <w:spacing w:after="0" w:line="240" w:lineRule="auto"/>
              <w:rPr>
                <w:rFonts w:ascii="Aptos" w:eastAsia="Aptos" w:hAnsi="Aptos" w:cs="Times New Roman"/>
                <w:noProof/>
                <w:kern w:val="2"/>
              </w:rPr>
            </w:pPr>
          </w:p>
        </w:tc>
        <w:tc>
          <w:tcPr>
            <w:tcW w:w="1259" w:type="dxa"/>
            <w:vMerge/>
            <w:tcBorders>
              <w:bottom w:val="single" w:sz="4" w:space="0" w:color="auto"/>
            </w:tcBorders>
            <w:shd w:val="clear" w:color="auto" w:fill="B8CCE4"/>
            <w:vAlign w:val="center"/>
          </w:tcPr>
          <w:p w14:paraId="77FE397C" w14:textId="77777777" w:rsidR="00C45D59" w:rsidRDefault="00C45D59">
            <w:pPr>
              <w:spacing w:after="0" w:line="240" w:lineRule="auto"/>
              <w:rPr>
                <w:rFonts w:ascii="Aptos" w:eastAsia="Aptos" w:hAnsi="Aptos" w:cs="Times New Roman"/>
                <w:noProof/>
                <w:kern w:val="2"/>
              </w:rPr>
            </w:pPr>
          </w:p>
        </w:tc>
        <w:tc>
          <w:tcPr>
            <w:tcW w:w="1284" w:type="dxa"/>
            <w:vMerge/>
            <w:tcBorders>
              <w:bottom w:val="single" w:sz="4" w:space="0" w:color="auto"/>
            </w:tcBorders>
            <w:shd w:val="clear" w:color="auto" w:fill="B8CCE4"/>
            <w:vAlign w:val="center"/>
          </w:tcPr>
          <w:p w14:paraId="6EF04A8C" w14:textId="77777777" w:rsidR="00C45D59" w:rsidRDefault="00C45D59">
            <w:pPr>
              <w:spacing w:after="0" w:line="240" w:lineRule="auto"/>
              <w:rPr>
                <w:rFonts w:ascii="Aptos" w:eastAsia="Aptos" w:hAnsi="Aptos" w:cs="Times New Roman"/>
                <w:noProof/>
                <w:kern w:val="2"/>
              </w:rPr>
            </w:pPr>
          </w:p>
        </w:tc>
        <w:tc>
          <w:tcPr>
            <w:tcW w:w="1271" w:type="dxa"/>
            <w:vMerge/>
            <w:tcBorders>
              <w:bottom w:val="single" w:sz="4" w:space="0" w:color="auto"/>
            </w:tcBorders>
            <w:shd w:val="clear" w:color="auto" w:fill="B8CCE4"/>
            <w:vAlign w:val="center"/>
          </w:tcPr>
          <w:p w14:paraId="1368CA7C" w14:textId="77777777" w:rsidR="00C45D59" w:rsidRDefault="00C45D59">
            <w:pPr>
              <w:spacing w:after="0" w:line="240" w:lineRule="auto"/>
              <w:rPr>
                <w:rFonts w:ascii="Aptos" w:eastAsia="Aptos" w:hAnsi="Aptos" w:cs="Times New Roman"/>
                <w:noProof/>
                <w:kern w:val="2"/>
              </w:rPr>
            </w:pPr>
          </w:p>
        </w:tc>
        <w:tc>
          <w:tcPr>
            <w:tcW w:w="1199" w:type="dxa"/>
            <w:tcBorders>
              <w:bottom w:val="single" w:sz="4" w:space="0" w:color="auto"/>
            </w:tcBorders>
            <w:shd w:val="clear" w:color="auto" w:fill="B8CCE4"/>
            <w:vAlign w:val="center"/>
          </w:tcPr>
          <w:p w14:paraId="362CA0A2" w14:textId="77777777" w:rsidR="00C45D59" w:rsidRDefault="009B0962">
            <w:pPr>
              <w:pStyle w:val="P68B1DB1-Normal28"/>
              <w:spacing w:after="0" w:line="240" w:lineRule="auto"/>
              <w:rPr>
                <w:rFonts w:ascii="Aptos" w:hAnsi="Aptos"/>
                <w:noProof/>
              </w:rPr>
            </w:pPr>
            <w:r>
              <w:rPr>
                <w:noProof/>
              </w:rPr>
              <w:t>Unitatea de măsură</w:t>
            </w:r>
          </w:p>
        </w:tc>
        <w:tc>
          <w:tcPr>
            <w:tcW w:w="1199" w:type="dxa"/>
            <w:tcBorders>
              <w:bottom w:val="single" w:sz="4" w:space="0" w:color="auto"/>
            </w:tcBorders>
            <w:shd w:val="clear" w:color="auto" w:fill="B8CCE4"/>
          </w:tcPr>
          <w:p w14:paraId="691B396C" w14:textId="77777777" w:rsidR="00C45D59" w:rsidRDefault="009B0962">
            <w:pPr>
              <w:pStyle w:val="P68B1DB1-Normal28"/>
              <w:spacing w:after="0" w:line="240" w:lineRule="auto"/>
              <w:rPr>
                <w:rFonts w:ascii="Aptos" w:hAnsi="Aptos"/>
                <w:noProof/>
              </w:rPr>
            </w:pPr>
            <w:r>
              <w:rPr>
                <w:noProof/>
              </w:rPr>
              <w:t>Situația de referință</w:t>
            </w:r>
          </w:p>
        </w:tc>
        <w:tc>
          <w:tcPr>
            <w:tcW w:w="1199" w:type="dxa"/>
            <w:tcBorders>
              <w:bottom w:val="single" w:sz="4" w:space="0" w:color="auto"/>
            </w:tcBorders>
            <w:shd w:val="clear" w:color="auto" w:fill="B8CCE4"/>
          </w:tcPr>
          <w:p w14:paraId="5476C484" w14:textId="77777777" w:rsidR="00C45D59" w:rsidRDefault="009B0962">
            <w:pPr>
              <w:pStyle w:val="P68B1DB1-Normal28"/>
              <w:spacing w:after="0" w:line="240" w:lineRule="auto"/>
              <w:rPr>
                <w:rFonts w:ascii="Aptos" w:hAnsi="Aptos"/>
                <w:noProof/>
              </w:rPr>
            </w:pPr>
            <w:r>
              <w:rPr>
                <w:noProof/>
              </w:rPr>
              <w:t>Obiectiv</w:t>
            </w:r>
          </w:p>
        </w:tc>
        <w:tc>
          <w:tcPr>
            <w:tcW w:w="1217" w:type="dxa"/>
            <w:tcBorders>
              <w:bottom w:val="single" w:sz="4" w:space="0" w:color="auto"/>
            </w:tcBorders>
            <w:shd w:val="clear" w:color="auto" w:fill="B8CCE4"/>
          </w:tcPr>
          <w:p w14:paraId="6B5DE573" w14:textId="77777777" w:rsidR="00C45D59" w:rsidRDefault="009B0962">
            <w:pPr>
              <w:pStyle w:val="P68B1DB1-Normal28"/>
              <w:spacing w:after="0" w:line="240" w:lineRule="auto"/>
              <w:rPr>
                <w:rFonts w:ascii="Aptos" w:hAnsi="Aptos"/>
                <w:noProof/>
              </w:rPr>
            </w:pPr>
            <w:r>
              <w:rPr>
                <w:noProof/>
              </w:rPr>
              <w:t>Trimestru</w:t>
            </w:r>
          </w:p>
        </w:tc>
        <w:tc>
          <w:tcPr>
            <w:tcW w:w="1228" w:type="dxa"/>
            <w:tcBorders>
              <w:bottom w:val="single" w:sz="4" w:space="0" w:color="auto"/>
            </w:tcBorders>
            <w:shd w:val="clear" w:color="auto" w:fill="B8CCE4"/>
          </w:tcPr>
          <w:p w14:paraId="0C386364" w14:textId="77777777" w:rsidR="00C45D59" w:rsidRDefault="009B0962">
            <w:pPr>
              <w:pStyle w:val="P68B1DB1-Normal28"/>
              <w:spacing w:after="0" w:line="240" w:lineRule="auto"/>
              <w:rPr>
                <w:rFonts w:ascii="Aptos" w:hAnsi="Aptos"/>
                <w:noProof/>
              </w:rPr>
            </w:pPr>
            <w:r>
              <w:rPr>
                <w:noProof/>
              </w:rPr>
              <w:t>Anul</w:t>
            </w:r>
          </w:p>
        </w:tc>
        <w:tc>
          <w:tcPr>
            <w:tcW w:w="3017" w:type="dxa"/>
            <w:vMerge/>
            <w:tcBorders>
              <w:bottom w:val="single" w:sz="4" w:space="0" w:color="auto"/>
            </w:tcBorders>
            <w:shd w:val="clear" w:color="auto" w:fill="B8CCE4"/>
          </w:tcPr>
          <w:p w14:paraId="6A49BB7B" w14:textId="77777777" w:rsidR="00C45D59" w:rsidRDefault="00C45D59">
            <w:pPr>
              <w:spacing w:after="0" w:line="240" w:lineRule="auto"/>
              <w:rPr>
                <w:rFonts w:ascii="Aptos" w:eastAsia="Aptos" w:hAnsi="Aptos" w:cs="Times New Roman"/>
                <w:noProof/>
                <w:kern w:val="2"/>
              </w:rPr>
            </w:pPr>
          </w:p>
        </w:tc>
      </w:tr>
      <w:tr w:rsidR="00C45D59" w14:paraId="00444F72" w14:textId="77777777">
        <w:trPr>
          <w:tblHeader/>
        </w:trPr>
        <w:tc>
          <w:tcPr>
            <w:tcW w:w="709" w:type="dxa"/>
            <w:shd w:val="clear" w:color="auto" w:fill="C6EFCE"/>
            <w:vAlign w:val="center"/>
          </w:tcPr>
          <w:p w14:paraId="076AC471" w14:textId="77777777" w:rsidR="00C45D59" w:rsidRDefault="009B0962">
            <w:pPr>
              <w:pStyle w:val="P68B1DB1-Normal29"/>
              <w:spacing w:after="0" w:line="240" w:lineRule="auto"/>
              <w:rPr>
                <w:rFonts w:ascii="Aptos" w:hAnsi="Aptos"/>
                <w:noProof/>
              </w:rPr>
            </w:pPr>
            <w:r>
              <w:rPr>
                <w:noProof/>
              </w:rPr>
              <w:t>61</w:t>
            </w:r>
          </w:p>
        </w:tc>
        <w:tc>
          <w:tcPr>
            <w:tcW w:w="2153" w:type="dxa"/>
            <w:shd w:val="clear" w:color="auto" w:fill="C6EFCE"/>
            <w:vAlign w:val="center"/>
          </w:tcPr>
          <w:p w14:paraId="25FEE597" w14:textId="77777777" w:rsidR="00C45D59" w:rsidRDefault="009B0962">
            <w:pPr>
              <w:pStyle w:val="P68B1DB1-Normal29"/>
              <w:spacing w:after="0" w:line="240" w:lineRule="auto"/>
              <w:rPr>
                <w:rFonts w:ascii="Aptos" w:hAnsi="Aptos"/>
                <w:noProof/>
              </w:rPr>
            </w:pPr>
            <w:r>
              <w:rPr>
                <w:noProof/>
              </w:rPr>
              <w:t>4-1.4. Utilizarea durabilă a resurselor, reziliența la schimbările climatice și protecția mediului – 16849_ Planul național de reîmpădurire, măsuri de refacere și prevenire („antiNERO”), de combatere a eroziunii și de protecție împotriva inundațiilor</w:t>
            </w:r>
          </w:p>
        </w:tc>
        <w:tc>
          <w:tcPr>
            <w:tcW w:w="1259" w:type="dxa"/>
            <w:shd w:val="clear" w:color="auto" w:fill="C6EFCE"/>
            <w:vAlign w:val="center"/>
          </w:tcPr>
          <w:p w14:paraId="3EBA90B9" w14:textId="77777777" w:rsidR="00C45D59" w:rsidRDefault="009B0962">
            <w:pPr>
              <w:pStyle w:val="P68B1DB1-Normal29"/>
              <w:spacing w:after="0" w:line="240" w:lineRule="auto"/>
              <w:rPr>
                <w:rFonts w:ascii="Aptos" w:hAnsi="Aptos"/>
                <w:noProof/>
              </w:rPr>
            </w:pPr>
            <w:r>
              <w:rPr>
                <w:noProof/>
              </w:rPr>
              <w:t>Etapă</w:t>
            </w:r>
          </w:p>
        </w:tc>
        <w:tc>
          <w:tcPr>
            <w:tcW w:w="1284" w:type="dxa"/>
            <w:shd w:val="clear" w:color="auto" w:fill="C6EFCE"/>
            <w:vAlign w:val="center"/>
          </w:tcPr>
          <w:p w14:paraId="164ECBE5" w14:textId="77777777" w:rsidR="00C45D59" w:rsidRDefault="009B0962">
            <w:pPr>
              <w:pStyle w:val="P68B1DB1-Normal29"/>
              <w:spacing w:after="0" w:line="240" w:lineRule="auto"/>
              <w:rPr>
                <w:rFonts w:ascii="Aptos" w:hAnsi="Aptos"/>
                <w:noProof/>
              </w:rPr>
            </w:pPr>
            <w:r>
              <w:rPr>
                <w:noProof/>
              </w:rPr>
              <w:t>Reîmpădurire, refacere și prevenire – contracte 1</w:t>
            </w:r>
          </w:p>
        </w:tc>
        <w:tc>
          <w:tcPr>
            <w:tcW w:w="1271" w:type="dxa"/>
            <w:shd w:val="clear" w:color="auto" w:fill="C6EFCE"/>
            <w:vAlign w:val="center"/>
          </w:tcPr>
          <w:p w14:paraId="67F0DCFE" w14:textId="7E457C1A" w:rsidR="00C45D59" w:rsidRDefault="009B0962">
            <w:pPr>
              <w:pStyle w:val="P68B1DB1-Normal29"/>
              <w:spacing w:after="0" w:line="240" w:lineRule="auto"/>
              <w:rPr>
                <w:rFonts w:ascii="Aptos" w:hAnsi="Aptos"/>
                <w:noProof/>
              </w:rPr>
            </w:pPr>
            <w:r>
              <w:rPr>
                <w:noProof/>
              </w:rPr>
              <w:t>Notificarea atribuirii contractelor</w:t>
            </w:r>
          </w:p>
        </w:tc>
        <w:tc>
          <w:tcPr>
            <w:tcW w:w="1199" w:type="dxa"/>
            <w:shd w:val="clear" w:color="auto" w:fill="C6EFCE"/>
            <w:vAlign w:val="center"/>
          </w:tcPr>
          <w:p w14:paraId="1E5ADD15" w14:textId="77777777" w:rsidR="00C45D59" w:rsidRDefault="00C45D59">
            <w:pPr>
              <w:spacing w:after="0" w:line="240" w:lineRule="auto"/>
              <w:rPr>
                <w:rFonts w:ascii="Aptos" w:eastAsia="Aptos" w:hAnsi="Aptos" w:cs="Times New Roman"/>
                <w:noProof/>
                <w:kern w:val="2"/>
              </w:rPr>
            </w:pPr>
          </w:p>
        </w:tc>
        <w:tc>
          <w:tcPr>
            <w:tcW w:w="1199" w:type="dxa"/>
            <w:shd w:val="clear" w:color="auto" w:fill="C6EFCE"/>
            <w:vAlign w:val="center"/>
          </w:tcPr>
          <w:p w14:paraId="1EE03C2F" w14:textId="77777777" w:rsidR="00C45D59" w:rsidRDefault="00C45D59">
            <w:pPr>
              <w:spacing w:after="0" w:line="240" w:lineRule="auto"/>
              <w:rPr>
                <w:rFonts w:ascii="Aptos" w:eastAsia="Aptos" w:hAnsi="Aptos" w:cs="Times New Roman"/>
                <w:noProof/>
                <w:kern w:val="2"/>
              </w:rPr>
            </w:pPr>
          </w:p>
        </w:tc>
        <w:tc>
          <w:tcPr>
            <w:tcW w:w="1199" w:type="dxa"/>
            <w:shd w:val="clear" w:color="auto" w:fill="C6EFCE"/>
            <w:vAlign w:val="center"/>
          </w:tcPr>
          <w:p w14:paraId="1B718A7A" w14:textId="77777777" w:rsidR="00C45D59" w:rsidRDefault="00C45D59">
            <w:pPr>
              <w:spacing w:after="0" w:line="240" w:lineRule="auto"/>
              <w:rPr>
                <w:rFonts w:ascii="Aptos" w:eastAsia="Aptos" w:hAnsi="Aptos" w:cs="Times New Roman"/>
                <w:noProof/>
                <w:kern w:val="2"/>
              </w:rPr>
            </w:pPr>
          </w:p>
        </w:tc>
        <w:tc>
          <w:tcPr>
            <w:tcW w:w="1217" w:type="dxa"/>
            <w:shd w:val="clear" w:color="auto" w:fill="C6EFCE"/>
            <w:vAlign w:val="center"/>
          </w:tcPr>
          <w:p w14:paraId="6DDA3505" w14:textId="592F49CB" w:rsidR="00C45D59" w:rsidRDefault="009B0962">
            <w:pPr>
              <w:pStyle w:val="P68B1DB1-Normal29"/>
              <w:spacing w:after="0" w:line="240" w:lineRule="auto"/>
              <w:rPr>
                <w:noProof/>
              </w:rPr>
            </w:pPr>
            <w:r>
              <w:rPr>
                <w:noProof/>
              </w:rPr>
              <w:t>Î2</w:t>
            </w:r>
          </w:p>
        </w:tc>
        <w:tc>
          <w:tcPr>
            <w:tcW w:w="1228" w:type="dxa"/>
            <w:shd w:val="clear" w:color="auto" w:fill="C6EFCE"/>
            <w:vAlign w:val="center"/>
          </w:tcPr>
          <w:p w14:paraId="673104B0" w14:textId="5BD3BCF4" w:rsidR="00C45D59" w:rsidRDefault="009B0962">
            <w:pPr>
              <w:pStyle w:val="P68B1DB1-Normal29"/>
              <w:spacing w:after="0" w:line="240" w:lineRule="auto"/>
              <w:rPr>
                <w:noProof/>
              </w:rPr>
            </w:pPr>
            <w:r>
              <w:rPr>
                <w:noProof/>
              </w:rPr>
              <w:t>2023</w:t>
            </w:r>
          </w:p>
        </w:tc>
        <w:tc>
          <w:tcPr>
            <w:tcW w:w="3017" w:type="dxa"/>
            <w:shd w:val="clear" w:color="auto" w:fill="C6EFCE"/>
          </w:tcPr>
          <w:p w14:paraId="5E8DC826" w14:textId="77777777" w:rsidR="00C45D59" w:rsidRDefault="009B0962">
            <w:pPr>
              <w:pStyle w:val="P68B1DB1-Normal29"/>
              <w:spacing w:after="0" w:line="240" w:lineRule="auto"/>
              <w:rPr>
                <w:rFonts w:ascii="Aptos" w:hAnsi="Aptos"/>
                <w:noProof/>
              </w:rPr>
            </w:pPr>
            <w:r>
              <w:rPr>
                <w:noProof/>
              </w:rPr>
              <w:t xml:space="preserve">Notificarea atribuirii tuturor contractelor pentru programele Antinero I și II pentru modernizarea a 37 500 ha de ecosisteme forestiere degradate, inclusiv defrișări de păduri și suprafețe împădurite și întreținerea rețelei de drumuri forestiere și a zonelor de incendiu existente. </w:t>
            </w:r>
          </w:p>
        </w:tc>
      </w:tr>
      <w:tr w:rsidR="00C45D59" w14:paraId="0D983669" w14:textId="77777777">
        <w:trPr>
          <w:tblHeader/>
        </w:trPr>
        <w:tc>
          <w:tcPr>
            <w:tcW w:w="709" w:type="dxa"/>
            <w:shd w:val="clear" w:color="auto" w:fill="C6EFCE"/>
          </w:tcPr>
          <w:p w14:paraId="57A882A2" w14:textId="77777777" w:rsidR="00C45D59" w:rsidRDefault="009B0962">
            <w:pPr>
              <w:pStyle w:val="P68B1DB1-Normal29"/>
              <w:spacing w:after="0" w:line="240" w:lineRule="auto"/>
              <w:rPr>
                <w:rFonts w:ascii="Aptos" w:hAnsi="Aptos"/>
                <w:noProof/>
              </w:rPr>
            </w:pPr>
            <w:r>
              <w:rPr>
                <w:noProof/>
              </w:rPr>
              <w:t>62</w:t>
            </w:r>
          </w:p>
        </w:tc>
        <w:tc>
          <w:tcPr>
            <w:tcW w:w="2153" w:type="dxa"/>
            <w:shd w:val="clear" w:color="auto" w:fill="C6EFCE"/>
          </w:tcPr>
          <w:p w14:paraId="76A85FDC" w14:textId="77777777" w:rsidR="00C45D59" w:rsidRDefault="009B0962">
            <w:pPr>
              <w:pStyle w:val="P68B1DB1-Normal29"/>
              <w:spacing w:after="0" w:line="240" w:lineRule="auto"/>
              <w:rPr>
                <w:rFonts w:ascii="Aptos" w:hAnsi="Aptos"/>
                <w:noProof/>
              </w:rPr>
            </w:pPr>
            <w:r>
              <w:rPr>
                <w:noProof/>
              </w:rPr>
              <w:t>4-1.4. Utilizarea durabilă a resurselor, reziliența la schimbările climatice și protecția mediului – 16849_ Planul național de reîmpădurire, măsuri de refacere și prevenire („antiNERO”), de combatere a eroziunii și de protecție împotriva inundațiilor</w:t>
            </w:r>
          </w:p>
        </w:tc>
        <w:tc>
          <w:tcPr>
            <w:tcW w:w="1259" w:type="dxa"/>
            <w:shd w:val="clear" w:color="auto" w:fill="C6EFCE"/>
          </w:tcPr>
          <w:p w14:paraId="34726F70" w14:textId="77777777" w:rsidR="00C45D59" w:rsidRDefault="009B0962">
            <w:pPr>
              <w:pStyle w:val="P68B1DB1-Normal29"/>
              <w:spacing w:after="0" w:line="240" w:lineRule="auto"/>
              <w:rPr>
                <w:rFonts w:ascii="Aptos" w:hAnsi="Aptos"/>
                <w:noProof/>
              </w:rPr>
            </w:pPr>
            <w:r>
              <w:rPr>
                <w:noProof/>
              </w:rPr>
              <w:t>Etapă</w:t>
            </w:r>
          </w:p>
        </w:tc>
        <w:tc>
          <w:tcPr>
            <w:tcW w:w="1284" w:type="dxa"/>
            <w:shd w:val="clear" w:color="auto" w:fill="C6EFCE"/>
          </w:tcPr>
          <w:p w14:paraId="2529E08C" w14:textId="77777777" w:rsidR="00C45D59" w:rsidRDefault="009B0962">
            <w:pPr>
              <w:pStyle w:val="P68B1DB1-Normal29"/>
              <w:spacing w:after="0" w:line="240" w:lineRule="auto"/>
              <w:rPr>
                <w:rFonts w:ascii="Aptos" w:hAnsi="Aptos"/>
                <w:noProof/>
              </w:rPr>
            </w:pPr>
            <w:r>
              <w:rPr>
                <w:noProof/>
              </w:rPr>
              <w:t>Reîmpădurire, refacere și prevenire – contracte 2</w:t>
            </w:r>
          </w:p>
        </w:tc>
        <w:tc>
          <w:tcPr>
            <w:tcW w:w="1271" w:type="dxa"/>
            <w:shd w:val="clear" w:color="auto" w:fill="C6EFCE"/>
          </w:tcPr>
          <w:p w14:paraId="529831ED" w14:textId="77777777" w:rsidR="00C45D59" w:rsidRDefault="009B0962">
            <w:pPr>
              <w:pStyle w:val="P68B1DB1-Normal29"/>
              <w:spacing w:after="0" w:line="240" w:lineRule="auto"/>
              <w:rPr>
                <w:rFonts w:ascii="Aptos" w:hAnsi="Aptos"/>
                <w:noProof/>
              </w:rPr>
            </w:pPr>
            <w:r>
              <w:rPr>
                <w:noProof/>
              </w:rPr>
              <w:t>Notificarea atribuirii contractelor</w:t>
            </w:r>
          </w:p>
        </w:tc>
        <w:tc>
          <w:tcPr>
            <w:tcW w:w="1199" w:type="dxa"/>
            <w:shd w:val="clear" w:color="auto" w:fill="C6EFCE"/>
          </w:tcPr>
          <w:p w14:paraId="33C02D7C" w14:textId="77777777" w:rsidR="00C45D59" w:rsidRDefault="00C45D59">
            <w:pPr>
              <w:spacing w:after="0" w:line="240" w:lineRule="auto"/>
              <w:rPr>
                <w:rFonts w:ascii="Aptos" w:eastAsia="Aptos" w:hAnsi="Aptos" w:cs="Times New Roman"/>
                <w:noProof/>
                <w:kern w:val="2"/>
              </w:rPr>
            </w:pPr>
          </w:p>
        </w:tc>
        <w:tc>
          <w:tcPr>
            <w:tcW w:w="1199" w:type="dxa"/>
            <w:shd w:val="clear" w:color="auto" w:fill="C6EFCE"/>
          </w:tcPr>
          <w:p w14:paraId="6E9DC676" w14:textId="77777777" w:rsidR="00C45D59" w:rsidRDefault="00C45D59">
            <w:pPr>
              <w:spacing w:after="0" w:line="240" w:lineRule="auto"/>
              <w:rPr>
                <w:rFonts w:ascii="Aptos" w:eastAsia="Aptos" w:hAnsi="Aptos" w:cs="Times New Roman"/>
                <w:noProof/>
                <w:kern w:val="2"/>
              </w:rPr>
            </w:pPr>
          </w:p>
        </w:tc>
        <w:tc>
          <w:tcPr>
            <w:tcW w:w="1199" w:type="dxa"/>
            <w:shd w:val="clear" w:color="auto" w:fill="C6EFCE"/>
          </w:tcPr>
          <w:p w14:paraId="35D38398" w14:textId="77777777" w:rsidR="00C45D59" w:rsidRDefault="00C45D59">
            <w:pPr>
              <w:spacing w:after="0" w:line="240" w:lineRule="auto"/>
              <w:rPr>
                <w:rFonts w:ascii="Aptos" w:eastAsia="Aptos" w:hAnsi="Aptos" w:cs="Times New Roman"/>
                <w:noProof/>
                <w:kern w:val="2"/>
              </w:rPr>
            </w:pPr>
          </w:p>
        </w:tc>
        <w:tc>
          <w:tcPr>
            <w:tcW w:w="1217" w:type="dxa"/>
            <w:shd w:val="clear" w:color="auto" w:fill="C6EFCE"/>
          </w:tcPr>
          <w:p w14:paraId="0E6C3943" w14:textId="77777777" w:rsidR="00C45D59" w:rsidRDefault="009B0962">
            <w:pPr>
              <w:pStyle w:val="P68B1DB1-Normal29"/>
              <w:spacing w:after="0" w:line="240" w:lineRule="auto"/>
              <w:rPr>
                <w:rFonts w:ascii="Aptos" w:hAnsi="Aptos"/>
                <w:noProof/>
              </w:rPr>
            </w:pPr>
            <w:r>
              <w:rPr>
                <w:noProof/>
              </w:rPr>
              <w:t>Î4</w:t>
            </w:r>
          </w:p>
        </w:tc>
        <w:tc>
          <w:tcPr>
            <w:tcW w:w="1228" w:type="dxa"/>
            <w:shd w:val="clear" w:color="auto" w:fill="C6EFCE"/>
          </w:tcPr>
          <w:p w14:paraId="68DD670D" w14:textId="77777777" w:rsidR="00C45D59" w:rsidRDefault="009B0962">
            <w:pPr>
              <w:pStyle w:val="P68B1DB1-Normal29"/>
              <w:spacing w:after="0" w:line="240" w:lineRule="auto"/>
              <w:rPr>
                <w:rFonts w:ascii="Aptos" w:hAnsi="Aptos"/>
                <w:noProof/>
              </w:rPr>
            </w:pPr>
            <w:r>
              <w:rPr>
                <w:noProof/>
              </w:rPr>
              <w:t>2023</w:t>
            </w:r>
          </w:p>
        </w:tc>
        <w:tc>
          <w:tcPr>
            <w:tcW w:w="3017" w:type="dxa"/>
            <w:shd w:val="clear" w:color="auto" w:fill="C6EFCE"/>
          </w:tcPr>
          <w:p w14:paraId="10C741E8" w14:textId="77777777" w:rsidR="00C45D59" w:rsidRDefault="009B0962">
            <w:pPr>
              <w:pStyle w:val="P68B1DB1-Normal29"/>
              <w:spacing w:after="0" w:line="240" w:lineRule="auto"/>
              <w:rPr>
                <w:rFonts w:eastAsia="Times New Roman"/>
                <w:noProof/>
              </w:rPr>
            </w:pPr>
            <w:r>
              <w:rPr>
                <w:noProof/>
              </w:rPr>
              <w:t>Notificarea atribuirii tuturor contractelor pentru:</w:t>
            </w:r>
          </w:p>
          <w:p w14:paraId="47380F23" w14:textId="77777777" w:rsidR="00C45D59" w:rsidRDefault="009B0962">
            <w:pPr>
              <w:pStyle w:val="P68B1DB1-Normal29"/>
              <w:spacing w:after="0" w:line="240" w:lineRule="auto"/>
              <w:rPr>
                <w:rFonts w:eastAsia="Times New Roman"/>
                <w:noProof/>
              </w:rPr>
            </w:pPr>
            <w:r>
              <w:rPr>
                <w:noProof/>
              </w:rPr>
              <w:t>1. Refacerea a 5 700 ha de ecosisteme forestiere degradate din Grecia prin plantarea de puieți utilizând cel puțin 50 % din speciile indigene; și</w:t>
            </w:r>
          </w:p>
          <w:p w14:paraId="4CA991D9" w14:textId="77777777" w:rsidR="00C45D59" w:rsidRDefault="009B0962">
            <w:pPr>
              <w:pStyle w:val="P68B1DB1-Normal29"/>
              <w:spacing w:after="0" w:line="240" w:lineRule="auto"/>
              <w:rPr>
                <w:rFonts w:eastAsia="Times New Roman"/>
                <w:noProof/>
              </w:rPr>
            </w:pPr>
            <w:r>
              <w:rPr>
                <w:noProof/>
              </w:rPr>
              <w:t>2. Modernizarea celor patru pepiniere forestiere; și</w:t>
            </w:r>
          </w:p>
          <w:p w14:paraId="204D0D66" w14:textId="77777777" w:rsidR="00C45D59" w:rsidRDefault="009B0962">
            <w:pPr>
              <w:pStyle w:val="P68B1DB1-Normal29"/>
              <w:spacing w:after="0" w:line="240" w:lineRule="auto"/>
              <w:rPr>
                <w:rFonts w:eastAsia="Times New Roman"/>
                <w:noProof/>
              </w:rPr>
            </w:pPr>
            <w:r>
              <w:rPr>
                <w:noProof/>
              </w:rPr>
              <w:t xml:space="preserve">3. Implementarea pilot a planului național de reîmpădurire; și </w:t>
            </w:r>
          </w:p>
          <w:p w14:paraId="4707B42E" w14:textId="77777777" w:rsidR="00C45D59" w:rsidRDefault="009B0962">
            <w:pPr>
              <w:pStyle w:val="P68B1DB1-Normal29"/>
              <w:spacing w:after="0" w:line="240" w:lineRule="auto"/>
              <w:rPr>
                <w:rFonts w:ascii="Aptos" w:hAnsi="Aptos"/>
                <w:noProof/>
              </w:rPr>
            </w:pPr>
            <w:r>
              <w:rPr>
                <w:noProof/>
              </w:rPr>
              <w:t xml:space="preserve">4. Măsuri antieroziune și antiinundații în Evros și Rodopi, care acoperă în total 5 000 de hectare de lucrări antieroziune și 175 000 m² de lucrări de protecție împotriva inundațiilor. </w:t>
            </w:r>
          </w:p>
        </w:tc>
      </w:tr>
      <w:tr w:rsidR="00C45D59" w14:paraId="1DB4C061" w14:textId="77777777">
        <w:trPr>
          <w:tblHeader/>
        </w:trPr>
        <w:tc>
          <w:tcPr>
            <w:tcW w:w="709" w:type="dxa"/>
            <w:shd w:val="clear" w:color="auto" w:fill="C6EFCE"/>
          </w:tcPr>
          <w:p w14:paraId="236C0AA0" w14:textId="77777777" w:rsidR="00C45D59" w:rsidRDefault="009B0962">
            <w:pPr>
              <w:pStyle w:val="P68B1DB1-Normal29"/>
              <w:spacing w:after="0" w:line="240" w:lineRule="auto"/>
              <w:rPr>
                <w:rFonts w:ascii="Aptos" w:hAnsi="Aptos"/>
                <w:noProof/>
              </w:rPr>
            </w:pPr>
            <w:r>
              <w:rPr>
                <w:noProof/>
              </w:rPr>
              <w:t>63</w:t>
            </w:r>
          </w:p>
        </w:tc>
        <w:tc>
          <w:tcPr>
            <w:tcW w:w="2153" w:type="dxa"/>
            <w:shd w:val="clear" w:color="auto" w:fill="C6EFCE"/>
          </w:tcPr>
          <w:p w14:paraId="02E0639C" w14:textId="77777777" w:rsidR="00C45D59" w:rsidRDefault="009B0962">
            <w:pPr>
              <w:pStyle w:val="P68B1DB1-Normal29"/>
              <w:spacing w:after="0" w:line="240" w:lineRule="auto"/>
              <w:rPr>
                <w:rFonts w:ascii="Aptos" w:hAnsi="Aptos"/>
                <w:noProof/>
              </w:rPr>
            </w:pPr>
            <w:r>
              <w:rPr>
                <w:noProof/>
              </w:rPr>
              <w:t>4-1.4. Utilizarea durabilă a resurselor, reziliența la schimbările climatice și protecția mediului – 16849_ Planul național de reîmpădurire, măsuri de refacere și prevenire („antiNERO”), de combatere a eroziunii și de protecție împotriva inundațiilor</w:t>
            </w:r>
          </w:p>
        </w:tc>
        <w:tc>
          <w:tcPr>
            <w:tcW w:w="1259" w:type="dxa"/>
            <w:shd w:val="clear" w:color="auto" w:fill="C6EFCE"/>
          </w:tcPr>
          <w:p w14:paraId="755A1616" w14:textId="77777777" w:rsidR="00C45D59" w:rsidRDefault="009B0962">
            <w:pPr>
              <w:pStyle w:val="P68B1DB1-Normal29"/>
              <w:spacing w:after="0" w:line="240" w:lineRule="auto"/>
              <w:rPr>
                <w:rFonts w:ascii="Aptos" w:hAnsi="Aptos"/>
                <w:noProof/>
              </w:rPr>
            </w:pPr>
            <w:r>
              <w:rPr>
                <w:noProof/>
              </w:rPr>
              <w:t>Etapă</w:t>
            </w:r>
          </w:p>
        </w:tc>
        <w:tc>
          <w:tcPr>
            <w:tcW w:w="1284" w:type="dxa"/>
            <w:shd w:val="clear" w:color="auto" w:fill="C6EFCE"/>
          </w:tcPr>
          <w:p w14:paraId="1C0E2F9A" w14:textId="77777777" w:rsidR="00C45D59" w:rsidRDefault="009B0962">
            <w:pPr>
              <w:pStyle w:val="P68B1DB1-Normal29"/>
              <w:spacing w:after="0" w:line="240" w:lineRule="auto"/>
              <w:rPr>
                <w:rFonts w:ascii="Aptos" w:hAnsi="Aptos"/>
                <w:noProof/>
              </w:rPr>
            </w:pPr>
            <w:r>
              <w:rPr>
                <w:noProof/>
              </w:rPr>
              <w:t>Reîmpădurire, refacere și prevenire – execuție</w:t>
            </w:r>
          </w:p>
        </w:tc>
        <w:tc>
          <w:tcPr>
            <w:tcW w:w="1271" w:type="dxa"/>
            <w:shd w:val="clear" w:color="auto" w:fill="C6EFCE"/>
          </w:tcPr>
          <w:p w14:paraId="6744D6D3" w14:textId="77777777" w:rsidR="00C45D59" w:rsidRDefault="009B0962">
            <w:pPr>
              <w:pStyle w:val="P68B1DB1-Normal29"/>
              <w:spacing w:after="0" w:line="240" w:lineRule="auto"/>
              <w:rPr>
                <w:rFonts w:ascii="Aptos" w:hAnsi="Aptos"/>
                <w:noProof/>
              </w:rPr>
            </w:pPr>
            <w:r>
              <w:rPr>
                <w:noProof/>
              </w:rPr>
              <w:t>Executarea de lucrări</w:t>
            </w:r>
          </w:p>
        </w:tc>
        <w:tc>
          <w:tcPr>
            <w:tcW w:w="1199" w:type="dxa"/>
            <w:shd w:val="clear" w:color="auto" w:fill="C6EFCE"/>
          </w:tcPr>
          <w:p w14:paraId="56F2391D" w14:textId="77777777" w:rsidR="00C45D59" w:rsidRDefault="00C45D59">
            <w:pPr>
              <w:spacing w:after="0" w:line="240" w:lineRule="auto"/>
              <w:rPr>
                <w:rFonts w:ascii="Aptos" w:eastAsia="Aptos" w:hAnsi="Aptos" w:cs="Times New Roman"/>
                <w:noProof/>
                <w:kern w:val="2"/>
              </w:rPr>
            </w:pPr>
          </w:p>
        </w:tc>
        <w:tc>
          <w:tcPr>
            <w:tcW w:w="1199" w:type="dxa"/>
            <w:shd w:val="clear" w:color="auto" w:fill="C6EFCE"/>
          </w:tcPr>
          <w:p w14:paraId="2585ECEC" w14:textId="77777777" w:rsidR="00C45D59" w:rsidRDefault="00C45D59">
            <w:pPr>
              <w:spacing w:after="0" w:line="240" w:lineRule="auto"/>
              <w:rPr>
                <w:rFonts w:ascii="Aptos" w:eastAsia="Aptos" w:hAnsi="Aptos" w:cs="Times New Roman"/>
                <w:noProof/>
                <w:kern w:val="2"/>
              </w:rPr>
            </w:pPr>
          </w:p>
        </w:tc>
        <w:tc>
          <w:tcPr>
            <w:tcW w:w="1199" w:type="dxa"/>
            <w:shd w:val="clear" w:color="auto" w:fill="C6EFCE"/>
          </w:tcPr>
          <w:p w14:paraId="1DDED5FB" w14:textId="77777777" w:rsidR="00C45D59" w:rsidRDefault="00C45D59">
            <w:pPr>
              <w:spacing w:after="0" w:line="240" w:lineRule="auto"/>
              <w:rPr>
                <w:rFonts w:ascii="Aptos" w:eastAsia="Aptos" w:hAnsi="Aptos" w:cs="Times New Roman"/>
                <w:noProof/>
                <w:kern w:val="2"/>
              </w:rPr>
            </w:pPr>
          </w:p>
        </w:tc>
        <w:tc>
          <w:tcPr>
            <w:tcW w:w="1217" w:type="dxa"/>
            <w:shd w:val="clear" w:color="auto" w:fill="C6EFCE"/>
          </w:tcPr>
          <w:p w14:paraId="08C3B329" w14:textId="77777777" w:rsidR="00C45D59" w:rsidRDefault="009B0962">
            <w:pPr>
              <w:pStyle w:val="P68B1DB1-Normal29"/>
              <w:spacing w:after="0" w:line="240" w:lineRule="auto"/>
              <w:rPr>
                <w:rFonts w:ascii="Aptos" w:hAnsi="Aptos"/>
                <w:noProof/>
              </w:rPr>
            </w:pPr>
            <w:r>
              <w:rPr>
                <w:noProof/>
              </w:rPr>
              <w:t>Î4</w:t>
            </w:r>
          </w:p>
        </w:tc>
        <w:tc>
          <w:tcPr>
            <w:tcW w:w="1228" w:type="dxa"/>
            <w:shd w:val="clear" w:color="auto" w:fill="C6EFCE"/>
          </w:tcPr>
          <w:p w14:paraId="56BCEF7B" w14:textId="77777777" w:rsidR="00C45D59" w:rsidRDefault="009B0962">
            <w:pPr>
              <w:pStyle w:val="P68B1DB1-Normal29"/>
              <w:spacing w:after="0" w:line="240" w:lineRule="auto"/>
              <w:rPr>
                <w:rFonts w:ascii="Aptos" w:hAnsi="Aptos"/>
                <w:noProof/>
              </w:rPr>
            </w:pPr>
            <w:r>
              <w:rPr>
                <w:noProof/>
              </w:rPr>
              <w:t>2025</w:t>
            </w:r>
          </w:p>
        </w:tc>
        <w:tc>
          <w:tcPr>
            <w:tcW w:w="3017" w:type="dxa"/>
            <w:shd w:val="clear" w:color="auto" w:fill="C6EFCE"/>
          </w:tcPr>
          <w:p w14:paraId="293C1561" w14:textId="77777777" w:rsidR="00C45D59" w:rsidRDefault="009B0962">
            <w:pPr>
              <w:pStyle w:val="P68B1DB1-Normal29"/>
              <w:numPr>
                <w:ilvl w:val="0"/>
                <w:numId w:val="28"/>
              </w:numPr>
              <w:spacing w:after="0" w:line="240" w:lineRule="auto"/>
              <w:contextualSpacing/>
              <w:rPr>
                <w:noProof/>
              </w:rPr>
            </w:pPr>
            <w:r>
              <w:rPr>
                <w:noProof/>
              </w:rPr>
              <w:t>Refacerea a 5 084 ha de ecosisteme forestiere degradate;</w:t>
            </w:r>
          </w:p>
          <w:p w14:paraId="010CFFF6" w14:textId="77777777" w:rsidR="00C45D59" w:rsidRDefault="009B0962">
            <w:pPr>
              <w:pStyle w:val="P68B1DB1-Normal29"/>
              <w:numPr>
                <w:ilvl w:val="0"/>
                <w:numId w:val="28"/>
              </w:numPr>
              <w:spacing w:after="0" w:line="240" w:lineRule="auto"/>
              <w:contextualSpacing/>
              <w:rPr>
                <w:noProof/>
              </w:rPr>
            </w:pPr>
            <w:r>
              <w:rPr>
                <w:noProof/>
              </w:rPr>
              <w:t>AntiNero I, II, III, IV &amp; V pentru modernizarea a 91 640 ha de ecosisteme degradate;</w:t>
            </w:r>
          </w:p>
          <w:p w14:paraId="6AC42C0C" w14:textId="77777777" w:rsidR="00C45D59" w:rsidRDefault="009B0962">
            <w:pPr>
              <w:pStyle w:val="P68B1DB1-Normal29"/>
              <w:numPr>
                <w:ilvl w:val="0"/>
                <w:numId w:val="28"/>
              </w:numPr>
              <w:spacing w:after="0" w:line="240" w:lineRule="auto"/>
              <w:contextualSpacing/>
              <w:rPr>
                <w:noProof/>
              </w:rPr>
            </w:pPr>
            <w:r>
              <w:rPr>
                <w:noProof/>
              </w:rPr>
              <w:t>Măsuri de combatere a eroziunii pe o suprafață de 8 020 ha;</w:t>
            </w:r>
          </w:p>
          <w:p w14:paraId="02DAC499" w14:textId="77777777" w:rsidR="00C45D59" w:rsidRDefault="009B0962">
            <w:pPr>
              <w:pStyle w:val="P68B1DB1-Normal29"/>
              <w:numPr>
                <w:ilvl w:val="0"/>
                <w:numId w:val="28"/>
              </w:numPr>
              <w:spacing w:after="0" w:line="240" w:lineRule="auto"/>
              <w:contextualSpacing/>
              <w:rPr>
                <w:rFonts w:ascii="Aptos" w:hAnsi="Aptos"/>
                <w:noProof/>
              </w:rPr>
            </w:pPr>
            <w:r>
              <w:rPr>
                <w:noProof/>
              </w:rPr>
              <w:t>Măsuri de combatere a inundațiilor cu o suprafață de 401 437 m²</w:t>
            </w:r>
          </w:p>
        </w:tc>
      </w:tr>
    </w:tbl>
    <w:p w14:paraId="5B03C74F" w14:textId="77777777" w:rsidR="00C45D59" w:rsidRDefault="00C45D59">
      <w:pPr>
        <w:spacing w:before="120" w:after="0" w:line="240" w:lineRule="auto"/>
        <w:rPr>
          <w:rFonts w:ascii="Times New Roman" w:hAnsi="Times New Roman"/>
          <w:noProof/>
          <w:sz w:val="16"/>
          <w:szCs w:val="16"/>
        </w:rPr>
      </w:pPr>
    </w:p>
    <w:tbl>
      <w:tblPr>
        <w:tblStyle w:val="TableGrid2"/>
        <w:tblW w:w="15735" w:type="dxa"/>
        <w:tblInd w:w="-743" w:type="dxa"/>
        <w:tblLook w:val="04A0" w:firstRow="1" w:lastRow="0" w:firstColumn="1" w:lastColumn="0" w:noHBand="0" w:noVBand="1"/>
      </w:tblPr>
      <w:tblGrid>
        <w:gridCol w:w="703"/>
        <w:gridCol w:w="2133"/>
        <w:gridCol w:w="1376"/>
        <w:gridCol w:w="1282"/>
        <w:gridCol w:w="1265"/>
        <w:gridCol w:w="1191"/>
        <w:gridCol w:w="1191"/>
        <w:gridCol w:w="1190"/>
        <w:gridCol w:w="1211"/>
        <w:gridCol w:w="1212"/>
        <w:gridCol w:w="2981"/>
      </w:tblGrid>
      <w:tr w:rsidR="00C45D59" w14:paraId="09F9DA1C" w14:textId="77777777">
        <w:trPr>
          <w:tblHeader/>
        </w:trPr>
        <w:tc>
          <w:tcPr>
            <w:tcW w:w="709" w:type="dxa"/>
            <w:vMerge w:val="restart"/>
            <w:shd w:val="clear" w:color="auto" w:fill="B8CCE4"/>
          </w:tcPr>
          <w:p w14:paraId="696009B6" w14:textId="126388D2" w:rsidR="00C45D59" w:rsidRDefault="009B0962">
            <w:pPr>
              <w:pStyle w:val="P68B1DB1-Normal28"/>
              <w:spacing w:after="0" w:line="240" w:lineRule="auto"/>
              <w:jc w:val="center"/>
              <w:rPr>
                <w:rFonts w:ascii="Aptos" w:hAnsi="Aptos"/>
                <w:noProof/>
              </w:rPr>
            </w:pPr>
            <w:r>
              <w:rPr>
                <w:noProof/>
              </w:rPr>
              <w:t>Nr</w:t>
            </w:r>
            <w:r w:rsidR="009F5BD9">
              <w:rPr>
                <w:noProof/>
              </w:rPr>
              <w:t>.</w:t>
            </w:r>
            <w:r>
              <w:rPr>
                <w:noProof/>
              </w:rPr>
              <w:br/>
            </w:r>
            <w:r w:rsidR="009F5BD9">
              <w:rPr>
                <w:noProof/>
              </w:rPr>
              <w:t>crt</w:t>
            </w:r>
            <w:r>
              <w:rPr>
                <w:noProof/>
              </w:rPr>
              <w:t>.</w:t>
            </w:r>
          </w:p>
        </w:tc>
        <w:tc>
          <w:tcPr>
            <w:tcW w:w="2153" w:type="dxa"/>
            <w:vMerge w:val="restart"/>
            <w:shd w:val="clear" w:color="auto" w:fill="B8CCE4"/>
          </w:tcPr>
          <w:p w14:paraId="24618A1F" w14:textId="77777777" w:rsidR="00C45D59" w:rsidRDefault="009B0962">
            <w:pPr>
              <w:pStyle w:val="P68B1DB1-Normal28"/>
              <w:spacing w:after="0" w:line="240" w:lineRule="auto"/>
              <w:jc w:val="center"/>
              <w:rPr>
                <w:rFonts w:ascii="Aptos" w:hAnsi="Aptos"/>
                <w:noProof/>
              </w:rPr>
            </w:pPr>
            <w:r>
              <w:rPr>
                <w:noProof/>
              </w:rPr>
              <w:t>Măsură conexă (reformă sau investiții)</w:t>
            </w:r>
          </w:p>
        </w:tc>
        <w:tc>
          <w:tcPr>
            <w:tcW w:w="1259" w:type="dxa"/>
            <w:vMerge w:val="restart"/>
            <w:shd w:val="clear" w:color="auto" w:fill="B8CCE4"/>
          </w:tcPr>
          <w:p w14:paraId="4CFC9C88" w14:textId="77777777" w:rsidR="00C45D59" w:rsidRDefault="009B0962">
            <w:pPr>
              <w:pStyle w:val="P68B1DB1-Normal28"/>
              <w:spacing w:after="0" w:line="240" w:lineRule="auto"/>
              <w:jc w:val="center"/>
              <w:rPr>
                <w:rFonts w:ascii="Aptos" w:hAnsi="Aptos"/>
                <w:noProof/>
              </w:rPr>
            </w:pPr>
            <w:r>
              <w:rPr>
                <w:noProof/>
              </w:rPr>
              <w:t>Etapă/Obiectiv</w:t>
            </w:r>
          </w:p>
        </w:tc>
        <w:tc>
          <w:tcPr>
            <w:tcW w:w="1284" w:type="dxa"/>
            <w:vMerge w:val="restart"/>
            <w:shd w:val="clear" w:color="auto" w:fill="B8CCE4"/>
          </w:tcPr>
          <w:p w14:paraId="120DDC02" w14:textId="542BA91A" w:rsidR="00C45D59" w:rsidRDefault="009F5BD9">
            <w:pPr>
              <w:pStyle w:val="P68B1DB1-Normal28"/>
              <w:spacing w:after="0" w:line="240" w:lineRule="auto"/>
              <w:jc w:val="center"/>
              <w:rPr>
                <w:rFonts w:ascii="Aptos" w:hAnsi="Aptos"/>
                <w:noProof/>
              </w:rPr>
            </w:pPr>
            <w:r>
              <w:rPr>
                <w:noProof/>
              </w:rPr>
              <w:t>Denumire</w:t>
            </w:r>
          </w:p>
        </w:tc>
        <w:tc>
          <w:tcPr>
            <w:tcW w:w="1271" w:type="dxa"/>
            <w:vMerge w:val="restart"/>
            <w:shd w:val="clear" w:color="auto" w:fill="B8CCE4"/>
          </w:tcPr>
          <w:p w14:paraId="38BE00F5" w14:textId="77777777" w:rsidR="00C45D59" w:rsidRDefault="009B0962">
            <w:pPr>
              <w:pStyle w:val="P68B1DB1-Normal28"/>
              <w:spacing w:after="0" w:line="240" w:lineRule="auto"/>
              <w:jc w:val="center"/>
              <w:rPr>
                <w:rFonts w:ascii="Aptos" w:hAnsi="Aptos"/>
                <w:noProof/>
              </w:rPr>
            </w:pPr>
            <w:r>
              <w:rPr>
                <w:noProof/>
              </w:rPr>
              <w:t>Indicatori calitativi (pentru obiectivele de etapă)</w:t>
            </w:r>
          </w:p>
        </w:tc>
        <w:tc>
          <w:tcPr>
            <w:tcW w:w="3597" w:type="dxa"/>
            <w:gridSpan w:val="3"/>
            <w:shd w:val="clear" w:color="auto" w:fill="B8CCE4"/>
          </w:tcPr>
          <w:p w14:paraId="6C3794BD" w14:textId="77777777" w:rsidR="00C45D59" w:rsidRDefault="009B0962">
            <w:pPr>
              <w:pStyle w:val="P68B1DB1-Normal28"/>
              <w:spacing w:after="0" w:line="240" w:lineRule="auto"/>
              <w:jc w:val="center"/>
              <w:rPr>
                <w:rFonts w:ascii="Aptos" w:hAnsi="Aptos"/>
                <w:noProof/>
              </w:rPr>
            </w:pPr>
            <w:r>
              <w:rPr>
                <w:noProof/>
              </w:rPr>
              <w:t xml:space="preserve">Indicatori cantitativi </w:t>
            </w:r>
            <w:r>
              <w:rPr>
                <w:noProof/>
                <w:szCs w:val="18"/>
              </w:rPr>
              <w:br/>
            </w:r>
            <w:r>
              <w:rPr>
                <w:noProof/>
              </w:rPr>
              <w:t>(pentru obiective)</w:t>
            </w:r>
          </w:p>
        </w:tc>
        <w:tc>
          <w:tcPr>
            <w:tcW w:w="2445" w:type="dxa"/>
            <w:gridSpan w:val="2"/>
            <w:shd w:val="clear" w:color="auto" w:fill="B8CCE4"/>
          </w:tcPr>
          <w:p w14:paraId="2B51F96B" w14:textId="77777777" w:rsidR="00C45D59" w:rsidRDefault="009B0962">
            <w:pPr>
              <w:pStyle w:val="P68B1DB1-Normal28"/>
              <w:spacing w:after="0" w:line="240" w:lineRule="auto"/>
              <w:jc w:val="center"/>
              <w:rPr>
                <w:rFonts w:ascii="Aptos" w:hAnsi="Aptos"/>
                <w:noProof/>
              </w:rPr>
            </w:pPr>
            <w:r>
              <w:rPr>
                <w:noProof/>
              </w:rPr>
              <w:t>Calendar orientativ pentru finalizare</w:t>
            </w:r>
          </w:p>
        </w:tc>
        <w:tc>
          <w:tcPr>
            <w:tcW w:w="3017" w:type="dxa"/>
            <w:vMerge w:val="restart"/>
            <w:shd w:val="clear" w:color="auto" w:fill="B8CCE4"/>
          </w:tcPr>
          <w:p w14:paraId="02DA40F0" w14:textId="77777777" w:rsidR="00C45D59" w:rsidRDefault="009B0962">
            <w:pPr>
              <w:pStyle w:val="P68B1DB1-Normal28"/>
              <w:spacing w:after="0" w:line="240" w:lineRule="auto"/>
              <w:jc w:val="center"/>
              <w:rPr>
                <w:rFonts w:ascii="Aptos" w:hAnsi="Aptos"/>
                <w:noProof/>
              </w:rPr>
            </w:pPr>
            <w:r>
              <w:rPr>
                <w:noProof/>
              </w:rPr>
              <w:t>Descrierea fiecărui jalon și a fiecărei ținte</w:t>
            </w:r>
          </w:p>
        </w:tc>
      </w:tr>
      <w:tr w:rsidR="00C45D59" w14:paraId="6C3D746B" w14:textId="77777777">
        <w:trPr>
          <w:tblHeader/>
        </w:trPr>
        <w:tc>
          <w:tcPr>
            <w:tcW w:w="709" w:type="dxa"/>
            <w:vMerge/>
            <w:tcBorders>
              <w:bottom w:val="single" w:sz="4" w:space="0" w:color="auto"/>
            </w:tcBorders>
            <w:shd w:val="clear" w:color="auto" w:fill="B8CCE4"/>
            <w:vAlign w:val="center"/>
          </w:tcPr>
          <w:p w14:paraId="51310A03" w14:textId="77777777" w:rsidR="00C45D59" w:rsidRDefault="00C45D59">
            <w:pPr>
              <w:spacing w:after="0" w:line="240" w:lineRule="auto"/>
              <w:rPr>
                <w:rFonts w:ascii="Aptos" w:eastAsia="Aptos" w:hAnsi="Aptos" w:cs="Times New Roman"/>
                <w:noProof/>
                <w:kern w:val="2"/>
              </w:rPr>
            </w:pPr>
          </w:p>
        </w:tc>
        <w:tc>
          <w:tcPr>
            <w:tcW w:w="2153" w:type="dxa"/>
            <w:vMerge/>
            <w:tcBorders>
              <w:bottom w:val="single" w:sz="4" w:space="0" w:color="auto"/>
            </w:tcBorders>
            <w:shd w:val="clear" w:color="auto" w:fill="B8CCE4"/>
            <w:vAlign w:val="center"/>
          </w:tcPr>
          <w:p w14:paraId="6159FB81" w14:textId="77777777" w:rsidR="00C45D59" w:rsidRDefault="00C45D59">
            <w:pPr>
              <w:spacing w:after="0" w:line="240" w:lineRule="auto"/>
              <w:rPr>
                <w:rFonts w:ascii="Aptos" w:eastAsia="Aptos" w:hAnsi="Aptos" w:cs="Times New Roman"/>
                <w:noProof/>
                <w:kern w:val="2"/>
              </w:rPr>
            </w:pPr>
          </w:p>
        </w:tc>
        <w:tc>
          <w:tcPr>
            <w:tcW w:w="1259" w:type="dxa"/>
            <w:vMerge/>
            <w:tcBorders>
              <w:bottom w:val="single" w:sz="4" w:space="0" w:color="auto"/>
            </w:tcBorders>
            <w:shd w:val="clear" w:color="auto" w:fill="B8CCE4"/>
            <w:vAlign w:val="center"/>
          </w:tcPr>
          <w:p w14:paraId="54128065" w14:textId="77777777" w:rsidR="00C45D59" w:rsidRDefault="00C45D59">
            <w:pPr>
              <w:spacing w:after="0" w:line="240" w:lineRule="auto"/>
              <w:rPr>
                <w:rFonts w:ascii="Aptos" w:eastAsia="Aptos" w:hAnsi="Aptos" w:cs="Times New Roman"/>
                <w:noProof/>
                <w:kern w:val="2"/>
              </w:rPr>
            </w:pPr>
          </w:p>
        </w:tc>
        <w:tc>
          <w:tcPr>
            <w:tcW w:w="1284" w:type="dxa"/>
            <w:vMerge/>
            <w:tcBorders>
              <w:bottom w:val="single" w:sz="4" w:space="0" w:color="auto"/>
            </w:tcBorders>
            <w:shd w:val="clear" w:color="auto" w:fill="B8CCE4"/>
            <w:vAlign w:val="center"/>
          </w:tcPr>
          <w:p w14:paraId="64D4782F" w14:textId="77777777" w:rsidR="00C45D59" w:rsidRDefault="00C45D59">
            <w:pPr>
              <w:spacing w:after="0" w:line="240" w:lineRule="auto"/>
              <w:rPr>
                <w:rFonts w:ascii="Aptos" w:eastAsia="Aptos" w:hAnsi="Aptos" w:cs="Times New Roman"/>
                <w:noProof/>
                <w:kern w:val="2"/>
              </w:rPr>
            </w:pPr>
          </w:p>
        </w:tc>
        <w:tc>
          <w:tcPr>
            <w:tcW w:w="1271" w:type="dxa"/>
            <w:vMerge/>
            <w:tcBorders>
              <w:bottom w:val="single" w:sz="4" w:space="0" w:color="auto"/>
            </w:tcBorders>
            <w:shd w:val="clear" w:color="auto" w:fill="B8CCE4"/>
            <w:vAlign w:val="center"/>
          </w:tcPr>
          <w:p w14:paraId="46138694" w14:textId="77777777" w:rsidR="00C45D59" w:rsidRDefault="00C45D59">
            <w:pPr>
              <w:spacing w:after="0" w:line="240" w:lineRule="auto"/>
              <w:rPr>
                <w:rFonts w:ascii="Aptos" w:eastAsia="Aptos" w:hAnsi="Aptos" w:cs="Times New Roman"/>
                <w:noProof/>
                <w:kern w:val="2"/>
              </w:rPr>
            </w:pPr>
          </w:p>
        </w:tc>
        <w:tc>
          <w:tcPr>
            <w:tcW w:w="1199" w:type="dxa"/>
            <w:tcBorders>
              <w:bottom w:val="single" w:sz="4" w:space="0" w:color="auto"/>
            </w:tcBorders>
            <w:shd w:val="clear" w:color="auto" w:fill="B8CCE4"/>
            <w:vAlign w:val="center"/>
          </w:tcPr>
          <w:p w14:paraId="761EBDFE" w14:textId="77777777" w:rsidR="00C45D59" w:rsidRDefault="009B0962">
            <w:pPr>
              <w:pStyle w:val="P68B1DB1-Normal28"/>
              <w:spacing w:after="0" w:line="240" w:lineRule="auto"/>
              <w:rPr>
                <w:rFonts w:ascii="Aptos" w:hAnsi="Aptos"/>
                <w:noProof/>
              </w:rPr>
            </w:pPr>
            <w:r>
              <w:rPr>
                <w:noProof/>
              </w:rPr>
              <w:t>Unitatea de măsură</w:t>
            </w:r>
          </w:p>
        </w:tc>
        <w:tc>
          <w:tcPr>
            <w:tcW w:w="1199" w:type="dxa"/>
            <w:tcBorders>
              <w:bottom w:val="single" w:sz="4" w:space="0" w:color="auto"/>
            </w:tcBorders>
            <w:shd w:val="clear" w:color="auto" w:fill="B8CCE4"/>
          </w:tcPr>
          <w:p w14:paraId="146BBE80" w14:textId="77777777" w:rsidR="00C45D59" w:rsidRDefault="009B0962">
            <w:pPr>
              <w:pStyle w:val="P68B1DB1-Normal28"/>
              <w:spacing w:after="0" w:line="240" w:lineRule="auto"/>
              <w:rPr>
                <w:rFonts w:ascii="Aptos" w:hAnsi="Aptos"/>
                <w:noProof/>
              </w:rPr>
            </w:pPr>
            <w:r>
              <w:rPr>
                <w:noProof/>
              </w:rPr>
              <w:t>Situația de referință</w:t>
            </w:r>
          </w:p>
        </w:tc>
        <w:tc>
          <w:tcPr>
            <w:tcW w:w="1199" w:type="dxa"/>
            <w:tcBorders>
              <w:bottom w:val="single" w:sz="4" w:space="0" w:color="auto"/>
            </w:tcBorders>
            <w:shd w:val="clear" w:color="auto" w:fill="B8CCE4"/>
          </w:tcPr>
          <w:p w14:paraId="0477E67B" w14:textId="77777777" w:rsidR="00C45D59" w:rsidRDefault="009B0962">
            <w:pPr>
              <w:pStyle w:val="P68B1DB1-Normal28"/>
              <w:spacing w:after="0" w:line="240" w:lineRule="auto"/>
              <w:rPr>
                <w:rFonts w:ascii="Aptos" w:hAnsi="Aptos"/>
                <w:noProof/>
              </w:rPr>
            </w:pPr>
            <w:r>
              <w:rPr>
                <w:noProof/>
              </w:rPr>
              <w:t>Obiectiv</w:t>
            </w:r>
          </w:p>
        </w:tc>
        <w:tc>
          <w:tcPr>
            <w:tcW w:w="1217" w:type="dxa"/>
            <w:tcBorders>
              <w:bottom w:val="single" w:sz="4" w:space="0" w:color="auto"/>
            </w:tcBorders>
            <w:shd w:val="clear" w:color="auto" w:fill="B8CCE4"/>
          </w:tcPr>
          <w:p w14:paraId="06D1B615" w14:textId="77777777" w:rsidR="00C45D59" w:rsidRDefault="009B0962">
            <w:pPr>
              <w:pStyle w:val="P68B1DB1-Normal28"/>
              <w:spacing w:after="0" w:line="240" w:lineRule="auto"/>
              <w:rPr>
                <w:rFonts w:ascii="Aptos" w:hAnsi="Aptos"/>
                <w:noProof/>
              </w:rPr>
            </w:pPr>
            <w:r>
              <w:rPr>
                <w:noProof/>
              </w:rPr>
              <w:t>Trimestru</w:t>
            </w:r>
          </w:p>
        </w:tc>
        <w:tc>
          <w:tcPr>
            <w:tcW w:w="1228" w:type="dxa"/>
            <w:tcBorders>
              <w:bottom w:val="single" w:sz="4" w:space="0" w:color="auto"/>
            </w:tcBorders>
            <w:shd w:val="clear" w:color="auto" w:fill="B8CCE4"/>
          </w:tcPr>
          <w:p w14:paraId="3642FC5A" w14:textId="77777777" w:rsidR="00C45D59" w:rsidRDefault="009B0962">
            <w:pPr>
              <w:pStyle w:val="P68B1DB1-Normal28"/>
              <w:spacing w:after="0" w:line="240" w:lineRule="auto"/>
              <w:rPr>
                <w:rFonts w:ascii="Aptos" w:hAnsi="Aptos"/>
                <w:noProof/>
              </w:rPr>
            </w:pPr>
            <w:r>
              <w:rPr>
                <w:noProof/>
              </w:rPr>
              <w:t>Anul</w:t>
            </w:r>
          </w:p>
        </w:tc>
        <w:tc>
          <w:tcPr>
            <w:tcW w:w="3017" w:type="dxa"/>
            <w:vMerge/>
            <w:tcBorders>
              <w:bottom w:val="single" w:sz="4" w:space="0" w:color="auto"/>
            </w:tcBorders>
            <w:shd w:val="clear" w:color="auto" w:fill="B8CCE4"/>
          </w:tcPr>
          <w:p w14:paraId="42D7CF6E" w14:textId="77777777" w:rsidR="00C45D59" w:rsidRDefault="00C45D59">
            <w:pPr>
              <w:spacing w:after="0" w:line="240" w:lineRule="auto"/>
              <w:rPr>
                <w:rFonts w:ascii="Aptos" w:eastAsia="Aptos" w:hAnsi="Aptos" w:cs="Times New Roman"/>
                <w:noProof/>
                <w:kern w:val="2"/>
              </w:rPr>
            </w:pPr>
          </w:p>
        </w:tc>
      </w:tr>
      <w:tr w:rsidR="00C45D59" w14:paraId="1C486198" w14:textId="77777777">
        <w:trPr>
          <w:tblHeader/>
        </w:trPr>
        <w:tc>
          <w:tcPr>
            <w:tcW w:w="709" w:type="dxa"/>
            <w:shd w:val="clear" w:color="auto" w:fill="C6EFCE"/>
          </w:tcPr>
          <w:p w14:paraId="0CA81553" w14:textId="77777777" w:rsidR="00C45D59" w:rsidRDefault="009B0962">
            <w:pPr>
              <w:pStyle w:val="P68B1DB1-Normal30"/>
              <w:spacing w:after="0" w:line="240" w:lineRule="auto"/>
              <w:rPr>
                <w:rFonts w:ascii="Aptos" w:hAnsi="Aptos"/>
                <w:noProof/>
              </w:rPr>
            </w:pPr>
            <w:r>
              <w:rPr>
                <w:noProof/>
              </w:rPr>
              <w:t>64</w:t>
            </w:r>
          </w:p>
        </w:tc>
        <w:tc>
          <w:tcPr>
            <w:tcW w:w="2153" w:type="dxa"/>
            <w:shd w:val="clear" w:color="auto" w:fill="C6EFCE"/>
          </w:tcPr>
          <w:p w14:paraId="2746CCB9" w14:textId="77777777" w:rsidR="00C45D59" w:rsidRDefault="009B0962">
            <w:pPr>
              <w:pStyle w:val="P68B1DB1-Normal30"/>
              <w:spacing w:after="0" w:line="240" w:lineRule="auto"/>
              <w:rPr>
                <w:rFonts w:ascii="Aptos" w:hAnsi="Aptos"/>
                <w:noProof/>
              </w:rPr>
            </w:pPr>
            <w:r>
              <w:rPr>
                <w:noProof/>
              </w:rPr>
              <w:t>4-1.4. Utilizarea durabilă a resurselor, reziliența la schimbările climatice și protecția mediului – 16851_Protecția biodiversității ca motor al creșterii durabile</w:t>
            </w:r>
          </w:p>
        </w:tc>
        <w:tc>
          <w:tcPr>
            <w:tcW w:w="1259" w:type="dxa"/>
            <w:shd w:val="clear" w:color="auto" w:fill="C6EFCE"/>
          </w:tcPr>
          <w:p w14:paraId="62289831" w14:textId="77777777" w:rsidR="00C45D59" w:rsidRDefault="009B0962">
            <w:pPr>
              <w:pStyle w:val="P68B1DB1-Normal30"/>
              <w:spacing w:after="0" w:line="240" w:lineRule="auto"/>
              <w:rPr>
                <w:rFonts w:ascii="Aptos" w:hAnsi="Aptos"/>
                <w:noProof/>
              </w:rPr>
            </w:pPr>
            <w:r>
              <w:rPr>
                <w:noProof/>
              </w:rPr>
              <w:t>Etapă</w:t>
            </w:r>
          </w:p>
        </w:tc>
        <w:tc>
          <w:tcPr>
            <w:tcW w:w="1284" w:type="dxa"/>
            <w:shd w:val="clear" w:color="auto" w:fill="C6EFCE"/>
          </w:tcPr>
          <w:p w14:paraId="4A63787A" w14:textId="77777777" w:rsidR="00C45D59" w:rsidRDefault="009B0962">
            <w:pPr>
              <w:pStyle w:val="P68B1DB1-Normal29"/>
              <w:spacing w:after="0" w:line="240" w:lineRule="auto"/>
              <w:rPr>
                <w:rFonts w:ascii="Aptos" w:hAnsi="Aptos"/>
                <w:noProof/>
              </w:rPr>
            </w:pPr>
            <w:r>
              <w:rPr>
                <w:noProof/>
              </w:rPr>
              <w:t xml:space="preserve">Biodiversitate </w:t>
            </w:r>
          </w:p>
        </w:tc>
        <w:tc>
          <w:tcPr>
            <w:tcW w:w="1271" w:type="dxa"/>
            <w:shd w:val="clear" w:color="auto" w:fill="C6EFCE"/>
          </w:tcPr>
          <w:p w14:paraId="6511B0A4" w14:textId="77777777" w:rsidR="00C45D59" w:rsidRDefault="009B0962">
            <w:pPr>
              <w:pStyle w:val="P68B1DB1-Normal29"/>
              <w:spacing w:after="0" w:line="240" w:lineRule="auto"/>
              <w:rPr>
                <w:noProof/>
              </w:rPr>
            </w:pPr>
            <w:r>
              <w:rPr>
                <w:noProof/>
              </w:rPr>
              <w:t>Realizarea proiectelor, astfel cum este descrisă în descrierea jalonului</w:t>
            </w:r>
          </w:p>
          <w:p w14:paraId="72B278FD" w14:textId="77777777" w:rsidR="00C45D59" w:rsidRDefault="00C45D59">
            <w:pPr>
              <w:spacing w:after="0" w:line="240" w:lineRule="auto"/>
              <w:rPr>
                <w:rFonts w:ascii="Aptos" w:eastAsia="Aptos" w:hAnsi="Aptos" w:cs="Times New Roman"/>
                <w:noProof/>
                <w:kern w:val="2"/>
              </w:rPr>
            </w:pPr>
          </w:p>
        </w:tc>
        <w:tc>
          <w:tcPr>
            <w:tcW w:w="1199" w:type="dxa"/>
            <w:shd w:val="clear" w:color="auto" w:fill="C6EFCE"/>
          </w:tcPr>
          <w:p w14:paraId="43D873F3" w14:textId="77777777" w:rsidR="00C45D59" w:rsidRDefault="00C45D59">
            <w:pPr>
              <w:spacing w:after="0" w:line="240" w:lineRule="auto"/>
              <w:rPr>
                <w:rFonts w:ascii="Times New Roman" w:eastAsia="Aptos" w:hAnsi="Times New Roman" w:cs="Times New Roman"/>
                <w:b/>
                <w:noProof/>
                <w:kern w:val="2"/>
                <w:sz w:val="18"/>
              </w:rPr>
            </w:pPr>
          </w:p>
        </w:tc>
        <w:tc>
          <w:tcPr>
            <w:tcW w:w="1199" w:type="dxa"/>
            <w:shd w:val="clear" w:color="auto" w:fill="C6EFCE"/>
          </w:tcPr>
          <w:p w14:paraId="61E51CCC" w14:textId="77777777" w:rsidR="00C45D59" w:rsidRDefault="00C45D59">
            <w:pPr>
              <w:spacing w:after="0" w:line="240" w:lineRule="auto"/>
              <w:rPr>
                <w:rFonts w:ascii="Times New Roman" w:eastAsia="Aptos" w:hAnsi="Times New Roman" w:cs="Times New Roman"/>
                <w:b/>
                <w:noProof/>
                <w:kern w:val="2"/>
                <w:sz w:val="18"/>
              </w:rPr>
            </w:pPr>
          </w:p>
        </w:tc>
        <w:tc>
          <w:tcPr>
            <w:tcW w:w="1199" w:type="dxa"/>
            <w:shd w:val="clear" w:color="auto" w:fill="C6EFCE"/>
          </w:tcPr>
          <w:p w14:paraId="2D8EB10D" w14:textId="77777777" w:rsidR="00C45D59" w:rsidRDefault="00C45D59">
            <w:pPr>
              <w:spacing w:after="0" w:line="240" w:lineRule="auto"/>
              <w:rPr>
                <w:rFonts w:ascii="Times New Roman" w:eastAsia="Aptos" w:hAnsi="Times New Roman" w:cs="Times New Roman"/>
                <w:b/>
                <w:noProof/>
                <w:kern w:val="2"/>
                <w:sz w:val="18"/>
              </w:rPr>
            </w:pPr>
          </w:p>
        </w:tc>
        <w:tc>
          <w:tcPr>
            <w:tcW w:w="1217" w:type="dxa"/>
            <w:shd w:val="clear" w:color="auto" w:fill="C6EFCE"/>
          </w:tcPr>
          <w:p w14:paraId="562B0BA0" w14:textId="77777777" w:rsidR="00C45D59" w:rsidRDefault="009B0962">
            <w:pPr>
              <w:pStyle w:val="P68B1DB1-Normal30"/>
              <w:spacing w:after="0" w:line="240" w:lineRule="auto"/>
              <w:rPr>
                <w:b/>
                <w:noProof/>
              </w:rPr>
            </w:pPr>
            <w:r>
              <w:rPr>
                <w:noProof/>
              </w:rPr>
              <w:t>Î4</w:t>
            </w:r>
          </w:p>
        </w:tc>
        <w:tc>
          <w:tcPr>
            <w:tcW w:w="1228" w:type="dxa"/>
            <w:shd w:val="clear" w:color="auto" w:fill="C6EFCE"/>
          </w:tcPr>
          <w:p w14:paraId="4C69D30A" w14:textId="77777777" w:rsidR="00C45D59" w:rsidRDefault="009B0962">
            <w:pPr>
              <w:pStyle w:val="P68B1DB1-Normal30"/>
              <w:spacing w:after="0" w:line="240" w:lineRule="auto"/>
              <w:rPr>
                <w:b/>
                <w:noProof/>
              </w:rPr>
            </w:pPr>
            <w:r>
              <w:rPr>
                <w:noProof/>
              </w:rPr>
              <w:t>2025</w:t>
            </w:r>
          </w:p>
        </w:tc>
        <w:tc>
          <w:tcPr>
            <w:tcW w:w="3017" w:type="dxa"/>
            <w:shd w:val="clear" w:color="auto" w:fill="C6EFCE"/>
          </w:tcPr>
          <w:p w14:paraId="12D1FF47" w14:textId="35B210A9" w:rsidR="00C45D59" w:rsidRDefault="009B0962">
            <w:pPr>
              <w:pStyle w:val="P68B1DB1-Normal29"/>
              <w:numPr>
                <w:ilvl w:val="0"/>
                <w:numId w:val="29"/>
              </w:numPr>
              <w:spacing w:after="0" w:line="240" w:lineRule="auto"/>
              <w:contextualSpacing/>
              <w:rPr>
                <w:noProof/>
              </w:rPr>
            </w:pPr>
            <w:r>
              <w:rPr>
                <w:noProof/>
              </w:rPr>
              <w:t>Executarea proiectelor privind rețeaua națională de trasee și trasee pentru drumeții;</w:t>
            </w:r>
          </w:p>
          <w:p w14:paraId="1D3AF5B3" w14:textId="77777777" w:rsidR="00C45D59" w:rsidRDefault="009B0962">
            <w:pPr>
              <w:pStyle w:val="P68B1DB1-Normal29"/>
              <w:numPr>
                <w:ilvl w:val="0"/>
                <w:numId w:val="29"/>
              </w:numPr>
              <w:spacing w:after="0" w:line="240" w:lineRule="auto"/>
              <w:contextualSpacing/>
              <w:rPr>
                <w:noProof/>
              </w:rPr>
            </w:pPr>
            <w:r>
              <w:rPr>
                <w:noProof/>
              </w:rPr>
              <w:t>Renovarea Muzeului de Istorie Naturală din Creta;</w:t>
            </w:r>
          </w:p>
          <w:p w14:paraId="79F0A2A0" w14:textId="77777777" w:rsidR="00C45D59" w:rsidRDefault="009B0962">
            <w:pPr>
              <w:pStyle w:val="P68B1DB1-Normal29"/>
              <w:numPr>
                <w:ilvl w:val="0"/>
                <w:numId w:val="29"/>
              </w:numPr>
              <w:spacing w:after="0" w:line="240" w:lineRule="auto"/>
              <w:contextualSpacing/>
              <w:rPr>
                <w:noProof/>
              </w:rPr>
            </w:pPr>
            <w:r>
              <w:rPr>
                <w:noProof/>
              </w:rPr>
              <w:t>Recunoașterea Muzeului de Istorie Naturală Goulandris ca Muzeu Național de Istorie Naturală;</w:t>
            </w:r>
          </w:p>
          <w:p w14:paraId="3589EA94" w14:textId="7C10CB7D" w:rsidR="00C45D59" w:rsidRDefault="009B0962">
            <w:pPr>
              <w:pStyle w:val="P68B1DB1-Normal29"/>
              <w:numPr>
                <w:ilvl w:val="0"/>
                <w:numId w:val="29"/>
              </w:numPr>
              <w:spacing w:after="0" w:line="240" w:lineRule="auto"/>
              <w:contextualSpacing/>
              <w:rPr>
                <w:noProof/>
              </w:rPr>
            </w:pPr>
            <w:r>
              <w:rPr>
                <w:noProof/>
              </w:rPr>
              <w:t>Livrarea de echipamente pentru un sistem de monitorizare și patrulare pentru zonele protejate;</w:t>
            </w:r>
          </w:p>
          <w:p w14:paraId="06F91286" w14:textId="77777777" w:rsidR="00C45D59" w:rsidRDefault="009B0962">
            <w:pPr>
              <w:pStyle w:val="P68B1DB1-Normal29"/>
              <w:numPr>
                <w:ilvl w:val="0"/>
                <w:numId w:val="29"/>
              </w:numPr>
              <w:spacing w:after="0" w:line="240" w:lineRule="auto"/>
              <w:contextualSpacing/>
              <w:rPr>
                <w:rFonts w:ascii="Aptos" w:hAnsi="Aptos"/>
                <w:noProof/>
              </w:rPr>
            </w:pPr>
            <w:r>
              <w:rPr>
                <w:noProof/>
              </w:rPr>
              <w:t>Digitizarea colecțiilor de istorie naturală din Grecia.</w:t>
            </w:r>
          </w:p>
        </w:tc>
      </w:tr>
    </w:tbl>
    <w:p w14:paraId="72EC22D1" w14:textId="77777777" w:rsidR="00C45D59" w:rsidRDefault="00C45D59">
      <w:pPr>
        <w:spacing w:before="120" w:after="0" w:line="240" w:lineRule="auto"/>
        <w:rPr>
          <w:rFonts w:ascii="Times New Roman" w:hAnsi="Times New Roman"/>
          <w:noProof/>
          <w:sz w:val="16"/>
          <w:szCs w:val="16"/>
        </w:rPr>
      </w:pPr>
    </w:p>
    <w:p w14:paraId="0B8B86C8" w14:textId="77777777" w:rsidR="00C45D59" w:rsidRDefault="00C45D59">
      <w:pPr>
        <w:rPr>
          <w:noProof/>
        </w:rPr>
      </w:pPr>
    </w:p>
    <w:p w14:paraId="02BE5DA8" w14:textId="77777777" w:rsidR="00C45D59" w:rsidRDefault="00C45D59">
      <w:pPr>
        <w:keepNext/>
        <w:keepLines/>
        <w:spacing w:before="240" w:after="0" w:line="240" w:lineRule="auto"/>
        <w:jc w:val="both"/>
        <w:outlineLvl w:val="4"/>
        <w:rPr>
          <w:rFonts w:ascii="Cambria" w:hAnsi="Cambria"/>
          <w:noProof/>
          <w:color w:val="365F91"/>
          <w:sz w:val="24"/>
        </w:rPr>
        <w:sectPr w:rsidR="00C45D59">
          <w:headerReference w:type="even" r:id="rId108"/>
          <w:headerReference w:type="default" r:id="rId109"/>
          <w:footerReference w:type="even" r:id="rId110"/>
          <w:footerReference w:type="default" r:id="rId111"/>
          <w:headerReference w:type="first" r:id="rId112"/>
          <w:footerReference w:type="first" r:id="rId113"/>
          <w:pgSz w:w="16839" w:h="11907" w:orient="landscape"/>
          <w:pgMar w:top="1134" w:right="1134" w:bottom="1134" w:left="1134" w:header="567" w:footer="567" w:gutter="0"/>
          <w:cols w:space="720"/>
          <w:docGrid w:linePitch="360"/>
        </w:sectPr>
      </w:pPr>
    </w:p>
    <w:p w14:paraId="5C1BB5F2" w14:textId="77777777" w:rsidR="00C45D59" w:rsidRDefault="009B0962">
      <w:pPr>
        <w:pStyle w:val="P68B1DB1-Normal9"/>
        <w:keepNext/>
        <w:keepLines/>
        <w:spacing w:before="240" w:after="0" w:line="240" w:lineRule="auto"/>
        <w:jc w:val="both"/>
        <w:outlineLvl w:val="4"/>
        <w:rPr>
          <w:rFonts w:eastAsia="Times New Roman"/>
          <w:noProof/>
        </w:rPr>
      </w:pPr>
      <w:r>
        <w:rPr>
          <w:noProof/>
        </w:rPr>
        <w:t>Grupul 6: Infrastructura pentru apele uzate &amp; apă, economiile de apă</w:t>
      </w:r>
    </w:p>
    <w:p w14:paraId="2E1FDC6F" w14:textId="77777777" w:rsidR="00C45D59" w:rsidRDefault="009B0962">
      <w:pPr>
        <w:pStyle w:val="P68B1DB1-Normal5"/>
        <w:spacing w:before="120" w:after="120" w:line="240" w:lineRule="auto"/>
        <w:rPr>
          <w:rFonts w:cs="Times New Roman"/>
          <w:noProof/>
        </w:rPr>
      </w:pPr>
      <w:r>
        <w:rPr>
          <w:noProof/>
        </w:rPr>
        <w:t>Măsurile incluse în acest grup sunt:</w:t>
      </w:r>
    </w:p>
    <w:p w14:paraId="17585ECD" w14:textId="26A1AED0" w:rsidR="00C45D59" w:rsidRDefault="009B0962">
      <w:pPr>
        <w:spacing w:before="120" w:after="120" w:line="240" w:lineRule="auto"/>
        <w:rPr>
          <w:rFonts w:ascii="Times New Roman" w:hAnsi="Times New Roman"/>
          <w:noProof/>
          <w:sz w:val="24"/>
          <w:szCs w:val="24"/>
        </w:rPr>
      </w:pPr>
      <w:r>
        <w:rPr>
          <w:rFonts w:ascii="Times New Roman" w:hAnsi="Times New Roman"/>
          <w:noProof/>
          <w:sz w:val="24"/>
          <w:szCs w:val="24"/>
        </w:rPr>
        <w:t>●</w:t>
      </w:r>
      <w:r>
        <w:rPr>
          <w:noProof/>
        </w:rPr>
        <w:t xml:space="preserve"> </w:t>
      </w:r>
      <w:r>
        <w:rPr>
          <w:rFonts w:ascii="Times New Roman" w:hAnsi="Times New Roman"/>
          <w:noProof/>
          <w:sz w:val="24"/>
          <w:szCs w:val="24"/>
        </w:rPr>
        <w:t>Infrastructuri de gestionare a apelor urbane reziduale și a nămolurilor și achiziționarea de echipamente municipale de gestionare a deșeurilor (ID: 16846)</w:t>
      </w:r>
    </w:p>
    <w:p w14:paraId="34399519" w14:textId="49483B10" w:rsidR="00C45D59" w:rsidRDefault="009B0962">
      <w:pPr>
        <w:spacing w:before="120" w:after="120" w:line="240" w:lineRule="auto"/>
        <w:rPr>
          <w:rFonts w:ascii="Times New Roman" w:hAnsi="Times New Roman" w:cs="Times New Roman"/>
          <w:noProof/>
          <w:sz w:val="24"/>
          <w:szCs w:val="24"/>
        </w:rPr>
      </w:pPr>
      <w:r>
        <w:rPr>
          <w:rFonts w:ascii="Times New Roman" w:hAnsi="Times New Roman"/>
          <w:noProof/>
          <w:sz w:val="24"/>
          <w:szCs w:val="24"/>
        </w:rPr>
        <w:t>●</w:t>
      </w:r>
      <w:r>
        <w:rPr>
          <w:noProof/>
        </w:rPr>
        <w:t xml:space="preserve"> </w:t>
      </w:r>
      <w:r>
        <w:rPr>
          <w:rFonts w:ascii="Times New Roman" w:hAnsi="Times New Roman"/>
          <w:noProof/>
          <w:sz w:val="24"/>
          <w:szCs w:val="24"/>
        </w:rPr>
        <w:t>Proiecte de alimentare cu apă potabilă și de economisire a acesteia (ID: 16850)</w:t>
      </w:r>
    </w:p>
    <w:tbl>
      <w:tblPr>
        <w:tblW w:w="152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8"/>
        <w:gridCol w:w="1680"/>
        <w:gridCol w:w="1062"/>
        <w:gridCol w:w="1559"/>
        <w:gridCol w:w="1418"/>
        <w:gridCol w:w="1082"/>
        <w:gridCol w:w="902"/>
        <w:gridCol w:w="709"/>
        <w:gridCol w:w="967"/>
        <w:gridCol w:w="709"/>
        <w:gridCol w:w="4600"/>
      </w:tblGrid>
      <w:tr w:rsidR="00C45D59" w14:paraId="541468BA" w14:textId="77777777">
        <w:trPr>
          <w:trHeight w:val="939"/>
          <w:tblHeader/>
          <w:jc w:val="center"/>
        </w:trPr>
        <w:tc>
          <w:tcPr>
            <w:tcW w:w="588" w:type="dxa"/>
            <w:vMerge w:val="restart"/>
            <w:shd w:val="clear" w:color="auto" w:fill="BDD7EE"/>
            <w:vAlign w:val="center"/>
            <w:hideMark/>
          </w:tcPr>
          <w:p w14:paraId="2019A385" w14:textId="434B7F42" w:rsidR="00C45D59" w:rsidRDefault="009B0962">
            <w:pPr>
              <w:pStyle w:val="P68B1DB1-Normal10"/>
              <w:spacing w:after="0" w:line="240" w:lineRule="auto"/>
              <w:jc w:val="center"/>
              <w:rPr>
                <w:rFonts w:eastAsia="Times New Roman" w:cs="Times New Roman"/>
                <w:bCs/>
                <w:noProof/>
                <w:szCs w:val="18"/>
              </w:rPr>
            </w:pPr>
            <w:r>
              <w:rPr>
                <w:noProof/>
              </w:rPr>
              <w:t>N</w:t>
            </w:r>
            <w:r w:rsidR="009F5BD9">
              <w:rPr>
                <w:noProof/>
              </w:rPr>
              <w:t>r. crt</w:t>
            </w:r>
            <w:r>
              <w:rPr>
                <w:noProof/>
              </w:rPr>
              <w:t>.</w:t>
            </w:r>
          </w:p>
        </w:tc>
        <w:tc>
          <w:tcPr>
            <w:tcW w:w="1680" w:type="dxa"/>
            <w:vMerge w:val="restart"/>
            <w:shd w:val="clear" w:color="auto" w:fill="BDD7EE"/>
            <w:vAlign w:val="center"/>
            <w:hideMark/>
          </w:tcPr>
          <w:p w14:paraId="12A2EB14" w14:textId="77777777" w:rsidR="00C45D59" w:rsidRDefault="009B0962">
            <w:pPr>
              <w:pStyle w:val="P68B1DB1-Normal10"/>
              <w:spacing w:after="0" w:line="240" w:lineRule="auto"/>
              <w:jc w:val="center"/>
              <w:rPr>
                <w:rFonts w:eastAsia="Times New Roman" w:cs="Times New Roman"/>
                <w:bCs/>
                <w:noProof/>
                <w:szCs w:val="18"/>
              </w:rPr>
            </w:pPr>
            <w:r>
              <w:rPr>
                <w:noProof/>
              </w:rPr>
              <w:t>Măsură conexă (reformă sau investiții)</w:t>
            </w:r>
          </w:p>
        </w:tc>
        <w:tc>
          <w:tcPr>
            <w:tcW w:w="1062" w:type="dxa"/>
            <w:vMerge w:val="restart"/>
            <w:shd w:val="clear" w:color="auto" w:fill="BDD7EE"/>
            <w:vAlign w:val="center"/>
            <w:hideMark/>
          </w:tcPr>
          <w:p w14:paraId="0F2115DE" w14:textId="77777777" w:rsidR="00C45D59" w:rsidRDefault="009B0962">
            <w:pPr>
              <w:pStyle w:val="P68B1DB1-Normal10"/>
              <w:spacing w:after="0" w:line="240" w:lineRule="auto"/>
              <w:jc w:val="center"/>
              <w:rPr>
                <w:rFonts w:eastAsia="Times New Roman" w:cs="Times New Roman"/>
                <w:bCs/>
                <w:noProof/>
                <w:szCs w:val="18"/>
              </w:rPr>
            </w:pPr>
            <w:r>
              <w:rPr>
                <w:noProof/>
              </w:rPr>
              <w:t>Etapă/Obiectiv</w:t>
            </w:r>
          </w:p>
        </w:tc>
        <w:tc>
          <w:tcPr>
            <w:tcW w:w="1559" w:type="dxa"/>
            <w:vMerge w:val="restart"/>
            <w:shd w:val="clear" w:color="auto" w:fill="BDD7EE"/>
            <w:vAlign w:val="center"/>
            <w:hideMark/>
          </w:tcPr>
          <w:p w14:paraId="03509096" w14:textId="55654DE6" w:rsidR="00C45D59" w:rsidRDefault="009F5BD9">
            <w:pPr>
              <w:pStyle w:val="P68B1DB1-Normal10"/>
              <w:spacing w:after="0" w:line="240" w:lineRule="auto"/>
              <w:jc w:val="center"/>
              <w:rPr>
                <w:rFonts w:eastAsia="Times New Roman" w:cs="Times New Roman"/>
                <w:bCs/>
                <w:noProof/>
                <w:szCs w:val="18"/>
              </w:rPr>
            </w:pPr>
            <w:r>
              <w:rPr>
                <w:noProof/>
              </w:rPr>
              <w:t>Denumire</w:t>
            </w:r>
          </w:p>
        </w:tc>
        <w:tc>
          <w:tcPr>
            <w:tcW w:w="1418" w:type="dxa"/>
            <w:vMerge w:val="restart"/>
            <w:shd w:val="clear" w:color="auto" w:fill="BDD7EE"/>
            <w:vAlign w:val="center"/>
            <w:hideMark/>
          </w:tcPr>
          <w:p w14:paraId="44C7810A" w14:textId="4A3B8E6B" w:rsidR="00C45D59" w:rsidRDefault="009B0962">
            <w:pPr>
              <w:pStyle w:val="P68B1DB1-Normal10"/>
              <w:spacing w:after="0" w:line="240" w:lineRule="auto"/>
              <w:jc w:val="center"/>
              <w:rPr>
                <w:rFonts w:eastAsia="Times New Roman" w:cs="Times New Roman"/>
                <w:bCs/>
                <w:noProof/>
                <w:szCs w:val="18"/>
              </w:rPr>
            </w:pPr>
            <w:r>
              <w:rPr>
                <w:noProof/>
              </w:rPr>
              <w:t xml:space="preserve">Indicatori calitativi </w:t>
            </w:r>
            <w:r>
              <w:rPr>
                <w:noProof/>
              </w:rPr>
              <w:br/>
              <w:t xml:space="preserve"> (pentru jaloane)</w:t>
            </w:r>
          </w:p>
        </w:tc>
        <w:tc>
          <w:tcPr>
            <w:tcW w:w="2693" w:type="dxa"/>
            <w:gridSpan w:val="3"/>
            <w:shd w:val="clear" w:color="auto" w:fill="BDD7EE"/>
            <w:vAlign w:val="center"/>
            <w:hideMark/>
          </w:tcPr>
          <w:p w14:paraId="34AE3F77" w14:textId="77777777" w:rsidR="00C45D59" w:rsidRDefault="009B0962">
            <w:pPr>
              <w:pStyle w:val="P68B1DB1-Normal10"/>
              <w:spacing w:after="0" w:line="240" w:lineRule="auto"/>
              <w:jc w:val="center"/>
              <w:rPr>
                <w:rFonts w:eastAsia="Times New Roman" w:cs="Times New Roman"/>
                <w:bCs/>
                <w:noProof/>
                <w:szCs w:val="18"/>
              </w:rPr>
            </w:pPr>
            <w:r>
              <w:rPr>
                <w:noProof/>
              </w:rPr>
              <w:t>Indicatori cantitativi (pentru ținte)</w:t>
            </w:r>
          </w:p>
        </w:tc>
        <w:tc>
          <w:tcPr>
            <w:tcW w:w="1676" w:type="dxa"/>
            <w:gridSpan w:val="2"/>
            <w:shd w:val="clear" w:color="auto" w:fill="BDD7EE"/>
            <w:vAlign w:val="center"/>
            <w:hideMark/>
          </w:tcPr>
          <w:p w14:paraId="1BC5991E" w14:textId="77777777" w:rsidR="00C45D59" w:rsidRDefault="009B0962">
            <w:pPr>
              <w:pStyle w:val="P68B1DB1-Normal10"/>
              <w:spacing w:after="0" w:line="240" w:lineRule="auto"/>
              <w:jc w:val="center"/>
              <w:rPr>
                <w:rFonts w:eastAsia="Times New Roman" w:cs="Times New Roman"/>
                <w:bCs/>
                <w:noProof/>
                <w:szCs w:val="18"/>
              </w:rPr>
            </w:pPr>
            <w:r>
              <w:rPr>
                <w:noProof/>
              </w:rPr>
              <w:t xml:space="preserve">Calendar orientativ pentru finalizare </w:t>
            </w:r>
          </w:p>
        </w:tc>
        <w:tc>
          <w:tcPr>
            <w:tcW w:w="4600" w:type="dxa"/>
            <w:vMerge w:val="restart"/>
            <w:shd w:val="clear" w:color="auto" w:fill="BDD7EE"/>
            <w:vAlign w:val="center"/>
            <w:hideMark/>
          </w:tcPr>
          <w:p w14:paraId="068FC20F" w14:textId="77777777" w:rsidR="00C45D59" w:rsidRDefault="009B0962">
            <w:pPr>
              <w:pStyle w:val="P68B1DB1-Normal10"/>
              <w:spacing w:after="0" w:line="240" w:lineRule="auto"/>
              <w:jc w:val="center"/>
              <w:rPr>
                <w:rFonts w:eastAsia="Times New Roman" w:cs="Times New Roman"/>
                <w:bCs/>
                <w:noProof/>
                <w:szCs w:val="18"/>
              </w:rPr>
            </w:pPr>
            <w:r>
              <w:rPr>
                <w:noProof/>
              </w:rPr>
              <w:t>Descrierea fiecărui jalon și a fiecărei ținte</w:t>
            </w:r>
          </w:p>
        </w:tc>
      </w:tr>
      <w:tr w:rsidR="00C45D59" w14:paraId="461E73A5" w14:textId="77777777">
        <w:trPr>
          <w:trHeight w:val="609"/>
          <w:tblHeader/>
          <w:jc w:val="center"/>
        </w:trPr>
        <w:tc>
          <w:tcPr>
            <w:tcW w:w="588" w:type="dxa"/>
            <w:vMerge/>
            <w:vAlign w:val="center"/>
            <w:hideMark/>
          </w:tcPr>
          <w:p w14:paraId="2E029903" w14:textId="77777777" w:rsidR="00C45D59" w:rsidRDefault="00C45D59">
            <w:pPr>
              <w:spacing w:after="0" w:line="240" w:lineRule="auto"/>
              <w:rPr>
                <w:rFonts w:ascii="Times New Roman" w:eastAsia="Times New Roman" w:hAnsi="Times New Roman" w:cs="Times New Roman"/>
                <w:b/>
                <w:bCs/>
                <w:noProof/>
                <w:sz w:val="18"/>
                <w:szCs w:val="18"/>
              </w:rPr>
            </w:pPr>
          </w:p>
        </w:tc>
        <w:tc>
          <w:tcPr>
            <w:tcW w:w="1680" w:type="dxa"/>
            <w:vMerge/>
            <w:vAlign w:val="center"/>
            <w:hideMark/>
          </w:tcPr>
          <w:p w14:paraId="34B4E214" w14:textId="77777777" w:rsidR="00C45D59" w:rsidRDefault="00C45D59">
            <w:pPr>
              <w:spacing w:after="0" w:line="240" w:lineRule="auto"/>
              <w:rPr>
                <w:rFonts w:ascii="Times New Roman" w:eastAsia="Times New Roman" w:hAnsi="Times New Roman" w:cs="Times New Roman"/>
                <w:b/>
                <w:bCs/>
                <w:noProof/>
                <w:sz w:val="18"/>
                <w:szCs w:val="18"/>
              </w:rPr>
            </w:pPr>
          </w:p>
        </w:tc>
        <w:tc>
          <w:tcPr>
            <w:tcW w:w="1062" w:type="dxa"/>
            <w:vMerge/>
            <w:vAlign w:val="center"/>
            <w:hideMark/>
          </w:tcPr>
          <w:p w14:paraId="1A51F8E0" w14:textId="77777777" w:rsidR="00C45D59" w:rsidRDefault="00C45D59">
            <w:pPr>
              <w:spacing w:after="0" w:line="240" w:lineRule="auto"/>
              <w:rPr>
                <w:rFonts w:ascii="Times New Roman" w:eastAsia="Times New Roman" w:hAnsi="Times New Roman" w:cs="Times New Roman"/>
                <w:b/>
                <w:bCs/>
                <w:noProof/>
                <w:sz w:val="18"/>
                <w:szCs w:val="18"/>
              </w:rPr>
            </w:pPr>
          </w:p>
        </w:tc>
        <w:tc>
          <w:tcPr>
            <w:tcW w:w="1559" w:type="dxa"/>
            <w:vMerge/>
            <w:vAlign w:val="center"/>
            <w:hideMark/>
          </w:tcPr>
          <w:p w14:paraId="55C57A85" w14:textId="77777777" w:rsidR="00C45D59" w:rsidRDefault="00C45D59">
            <w:pPr>
              <w:spacing w:after="0" w:line="240" w:lineRule="auto"/>
              <w:rPr>
                <w:rFonts w:ascii="Times New Roman" w:eastAsia="Times New Roman" w:hAnsi="Times New Roman" w:cs="Times New Roman"/>
                <w:b/>
                <w:bCs/>
                <w:noProof/>
                <w:sz w:val="18"/>
                <w:szCs w:val="18"/>
              </w:rPr>
            </w:pPr>
          </w:p>
        </w:tc>
        <w:tc>
          <w:tcPr>
            <w:tcW w:w="1418" w:type="dxa"/>
            <w:vMerge/>
            <w:vAlign w:val="center"/>
            <w:hideMark/>
          </w:tcPr>
          <w:p w14:paraId="13FA35A8" w14:textId="77777777" w:rsidR="00C45D59" w:rsidRDefault="00C45D59">
            <w:pPr>
              <w:spacing w:after="0" w:line="240" w:lineRule="auto"/>
              <w:rPr>
                <w:rFonts w:ascii="Times New Roman" w:eastAsia="Times New Roman" w:hAnsi="Times New Roman" w:cs="Times New Roman"/>
                <w:b/>
                <w:bCs/>
                <w:noProof/>
                <w:sz w:val="18"/>
                <w:szCs w:val="18"/>
              </w:rPr>
            </w:pPr>
          </w:p>
        </w:tc>
        <w:tc>
          <w:tcPr>
            <w:tcW w:w="1082" w:type="dxa"/>
            <w:shd w:val="clear" w:color="auto" w:fill="BDD7EE"/>
            <w:vAlign w:val="center"/>
            <w:hideMark/>
          </w:tcPr>
          <w:p w14:paraId="00E932BF" w14:textId="77777777" w:rsidR="00C45D59" w:rsidRDefault="009B0962">
            <w:pPr>
              <w:pStyle w:val="P68B1DB1-Normal10"/>
              <w:spacing w:after="0" w:line="240" w:lineRule="auto"/>
              <w:jc w:val="center"/>
              <w:rPr>
                <w:rFonts w:eastAsia="Times New Roman" w:cs="Times New Roman"/>
                <w:bCs/>
                <w:noProof/>
                <w:szCs w:val="18"/>
              </w:rPr>
            </w:pPr>
            <w:r>
              <w:rPr>
                <w:noProof/>
              </w:rPr>
              <w:t>Unitatea de măsură</w:t>
            </w:r>
          </w:p>
        </w:tc>
        <w:tc>
          <w:tcPr>
            <w:tcW w:w="902" w:type="dxa"/>
            <w:shd w:val="clear" w:color="auto" w:fill="BDD7EE"/>
            <w:vAlign w:val="center"/>
            <w:hideMark/>
          </w:tcPr>
          <w:p w14:paraId="0D4C6C28" w14:textId="77777777" w:rsidR="00C45D59" w:rsidRDefault="009B0962">
            <w:pPr>
              <w:pStyle w:val="P68B1DB1-Normal10"/>
              <w:spacing w:after="0" w:line="240" w:lineRule="auto"/>
              <w:jc w:val="center"/>
              <w:rPr>
                <w:rFonts w:eastAsia="Times New Roman" w:cs="Times New Roman"/>
                <w:bCs/>
                <w:noProof/>
                <w:szCs w:val="18"/>
              </w:rPr>
            </w:pPr>
            <w:r>
              <w:rPr>
                <w:noProof/>
              </w:rPr>
              <w:t xml:space="preserve">Situația de referință </w:t>
            </w:r>
          </w:p>
        </w:tc>
        <w:tc>
          <w:tcPr>
            <w:tcW w:w="709" w:type="dxa"/>
            <w:shd w:val="clear" w:color="auto" w:fill="BDD7EE"/>
            <w:vAlign w:val="center"/>
            <w:hideMark/>
          </w:tcPr>
          <w:p w14:paraId="47DDF8CC" w14:textId="77777777" w:rsidR="00C45D59" w:rsidRDefault="009B0962">
            <w:pPr>
              <w:pStyle w:val="P68B1DB1-Normal10"/>
              <w:spacing w:after="0" w:line="240" w:lineRule="auto"/>
              <w:jc w:val="center"/>
              <w:rPr>
                <w:rFonts w:eastAsia="Times New Roman" w:cs="Times New Roman"/>
                <w:bCs/>
                <w:noProof/>
                <w:szCs w:val="18"/>
              </w:rPr>
            </w:pPr>
            <w:r>
              <w:rPr>
                <w:noProof/>
              </w:rPr>
              <w:t xml:space="preserve">Obiectiv </w:t>
            </w:r>
          </w:p>
        </w:tc>
        <w:tc>
          <w:tcPr>
            <w:tcW w:w="967" w:type="dxa"/>
            <w:shd w:val="clear" w:color="auto" w:fill="BDD7EE"/>
            <w:vAlign w:val="center"/>
            <w:hideMark/>
          </w:tcPr>
          <w:p w14:paraId="299E8D47" w14:textId="77777777" w:rsidR="00C45D59" w:rsidRDefault="009B0962">
            <w:pPr>
              <w:pStyle w:val="P68B1DB1-Normal10"/>
              <w:spacing w:after="0" w:line="240" w:lineRule="auto"/>
              <w:jc w:val="center"/>
              <w:rPr>
                <w:rFonts w:eastAsia="Times New Roman" w:cs="Times New Roman"/>
                <w:bCs/>
                <w:noProof/>
                <w:szCs w:val="18"/>
              </w:rPr>
            </w:pPr>
            <w:r>
              <w:rPr>
                <w:noProof/>
              </w:rPr>
              <w:t>Trimestru</w:t>
            </w:r>
          </w:p>
        </w:tc>
        <w:tc>
          <w:tcPr>
            <w:tcW w:w="709" w:type="dxa"/>
            <w:shd w:val="clear" w:color="auto" w:fill="BDD7EE"/>
            <w:vAlign w:val="center"/>
            <w:hideMark/>
          </w:tcPr>
          <w:p w14:paraId="429EB2D0" w14:textId="77777777" w:rsidR="00C45D59" w:rsidRDefault="009B0962">
            <w:pPr>
              <w:pStyle w:val="P68B1DB1-Normal10"/>
              <w:spacing w:after="0" w:line="240" w:lineRule="auto"/>
              <w:jc w:val="center"/>
              <w:rPr>
                <w:rFonts w:eastAsia="Times New Roman" w:cs="Times New Roman"/>
                <w:bCs/>
                <w:noProof/>
                <w:szCs w:val="18"/>
              </w:rPr>
            </w:pPr>
            <w:r>
              <w:rPr>
                <w:noProof/>
              </w:rPr>
              <w:t>Anul</w:t>
            </w:r>
          </w:p>
        </w:tc>
        <w:tc>
          <w:tcPr>
            <w:tcW w:w="4600" w:type="dxa"/>
            <w:vMerge/>
            <w:vAlign w:val="center"/>
            <w:hideMark/>
          </w:tcPr>
          <w:p w14:paraId="5D3E9D1E" w14:textId="77777777" w:rsidR="00C45D59" w:rsidRDefault="00C45D59">
            <w:pPr>
              <w:spacing w:after="0" w:line="240" w:lineRule="auto"/>
              <w:rPr>
                <w:rFonts w:ascii="Times New Roman" w:eastAsia="Times New Roman" w:hAnsi="Times New Roman" w:cs="Times New Roman"/>
                <w:b/>
                <w:bCs/>
                <w:noProof/>
                <w:sz w:val="18"/>
                <w:szCs w:val="18"/>
              </w:rPr>
            </w:pPr>
          </w:p>
        </w:tc>
      </w:tr>
      <w:tr w:rsidR="00C45D59" w14:paraId="68F361D5" w14:textId="77777777">
        <w:trPr>
          <w:trHeight w:val="313"/>
          <w:jc w:val="center"/>
        </w:trPr>
        <w:tc>
          <w:tcPr>
            <w:tcW w:w="588" w:type="dxa"/>
            <w:shd w:val="clear" w:color="auto" w:fill="C6EFCE"/>
            <w:noWrap/>
          </w:tcPr>
          <w:p w14:paraId="1947626D" w14:textId="77777777" w:rsidR="00C45D59" w:rsidRDefault="009B0962">
            <w:pPr>
              <w:pStyle w:val="P68B1DB1-Normal12"/>
              <w:spacing w:after="0" w:line="240" w:lineRule="auto"/>
              <w:rPr>
                <w:rFonts w:eastAsia="Times New Roman"/>
                <w:noProof/>
              </w:rPr>
            </w:pPr>
            <w:r>
              <w:rPr>
                <w:noProof/>
              </w:rPr>
              <w:t>66</w:t>
            </w:r>
          </w:p>
        </w:tc>
        <w:tc>
          <w:tcPr>
            <w:tcW w:w="1680" w:type="dxa"/>
            <w:shd w:val="clear" w:color="auto" w:fill="C6EFCE"/>
            <w:noWrap/>
          </w:tcPr>
          <w:p w14:paraId="6297AF23" w14:textId="77777777" w:rsidR="00C45D59" w:rsidRDefault="009B0962">
            <w:pPr>
              <w:pStyle w:val="P68B1DB1-Normal12"/>
              <w:spacing w:after="0" w:line="240" w:lineRule="auto"/>
              <w:rPr>
                <w:rFonts w:eastAsia="Times New Roman"/>
                <w:noProof/>
              </w:rPr>
            </w:pPr>
            <w:r>
              <w:rPr>
                <w:noProof/>
              </w:rPr>
              <w:t>4-1.4. Utilizarea durabilă a resurselor, reziliența la schimbările climatice și protecția mediului – 16850_Infrastructuri de alimentare cu apă potabilă și de economisire a acesteia</w:t>
            </w:r>
          </w:p>
        </w:tc>
        <w:tc>
          <w:tcPr>
            <w:tcW w:w="1062" w:type="dxa"/>
            <w:shd w:val="clear" w:color="auto" w:fill="C6EFCE"/>
            <w:noWrap/>
          </w:tcPr>
          <w:p w14:paraId="7026ACC0" w14:textId="77777777" w:rsidR="00C45D59" w:rsidRDefault="009B0962">
            <w:pPr>
              <w:pStyle w:val="P68B1DB1-Normal12"/>
              <w:spacing w:after="0" w:line="240" w:lineRule="auto"/>
              <w:rPr>
                <w:rFonts w:eastAsia="Times New Roman"/>
                <w:noProof/>
              </w:rPr>
            </w:pPr>
            <w:r>
              <w:rPr>
                <w:noProof/>
              </w:rPr>
              <w:t>Etapă</w:t>
            </w:r>
          </w:p>
        </w:tc>
        <w:tc>
          <w:tcPr>
            <w:tcW w:w="1559" w:type="dxa"/>
            <w:shd w:val="clear" w:color="auto" w:fill="C6EFCE"/>
            <w:noWrap/>
          </w:tcPr>
          <w:p w14:paraId="16BE3631" w14:textId="77777777" w:rsidR="00C45D59" w:rsidRDefault="009B0962">
            <w:pPr>
              <w:pStyle w:val="P68B1DB1-Normal12"/>
              <w:spacing w:after="0" w:line="240" w:lineRule="auto"/>
              <w:rPr>
                <w:rFonts w:eastAsia="Times New Roman"/>
                <w:noProof/>
              </w:rPr>
            </w:pPr>
            <w:r>
              <w:rPr>
                <w:noProof/>
              </w:rPr>
              <w:t>Aprobarea cererilor pentru infrastructurile de apă</w:t>
            </w:r>
          </w:p>
        </w:tc>
        <w:tc>
          <w:tcPr>
            <w:tcW w:w="1418" w:type="dxa"/>
            <w:shd w:val="clear" w:color="auto" w:fill="C6EFCE"/>
            <w:noWrap/>
          </w:tcPr>
          <w:p w14:paraId="1A31B3C5" w14:textId="77777777" w:rsidR="00C45D59" w:rsidRDefault="009B0962">
            <w:pPr>
              <w:pStyle w:val="P68B1DB1-Normal12"/>
              <w:spacing w:after="0" w:line="240" w:lineRule="auto"/>
              <w:rPr>
                <w:rFonts w:eastAsia="Times New Roman"/>
                <w:noProof/>
              </w:rPr>
            </w:pPr>
            <w:r>
              <w:rPr>
                <w:noProof/>
              </w:rPr>
              <w:t>Cereri aprobate de Ministerul Mediului și Energiei</w:t>
            </w:r>
          </w:p>
        </w:tc>
        <w:tc>
          <w:tcPr>
            <w:tcW w:w="1082" w:type="dxa"/>
            <w:shd w:val="clear" w:color="auto" w:fill="C6EFCE"/>
            <w:noWrap/>
          </w:tcPr>
          <w:p w14:paraId="7FCA485B"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902" w:type="dxa"/>
            <w:shd w:val="clear" w:color="auto" w:fill="C6EFCE"/>
            <w:noWrap/>
          </w:tcPr>
          <w:p w14:paraId="0E46C951"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709" w:type="dxa"/>
            <w:shd w:val="clear" w:color="auto" w:fill="C6EFCE"/>
            <w:noWrap/>
          </w:tcPr>
          <w:p w14:paraId="4CA5DE73"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967" w:type="dxa"/>
            <w:shd w:val="clear" w:color="auto" w:fill="C6EFCE"/>
            <w:noWrap/>
          </w:tcPr>
          <w:p w14:paraId="1253BA32" w14:textId="77777777" w:rsidR="00C45D59" w:rsidRDefault="009B0962">
            <w:pPr>
              <w:pStyle w:val="P68B1DB1-Normal12"/>
              <w:spacing w:after="0" w:line="240" w:lineRule="auto"/>
              <w:rPr>
                <w:rFonts w:eastAsia="Times New Roman"/>
                <w:noProof/>
              </w:rPr>
            </w:pPr>
            <w:r>
              <w:rPr>
                <w:noProof/>
              </w:rPr>
              <w:t>Î2</w:t>
            </w:r>
          </w:p>
        </w:tc>
        <w:tc>
          <w:tcPr>
            <w:tcW w:w="709" w:type="dxa"/>
            <w:shd w:val="clear" w:color="auto" w:fill="C6EFCE"/>
            <w:noWrap/>
          </w:tcPr>
          <w:p w14:paraId="311AD087" w14:textId="77777777" w:rsidR="00C45D59" w:rsidRDefault="009B0962">
            <w:pPr>
              <w:pStyle w:val="P68B1DB1-Normal12"/>
              <w:spacing w:after="0" w:line="240" w:lineRule="auto"/>
              <w:rPr>
                <w:rFonts w:eastAsia="Times New Roman"/>
                <w:noProof/>
              </w:rPr>
            </w:pPr>
            <w:r>
              <w:rPr>
                <w:noProof/>
              </w:rPr>
              <w:t>2023</w:t>
            </w:r>
          </w:p>
        </w:tc>
        <w:tc>
          <w:tcPr>
            <w:tcW w:w="4600" w:type="dxa"/>
            <w:shd w:val="clear" w:color="auto" w:fill="C6EFCE"/>
            <w:noWrap/>
          </w:tcPr>
          <w:p w14:paraId="6CBEA601" w14:textId="77777777" w:rsidR="00C45D59" w:rsidRDefault="009B0962">
            <w:pPr>
              <w:pStyle w:val="P68B1DB1-Normal12"/>
              <w:spacing w:after="0" w:line="240" w:lineRule="auto"/>
              <w:rPr>
                <w:rFonts w:eastAsiaTheme="minorEastAsia"/>
                <w:noProof/>
              </w:rPr>
            </w:pPr>
            <w:r>
              <w:rPr>
                <w:noProof/>
              </w:rPr>
              <w:t>Emiterea unei cereri de exprimare a interesului pentru proiecte de infrastructură în domeniul apei, care să includă următoarele cerințe: (I) pentru sistemele nou construite care au un indice de pierderi în infrastructură (ILI) mai mic sau egal cu 1,5 (ii) pentru activitățile de renovare menite să reducă pierderile cu mai mult de 20 % sau să reducă consumul mediu de energie cu mai mult de 20 % și (iii) pentru instalațiile de desalinizare care urmează să fie conectate la surse regenerabile de energie și care au un consum mediu de energie mai mic sau egal cu 0,5 kWh.</w:t>
            </w:r>
          </w:p>
        </w:tc>
      </w:tr>
      <w:tr w:rsidR="00C45D59" w14:paraId="742C805B" w14:textId="77777777">
        <w:trPr>
          <w:trHeight w:val="2420"/>
          <w:jc w:val="center"/>
        </w:trPr>
        <w:tc>
          <w:tcPr>
            <w:tcW w:w="588" w:type="dxa"/>
            <w:tcBorders>
              <w:top w:val="single" w:sz="4" w:space="0" w:color="auto"/>
              <w:left w:val="single" w:sz="4" w:space="0" w:color="auto"/>
              <w:bottom w:val="single" w:sz="4" w:space="0" w:color="auto"/>
              <w:right w:val="single" w:sz="4" w:space="0" w:color="auto"/>
            </w:tcBorders>
            <w:shd w:val="clear" w:color="auto" w:fill="C6EFCE"/>
            <w:noWrap/>
          </w:tcPr>
          <w:p w14:paraId="5BFD10C1" w14:textId="77777777" w:rsidR="00C45D59" w:rsidRDefault="009B0962">
            <w:pPr>
              <w:pStyle w:val="P68B1DB1-Normal12"/>
              <w:spacing w:after="0" w:line="240" w:lineRule="auto"/>
              <w:rPr>
                <w:rFonts w:eastAsia="Times New Roman"/>
                <w:noProof/>
              </w:rPr>
            </w:pPr>
            <w:r>
              <w:rPr>
                <w:noProof/>
              </w:rPr>
              <w:t>68</w:t>
            </w:r>
          </w:p>
        </w:tc>
        <w:tc>
          <w:tcPr>
            <w:tcW w:w="1680" w:type="dxa"/>
            <w:tcBorders>
              <w:top w:val="single" w:sz="4" w:space="0" w:color="auto"/>
              <w:left w:val="single" w:sz="4" w:space="0" w:color="auto"/>
              <w:bottom w:val="single" w:sz="4" w:space="0" w:color="auto"/>
              <w:right w:val="single" w:sz="4" w:space="0" w:color="auto"/>
            </w:tcBorders>
            <w:shd w:val="clear" w:color="auto" w:fill="C6EFCE"/>
            <w:noWrap/>
          </w:tcPr>
          <w:p w14:paraId="167896EE" w14:textId="70320DAD" w:rsidR="00C45D59" w:rsidRDefault="009B0962">
            <w:pPr>
              <w:pStyle w:val="P68B1DB1-Normal12"/>
              <w:spacing w:after="0" w:line="240" w:lineRule="auto"/>
              <w:rPr>
                <w:rFonts w:eastAsia="Times New Roman"/>
                <w:noProof/>
              </w:rPr>
            </w:pPr>
            <w:r>
              <w:rPr>
                <w:noProof/>
              </w:rPr>
              <w:t>4-1.4. Utilizarea durabilă a resurselor, reziliența la schimbările climatice și protecția mediului – 16846_ Infrastructuri de gestionare a apelor urbane reziduale și a nămolurilor provenite din epurarea apelor uzate</w:t>
            </w:r>
          </w:p>
        </w:tc>
        <w:tc>
          <w:tcPr>
            <w:tcW w:w="1062" w:type="dxa"/>
            <w:tcBorders>
              <w:top w:val="single" w:sz="4" w:space="0" w:color="auto"/>
              <w:left w:val="single" w:sz="4" w:space="0" w:color="auto"/>
              <w:bottom w:val="single" w:sz="4" w:space="0" w:color="auto"/>
              <w:right w:val="single" w:sz="4" w:space="0" w:color="auto"/>
            </w:tcBorders>
            <w:shd w:val="clear" w:color="auto" w:fill="C6EFCE"/>
            <w:noWrap/>
          </w:tcPr>
          <w:p w14:paraId="2B42E1A2" w14:textId="77777777" w:rsidR="00C45D59" w:rsidRDefault="009B0962">
            <w:pPr>
              <w:pStyle w:val="P68B1DB1-Normal12"/>
              <w:spacing w:after="0" w:line="240" w:lineRule="auto"/>
              <w:rPr>
                <w:rFonts w:eastAsia="Times New Roman"/>
                <w:noProof/>
              </w:rPr>
            </w:pPr>
            <w:r>
              <w:rPr>
                <w:noProof/>
              </w:rPr>
              <w:t>Etapă</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3FD6CE08" w14:textId="77777777" w:rsidR="00C45D59" w:rsidRDefault="009B0962">
            <w:pPr>
              <w:pStyle w:val="P68B1DB1-Normal12"/>
              <w:spacing w:after="0" w:line="240" w:lineRule="auto"/>
              <w:rPr>
                <w:rFonts w:eastAsia="Times New Roman"/>
                <w:noProof/>
              </w:rPr>
            </w:pPr>
            <w:r>
              <w:rPr>
                <w:noProof/>
              </w:rPr>
              <w:t>Notificarea atribuirii contractului pentru proiectele privind apele uzate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tcPr>
          <w:p w14:paraId="2EAADC01" w14:textId="77777777" w:rsidR="00C45D59" w:rsidRDefault="009B0962">
            <w:pPr>
              <w:pStyle w:val="P68B1DB1-Normal12"/>
              <w:spacing w:after="0" w:line="240" w:lineRule="auto"/>
              <w:rPr>
                <w:rFonts w:eastAsia="Times New Roman"/>
                <w:noProof/>
              </w:rPr>
            </w:pPr>
            <w:r>
              <w:rPr>
                <w:noProof/>
              </w:rPr>
              <w:t>Notificarea atribuirii tuturor contractelor</w:t>
            </w:r>
          </w:p>
        </w:tc>
        <w:tc>
          <w:tcPr>
            <w:tcW w:w="1082" w:type="dxa"/>
            <w:tcBorders>
              <w:top w:val="single" w:sz="4" w:space="0" w:color="auto"/>
              <w:left w:val="single" w:sz="4" w:space="0" w:color="auto"/>
              <w:bottom w:val="single" w:sz="4" w:space="0" w:color="auto"/>
              <w:right w:val="single" w:sz="4" w:space="0" w:color="auto"/>
            </w:tcBorders>
            <w:shd w:val="clear" w:color="auto" w:fill="C6EFCE"/>
            <w:noWrap/>
          </w:tcPr>
          <w:p w14:paraId="6BC6D6B2"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902" w:type="dxa"/>
            <w:tcBorders>
              <w:top w:val="single" w:sz="4" w:space="0" w:color="auto"/>
              <w:left w:val="single" w:sz="4" w:space="0" w:color="auto"/>
              <w:bottom w:val="single" w:sz="4" w:space="0" w:color="auto"/>
              <w:right w:val="single" w:sz="4" w:space="0" w:color="auto"/>
            </w:tcBorders>
            <w:shd w:val="clear" w:color="auto" w:fill="C6EFCE"/>
            <w:noWrap/>
          </w:tcPr>
          <w:p w14:paraId="46275DAE"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6F41AF27"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967" w:type="dxa"/>
            <w:tcBorders>
              <w:top w:val="single" w:sz="4" w:space="0" w:color="auto"/>
              <w:left w:val="single" w:sz="4" w:space="0" w:color="auto"/>
              <w:bottom w:val="single" w:sz="4" w:space="0" w:color="auto"/>
              <w:right w:val="single" w:sz="4" w:space="0" w:color="auto"/>
            </w:tcBorders>
            <w:shd w:val="clear" w:color="auto" w:fill="C6EFCE"/>
            <w:noWrap/>
          </w:tcPr>
          <w:p w14:paraId="45E96E4B" w14:textId="77777777" w:rsidR="00C45D59" w:rsidRDefault="009B0962">
            <w:pPr>
              <w:pStyle w:val="P68B1DB1-Normal12"/>
              <w:spacing w:after="0" w:line="240" w:lineRule="auto"/>
              <w:rPr>
                <w:rFonts w:eastAsia="Times New Roman"/>
                <w:noProof/>
              </w:rPr>
            </w:pPr>
            <w:r>
              <w:rPr>
                <w:noProof/>
              </w:rPr>
              <w:t>Î4</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2739084B" w14:textId="77777777" w:rsidR="00C45D59" w:rsidRDefault="009B0962">
            <w:pPr>
              <w:pStyle w:val="P68B1DB1-Normal12"/>
              <w:spacing w:after="0" w:line="240" w:lineRule="auto"/>
              <w:rPr>
                <w:rFonts w:eastAsia="Times New Roman"/>
                <w:noProof/>
              </w:rPr>
            </w:pPr>
            <w:r>
              <w:rPr>
                <w:noProof/>
              </w:rPr>
              <w:t>2023</w:t>
            </w:r>
          </w:p>
        </w:tc>
        <w:tc>
          <w:tcPr>
            <w:tcW w:w="4600" w:type="dxa"/>
            <w:tcBorders>
              <w:top w:val="single" w:sz="4" w:space="0" w:color="auto"/>
              <w:left w:val="single" w:sz="4" w:space="0" w:color="auto"/>
              <w:bottom w:val="single" w:sz="4" w:space="0" w:color="auto"/>
              <w:right w:val="single" w:sz="4" w:space="0" w:color="auto"/>
            </w:tcBorders>
            <w:shd w:val="clear" w:color="auto" w:fill="C6EFCE"/>
            <w:noWrap/>
          </w:tcPr>
          <w:p w14:paraId="51FFDEF1" w14:textId="77777777" w:rsidR="00C45D59" w:rsidRDefault="009B0962">
            <w:pPr>
              <w:pStyle w:val="P68B1DB1-Normal12"/>
              <w:spacing w:after="0" w:line="240" w:lineRule="auto"/>
              <w:rPr>
                <w:rFonts w:eastAsia="Times New Roman"/>
                <w:noProof/>
              </w:rPr>
            </w:pPr>
            <w:r>
              <w:rPr>
                <w:noProof/>
              </w:rPr>
              <w:t>Notificarea atribuirii contractului pentru proiectele de gestionare a apelor uzate și a nămolurilor:</w:t>
            </w:r>
          </w:p>
          <w:p w14:paraId="60189825" w14:textId="77777777" w:rsidR="00C45D59" w:rsidRDefault="009B0962">
            <w:pPr>
              <w:pStyle w:val="P68B1DB1-Normal12"/>
              <w:spacing w:after="0" w:line="240" w:lineRule="auto"/>
              <w:rPr>
                <w:rFonts w:eastAsia="Times New Roman"/>
                <w:noProof/>
              </w:rPr>
            </w:pPr>
            <w:r>
              <w:rPr>
                <w:noProof/>
              </w:rPr>
              <w:t>1. Infrastructura rețelei de canalizare și stațiile de epurare a apelor uzate.</w:t>
            </w:r>
          </w:p>
          <w:p w14:paraId="2A91A00E" w14:textId="77777777" w:rsidR="00C45D59" w:rsidRDefault="009B0962">
            <w:pPr>
              <w:pStyle w:val="P68B1DB1-Normal12"/>
              <w:spacing w:after="0" w:line="240" w:lineRule="auto"/>
              <w:rPr>
                <w:rFonts w:eastAsia="Times New Roman"/>
                <w:noProof/>
              </w:rPr>
            </w:pPr>
            <w:r>
              <w:rPr>
                <w:noProof/>
              </w:rPr>
              <w:t>2. Modernizarea, extinderea și modernizarea stațiilor de epurare a apelor uzate și reutilizarea apelor epurate.</w:t>
            </w:r>
          </w:p>
          <w:p w14:paraId="2FB6000B" w14:textId="77777777" w:rsidR="00C45D59" w:rsidRDefault="009B0962">
            <w:pPr>
              <w:pStyle w:val="P68B1DB1-Normal12"/>
              <w:spacing w:after="0" w:line="240" w:lineRule="auto"/>
              <w:rPr>
                <w:rFonts w:eastAsiaTheme="minorEastAsia"/>
                <w:noProof/>
              </w:rPr>
            </w:pPr>
            <w:r>
              <w:rPr>
                <w:noProof/>
              </w:rPr>
              <w:t>3. Implementarea infrastructurii de gestionare a nămolurilor provenite de la instalațiile de tratare a apelor reziduale.</w:t>
            </w:r>
          </w:p>
        </w:tc>
      </w:tr>
      <w:tr w:rsidR="00C45D59" w14:paraId="30255581" w14:textId="77777777">
        <w:trPr>
          <w:trHeight w:val="615"/>
          <w:jc w:val="center"/>
        </w:trPr>
        <w:tc>
          <w:tcPr>
            <w:tcW w:w="588" w:type="dxa"/>
            <w:shd w:val="clear" w:color="auto" w:fill="C6EFCE"/>
            <w:noWrap/>
          </w:tcPr>
          <w:p w14:paraId="6A452582" w14:textId="77777777" w:rsidR="00C45D59" w:rsidRDefault="009B0962">
            <w:pPr>
              <w:pStyle w:val="P68B1DB1-Normal12"/>
              <w:spacing w:after="0" w:line="240" w:lineRule="auto"/>
              <w:rPr>
                <w:rFonts w:eastAsia="Times New Roman"/>
                <w:noProof/>
              </w:rPr>
            </w:pPr>
            <w:r>
              <w:rPr>
                <w:noProof/>
              </w:rPr>
              <w:t>73</w:t>
            </w:r>
          </w:p>
        </w:tc>
        <w:tc>
          <w:tcPr>
            <w:tcW w:w="1680" w:type="dxa"/>
            <w:shd w:val="clear" w:color="auto" w:fill="C6EFCE"/>
            <w:noWrap/>
          </w:tcPr>
          <w:p w14:paraId="79BCCF34" w14:textId="014718C7" w:rsidR="00C45D59" w:rsidRDefault="009B0962">
            <w:pPr>
              <w:pStyle w:val="P68B1DB1-Normal12"/>
              <w:spacing w:after="0" w:line="240" w:lineRule="auto"/>
              <w:rPr>
                <w:noProof/>
              </w:rPr>
            </w:pPr>
            <w:r>
              <w:rPr>
                <w:noProof/>
              </w:rPr>
              <w:t>4-1.4. Utilizarea durabilă a resurselor, reziliența la schimbările climatice și protecția mediului – 16846_ Infrastructuri de gestionare a apelor urbane reziduale și a nămolurilor de epurare și achiziționarea de echipamente municipale de gestionare a deșeurilor</w:t>
            </w:r>
          </w:p>
        </w:tc>
        <w:tc>
          <w:tcPr>
            <w:tcW w:w="1062" w:type="dxa"/>
            <w:shd w:val="clear" w:color="auto" w:fill="C6EFCE"/>
            <w:noWrap/>
          </w:tcPr>
          <w:p w14:paraId="5B65FC12" w14:textId="77777777" w:rsidR="00C45D59" w:rsidRDefault="009B0962">
            <w:pPr>
              <w:pStyle w:val="P68B1DB1-Normal12"/>
              <w:spacing w:after="0" w:line="240" w:lineRule="auto"/>
              <w:rPr>
                <w:rFonts w:eastAsia="Times New Roman"/>
                <w:noProof/>
              </w:rPr>
            </w:pPr>
            <w:r>
              <w:rPr>
                <w:noProof/>
              </w:rPr>
              <w:t>Etapă</w:t>
            </w:r>
          </w:p>
        </w:tc>
        <w:tc>
          <w:tcPr>
            <w:tcW w:w="1559" w:type="dxa"/>
            <w:shd w:val="clear" w:color="auto" w:fill="C6EFCE"/>
            <w:noWrap/>
          </w:tcPr>
          <w:p w14:paraId="728413E1" w14:textId="77777777" w:rsidR="00C45D59" w:rsidRDefault="009B0962">
            <w:pPr>
              <w:pStyle w:val="P68B1DB1-Normal12"/>
              <w:spacing w:after="0" w:line="240" w:lineRule="auto"/>
              <w:rPr>
                <w:rFonts w:eastAsia="Times New Roman"/>
                <w:noProof/>
              </w:rPr>
            </w:pPr>
            <w:r>
              <w:rPr>
                <w:noProof/>
              </w:rPr>
              <w:t>Proiecte de infrastructură de gestionare a apelor urbane reziduale și a nămolurilor construite</w:t>
            </w:r>
          </w:p>
        </w:tc>
        <w:tc>
          <w:tcPr>
            <w:tcW w:w="1418" w:type="dxa"/>
            <w:shd w:val="clear" w:color="auto" w:fill="C6EFCE"/>
            <w:noWrap/>
          </w:tcPr>
          <w:p w14:paraId="4FFB9AAB" w14:textId="6C7E2CEC" w:rsidR="00C45D59" w:rsidRDefault="009B0962">
            <w:pPr>
              <w:pStyle w:val="P68B1DB1-Normal12"/>
              <w:spacing w:after="0" w:line="240" w:lineRule="auto"/>
              <w:rPr>
                <w:noProof/>
              </w:rPr>
            </w:pPr>
            <w:r>
              <w:rPr>
                <w:noProof/>
              </w:rPr>
              <w:t>70 proiecte construite</w:t>
            </w:r>
          </w:p>
        </w:tc>
        <w:tc>
          <w:tcPr>
            <w:tcW w:w="1082" w:type="dxa"/>
            <w:shd w:val="clear" w:color="auto" w:fill="C6EFCE"/>
            <w:noWrap/>
          </w:tcPr>
          <w:p w14:paraId="02697CC0"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902" w:type="dxa"/>
            <w:shd w:val="clear" w:color="auto" w:fill="C6EFCE"/>
            <w:noWrap/>
          </w:tcPr>
          <w:p w14:paraId="23E37112"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709" w:type="dxa"/>
            <w:shd w:val="clear" w:color="auto" w:fill="C6EFCE"/>
            <w:noWrap/>
          </w:tcPr>
          <w:p w14:paraId="67759688"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967" w:type="dxa"/>
            <w:shd w:val="clear" w:color="auto" w:fill="C6EFCE"/>
            <w:noWrap/>
          </w:tcPr>
          <w:p w14:paraId="251CCBD4" w14:textId="77777777" w:rsidR="00C45D59" w:rsidRDefault="009B0962">
            <w:pPr>
              <w:pStyle w:val="P68B1DB1-Normal12"/>
              <w:spacing w:after="0" w:line="240" w:lineRule="auto"/>
              <w:rPr>
                <w:rFonts w:eastAsia="Times New Roman"/>
                <w:noProof/>
              </w:rPr>
            </w:pPr>
            <w:r>
              <w:rPr>
                <w:noProof/>
              </w:rPr>
              <w:t>Î4</w:t>
            </w:r>
          </w:p>
        </w:tc>
        <w:tc>
          <w:tcPr>
            <w:tcW w:w="709" w:type="dxa"/>
            <w:shd w:val="clear" w:color="auto" w:fill="C6EFCE"/>
            <w:noWrap/>
          </w:tcPr>
          <w:p w14:paraId="5CC4577C" w14:textId="77777777" w:rsidR="00C45D59" w:rsidRDefault="009B0962">
            <w:pPr>
              <w:pStyle w:val="P68B1DB1-Normal12"/>
              <w:spacing w:after="0" w:line="240" w:lineRule="auto"/>
              <w:rPr>
                <w:rFonts w:eastAsia="Times New Roman"/>
                <w:noProof/>
              </w:rPr>
            </w:pPr>
            <w:r>
              <w:rPr>
                <w:noProof/>
              </w:rPr>
              <w:t>2025</w:t>
            </w:r>
          </w:p>
        </w:tc>
        <w:tc>
          <w:tcPr>
            <w:tcW w:w="4600" w:type="dxa"/>
            <w:shd w:val="clear" w:color="auto" w:fill="C6EFCE"/>
            <w:noWrap/>
          </w:tcPr>
          <w:p w14:paraId="735D1738" w14:textId="0D0855D6" w:rsidR="00C45D59" w:rsidRDefault="009B0962">
            <w:pPr>
              <w:pStyle w:val="P68B1DB1-Normal27"/>
              <w:spacing w:after="0" w:line="240" w:lineRule="auto"/>
              <w:rPr>
                <w:noProof/>
              </w:rPr>
            </w:pPr>
            <w:r>
              <w:rPr>
                <w:noProof/>
              </w:rPr>
              <w:t>Certificate de finalizare care confirmă construcția a 70 proiecte de următoarele tipuri:</w:t>
            </w:r>
          </w:p>
          <w:p w14:paraId="5550C41E" w14:textId="77777777" w:rsidR="00C45D59" w:rsidRDefault="009B0962">
            <w:pPr>
              <w:pStyle w:val="P68B1DB1-ListParagraph31"/>
              <w:numPr>
                <w:ilvl w:val="0"/>
                <w:numId w:val="30"/>
              </w:numPr>
              <w:spacing w:after="0" w:line="240" w:lineRule="auto"/>
              <w:rPr>
                <w:noProof/>
              </w:rPr>
            </w:pPr>
            <w:r>
              <w:rPr>
                <w:noProof/>
              </w:rPr>
              <w:t>infrastructurile rețelei de canalizare, conductele de racordare la rețeaua de canalizare și stațiile de epurare a apelor uzate;</w:t>
            </w:r>
          </w:p>
          <w:p w14:paraId="168087A5" w14:textId="77777777" w:rsidR="00C45D59" w:rsidRDefault="009B0962">
            <w:pPr>
              <w:pStyle w:val="P68B1DB1-ListParagraph31"/>
              <w:numPr>
                <w:ilvl w:val="0"/>
                <w:numId w:val="31"/>
              </w:numPr>
              <w:spacing w:after="0" w:line="240" w:lineRule="auto"/>
              <w:jc w:val="both"/>
              <w:rPr>
                <w:noProof/>
              </w:rPr>
            </w:pPr>
            <w:r>
              <w:rPr>
                <w:noProof/>
              </w:rPr>
              <w:t xml:space="preserve">modernizarea, extinderea și modernizarea stațiilor de epurare a apelor uzate și reutilizarea apei tratate; și </w:t>
            </w:r>
          </w:p>
          <w:p w14:paraId="5BE08920" w14:textId="7385305C" w:rsidR="00C45D59" w:rsidRDefault="009B0962">
            <w:pPr>
              <w:pStyle w:val="P68B1DB1-ListParagraph31"/>
              <w:numPr>
                <w:ilvl w:val="0"/>
                <w:numId w:val="32"/>
              </w:numPr>
              <w:spacing w:after="0" w:line="240" w:lineRule="auto"/>
              <w:jc w:val="both"/>
              <w:rPr>
                <w:noProof/>
              </w:rPr>
            </w:pPr>
            <w:r>
              <w:rPr>
                <w:noProof/>
              </w:rPr>
              <w:t xml:space="preserve">infrastructuri de gestionare a nămolurilor de la stațiile de epurare a apelor uzate. </w:t>
            </w:r>
          </w:p>
          <w:p w14:paraId="4FF975B4" w14:textId="77777777" w:rsidR="00C45D59" w:rsidRDefault="00C45D59">
            <w:pPr>
              <w:spacing w:after="0" w:line="240" w:lineRule="auto"/>
              <w:rPr>
                <w:rFonts w:ascii="Times New Roman" w:eastAsiaTheme="minorEastAsia" w:hAnsi="Times New Roman" w:cs="Times New Roman"/>
                <w:noProof/>
                <w:color w:val="006100"/>
                <w:sz w:val="18"/>
                <w:szCs w:val="18"/>
              </w:rPr>
            </w:pPr>
          </w:p>
        </w:tc>
      </w:tr>
      <w:tr w:rsidR="00C45D59" w14:paraId="25DF7331" w14:textId="77777777">
        <w:trPr>
          <w:trHeight w:val="313"/>
          <w:jc w:val="center"/>
        </w:trPr>
        <w:tc>
          <w:tcPr>
            <w:tcW w:w="588" w:type="dxa"/>
            <w:shd w:val="clear" w:color="auto" w:fill="C6EFCE"/>
            <w:noWrap/>
          </w:tcPr>
          <w:p w14:paraId="112290AF" w14:textId="44DC2817" w:rsidR="00C45D59" w:rsidRDefault="009B0962">
            <w:pPr>
              <w:pStyle w:val="P68B1DB1-Normal12"/>
              <w:spacing w:after="0" w:line="240" w:lineRule="auto"/>
              <w:rPr>
                <w:rFonts w:eastAsia="Times New Roman"/>
                <w:noProof/>
              </w:rPr>
            </w:pPr>
            <w:r>
              <w:rPr>
                <w:noProof/>
              </w:rPr>
              <w:t>73a</w:t>
            </w:r>
          </w:p>
        </w:tc>
        <w:tc>
          <w:tcPr>
            <w:tcW w:w="1680" w:type="dxa"/>
            <w:shd w:val="clear" w:color="auto" w:fill="C6EFCE"/>
            <w:noWrap/>
          </w:tcPr>
          <w:p w14:paraId="433CC43A" w14:textId="1F8E318F" w:rsidR="00C45D59" w:rsidRDefault="009B0962">
            <w:pPr>
              <w:pStyle w:val="P68B1DB1-Normal12"/>
              <w:spacing w:after="0" w:line="240" w:lineRule="auto"/>
              <w:rPr>
                <w:rFonts w:eastAsia="Times New Roman"/>
                <w:noProof/>
              </w:rPr>
            </w:pPr>
            <w:r>
              <w:rPr>
                <w:noProof/>
              </w:rPr>
              <w:t>4-1.4. Utilizarea durabilă a resurselor, reziliența la schimbările climatice și protecția mediului – 16846_ Infrastructuri de gestionare a apelor urbane reziduale și a nămolurilor de epurare și achiziționarea de echipamente municipale de gestionare a deșeurilor</w:t>
            </w:r>
          </w:p>
        </w:tc>
        <w:tc>
          <w:tcPr>
            <w:tcW w:w="1062" w:type="dxa"/>
            <w:shd w:val="clear" w:color="auto" w:fill="C6EFCE"/>
            <w:noWrap/>
          </w:tcPr>
          <w:p w14:paraId="0AEABC04" w14:textId="2D1003B1" w:rsidR="00C45D59" w:rsidRDefault="009B0962">
            <w:pPr>
              <w:pStyle w:val="P68B1DB1-Normal12"/>
              <w:spacing w:after="0" w:line="240" w:lineRule="auto"/>
              <w:rPr>
                <w:rFonts w:eastAsia="Times New Roman"/>
                <w:noProof/>
              </w:rPr>
            </w:pPr>
            <w:r>
              <w:rPr>
                <w:noProof/>
              </w:rPr>
              <w:t>Țintă</w:t>
            </w:r>
          </w:p>
        </w:tc>
        <w:tc>
          <w:tcPr>
            <w:tcW w:w="1559" w:type="dxa"/>
            <w:shd w:val="clear" w:color="auto" w:fill="C6EFCE"/>
            <w:noWrap/>
          </w:tcPr>
          <w:p w14:paraId="34969D52" w14:textId="7A8C1DAD" w:rsidR="00C45D59" w:rsidRDefault="009B0962">
            <w:pPr>
              <w:pStyle w:val="P68B1DB1-Normal23"/>
              <w:spacing w:line="240" w:lineRule="auto"/>
              <w:rPr>
                <w:noProof/>
              </w:rPr>
            </w:pPr>
            <w:r>
              <w:rPr>
                <w:noProof/>
              </w:rPr>
              <w:t>Achiziționarea a 130 vehicule electrice de colectare a deșeurilor</w:t>
            </w:r>
          </w:p>
          <w:p w14:paraId="10DE07EC" w14:textId="3C19585D" w:rsidR="00C45D59" w:rsidRDefault="00C45D59">
            <w:pPr>
              <w:spacing w:line="240" w:lineRule="auto"/>
              <w:rPr>
                <w:rFonts w:ascii="Times New Roman" w:eastAsia="Times New Roman" w:hAnsi="Times New Roman" w:cs="Times New Roman"/>
                <w:noProof/>
                <w:color w:val="006100"/>
                <w:sz w:val="18"/>
                <w:szCs w:val="18"/>
              </w:rPr>
            </w:pPr>
          </w:p>
        </w:tc>
        <w:tc>
          <w:tcPr>
            <w:tcW w:w="1418" w:type="dxa"/>
            <w:shd w:val="clear" w:color="auto" w:fill="C6EFCE"/>
            <w:noWrap/>
          </w:tcPr>
          <w:p w14:paraId="1D94F0E1" w14:textId="5D9D1409" w:rsidR="00C45D59" w:rsidRDefault="00C45D59">
            <w:pPr>
              <w:spacing w:line="240" w:lineRule="auto"/>
              <w:rPr>
                <w:rFonts w:ascii="Times New Roman" w:hAnsi="Times New Roman" w:cs="Times New Roman"/>
                <w:noProof/>
                <w:color w:val="006100"/>
                <w:sz w:val="18"/>
                <w:szCs w:val="18"/>
              </w:rPr>
            </w:pPr>
          </w:p>
        </w:tc>
        <w:tc>
          <w:tcPr>
            <w:tcW w:w="1082" w:type="dxa"/>
            <w:shd w:val="clear" w:color="auto" w:fill="C6EFCE"/>
            <w:noWrap/>
          </w:tcPr>
          <w:p w14:paraId="0EDE4345" w14:textId="6C0572D8" w:rsidR="00C45D59" w:rsidRDefault="009B0962">
            <w:pPr>
              <w:pStyle w:val="P68B1DB1-Normal23"/>
              <w:spacing w:line="240" w:lineRule="auto"/>
              <w:rPr>
                <w:noProof/>
              </w:rPr>
            </w:pPr>
            <w:r>
              <w:rPr>
                <w:noProof/>
              </w:rPr>
              <w:t>Numărul de vehicule achiziționate</w:t>
            </w:r>
          </w:p>
        </w:tc>
        <w:tc>
          <w:tcPr>
            <w:tcW w:w="902" w:type="dxa"/>
            <w:shd w:val="clear" w:color="auto" w:fill="C6EFCE"/>
            <w:noWrap/>
          </w:tcPr>
          <w:p w14:paraId="4B6BCB71" w14:textId="7ABF3E26" w:rsidR="00C45D59" w:rsidRDefault="009B0962">
            <w:pPr>
              <w:pStyle w:val="P68B1DB1-Normal23"/>
              <w:spacing w:line="240" w:lineRule="auto"/>
              <w:rPr>
                <w:noProof/>
              </w:rPr>
            </w:pPr>
            <w:r>
              <w:rPr>
                <w:noProof/>
              </w:rPr>
              <w:t>0</w:t>
            </w:r>
          </w:p>
        </w:tc>
        <w:tc>
          <w:tcPr>
            <w:tcW w:w="709" w:type="dxa"/>
            <w:shd w:val="clear" w:color="auto" w:fill="C6EFCE"/>
            <w:noWrap/>
          </w:tcPr>
          <w:p w14:paraId="7EC0E707" w14:textId="2F3130CA" w:rsidR="00C45D59" w:rsidRDefault="009B0962">
            <w:pPr>
              <w:pStyle w:val="P68B1DB1-Normal23"/>
              <w:spacing w:line="240" w:lineRule="auto"/>
              <w:rPr>
                <w:noProof/>
              </w:rPr>
            </w:pPr>
            <w:r>
              <w:rPr>
                <w:noProof/>
              </w:rPr>
              <w:t>130</w:t>
            </w:r>
          </w:p>
        </w:tc>
        <w:tc>
          <w:tcPr>
            <w:tcW w:w="967" w:type="dxa"/>
            <w:shd w:val="clear" w:color="auto" w:fill="C6EFCE"/>
            <w:noWrap/>
          </w:tcPr>
          <w:p w14:paraId="4A6A6B6C" w14:textId="2813B99D" w:rsidR="00C45D59" w:rsidRDefault="009B0962">
            <w:pPr>
              <w:pStyle w:val="P68B1DB1-Normal12"/>
              <w:spacing w:line="240" w:lineRule="auto"/>
              <w:rPr>
                <w:noProof/>
              </w:rPr>
            </w:pPr>
            <w:r>
              <w:rPr>
                <w:noProof/>
              </w:rPr>
              <w:t>Î2</w:t>
            </w:r>
          </w:p>
        </w:tc>
        <w:tc>
          <w:tcPr>
            <w:tcW w:w="709" w:type="dxa"/>
            <w:shd w:val="clear" w:color="auto" w:fill="C6EFCE"/>
            <w:noWrap/>
          </w:tcPr>
          <w:p w14:paraId="4A2E74A1" w14:textId="17C47A4E" w:rsidR="00C45D59" w:rsidRDefault="009B0962">
            <w:pPr>
              <w:pStyle w:val="P68B1DB1-Normal12"/>
              <w:spacing w:line="240" w:lineRule="auto"/>
              <w:rPr>
                <w:noProof/>
              </w:rPr>
            </w:pPr>
            <w:r>
              <w:rPr>
                <w:noProof/>
              </w:rPr>
              <w:t>2026</w:t>
            </w:r>
          </w:p>
        </w:tc>
        <w:tc>
          <w:tcPr>
            <w:tcW w:w="4600" w:type="dxa"/>
            <w:shd w:val="clear" w:color="auto" w:fill="C6EFCE"/>
            <w:noWrap/>
          </w:tcPr>
          <w:p w14:paraId="6F742AE7" w14:textId="450EE86D" w:rsidR="00C45D59" w:rsidRDefault="009B0962">
            <w:pPr>
              <w:pStyle w:val="P68B1DB1-Normal27"/>
              <w:spacing w:line="240" w:lineRule="auto"/>
              <w:rPr>
                <w:noProof/>
              </w:rPr>
            </w:pPr>
            <w:r>
              <w:rPr>
                <w:noProof/>
              </w:rPr>
              <w:t>Achiziționarea a 130 de vehicule electrice de colectare a deșeurilor.</w:t>
            </w:r>
          </w:p>
        </w:tc>
      </w:tr>
      <w:tr w:rsidR="00C45D59" w14:paraId="0F12D742" w14:textId="77777777">
        <w:trPr>
          <w:trHeight w:val="313"/>
          <w:jc w:val="center"/>
        </w:trPr>
        <w:tc>
          <w:tcPr>
            <w:tcW w:w="588" w:type="dxa"/>
            <w:shd w:val="clear" w:color="auto" w:fill="C6EFCE"/>
            <w:noWrap/>
          </w:tcPr>
          <w:p w14:paraId="234E0AE9" w14:textId="77777777" w:rsidR="00C45D59" w:rsidRDefault="009B0962">
            <w:pPr>
              <w:pStyle w:val="P68B1DB1-Normal12"/>
              <w:spacing w:after="0" w:line="240" w:lineRule="auto"/>
              <w:rPr>
                <w:rFonts w:eastAsia="Times New Roman"/>
                <w:noProof/>
              </w:rPr>
            </w:pPr>
            <w:r>
              <w:rPr>
                <w:noProof/>
              </w:rPr>
              <w:t>74</w:t>
            </w:r>
          </w:p>
        </w:tc>
        <w:tc>
          <w:tcPr>
            <w:tcW w:w="1680" w:type="dxa"/>
            <w:shd w:val="clear" w:color="auto" w:fill="C6EFCE"/>
            <w:noWrap/>
          </w:tcPr>
          <w:p w14:paraId="04054658" w14:textId="6C6974F4" w:rsidR="00C45D59" w:rsidRDefault="009B0962">
            <w:pPr>
              <w:pStyle w:val="P68B1DB1-Normal12"/>
              <w:spacing w:after="0" w:line="240" w:lineRule="auto"/>
              <w:rPr>
                <w:rFonts w:eastAsia="Times New Roman"/>
                <w:noProof/>
              </w:rPr>
            </w:pPr>
            <w:r>
              <w:rPr>
                <w:noProof/>
              </w:rPr>
              <w:t>4-1.4. Utilizarea durabilă a resurselor, reziliența la schimbările climatice și protecția mediului – 16850_Proiecte de alimentare cu apă potabilă și de economisire a acesteia</w:t>
            </w:r>
          </w:p>
        </w:tc>
        <w:tc>
          <w:tcPr>
            <w:tcW w:w="1062" w:type="dxa"/>
            <w:shd w:val="clear" w:color="auto" w:fill="C6EFCE"/>
            <w:noWrap/>
          </w:tcPr>
          <w:p w14:paraId="59684C33" w14:textId="77777777" w:rsidR="00C45D59" w:rsidRDefault="009B0962">
            <w:pPr>
              <w:pStyle w:val="P68B1DB1-Normal12"/>
              <w:spacing w:after="0" w:line="240" w:lineRule="auto"/>
              <w:rPr>
                <w:rFonts w:eastAsia="Times New Roman"/>
                <w:noProof/>
              </w:rPr>
            </w:pPr>
            <w:r>
              <w:rPr>
                <w:noProof/>
              </w:rPr>
              <w:t>Etapă</w:t>
            </w:r>
          </w:p>
        </w:tc>
        <w:tc>
          <w:tcPr>
            <w:tcW w:w="1559" w:type="dxa"/>
            <w:shd w:val="clear" w:color="auto" w:fill="C6EFCE"/>
            <w:noWrap/>
          </w:tcPr>
          <w:p w14:paraId="11401D24" w14:textId="05A2B58B" w:rsidR="00C45D59" w:rsidRDefault="009B0962">
            <w:pPr>
              <w:pStyle w:val="P68B1DB1-Normal12"/>
              <w:spacing w:after="0" w:line="240" w:lineRule="auto"/>
              <w:rPr>
                <w:noProof/>
              </w:rPr>
            </w:pPr>
            <w:r>
              <w:rPr>
                <w:noProof/>
              </w:rPr>
              <w:t xml:space="preserve">Proiecte de alimentare cu apă și de economisire a apei </w:t>
            </w:r>
          </w:p>
        </w:tc>
        <w:tc>
          <w:tcPr>
            <w:tcW w:w="1418" w:type="dxa"/>
            <w:shd w:val="clear" w:color="auto" w:fill="C6EFCE"/>
            <w:noWrap/>
          </w:tcPr>
          <w:p w14:paraId="63AAB509" w14:textId="79B87199" w:rsidR="00C45D59" w:rsidRDefault="009B0962">
            <w:pPr>
              <w:pStyle w:val="P68B1DB1-Normal23"/>
              <w:spacing w:after="0" w:line="240" w:lineRule="auto"/>
              <w:rPr>
                <w:noProof/>
              </w:rPr>
            </w:pPr>
            <w:r>
              <w:rPr>
                <w:noProof/>
              </w:rPr>
              <w:t>Cel puțin 50 proiecte realizate</w:t>
            </w:r>
          </w:p>
        </w:tc>
        <w:tc>
          <w:tcPr>
            <w:tcW w:w="1082" w:type="dxa"/>
            <w:shd w:val="clear" w:color="auto" w:fill="C6EFCE"/>
            <w:noWrap/>
          </w:tcPr>
          <w:p w14:paraId="26EFF4A3"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902" w:type="dxa"/>
            <w:shd w:val="clear" w:color="auto" w:fill="C6EFCE"/>
            <w:noWrap/>
          </w:tcPr>
          <w:p w14:paraId="5E88C6F0"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709" w:type="dxa"/>
            <w:shd w:val="clear" w:color="auto" w:fill="C6EFCE"/>
            <w:noWrap/>
          </w:tcPr>
          <w:p w14:paraId="4044C818"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967" w:type="dxa"/>
            <w:shd w:val="clear" w:color="auto" w:fill="C6EFCE"/>
            <w:noWrap/>
          </w:tcPr>
          <w:p w14:paraId="29BD1191" w14:textId="77777777" w:rsidR="00C45D59" w:rsidRDefault="009B0962">
            <w:pPr>
              <w:pStyle w:val="P68B1DB1-Normal12"/>
              <w:spacing w:after="0" w:line="240" w:lineRule="auto"/>
              <w:rPr>
                <w:rFonts w:eastAsia="Times New Roman"/>
                <w:noProof/>
              </w:rPr>
            </w:pPr>
            <w:r>
              <w:rPr>
                <w:noProof/>
              </w:rPr>
              <w:t>Î4</w:t>
            </w:r>
          </w:p>
        </w:tc>
        <w:tc>
          <w:tcPr>
            <w:tcW w:w="709" w:type="dxa"/>
            <w:shd w:val="clear" w:color="auto" w:fill="C6EFCE"/>
            <w:noWrap/>
          </w:tcPr>
          <w:p w14:paraId="5557C124" w14:textId="77777777" w:rsidR="00C45D59" w:rsidRDefault="009B0962">
            <w:pPr>
              <w:pStyle w:val="P68B1DB1-Normal12"/>
              <w:spacing w:after="0" w:line="240" w:lineRule="auto"/>
              <w:rPr>
                <w:rFonts w:eastAsia="Times New Roman"/>
                <w:noProof/>
              </w:rPr>
            </w:pPr>
            <w:r>
              <w:rPr>
                <w:noProof/>
              </w:rPr>
              <w:t>2025</w:t>
            </w:r>
          </w:p>
        </w:tc>
        <w:tc>
          <w:tcPr>
            <w:tcW w:w="4600" w:type="dxa"/>
            <w:shd w:val="clear" w:color="auto" w:fill="C6EFCE"/>
            <w:noWrap/>
          </w:tcPr>
          <w:p w14:paraId="22995746" w14:textId="2120921B" w:rsidR="00C45D59" w:rsidRDefault="009B0962">
            <w:pPr>
              <w:pStyle w:val="P68B1DB1-Normal12"/>
              <w:spacing w:after="0" w:line="240" w:lineRule="auto"/>
              <w:rPr>
                <w:rFonts w:eastAsia="Times New Roman"/>
                <w:noProof/>
              </w:rPr>
            </w:pPr>
            <w:r>
              <w:rPr>
                <w:noProof/>
              </w:rPr>
              <w:t xml:space="preserve">Certificate de finalizare sau protocoale de acceptare care să confirme livrarea a cel puțin 50 de proiecte de alimentare cu apă și de economisire a apei, inclusiv: </w:t>
            </w:r>
          </w:p>
          <w:p w14:paraId="1DA79EA0" w14:textId="2E9CEC1A" w:rsidR="00C45D59" w:rsidRDefault="009B0962">
            <w:pPr>
              <w:pStyle w:val="P68B1DB1-Normal12"/>
              <w:spacing w:after="0" w:line="240" w:lineRule="auto"/>
              <w:rPr>
                <w:noProof/>
              </w:rPr>
            </w:pPr>
            <w:r>
              <w:rPr>
                <w:noProof/>
              </w:rPr>
              <w:t>(a) construirea de infrastructuri de alimentare cu apă în cel puțin șapte zone;</w:t>
            </w:r>
          </w:p>
          <w:p w14:paraId="6FB5E00F" w14:textId="7F77AE4C" w:rsidR="00C45D59" w:rsidRDefault="009B0962">
            <w:pPr>
              <w:pStyle w:val="P68B1DB1-Normal12"/>
              <w:spacing w:after="0" w:line="240" w:lineRule="auto"/>
              <w:rPr>
                <w:rFonts w:eastAsia="Times New Roman"/>
                <w:noProof/>
              </w:rPr>
            </w:pPr>
            <w:r>
              <w:rPr>
                <w:noProof/>
              </w:rPr>
              <w:t>(b) instalarea unei uzine de desalinizare</w:t>
            </w:r>
          </w:p>
          <w:p w14:paraId="2F61922A" w14:textId="561E9BC0" w:rsidR="00C45D59" w:rsidRDefault="009B0962">
            <w:pPr>
              <w:pStyle w:val="P68B1DB1-Normal12"/>
              <w:spacing w:after="0" w:line="240" w:lineRule="auto"/>
              <w:rPr>
                <w:rFonts w:eastAsia="Times New Roman"/>
                <w:noProof/>
              </w:rPr>
            </w:pPr>
            <w:r>
              <w:rPr>
                <w:noProof/>
              </w:rPr>
              <w:t>(c) instalarea de sisteme de telemetrie – telecomandă pentru detectarea scurgerilor în rețelele de alimentare cu apă și</w:t>
            </w:r>
          </w:p>
          <w:p w14:paraId="73729D8B" w14:textId="058063EF" w:rsidR="00C45D59" w:rsidRDefault="009B0962">
            <w:pPr>
              <w:pStyle w:val="P68B1DB1-Normal12"/>
              <w:spacing w:after="0" w:line="240" w:lineRule="auto"/>
              <w:rPr>
                <w:rFonts w:eastAsia="Times New Roman"/>
                <w:noProof/>
              </w:rPr>
            </w:pPr>
            <w:r>
              <w:rPr>
                <w:noProof/>
              </w:rPr>
              <w:t xml:space="preserve">(d) instalarea de contoare digitale de apă </w:t>
            </w:r>
          </w:p>
        </w:tc>
      </w:tr>
    </w:tbl>
    <w:p w14:paraId="60D8B8E5" w14:textId="77777777" w:rsidR="00C45D59" w:rsidRDefault="00C45D59">
      <w:pPr>
        <w:spacing w:before="120" w:after="120" w:line="240" w:lineRule="auto"/>
        <w:rPr>
          <w:rFonts w:ascii="Times New Roman" w:hAnsi="Times New Roman" w:cs="Times New Roman"/>
          <w:noProof/>
          <w:sz w:val="24"/>
        </w:rPr>
      </w:pPr>
    </w:p>
    <w:p w14:paraId="4FEBE08C" w14:textId="5C03E255" w:rsidR="00C45D59" w:rsidRDefault="009B0962">
      <w:pPr>
        <w:pStyle w:val="P68B1DB1-Normal14"/>
        <w:rPr>
          <w:rFonts w:ascii="Cambria" w:eastAsia="Times New Roman" w:hAnsi="Cambria"/>
          <w:noProof/>
          <w:color w:val="365F91"/>
        </w:rPr>
      </w:pPr>
      <w:r>
        <w:rPr>
          <w:rFonts w:ascii="Times New Roman" w:hAnsi="Times New Roman" w:cs="Times New Roman"/>
          <w:noProof/>
        </w:rPr>
        <w:br w:type="page"/>
      </w:r>
      <w:r>
        <w:rPr>
          <w:rFonts w:ascii="Cambria" w:hAnsi="Cambria"/>
          <w:noProof/>
          <w:color w:val="365F91"/>
        </w:rPr>
        <w:t>Grupul 7: Proiecte de protecție civilă</w:t>
      </w:r>
    </w:p>
    <w:p w14:paraId="27124961" w14:textId="77777777" w:rsidR="00C45D59" w:rsidRDefault="009B0962">
      <w:pPr>
        <w:pStyle w:val="P68B1DB1-Normal5"/>
        <w:spacing w:before="120" w:after="120" w:line="240" w:lineRule="auto"/>
        <w:rPr>
          <w:rFonts w:cs="Times New Roman"/>
          <w:noProof/>
        </w:rPr>
      </w:pPr>
      <w:r>
        <w:rPr>
          <w:noProof/>
        </w:rPr>
        <w:t>Măsurile incluse în acest grup sunt:</w:t>
      </w:r>
    </w:p>
    <w:p w14:paraId="0395E502" w14:textId="77777777" w:rsidR="00C45D59" w:rsidRDefault="009B0962">
      <w:pPr>
        <w:pStyle w:val="P68B1DB1-ListParagraph32"/>
        <w:numPr>
          <w:ilvl w:val="0"/>
          <w:numId w:val="33"/>
        </w:numPr>
        <w:spacing w:before="120" w:after="120" w:line="240" w:lineRule="auto"/>
        <w:rPr>
          <w:rFonts w:cs="Times New Roman"/>
          <w:noProof/>
        </w:rPr>
      </w:pPr>
      <w:r>
        <w:rPr>
          <w:noProof/>
        </w:rPr>
        <w:t>Mijloace aeriene de gestionare a crizelor (ID: 16911)</w:t>
      </w:r>
    </w:p>
    <w:p w14:paraId="287F3E3E" w14:textId="77777777" w:rsidR="00C45D59" w:rsidRDefault="009B0962">
      <w:pPr>
        <w:pStyle w:val="P68B1DB1-ListParagraph32"/>
        <w:numPr>
          <w:ilvl w:val="0"/>
          <w:numId w:val="33"/>
        </w:numPr>
        <w:spacing w:before="120" w:after="120" w:line="240" w:lineRule="auto"/>
        <w:rPr>
          <w:rFonts w:cs="Times New Roman"/>
          <w:noProof/>
        </w:rPr>
      </w:pPr>
      <w:r>
        <w:rPr>
          <w:noProof/>
        </w:rPr>
        <w:t>Gestionarea și monitorizarea protecției civile (ID: 16910)</w:t>
      </w:r>
    </w:p>
    <w:p w14:paraId="34839310" w14:textId="77777777" w:rsidR="00C45D59" w:rsidRDefault="009B0962">
      <w:pPr>
        <w:pStyle w:val="P68B1DB1-ListParagraph32"/>
        <w:numPr>
          <w:ilvl w:val="0"/>
          <w:numId w:val="33"/>
        </w:numPr>
        <w:spacing w:before="120" w:after="120" w:line="240" w:lineRule="auto"/>
        <w:rPr>
          <w:rFonts w:cs="Times New Roman"/>
          <w:noProof/>
        </w:rPr>
      </w:pPr>
      <w:r>
        <w:rPr>
          <w:noProof/>
        </w:rPr>
        <w:t>Echipamente de combatere a incendiilor forestiere, de prevenire și de răspuns (ID: 16912)</w:t>
      </w:r>
    </w:p>
    <w:p w14:paraId="36AD8BAE" w14:textId="77777777" w:rsidR="00C45D59" w:rsidRDefault="009B0962">
      <w:pPr>
        <w:pStyle w:val="P68B1DB1-ListParagraph32"/>
        <w:numPr>
          <w:ilvl w:val="0"/>
          <w:numId w:val="33"/>
        </w:numPr>
        <w:spacing w:before="120" w:after="120" w:line="240" w:lineRule="auto"/>
        <w:rPr>
          <w:rFonts w:cs="Times New Roman"/>
          <w:noProof/>
        </w:rPr>
      </w:pPr>
      <w:r>
        <w:rPr>
          <w:noProof/>
        </w:rPr>
        <w:t>Punerea în aplicare a centrelor regionale de protecție civilă (PEKEPP) prin intermediul programelor PPP (ID: 16283)</w:t>
      </w:r>
    </w:p>
    <w:p w14:paraId="3AD454E6" w14:textId="68B5FF3E" w:rsidR="00C45D59" w:rsidRDefault="009B0962">
      <w:pPr>
        <w:pStyle w:val="P68B1DB1-ListParagraph32"/>
        <w:numPr>
          <w:ilvl w:val="0"/>
          <w:numId w:val="33"/>
        </w:numPr>
        <w:spacing w:before="120" w:after="120" w:line="240" w:lineRule="auto"/>
        <w:rPr>
          <w:noProof/>
        </w:rPr>
      </w:pPr>
      <w:r>
        <w:rPr>
          <w:noProof/>
        </w:rPr>
        <w:t>Inspecția primară a rezistenței seismice a clădirilor sau a instalațiilor sportive (ID: 16983)</w:t>
      </w:r>
    </w:p>
    <w:tbl>
      <w:tblPr>
        <w:tblStyle w:val="TableGrid"/>
        <w:tblW w:w="155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80" w:firstRow="0" w:lastRow="0" w:firstColumn="1" w:lastColumn="0" w:noHBand="0" w:noVBand="1"/>
      </w:tblPr>
      <w:tblGrid>
        <w:gridCol w:w="575"/>
        <w:gridCol w:w="1680"/>
        <w:gridCol w:w="1143"/>
        <w:gridCol w:w="1277"/>
        <w:gridCol w:w="1320"/>
        <w:gridCol w:w="1200"/>
        <w:gridCol w:w="960"/>
        <w:gridCol w:w="960"/>
        <w:gridCol w:w="960"/>
        <w:gridCol w:w="960"/>
        <w:gridCol w:w="4553"/>
      </w:tblGrid>
      <w:tr w:rsidR="00C45D59" w14:paraId="5302DFFE" w14:textId="77777777">
        <w:trPr>
          <w:trHeight w:val="612"/>
          <w:tblHeader/>
          <w:jc w:val="center"/>
        </w:trPr>
        <w:tc>
          <w:tcPr>
            <w:tcW w:w="575" w:type="dxa"/>
            <w:vMerge w:val="restart"/>
            <w:shd w:val="clear" w:color="auto" w:fill="BDD7EE"/>
            <w:vAlign w:val="center"/>
            <w:hideMark/>
          </w:tcPr>
          <w:p w14:paraId="7EC9C85A" w14:textId="2594570D" w:rsidR="00C45D59" w:rsidRDefault="009B0962">
            <w:pPr>
              <w:pStyle w:val="P68B1DB1-Normal10"/>
              <w:jc w:val="center"/>
              <w:rPr>
                <w:rFonts w:eastAsia="Times New Roman" w:cs="Times New Roman"/>
                <w:bCs/>
                <w:noProof/>
                <w:szCs w:val="18"/>
              </w:rPr>
            </w:pPr>
            <w:r>
              <w:rPr>
                <w:noProof/>
              </w:rPr>
              <w:t>Nr</w:t>
            </w:r>
            <w:r w:rsidR="009F5BD9">
              <w:rPr>
                <w:noProof/>
              </w:rPr>
              <w:t>.</w:t>
            </w:r>
            <w:r>
              <w:rPr>
                <w:noProof/>
              </w:rPr>
              <w:t xml:space="preserve"> </w:t>
            </w:r>
            <w:r w:rsidR="009F5BD9">
              <w:rPr>
                <w:noProof/>
              </w:rPr>
              <w:t>crt</w:t>
            </w:r>
            <w:r>
              <w:rPr>
                <w:noProof/>
              </w:rPr>
              <w:t>.</w:t>
            </w:r>
          </w:p>
        </w:tc>
        <w:tc>
          <w:tcPr>
            <w:tcW w:w="1680" w:type="dxa"/>
            <w:vMerge w:val="restart"/>
            <w:shd w:val="clear" w:color="auto" w:fill="BDD7EE"/>
            <w:vAlign w:val="center"/>
            <w:hideMark/>
          </w:tcPr>
          <w:p w14:paraId="1E182BDE" w14:textId="77777777" w:rsidR="00C45D59" w:rsidRDefault="009B0962">
            <w:pPr>
              <w:pStyle w:val="P68B1DB1-Normal10"/>
              <w:jc w:val="center"/>
              <w:rPr>
                <w:rFonts w:eastAsia="Times New Roman" w:cs="Times New Roman"/>
                <w:bCs/>
                <w:noProof/>
                <w:szCs w:val="18"/>
              </w:rPr>
            </w:pPr>
            <w:r>
              <w:rPr>
                <w:noProof/>
              </w:rPr>
              <w:t>Măsură conexă (reformă sau investiții)</w:t>
            </w:r>
          </w:p>
        </w:tc>
        <w:tc>
          <w:tcPr>
            <w:tcW w:w="1143" w:type="dxa"/>
            <w:vMerge w:val="restart"/>
            <w:shd w:val="clear" w:color="auto" w:fill="BDD7EE"/>
            <w:vAlign w:val="center"/>
            <w:hideMark/>
          </w:tcPr>
          <w:p w14:paraId="2057B134" w14:textId="5E7C4958" w:rsidR="00C45D59" w:rsidRDefault="009B0962">
            <w:pPr>
              <w:pStyle w:val="P68B1DB1-Normal10"/>
              <w:jc w:val="center"/>
              <w:rPr>
                <w:rFonts w:eastAsia="Times New Roman" w:cs="Times New Roman"/>
                <w:bCs/>
                <w:noProof/>
                <w:szCs w:val="18"/>
              </w:rPr>
            </w:pPr>
            <w:r>
              <w:rPr>
                <w:noProof/>
              </w:rPr>
              <w:t>Etapă/</w:t>
            </w:r>
            <w:r w:rsidR="009F5BD9">
              <w:rPr>
                <w:noProof/>
              </w:rPr>
              <w:t xml:space="preserve"> </w:t>
            </w:r>
            <w:r>
              <w:rPr>
                <w:noProof/>
              </w:rPr>
              <w:t>Obiectiv</w:t>
            </w:r>
          </w:p>
        </w:tc>
        <w:tc>
          <w:tcPr>
            <w:tcW w:w="1277" w:type="dxa"/>
            <w:vMerge w:val="restart"/>
            <w:shd w:val="clear" w:color="auto" w:fill="BDD7EE"/>
            <w:vAlign w:val="center"/>
            <w:hideMark/>
          </w:tcPr>
          <w:p w14:paraId="5F35CB4A" w14:textId="1F8F7B5C" w:rsidR="00C45D59" w:rsidRDefault="009F5BD9">
            <w:pPr>
              <w:pStyle w:val="P68B1DB1-Normal10"/>
              <w:jc w:val="center"/>
              <w:rPr>
                <w:rFonts w:eastAsia="Times New Roman" w:cs="Times New Roman"/>
                <w:bCs/>
                <w:noProof/>
                <w:szCs w:val="18"/>
              </w:rPr>
            </w:pPr>
            <w:r>
              <w:rPr>
                <w:noProof/>
              </w:rPr>
              <w:t>Denumire</w:t>
            </w:r>
          </w:p>
        </w:tc>
        <w:tc>
          <w:tcPr>
            <w:tcW w:w="1320" w:type="dxa"/>
            <w:vMerge w:val="restart"/>
            <w:shd w:val="clear" w:color="auto" w:fill="BDD7EE"/>
            <w:vAlign w:val="center"/>
            <w:hideMark/>
          </w:tcPr>
          <w:p w14:paraId="2DC4C6F3" w14:textId="77777777" w:rsidR="00C45D59" w:rsidRDefault="009B0962">
            <w:pPr>
              <w:pStyle w:val="P68B1DB1-Normal10"/>
              <w:jc w:val="center"/>
              <w:rPr>
                <w:rFonts w:eastAsia="Times New Roman" w:cs="Times New Roman"/>
                <w:bCs/>
                <w:noProof/>
                <w:szCs w:val="18"/>
              </w:rPr>
            </w:pPr>
            <w:r>
              <w:rPr>
                <w:noProof/>
              </w:rPr>
              <w:t>Indicatori calitativi (pentru obiectivele de etapă)</w:t>
            </w:r>
          </w:p>
        </w:tc>
        <w:tc>
          <w:tcPr>
            <w:tcW w:w="3120" w:type="dxa"/>
            <w:gridSpan w:val="3"/>
            <w:shd w:val="clear" w:color="auto" w:fill="BDD7EE"/>
            <w:vAlign w:val="center"/>
            <w:hideMark/>
          </w:tcPr>
          <w:p w14:paraId="711135C9" w14:textId="32016D12" w:rsidR="00C45D59" w:rsidRDefault="009B0962">
            <w:pPr>
              <w:pStyle w:val="P68B1DB1-Normal18"/>
              <w:jc w:val="center"/>
              <w:rPr>
                <w:rFonts w:ascii="Times New Roman" w:eastAsia="Times New Roman" w:hAnsi="Times New Roman" w:cs="Times New Roman"/>
                <w:bCs/>
                <w:noProof/>
                <w:szCs w:val="18"/>
              </w:rPr>
            </w:pPr>
            <w:r>
              <w:rPr>
                <w:rFonts w:ascii="Times New Roman" w:hAnsi="Times New Roman"/>
                <w:noProof/>
              </w:rPr>
              <w:t xml:space="preserve">Indicatori cantitativi </w:t>
            </w:r>
            <w:r>
              <w:rPr>
                <w:rFonts w:ascii="Times New Roman" w:hAnsi="Times New Roman" w:cs="Times New Roman"/>
                <w:noProof/>
                <w:szCs w:val="18"/>
              </w:rPr>
              <w:br/>
            </w:r>
            <w:r>
              <w:rPr>
                <w:rFonts w:ascii="Times New Roman" w:hAnsi="Times New Roman"/>
                <w:noProof/>
              </w:rPr>
              <w:t xml:space="preserve"> (pentru obiective)</w:t>
            </w:r>
          </w:p>
        </w:tc>
        <w:tc>
          <w:tcPr>
            <w:tcW w:w="1920" w:type="dxa"/>
            <w:gridSpan w:val="2"/>
            <w:shd w:val="clear" w:color="auto" w:fill="BDD7EE"/>
            <w:vAlign w:val="center"/>
            <w:hideMark/>
          </w:tcPr>
          <w:p w14:paraId="3C49543C" w14:textId="77777777" w:rsidR="00C45D59" w:rsidRDefault="009B0962">
            <w:pPr>
              <w:pStyle w:val="P68B1DB1-Normal10"/>
              <w:jc w:val="center"/>
              <w:rPr>
                <w:rFonts w:eastAsia="Times New Roman" w:cs="Times New Roman"/>
                <w:bCs/>
                <w:noProof/>
                <w:szCs w:val="18"/>
              </w:rPr>
            </w:pPr>
            <w:r>
              <w:rPr>
                <w:noProof/>
              </w:rPr>
              <w:t xml:space="preserve">Calendar orientativ pentru finalizare </w:t>
            </w:r>
          </w:p>
        </w:tc>
        <w:tc>
          <w:tcPr>
            <w:tcW w:w="4553" w:type="dxa"/>
            <w:vMerge w:val="restart"/>
            <w:shd w:val="clear" w:color="auto" w:fill="BDD7EE"/>
            <w:vAlign w:val="center"/>
            <w:hideMark/>
          </w:tcPr>
          <w:p w14:paraId="64315125" w14:textId="77777777" w:rsidR="00C45D59" w:rsidRDefault="009B0962">
            <w:pPr>
              <w:pStyle w:val="P68B1DB1-Normal10"/>
              <w:jc w:val="center"/>
              <w:rPr>
                <w:rFonts w:eastAsia="Times New Roman" w:cs="Times New Roman"/>
                <w:bCs/>
                <w:noProof/>
                <w:szCs w:val="18"/>
              </w:rPr>
            </w:pPr>
            <w:r>
              <w:rPr>
                <w:noProof/>
              </w:rPr>
              <w:t>Descrierea fiecărui jalon și a fiecărei ținte</w:t>
            </w:r>
          </w:p>
        </w:tc>
      </w:tr>
      <w:tr w:rsidR="00C45D59" w14:paraId="7F542223" w14:textId="77777777">
        <w:trPr>
          <w:trHeight w:val="540"/>
          <w:tblHeader/>
          <w:jc w:val="center"/>
        </w:trPr>
        <w:tc>
          <w:tcPr>
            <w:tcW w:w="575" w:type="dxa"/>
            <w:vMerge/>
            <w:vAlign w:val="center"/>
            <w:hideMark/>
          </w:tcPr>
          <w:p w14:paraId="3057EE2A" w14:textId="77777777" w:rsidR="00C45D59" w:rsidRDefault="00C45D59">
            <w:pPr>
              <w:rPr>
                <w:rFonts w:ascii="Times New Roman" w:eastAsia="Times New Roman" w:hAnsi="Times New Roman" w:cs="Times New Roman"/>
                <w:b/>
                <w:bCs/>
                <w:noProof/>
                <w:sz w:val="18"/>
                <w:szCs w:val="18"/>
              </w:rPr>
            </w:pPr>
          </w:p>
        </w:tc>
        <w:tc>
          <w:tcPr>
            <w:tcW w:w="1680" w:type="dxa"/>
            <w:vMerge/>
            <w:vAlign w:val="center"/>
            <w:hideMark/>
          </w:tcPr>
          <w:p w14:paraId="38588166" w14:textId="77777777" w:rsidR="00C45D59" w:rsidRDefault="00C45D59">
            <w:pPr>
              <w:rPr>
                <w:rFonts w:ascii="Times New Roman" w:eastAsia="Times New Roman" w:hAnsi="Times New Roman" w:cs="Times New Roman"/>
                <w:b/>
                <w:bCs/>
                <w:noProof/>
                <w:sz w:val="18"/>
                <w:szCs w:val="18"/>
              </w:rPr>
            </w:pPr>
          </w:p>
        </w:tc>
        <w:tc>
          <w:tcPr>
            <w:tcW w:w="1143" w:type="dxa"/>
            <w:vMerge/>
            <w:vAlign w:val="center"/>
            <w:hideMark/>
          </w:tcPr>
          <w:p w14:paraId="3668EC1D" w14:textId="77777777" w:rsidR="00C45D59" w:rsidRDefault="00C45D59">
            <w:pPr>
              <w:rPr>
                <w:rFonts w:ascii="Times New Roman" w:eastAsia="Times New Roman" w:hAnsi="Times New Roman" w:cs="Times New Roman"/>
                <w:b/>
                <w:bCs/>
                <w:noProof/>
                <w:sz w:val="18"/>
                <w:szCs w:val="18"/>
              </w:rPr>
            </w:pPr>
          </w:p>
        </w:tc>
        <w:tc>
          <w:tcPr>
            <w:tcW w:w="1277" w:type="dxa"/>
            <w:vMerge/>
            <w:vAlign w:val="center"/>
            <w:hideMark/>
          </w:tcPr>
          <w:p w14:paraId="7236E801" w14:textId="77777777" w:rsidR="00C45D59" w:rsidRDefault="00C45D59">
            <w:pPr>
              <w:rPr>
                <w:rFonts w:ascii="Times New Roman" w:eastAsia="Times New Roman" w:hAnsi="Times New Roman" w:cs="Times New Roman"/>
                <w:b/>
                <w:bCs/>
                <w:noProof/>
                <w:sz w:val="18"/>
                <w:szCs w:val="18"/>
              </w:rPr>
            </w:pPr>
          </w:p>
        </w:tc>
        <w:tc>
          <w:tcPr>
            <w:tcW w:w="1320" w:type="dxa"/>
            <w:vMerge/>
            <w:vAlign w:val="center"/>
            <w:hideMark/>
          </w:tcPr>
          <w:p w14:paraId="3F6F558A" w14:textId="77777777" w:rsidR="00C45D59" w:rsidRDefault="00C45D59">
            <w:pPr>
              <w:rPr>
                <w:rFonts w:ascii="Times New Roman" w:eastAsia="Times New Roman" w:hAnsi="Times New Roman" w:cs="Times New Roman"/>
                <w:b/>
                <w:bCs/>
                <w:noProof/>
                <w:sz w:val="18"/>
                <w:szCs w:val="18"/>
              </w:rPr>
            </w:pPr>
          </w:p>
        </w:tc>
        <w:tc>
          <w:tcPr>
            <w:tcW w:w="1200" w:type="dxa"/>
            <w:shd w:val="clear" w:color="auto" w:fill="BDD7EE"/>
            <w:vAlign w:val="center"/>
            <w:hideMark/>
          </w:tcPr>
          <w:p w14:paraId="2D316D9E" w14:textId="77777777" w:rsidR="00C45D59" w:rsidRDefault="009B0962">
            <w:pPr>
              <w:pStyle w:val="P68B1DB1-Normal10"/>
              <w:jc w:val="center"/>
              <w:rPr>
                <w:rFonts w:eastAsia="Times New Roman" w:cs="Times New Roman"/>
                <w:bCs/>
                <w:noProof/>
                <w:szCs w:val="18"/>
              </w:rPr>
            </w:pPr>
            <w:r>
              <w:rPr>
                <w:noProof/>
              </w:rPr>
              <w:t>Unitatea de măsură</w:t>
            </w:r>
          </w:p>
        </w:tc>
        <w:tc>
          <w:tcPr>
            <w:tcW w:w="960" w:type="dxa"/>
            <w:shd w:val="clear" w:color="auto" w:fill="BDD7EE"/>
            <w:vAlign w:val="center"/>
            <w:hideMark/>
          </w:tcPr>
          <w:p w14:paraId="5C47221C" w14:textId="77777777" w:rsidR="00C45D59" w:rsidRDefault="009B0962">
            <w:pPr>
              <w:pStyle w:val="P68B1DB1-Normal10"/>
              <w:jc w:val="center"/>
              <w:rPr>
                <w:rFonts w:eastAsia="Times New Roman" w:cs="Times New Roman"/>
                <w:bCs/>
                <w:noProof/>
                <w:szCs w:val="18"/>
              </w:rPr>
            </w:pPr>
            <w:r>
              <w:rPr>
                <w:noProof/>
              </w:rPr>
              <w:t xml:space="preserve">Situația de referință </w:t>
            </w:r>
          </w:p>
        </w:tc>
        <w:tc>
          <w:tcPr>
            <w:tcW w:w="960" w:type="dxa"/>
            <w:shd w:val="clear" w:color="auto" w:fill="BDD7EE"/>
            <w:vAlign w:val="center"/>
            <w:hideMark/>
          </w:tcPr>
          <w:p w14:paraId="2FF4729A" w14:textId="77777777" w:rsidR="00C45D59" w:rsidRDefault="009B0962">
            <w:pPr>
              <w:pStyle w:val="P68B1DB1-Normal10"/>
              <w:jc w:val="center"/>
              <w:rPr>
                <w:rFonts w:eastAsia="Times New Roman" w:cs="Times New Roman"/>
                <w:bCs/>
                <w:noProof/>
                <w:szCs w:val="18"/>
              </w:rPr>
            </w:pPr>
            <w:r>
              <w:rPr>
                <w:noProof/>
              </w:rPr>
              <w:t xml:space="preserve">Obiectiv </w:t>
            </w:r>
          </w:p>
        </w:tc>
        <w:tc>
          <w:tcPr>
            <w:tcW w:w="960" w:type="dxa"/>
            <w:shd w:val="clear" w:color="auto" w:fill="BDD7EE"/>
            <w:vAlign w:val="center"/>
            <w:hideMark/>
          </w:tcPr>
          <w:p w14:paraId="4FDD3D09" w14:textId="77777777" w:rsidR="00C45D59" w:rsidRDefault="009B0962">
            <w:pPr>
              <w:pStyle w:val="P68B1DB1-Normal10"/>
              <w:jc w:val="center"/>
              <w:rPr>
                <w:rFonts w:eastAsia="Times New Roman" w:cs="Times New Roman"/>
                <w:bCs/>
                <w:noProof/>
                <w:szCs w:val="18"/>
              </w:rPr>
            </w:pPr>
            <w:r>
              <w:rPr>
                <w:noProof/>
              </w:rPr>
              <w:t>Trimestru</w:t>
            </w:r>
          </w:p>
        </w:tc>
        <w:tc>
          <w:tcPr>
            <w:tcW w:w="960" w:type="dxa"/>
            <w:shd w:val="clear" w:color="auto" w:fill="BDD7EE"/>
            <w:vAlign w:val="center"/>
            <w:hideMark/>
          </w:tcPr>
          <w:p w14:paraId="757B59DC" w14:textId="77777777" w:rsidR="00C45D59" w:rsidRDefault="009B0962">
            <w:pPr>
              <w:pStyle w:val="P68B1DB1-Normal10"/>
              <w:jc w:val="center"/>
              <w:rPr>
                <w:rFonts w:eastAsia="Times New Roman" w:cs="Times New Roman"/>
                <w:bCs/>
                <w:noProof/>
                <w:szCs w:val="18"/>
              </w:rPr>
            </w:pPr>
            <w:r>
              <w:rPr>
                <w:noProof/>
              </w:rPr>
              <w:t>Anul</w:t>
            </w:r>
          </w:p>
        </w:tc>
        <w:tc>
          <w:tcPr>
            <w:tcW w:w="4553" w:type="dxa"/>
            <w:vMerge/>
            <w:vAlign w:val="center"/>
            <w:hideMark/>
          </w:tcPr>
          <w:p w14:paraId="183333BA" w14:textId="77777777" w:rsidR="00C45D59" w:rsidRDefault="00C45D59">
            <w:pPr>
              <w:rPr>
                <w:rFonts w:ascii="Times New Roman" w:eastAsia="Times New Roman" w:hAnsi="Times New Roman" w:cs="Times New Roman"/>
                <w:b/>
                <w:bCs/>
                <w:noProof/>
                <w:sz w:val="18"/>
                <w:szCs w:val="18"/>
              </w:rPr>
            </w:pPr>
          </w:p>
        </w:tc>
      </w:tr>
      <w:tr w:rsidR="00C45D59" w14:paraId="5BFCD9E4" w14:textId="77777777">
        <w:trPr>
          <w:trHeight w:val="309"/>
          <w:jc w:val="center"/>
        </w:trPr>
        <w:tc>
          <w:tcPr>
            <w:tcW w:w="575" w:type="dxa"/>
            <w:shd w:val="clear" w:color="auto" w:fill="C6EFCE"/>
            <w:noWrap/>
          </w:tcPr>
          <w:p w14:paraId="59AE8210" w14:textId="77777777" w:rsidR="00C45D59" w:rsidRDefault="009B0962">
            <w:pPr>
              <w:pStyle w:val="P68B1DB1-Normal12"/>
              <w:rPr>
                <w:rFonts w:eastAsia="Times New Roman"/>
                <w:noProof/>
              </w:rPr>
            </w:pPr>
            <w:r>
              <w:rPr>
                <w:noProof/>
              </w:rPr>
              <w:t>77</w:t>
            </w:r>
          </w:p>
        </w:tc>
        <w:tc>
          <w:tcPr>
            <w:tcW w:w="1680" w:type="dxa"/>
            <w:shd w:val="clear" w:color="auto" w:fill="C6EFCE"/>
            <w:noWrap/>
          </w:tcPr>
          <w:p w14:paraId="16C088A4" w14:textId="77777777" w:rsidR="00C45D59" w:rsidRDefault="009B0962">
            <w:pPr>
              <w:pStyle w:val="P68B1DB1-Normal12"/>
              <w:spacing w:after="0" w:line="240" w:lineRule="auto"/>
              <w:rPr>
                <w:noProof/>
              </w:rPr>
            </w:pPr>
            <w:r>
              <w:rPr>
                <w:noProof/>
              </w:rPr>
              <w:t>4-1.4. Utilizarea durabilă a resurselor, reziliența la schimbările climatice și protecția mediului – 16283_ Punerea în aplicare a centrelor regionale de protecție civilă (PEKEPP) prin intermediul programelor PPP</w:t>
            </w:r>
          </w:p>
        </w:tc>
        <w:tc>
          <w:tcPr>
            <w:tcW w:w="1143" w:type="dxa"/>
            <w:shd w:val="clear" w:color="auto" w:fill="C6EFCE"/>
            <w:noWrap/>
          </w:tcPr>
          <w:p w14:paraId="7346B379" w14:textId="77777777" w:rsidR="00C45D59" w:rsidRDefault="009B0962">
            <w:pPr>
              <w:pStyle w:val="P68B1DB1-Normal12"/>
              <w:spacing w:after="0" w:line="240" w:lineRule="auto"/>
              <w:rPr>
                <w:noProof/>
              </w:rPr>
            </w:pPr>
            <w:r>
              <w:rPr>
                <w:noProof/>
              </w:rPr>
              <w:t>Etapă</w:t>
            </w:r>
          </w:p>
        </w:tc>
        <w:tc>
          <w:tcPr>
            <w:tcW w:w="1277" w:type="dxa"/>
            <w:shd w:val="clear" w:color="auto" w:fill="C6EFCE"/>
            <w:noWrap/>
          </w:tcPr>
          <w:p w14:paraId="7A601620" w14:textId="50E58F54" w:rsidR="00C45D59" w:rsidRDefault="009B0962">
            <w:pPr>
              <w:pStyle w:val="P68B1DB1-Normal12"/>
              <w:spacing w:after="0" w:line="240" w:lineRule="auto"/>
              <w:rPr>
                <w:noProof/>
              </w:rPr>
            </w:pPr>
            <w:r>
              <w:rPr>
                <w:noProof/>
              </w:rPr>
              <w:t>Licitație pentru 13 centre regionale</w:t>
            </w:r>
          </w:p>
        </w:tc>
        <w:tc>
          <w:tcPr>
            <w:tcW w:w="1320" w:type="dxa"/>
            <w:shd w:val="clear" w:color="auto" w:fill="C6EFCE"/>
            <w:noWrap/>
          </w:tcPr>
          <w:p w14:paraId="533DBC7D" w14:textId="77777777" w:rsidR="00C45D59" w:rsidRDefault="009B0962">
            <w:pPr>
              <w:pStyle w:val="P68B1DB1-Normal12"/>
              <w:spacing w:after="0" w:line="240" w:lineRule="auto"/>
              <w:rPr>
                <w:noProof/>
              </w:rPr>
            </w:pPr>
            <w:r>
              <w:rPr>
                <w:noProof/>
              </w:rPr>
              <w:t>Publicarea anunțului de participare</w:t>
            </w:r>
          </w:p>
        </w:tc>
        <w:tc>
          <w:tcPr>
            <w:tcW w:w="1200" w:type="dxa"/>
            <w:shd w:val="clear" w:color="auto" w:fill="C6EFCE"/>
            <w:noWrap/>
          </w:tcPr>
          <w:p w14:paraId="0274F2C9" w14:textId="77777777" w:rsidR="00C45D59" w:rsidRDefault="00C45D59">
            <w:pPr>
              <w:rPr>
                <w:rFonts w:ascii="Times New Roman" w:eastAsia="Times New Roman" w:hAnsi="Times New Roman" w:cs="Times New Roman"/>
                <w:noProof/>
                <w:color w:val="006100"/>
                <w:sz w:val="18"/>
                <w:szCs w:val="18"/>
              </w:rPr>
            </w:pPr>
          </w:p>
        </w:tc>
        <w:tc>
          <w:tcPr>
            <w:tcW w:w="960" w:type="dxa"/>
            <w:shd w:val="clear" w:color="auto" w:fill="C6EFCE"/>
            <w:noWrap/>
          </w:tcPr>
          <w:p w14:paraId="5B92C7A9" w14:textId="77777777" w:rsidR="00C45D59" w:rsidRDefault="00C45D59">
            <w:pPr>
              <w:rPr>
                <w:rFonts w:ascii="Times New Roman" w:eastAsia="Times New Roman" w:hAnsi="Times New Roman" w:cs="Times New Roman"/>
                <w:noProof/>
                <w:color w:val="006100"/>
                <w:sz w:val="18"/>
                <w:szCs w:val="18"/>
              </w:rPr>
            </w:pPr>
          </w:p>
        </w:tc>
        <w:tc>
          <w:tcPr>
            <w:tcW w:w="960" w:type="dxa"/>
            <w:shd w:val="clear" w:color="auto" w:fill="C6EFCE"/>
            <w:noWrap/>
          </w:tcPr>
          <w:p w14:paraId="2902728B" w14:textId="77777777" w:rsidR="00C45D59" w:rsidRDefault="00C45D59">
            <w:pPr>
              <w:rPr>
                <w:rFonts w:ascii="Times New Roman" w:eastAsia="Times New Roman" w:hAnsi="Times New Roman" w:cs="Times New Roman"/>
                <w:noProof/>
                <w:color w:val="006100"/>
                <w:sz w:val="18"/>
                <w:szCs w:val="18"/>
              </w:rPr>
            </w:pPr>
          </w:p>
        </w:tc>
        <w:tc>
          <w:tcPr>
            <w:tcW w:w="960" w:type="dxa"/>
            <w:shd w:val="clear" w:color="auto" w:fill="C6EFCE"/>
            <w:noWrap/>
          </w:tcPr>
          <w:p w14:paraId="5DF1084D" w14:textId="77777777" w:rsidR="00C45D59" w:rsidRDefault="009B0962">
            <w:pPr>
              <w:pStyle w:val="P68B1DB1-Normal12"/>
              <w:rPr>
                <w:rFonts w:eastAsia="Times New Roman"/>
                <w:noProof/>
              </w:rPr>
            </w:pPr>
            <w:r>
              <w:rPr>
                <w:noProof/>
              </w:rPr>
              <w:t>Î3</w:t>
            </w:r>
          </w:p>
        </w:tc>
        <w:tc>
          <w:tcPr>
            <w:tcW w:w="960" w:type="dxa"/>
            <w:shd w:val="clear" w:color="auto" w:fill="C6EFCE"/>
            <w:noWrap/>
          </w:tcPr>
          <w:p w14:paraId="02D84898" w14:textId="77777777" w:rsidR="00C45D59" w:rsidRDefault="009B0962">
            <w:pPr>
              <w:pStyle w:val="P68B1DB1-Normal12"/>
              <w:rPr>
                <w:rFonts w:eastAsia="Times New Roman"/>
                <w:noProof/>
              </w:rPr>
            </w:pPr>
            <w:r>
              <w:rPr>
                <w:noProof/>
              </w:rPr>
              <w:t>2021</w:t>
            </w:r>
          </w:p>
        </w:tc>
        <w:tc>
          <w:tcPr>
            <w:tcW w:w="4553" w:type="dxa"/>
            <w:shd w:val="clear" w:color="auto" w:fill="C6EFCE"/>
            <w:noWrap/>
          </w:tcPr>
          <w:p w14:paraId="3E65A1CC" w14:textId="3A780FBD" w:rsidR="00C45D59" w:rsidRDefault="009B0962">
            <w:pPr>
              <w:pStyle w:val="P68B1DB1-Normal12"/>
              <w:rPr>
                <w:rFonts w:eastAsia="Times New Roman"/>
                <w:noProof/>
              </w:rPr>
            </w:pPr>
            <w:r>
              <w:rPr>
                <w:noProof/>
              </w:rPr>
              <w:t>Publicarea unui anunț de participare pentru construirea a 13 de centre regionale de protecție civilă.</w:t>
            </w:r>
          </w:p>
        </w:tc>
      </w:tr>
      <w:tr w:rsidR="00C45D59" w14:paraId="523EE8FA" w14:textId="77777777">
        <w:trPr>
          <w:trHeight w:val="309"/>
          <w:jc w:val="center"/>
        </w:trPr>
        <w:tc>
          <w:tcPr>
            <w:tcW w:w="575" w:type="dxa"/>
            <w:shd w:val="clear" w:color="auto" w:fill="C6EFCE"/>
            <w:noWrap/>
          </w:tcPr>
          <w:p w14:paraId="0E3FD4F3" w14:textId="77777777" w:rsidR="00C45D59" w:rsidRDefault="009B0962">
            <w:pPr>
              <w:pStyle w:val="P68B1DB1-Normal12"/>
              <w:rPr>
                <w:rFonts w:eastAsia="Times New Roman"/>
                <w:noProof/>
              </w:rPr>
            </w:pPr>
            <w:r>
              <w:rPr>
                <w:noProof/>
              </w:rPr>
              <w:t>78</w:t>
            </w:r>
          </w:p>
        </w:tc>
        <w:tc>
          <w:tcPr>
            <w:tcW w:w="1680" w:type="dxa"/>
            <w:shd w:val="clear" w:color="auto" w:fill="C6EFCE"/>
            <w:noWrap/>
          </w:tcPr>
          <w:p w14:paraId="41D92EF1" w14:textId="77777777" w:rsidR="00C45D59" w:rsidRDefault="009B0962">
            <w:pPr>
              <w:pStyle w:val="P68B1DB1-Normal12"/>
              <w:spacing w:after="0" w:line="240" w:lineRule="auto"/>
              <w:rPr>
                <w:noProof/>
              </w:rPr>
            </w:pPr>
            <w:r>
              <w:rPr>
                <w:noProof/>
              </w:rPr>
              <w:t>4-1.4. Utilizarea durabilă a resurselor, reziliența la schimbările climatice și protecția mediului – 16910_Sistemul de monitorizare și gestionare</w:t>
            </w:r>
          </w:p>
        </w:tc>
        <w:tc>
          <w:tcPr>
            <w:tcW w:w="1143" w:type="dxa"/>
            <w:shd w:val="clear" w:color="auto" w:fill="C6EFCE"/>
            <w:noWrap/>
          </w:tcPr>
          <w:p w14:paraId="43EAA406" w14:textId="77777777" w:rsidR="00C45D59" w:rsidRDefault="009B0962">
            <w:pPr>
              <w:pStyle w:val="P68B1DB1-Normal12"/>
              <w:spacing w:after="0" w:line="240" w:lineRule="auto"/>
              <w:rPr>
                <w:noProof/>
              </w:rPr>
            </w:pPr>
            <w:r>
              <w:rPr>
                <w:noProof/>
              </w:rPr>
              <w:t>Etapă</w:t>
            </w:r>
          </w:p>
        </w:tc>
        <w:tc>
          <w:tcPr>
            <w:tcW w:w="1277" w:type="dxa"/>
            <w:shd w:val="clear" w:color="auto" w:fill="C6EFCE"/>
            <w:noWrap/>
          </w:tcPr>
          <w:p w14:paraId="1BA3572B" w14:textId="77777777" w:rsidR="00C45D59" w:rsidRDefault="009B0962">
            <w:pPr>
              <w:pStyle w:val="P68B1DB1-Normal12"/>
              <w:spacing w:after="0" w:line="240" w:lineRule="auto"/>
              <w:rPr>
                <w:noProof/>
              </w:rPr>
            </w:pPr>
            <w:r>
              <w:rPr>
                <w:noProof/>
              </w:rPr>
              <w:t>Contract pentru GPS</w:t>
            </w:r>
          </w:p>
        </w:tc>
        <w:tc>
          <w:tcPr>
            <w:tcW w:w="1320" w:type="dxa"/>
            <w:shd w:val="clear" w:color="auto" w:fill="C6EFCE"/>
            <w:noWrap/>
          </w:tcPr>
          <w:p w14:paraId="6453D00E" w14:textId="77777777" w:rsidR="00C45D59" w:rsidRDefault="009B0962">
            <w:pPr>
              <w:pStyle w:val="P68B1DB1-Normal12"/>
              <w:spacing w:after="0" w:line="240" w:lineRule="auto"/>
              <w:rPr>
                <w:noProof/>
              </w:rPr>
            </w:pPr>
            <w:r>
              <w:rPr>
                <w:noProof/>
              </w:rPr>
              <w:t xml:space="preserve">Notificarea atribuirii contractelor </w:t>
            </w:r>
          </w:p>
        </w:tc>
        <w:tc>
          <w:tcPr>
            <w:tcW w:w="1200" w:type="dxa"/>
            <w:shd w:val="clear" w:color="auto" w:fill="C6EFCE"/>
            <w:noWrap/>
          </w:tcPr>
          <w:p w14:paraId="7E619534" w14:textId="77777777" w:rsidR="00C45D59" w:rsidRDefault="00C45D59">
            <w:pPr>
              <w:rPr>
                <w:rFonts w:ascii="Times New Roman" w:eastAsia="Times New Roman" w:hAnsi="Times New Roman" w:cs="Times New Roman"/>
                <w:noProof/>
                <w:color w:val="006100"/>
                <w:sz w:val="18"/>
                <w:szCs w:val="18"/>
              </w:rPr>
            </w:pPr>
          </w:p>
        </w:tc>
        <w:tc>
          <w:tcPr>
            <w:tcW w:w="960" w:type="dxa"/>
            <w:shd w:val="clear" w:color="auto" w:fill="C6EFCE"/>
            <w:noWrap/>
          </w:tcPr>
          <w:p w14:paraId="00A5F038" w14:textId="77777777" w:rsidR="00C45D59" w:rsidRDefault="00C45D59">
            <w:pPr>
              <w:rPr>
                <w:rFonts w:ascii="Times New Roman" w:eastAsia="Times New Roman" w:hAnsi="Times New Roman" w:cs="Times New Roman"/>
                <w:noProof/>
                <w:color w:val="006100"/>
                <w:sz w:val="18"/>
                <w:szCs w:val="18"/>
              </w:rPr>
            </w:pPr>
          </w:p>
        </w:tc>
        <w:tc>
          <w:tcPr>
            <w:tcW w:w="960" w:type="dxa"/>
            <w:shd w:val="clear" w:color="auto" w:fill="C6EFCE"/>
            <w:noWrap/>
          </w:tcPr>
          <w:p w14:paraId="78FD3F6D" w14:textId="77777777" w:rsidR="00C45D59" w:rsidRDefault="00C45D59">
            <w:pPr>
              <w:rPr>
                <w:rFonts w:ascii="Times New Roman" w:eastAsia="Times New Roman" w:hAnsi="Times New Roman" w:cs="Times New Roman"/>
                <w:noProof/>
                <w:color w:val="006100"/>
                <w:sz w:val="18"/>
                <w:szCs w:val="18"/>
              </w:rPr>
            </w:pPr>
          </w:p>
        </w:tc>
        <w:tc>
          <w:tcPr>
            <w:tcW w:w="960" w:type="dxa"/>
            <w:shd w:val="clear" w:color="auto" w:fill="C6EFCE"/>
            <w:noWrap/>
          </w:tcPr>
          <w:p w14:paraId="26772373" w14:textId="77777777" w:rsidR="00C45D59" w:rsidRDefault="009B0962">
            <w:pPr>
              <w:pStyle w:val="P68B1DB1-Normal12"/>
              <w:rPr>
                <w:rFonts w:eastAsia="Times New Roman"/>
                <w:noProof/>
              </w:rPr>
            </w:pPr>
            <w:r>
              <w:rPr>
                <w:noProof/>
              </w:rPr>
              <w:t>Î4</w:t>
            </w:r>
          </w:p>
        </w:tc>
        <w:tc>
          <w:tcPr>
            <w:tcW w:w="960" w:type="dxa"/>
            <w:shd w:val="clear" w:color="auto" w:fill="C6EFCE"/>
            <w:noWrap/>
          </w:tcPr>
          <w:p w14:paraId="4397B28B" w14:textId="77777777" w:rsidR="00C45D59" w:rsidRDefault="009B0962">
            <w:pPr>
              <w:pStyle w:val="P68B1DB1-Normal12"/>
              <w:rPr>
                <w:rFonts w:eastAsia="Times New Roman"/>
                <w:noProof/>
              </w:rPr>
            </w:pPr>
            <w:r>
              <w:rPr>
                <w:noProof/>
              </w:rPr>
              <w:t>2022</w:t>
            </w:r>
          </w:p>
        </w:tc>
        <w:tc>
          <w:tcPr>
            <w:tcW w:w="4553" w:type="dxa"/>
            <w:shd w:val="clear" w:color="auto" w:fill="C6EFCE"/>
            <w:noWrap/>
          </w:tcPr>
          <w:p w14:paraId="2DA94814" w14:textId="77777777" w:rsidR="00C45D59" w:rsidRDefault="009B0962">
            <w:pPr>
              <w:pStyle w:val="P68B1DB1-Normal12"/>
              <w:rPr>
                <w:rFonts w:eastAsia="Times New Roman"/>
                <w:noProof/>
              </w:rPr>
            </w:pPr>
            <w:r>
              <w:rPr>
                <w:noProof/>
              </w:rPr>
              <w:t xml:space="preserve">Notificarea atribuirii contractului pentru sistemul de monitorizare GPS și sistemul de avertizare timpurie. </w:t>
            </w:r>
          </w:p>
        </w:tc>
      </w:tr>
      <w:tr w:rsidR="00C45D59" w14:paraId="17EC3DDF" w14:textId="77777777">
        <w:trPr>
          <w:trHeight w:val="1312"/>
          <w:jc w:val="center"/>
        </w:trPr>
        <w:tc>
          <w:tcPr>
            <w:tcW w:w="575" w:type="dxa"/>
            <w:shd w:val="clear" w:color="auto" w:fill="C6EFCE"/>
            <w:noWrap/>
          </w:tcPr>
          <w:p w14:paraId="527CA41F" w14:textId="77777777" w:rsidR="00C45D59" w:rsidRDefault="009B0962">
            <w:pPr>
              <w:pStyle w:val="P68B1DB1-Normal12"/>
              <w:rPr>
                <w:rFonts w:eastAsia="Times New Roman"/>
                <w:noProof/>
              </w:rPr>
            </w:pPr>
            <w:r>
              <w:rPr>
                <w:noProof/>
              </w:rPr>
              <w:t>79</w:t>
            </w:r>
          </w:p>
        </w:tc>
        <w:tc>
          <w:tcPr>
            <w:tcW w:w="1680" w:type="dxa"/>
            <w:shd w:val="clear" w:color="auto" w:fill="C6EFCE"/>
            <w:noWrap/>
          </w:tcPr>
          <w:p w14:paraId="12B12948" w14:textId="77777777" w:rsidR="00C45D59" w:rsidRDefault="009B0962">
            <w:pPr>
              <w:pStyle w:val="P68B1DB1-Normal12"/>
              <w:spacing w:after="0" w:line="240" w:lineRule="auto"/>
              <w:rPr>
                <w:noProof/>
              </w:rPr>
            </w:pPr>
            <w:r>
              <w:rPr>
                <w:noProof/>
              </w:rPr>
              <w:t>4-1.4. Utilizarea durabilă a resurselor, reziliența la schimbările climatice și protecția mediului – 16911_Mijloace aeriene de gestionare a crizelor</w:t>
            </w:r>
          </w:p>
        </w:tc>
        <w:tc>
          <w:tcPr>
            <w:tcW w:w="1143" w:type="dxa"/>
            <w:shd w:val="clear" w:color="auto" w:fill="C6EFCE"/>
            <w:noWrap/>
          </w:tcPr>
          <w:p w14:paraId="318977D7" w14:textId="77777777" w:rsidR="00C45D59" w:rsidRDefault="009B0962">
            <w:pPr>
              <w:pStyle w:val="P68B1DB1-Normal12"/>
              <w:spacing w:after="0" w:line="240" w:lineRule="auto"/>
              <w:rPr>
                <w:noProof/>
              </w:rPr>
            </w:pPr>
            <w:r>
              <w:rPr>
                <w:noProof/>
              </w:rPr>
              <w:t>Etapă</w:t>
            </w:r>
          </w:p>
        </w:tc>
        <w:tc>
          <w:tcPr>
            <w:tcW w:w="1277" w:type="dxa"/>
            <w:shd w:val="clear" w:color="auto" w:fill="C6EFCE"/>
            <w:noWrap/>
          </w:tcPr>
          <w:p w14:paraId="01C72DEE" w14:textId="77777777" w:rsidR="00C45D59" w:rsidRDefault="009B0962">
            <w:pPr>
              <w:pStyle w:val="P68B1DB1-Normal12"/>
              <w:spacing w:after="0" w:line="240" w:lineRule="auto"/>
              <w:rPr>
                <w:noProof/>
              </w:rPr>
            </w:pPr>
            <w:r>
              <w:rPr>
                <w:noProof/>
              </w:rPr>
              <w:t>Achiziționarea a două elicoptere de dimensiuni medii pentru stingerea incendiilor</w:t>
            </w:r>
          </w:p>
        </w:tc>
        <w:tc>
          <w:tcPr>
            <w:tcW w:w="1320" w:type="dxa"/>
            <w:shd w:val="clear" w:color="auto" w:fill="C6EFCE"/>
            <w:noWrap/>
          </w:tcPr>
          <w:p w14:paraId="5139A720" w14:textId="77777777" w:rsidR="00C45D59" w:rsidRDefault="009B0962">
            <w:pPr>
              <w:pStyle w:val="P68B1DB1-Normal12"/>
              <w:spacing w:after="0" w:line="240" w:lineRule="auto"/>
              <w:rPr>
                <w:noProof/>
              </w:rPr>
            </w:pPr>
            <w:r>
              <w:rPr>
                <w:noProof/>
              </w:rPr>
              <w:t xml:space="preserve">Notificarea atribuirii contractelor </w:t>
            </w:r>
          </w:p>
        </w:tc>
        <w:tc>
          <w:tcPr>
            <w:tcW w:w="1200" w:type="dxa"/>
            <w:shd w:val="clear" w:color="auto" w:fill="C6EFCE"/>
            <w:noWrap/>
          </w:tcPr>
          <w:p w14:paraId="2BCD6227" w14:textId="77777777" w:rsidR="00C45D59" w:rsidRDefault="00C45D59">
            <w:pPr>
              <w:rPr>
                <w:rFonts w:ascii="Times New Roman" w:eastAsia="Times New Roman" w:hAnsi="Times New Roman" w:cs="Times New Roman"/>
                <w:noProof/>
                <w:color w:val="006100"/>
                <w:sz w:val="18"/>
                <w:szCs w:val="18"/>
              </w:rPr>
            </w:pPr>
          </w:p>
        </w:tc>
        <w:tc>
          <w:tcPr>
            <w:tcW w:w="960" w:type="dxa"/>
            <w:shd w:val="clear" w:color="auto" w:fill="C6EFCE"/>
            <w:noWrap/>
          </w:tcPr>
          <w:p w14:paraId="013B2F63" w14:textId="77777777" w:rsidR="00C45D59" w:rsidRDefault="00C45D59">
            <w:pPr>
              <w:rPr>
                <w:rFonts w:ascii="Times New Roman" w:eastAsia="Times New Roman" w:hAnsi="Times New Roman" w:cs="Times New Roman"/>
                <w:noProof/>
                <w:color w:val="006100"/>
                <w:sz w:val="18"/>
                <w:szCs w:val="18"/>
              </w:rPr>
            </w:pPr>
          </w:p>
        </w:tc>
        <w:tc>
          <w:tcPr>
            <w:tcW w:w="960" w:type="dxa"/>
            <w:shd w:val="clear" w:color="auto" w:fill="C6EFCE"/>
            <w:noWrap/>
          </w:tcPr>
          <w:p w14:paraId="5695ABCD" w14:textId="77777777" w:rsidR="00C45D59" w:rsidRDefault="00C45D59">
            <w:pPr>
              <w:rPr>
                <w:rFonts w:ascii="Times New Roman" w:eastAsia="Times New Roman" w:hAnsi="Times New Roman" w:cs="Times New Roman"/>
                <w:noProof/>
                <w:color w:val="006100"/>
                <w:sz w:val="18"/>
                <w:szCs w:val="18"/>
              </w:rPr>
            </w:pPr>
          </w:p>
        </w:tc>
        <w:tc>
          <w:tcPr>
            <w:tcW w:w="960" w:type="dxa"/>
            <w:shd w:val="clear" w:color="auto" w:fill="C6EFCE"/>
            <w:noWrap/>
          </w:tcPr>
          <w:p w14:paraId="46ECB236" w14:textId="77777777" w:rsidR="00C45D59" w:rsidRDefault="009B0962">
            <w:pPr>
              <w:pStyle w:val="P68B1DB1-Normal12"/>
              <w:rPr>
                <w:rFonts w:eastAsia="Times New Roman"/>
                <w:noProof/>
              </w:rPr>
            </w:pPr>
            <w:r>
              <w:rPr>
                <w:noProof/>
              </w:rPr>
              <w:t>Î4</w:t>
            </w:r>
          </w:p>
        </w:tc>
        <w:tc>
          <w:tcPr>
            <w:tcW w:w="960" w:type="dxa"/>
            <w:shd w:val="clear" w:color="auto" w:fill="C6EFCE"/>
            <w:noWrap/>
          </w:tcPr>
          <w:p w14:paraId="017DA5A7" w14:textId="77777777" w:rsidR="00C45D59" w:rsidRDefault="009B0962">
            <w:pPr>
              <w:pStyle w:val="P68B1DB1-Normal12"/>
              <w:rPr>
                <w:rFonts w:eastAsia="Times New Roman"/>
                <w:noProof/>
              </w:rPr>
            </w:pPr>
            <w:r>
              <w:rPr>
                <w:noProof/>
              </w:rPr>
              <w:t>2023</w:t>
            </w:r>
          </w:p>
        </w:tc>
        <w:tc>
          <w:tcPr>
            <w:tcW w:w="4553" w:type="dxa"/>
            <w:shd w:val="clear" w:color="auto" w:fill="C6EFCE"/>
            <w:noWrap/>
          </w:tcPr>
          <w:p w14:paraId="4C489796" w14:textId="77777777" w:rsidR="00C45D59" w:rsidRDefault="009B0962">
            <w:pPr>
              <w:pStyle w:val="P68B1DB1-Normal12"/>
              <w:rPr>
                <w:rFonts w:eastAsia="Times New Roman"/>
                <w:noProof/>
              </w:rPr>
            </w:pPr>
            <w:r>
              <w:rPr>
                <w:noProof/>
              </w:rPr>
              <w:t>Notificarea atribuirii contractului pentru achiziționarea a două elicoptere de dimensiuni medii de stingere a incendiilor pentru nevoile de protecție civilă și de stingere a incendiilor.</w:t>
            </w:r>
          </w:p>
        </w:tc>
      </w:tr>
      <w:tr w:rsidR="00C45D59" w14:paraId="2C465C67" w14:textId="77777777">
        <w:trPr>
          <w:trHeight w:val="309"/>
          <w:jc w:val="center"/>
        </w:trPr>
        <w:tc>
          <w:tcPr>
            <w:tcW w:w="575" w:type="dxa"/>
            <w:shd w:val="clear" w:color="auto" w:fill="C6EFCE"/>
            <w:noWrap/>
          </w:tcPr>
          <w:p w14:paraId="5D0E53ED" w14:textId="77777777" w:rsidR="00C45D59" w:rsidRDefault="009B0962">
            <w:pPr>
              <w:pStyle w:val="P68B1DB1-Normal12"/>
              <w:rPr>
                <w:rFonts w:eastAsia="Times New Roman"/>
                <w:noProof/>
              </w:rPr>
            </w:pPr>
            <w:r>
              <w:rPr>
                <w:noProof/>
              </w:rPr>
              <w:t>81</w:t>
            </w:r>
          </w:p>
        </w:tc>
        <w:tc>
          <w:tcPr>
            <w:tcW w:w="1680" w:type="dxa"/>
            <w:shd w:val="clear" w:color="auto" w:fill="C6EFCE"/>
            <w:noWrap/>
          </w:tcPr>
          <w:p w14:paraId="09B6829E" w14:textId="5E5257C0" w:rsidR="00C45D59" w:rsidRDefault="009B0962">
            <w:pPr>
              <w:pStyle w:val="P68B1DB1-Normal12"/>
              <w:spacing w:after="0" w:line="240" w:lineRule="auto"/>
              <w:rPr>
                <w:noProof/>
              </w:rPr>
            </w:pPr>
            <w:r>
              <w:rPr>
                <w:noProof/>
              </w:rPr>
              <w:t xml:space="preserve">4-1.4. Utilizarea durabilă a resurselor, reziliența la schimbările climatice și protecția mediului – 16910_ Gestionarea și monitorizarea protecției civile </w:t>
            </w:r>
          </w:p>
        </w:tc>
        <w:tc>
          <w:tcPr>
            <w:tcW w:w="1143" w:type="dxa"/>
            <w:shd w:val="clear" w:color="auto" w:fill="C6EFCE"/>
            <w:noWrap/>
          </w:tcPr>
          <w:p w14:paraId="39BDA0DF" w14:textId="77777777" w:rsidR="00C45D59" w:rsidRDefault="009B0962">
            <w:pPr>
              <w:pStyle w:val="P68B1DB1-Normal12"/>
              <w:spacing w:after="0" w:line="240" w:lineRule="auto"/>
              <w:rPr>
                <w:noProof/>
              </w:rPr>
            </w:pPr>
            <w:r>
              <w:rPr>
                <w:noProof/>
              </w:rPr>
              <w:t>Etapă</w:t>
            </w:r>
          </w:p>
        </w:tc>
        <w:tc>
          <w:tcPr>
            <w:tcW w:w="1277" w:type="dxa"/>
            <w:shd w:val="clear" w:color="auto" w:fill="C6EFCE"/>
            <w:noWrap/>
          </w:tcPr>
          <w:p w14:paraId="3AD14AB4" w14:textId="152F5836" w:rsidR="00C45D59" w:rsidRDefault="009B0962">
            <w:pPr>
              <w:pStyle w:val="P68B1DB1-Normal12"/>
              <w:spacing w:after="0" w:line="240" w:lineRule="auto"/>
              <w:rPr>
                <w:noProof/>
              </w:rPr>
            </w:pPr>
            <w:r>
              <w:rPr>
                <w:noProof/>
              </w:rPr>
              <w:t>Livrarea de echipamente și lucrări de construcție și renovare în clădiri predefinite</w:t>
            </w:r>
          </w:p>
        </w:tc>
        <w:tc>
          <w:tcPr>
            <w:tcW w:w="1320" w:type="dxa"/>
            <w:shd w:val="clear" w:color="auto" w:fill="C6EFCE"/>
            <w:noWrap/>
          </w:tcPr>
          <w:p w14:paraId="0A2B9E01" w14:textId="5457D9B8" w:rsidR="00C45D59" w:rsidRDefault="009B0962">
            <w:pPr>
              <w:pStyle w:val="P68B1DB1-Normal12"/>
              <w:spacing w:after="0" w:line="240" w:lineRule="auto"/>
              <w:rPr>
                <w:noProof/>
              </w:rPr>
            </w:pPr>
            <w:r>
              <w:rPr>
                <w:noProof/>
              </w:rPr>
              <w:t>Livrarea de echipamente și lucrări de construcție și renovare în clădiri predefinite</w:t>
            </w:r>
          </w:p>
        </w:tc>
        <w:tc>
          <w:tcPr>
            <w:tcW w:w="1200" w:type="dxa"/>
            <w:shd w:val="clear" w:color="auto" w:fill="C6EFCE"/>
            <w:noWrap/>
          </w:tcPr>
          <w:p w14:paraId="46595232" w14:textId="77777777" w:rsidR="00C45D59" w:rsidRDefault="00C45D59">
            <w:pPr>
              <w:rPr>
                <w:rFonts w:ascii="Times New Roman" w:eastAsia="Times New Roman" w:hAnsi="Times New Roman" w:cs="Times New Roman"/>
                <w:noProof/>
                <w:color w:val="006100"/>
                <w:sz w:val="18"/>
                <w:szCs w:val="18"/>
              </w:rPr>
            </w:pPr>
          </w:p>
        </w:tc>
        <w:tc>
          <w:tcPr>
            <w:tcW w:w="960" w:type="dxa"/>
            <w:shd w:val="clear" w:color="auto" w:fill="C6EFCE"/>
            <w:noWrap/>
          </w:tcPr>
          <w:p w14:paraId="6BB32D17" w14:textId="77777777" w:rsidR="00C45D59" w:rsidRDefault="00C45D59">
            <w:pPr>
              <w:rPr>
                <w:rFonts w:ascii="Times New Roman" w:eastAsia="Times New Roman" w:hAnsi="Times New Roman" w:cs="Times New Roman"/>
                <w:noProof/>
                <w:color w:val="006100"/>
                <w:sz w:val="18"/>
                <w:szCs w:val="18"/>
              </w:rPr>
            </w:pPr>
          </w:p>
        </w:tc>
        <w:tc>
          <w:tcPr>
            <w:tcW w:w="960" w:type="dxa"/>
            <w:shd w:val="clear" w:color="auto" w:fill="C6EFCE"/>
            <w:noWrap/>
          </w:tcPr>
          <w:p w14:paraId="53D5BEE5" w14:textId="77777777" w:rsidR="00C45D59" w:rsidRDefault="00C45D59">
            <w:pPr>
              <w:rPr>
                <w:rFonts w:ascii="Times New Roman" w:eastAsia="Times New Roman" w:hAnsi="Times New Roman" w:cs="Times New Roman"/>
                <w:noProof/>
                <w:color w:val="006100"/>
                <w:sz w:val="18"/>
                <w:szCs w:val="18"/>
              </w:rPr>
            </w:pPr>
          </w:p>
        </w:tc>
        <w:tc>
          <w:tcPr>
            <w:tcW w:w="960" w:type="dxa"/>
            <w:shd w:val="clear" w:color="auto" w:fill="C6EFCE"/>
            <w:noWrap/>
          </w:tcPr>
          <w:p w14:paraId="4A0934A0" w14:textId="77777777" w:rsidR="00C45D59" w:rsidRDefault="009B0962">
            <w:pPr>
              <w:pStyle w:val="P68B1DB1-Normal12"/>
              <w:rPr>
                <w:rFonts w:eastAsia="Times New Roman"/>
                <w:noProof/>
              </w:rPr>
            </w:pPr>
            <w:r>
              <w:rPr>
                <w:noProof/>
              </w:rPr>
              <w:t>Î4</w:t>
            </w:r>
          </w:p>
        </w:tc>
        <w:tc>
          <w:tcPr>
            <w:tcW w:w="960" w:type="dxa"/>
            <w:shd w:val="clear" w:color="auto" w:fill="C6EFCE"/>
            <w:noWrap/>
          </w:tcPr>
          <w:p w14:paraId="5E34CB5E" w14:textId="77777777" w:rsidR="00C45D59" w:rsidRDefault="009B0962">
            <w:pPr>
              <w:pStyle w:val="P68B1DB1-Normal12"/>
              <w:rPr>
                <w:rFonts w:eastAsia="Times New Roman"/>
                <w:noProof/>
              </w:rPr>
            </w:pPr>
            <w:r>
              <w:rPr>
                <w:noProof/>
              </w:rPr>
              <w:t>2025</w:t>
            </w:r>
          </w:p>
        </w:tc>
        <w:tc>
          <w:tcPr>
            <w:tcW w:w="4553" w:type="dxa"/>
            <w:shd w:val="clear" w:color="auto" w:fill="C6EFCE"/>
            <w:noWrap/>
          </w:tcPr>
          <w:p w14:paraId="2A6ACEE9" w14:textId="77777777" w:rsidR="00C45D59" w:rsidRDefault="009B0962">
            <w:pPr>
              <w:pStyle w:val="P68B1DB1-Normal12"/>
              <w:numPr>
                <w:ilvl w:val="0"/>
                <w:numId w:val="34"/>
              </w:numPr>
              <w:spacing w:before="120" w:after="0" w:line="259" w:lineRule="auto"/>
              <w:contextualSpacing/>
              <w:jc w:val="both"/>
              <w:rPr>
                <w:rFonts w:eastAsia="Times New Roman"/>
                <w:noProof/>
              </w:rPr>
            </w:pPr>
            <w:r>
              <w:rPr>
                <w:noProof/>
              </w:rPr>
              <w:t>Furnizarea sistemului GPS de gestionare a flotei pentru vehiculele de stingere a incendiilor, vehiculele de protecție civilă ale regiunilor și municipalităților. Modernizarea sistemului informatic de „implicare”;</w:t>
            </w:r>
          </w:p>
          <w:p w14:paraId="5E907A7D" w14:textId="1E0B5215" w:rsidR="00C45D59" w:rsidRDefault="009B0962">
            <w:pPr>
              <w:pStyle w:val="P68B1DB1-Normal12"/>
              <w:numPr>
                <w:ilvl w:val="0"/>
                <w:numId w:val="34"/>
              </w:numPr>
              <w:spacing w:before="120" w:after="0" w:line="259" w:lineRule="auto"/>
              <w:contextualSpacing/>
              <w:jc w:val="both"/>
              <w:rPr>
                <w:rFonts w:eastAsia="Times New Roman"/>
                <w:noProof/>
              </w:rPr>
            </w:pPr>
            <w:r>
              <w:rPr>
                <w:noProof/>
              </w:rPr>
              <w:t>Livrarea de stații meteorologice pentru avertizarea timpurie cu privire la dezastrele naturale;</w:t>
            </w:r>
          </w:p>
          <w:p w14:paraId="67B7EFF0" w14:textId="77777777" w:rsidR="00C45D59" w:rsidRDefault="009B0962">
            <w:pPr>
              <w:pStyle w:val="P68B1DB1-Normal12"/>
              <w:numPr>
                <w:ilvl w:val="0"/>
                <w:numId w:val="34"/>
              </w:numPr>
              <w:spacing w:before="120" w:after="0" w:line="259" w:lineRule="auto"/>
              <w:contextualSpacing/>
              <w:jc w:val="both"/>
              <w:rPr>
                <w:rFonts w:eastAsia="Times New Roman"/>
                <w:noProof/>
              </w:rPr>
            </w:pPr>
            <w:r>
              <w:rPr>
                <w:noProof/>
              </w:rPr>
              <w:t>Furnizarea de stații de comunicații de urgență și furnizarea de date climatice privind zonele de interes (radare);</w:t>
            </w:r>
          </w:p>
          <w:p w14:paraId="167CC4EC" w14:textId="64A660FE" w:rsidR="00C45D59" w:rsidRDefault="009B0962">
            <w:pPr>
              <w:pStyle w:val="P68B1DB1-Normal23"/>
              <w:numPr>
                <w:ilvl w:val="0"/>
                <w:numId w:val="34"/>
              </w:numPr>
              <w:spacing w:before="120" w:after="0" w:line="259" w:lineRule="auto"/>
              <w:contextualSpacing/>
              <w:jc w:val="both"/>
              <w:rPr>
                <w:noProof/>
              </w:rPr>
            </w:pPr>
            <w:r>
              <w:rPr>
                <w:noProof/>
              </w:rPr>
              <w:t>Construirea și renovarea clădirilor situate la adresa 37-39 Kifissias Avenue, Maroussi. Livrarea de echipamente în aceleași clădiri. Serviciile furnizate pentru funcționarea centrelor de vaccinare la scară largă din Attiki și Salonic;</w:t>
            </w:r>
          </w:p>
          <w:p w14:paraId="4B9B5971" w14:textId="6AA041A7" w:rsidR="00C45D59" w:rsidRDefault="009B0962">
            <w:pPr>
              <w:pStyle w:val="P68B1DB1-Normal23"/>
              <w:numPr>
                <w:ilvl w:val="0"/>
                <w:numId w:val="34"/>
              </w:numPr>
              <w:spacing w:before="120" w:after="0" w:line="259" w:lineRule="auto"/>
              <w:contextualSpacing/>
              <w:jc w:val="both"/>
              <w:rPr>
                <w:noProof/>
              </w:rPr>
            </w:pPr>
            <w:r>
              <w:rPr>
                <w:noProof/>
              </w:rPr>
              <w:t>Renovarea clădirilor Academiei de Protecție Civilă (Villia) și ale Școlii de pompieri din Tsotyli. Livrarea de echipamente, simulatoare și emulsoare;</w:t>
            </w:r>
          </w:p>
          <w:p w14:paraId="546470C0" w14:textId="04B31884" w:rsidR="00C45D59" w:rsidRDefault="009B0962">
            <w:pPr>
              <w:pStyle w:val="P68B1DB1-Normal23"/>
              <w:numPr>
                <w:ilvl w:val="0"/>
                <w:numId w:val="34"/>
              </w:numPr>
              <w:spacing w:before="120" w:after="0" w:line="259" w:lineRule="auto"/>
              <w:contextualSpacing/>
              <w:jc w:val="both"/>
              <w:rPr>
                <w:noProof/>
              </w:rPr>
            </w:pPr>
            <w:r>
              <w:rPr>
                <w:noProof/>
              </w:rPr>
              <w:t xml:space="preserve">Livrarea a trei aeronave ca centre de control și gestionare a supravegherii aeriene. </w:t>
            </w:r>
          </w:p>
        </w:tc>
      </w:tr>
      <w:tr w:rsidR="00C45D59" w14:paraId="136D358F" w14:textId="77777777">
        <w:trPr>
          <w:trHeight w:val="309"/>
          <w:jc w:val="center"/>
        </w:trPr>
        <w:tc>
          <w:tcPr>
            <w:tcW w:w="575" w:type="dxa"/>
            <w:shd w:val="clear" w:color="auto" w:fill="C6EFCE"/>
            <w:noWrap/>
          </w:tcPr>
          <w:p w14:paraId="2253AF6A" w14:textId="77777777" w:rsidR="00C45D59" w:rsidRDefault="009B0962">
            <w:pPr>
              <w:pStyle w:val="P68B1DB1-Normal12"/>
              <w:rPr>
                <w:rFonts w:eastAsia="Times New Roman"/>
                <w:noProof/>
              </w:rPr>
            </w:pPr>
            <w:r>
              <w:rPr>
                <w:noProof/>
              </w:rPr>
              <w:t>82</w:t>
            </w:r>
          </w:p>
        </w:tc>
        <w:tc>
          <w:tcPr>
            <w:tcW w:w="1680" w:type="dxa"/>
            <w:shd w:val="clear" w:color="auto" w:fill="C6EFCE"/>
            <w:noWrap/>
          </w:tcPr>
          <w:p w14:paraId="7F7D40BB" w14:textId="77777777" w:rsidR="00C45D59" w:rsidRDefault="009B0962">
            <w:pPr>
              <w:pStyle w:val="P68B1DB1-Normal12"/>
              <w:spacing w:after="0" w:line="240" w:lineRule="auto"/>
              <w:rPr>
                <w:noProof/>
              </w:rPr>
            </w:pPr>
            <w:r>
              <w:rPr>
                <w:noProof/>
              </w:rPr>
              <w:t>4-1.4. Utilizarea durabilă a resurselor, reziliența la schimbările climatice și protecția mediului – 16911_Mijloace aeriene de gestionare a crizelor</w:t>
            </w:r>
          </w:p>
        </w:tc>
        <w:tc>
          <w:tcPr>
            <w:tcW w:w="1143" w:type="dxa"/>
            <w:shd w:val="clear" w:color="auto" w:fill="C6EFCE"/>
            <w:noWrap/>
          </w:tcPr>
          <w:p w14:paraId="0329543A" w14:textId="77777777" w:rsidR="00C45D59" w:rsidRDefault="009B0962">
            <w:pPr>
              <w:pStyle w:val="P68B1DB1-Normal12"/>
              <w:spacing w:after="0" w:line="240" w:lineRule="auto"/>
              <w:rPr>
                <w:noProof/>
              </w:rPr>
            </w:pPr>
            <w:r>
              <w:rPr>
                <w:noProof/>
              </w:rPr>
              <w:t>Etapă</w:t>
            </w:r>
          </w:p>
        </w:tc>
        <w:tc>
          <w:tcPr>
            <w:tcW w:w="1277" w:type="dxa"/>
            <w:shd w:val="clear" w:color="auto" w:fill="C6EFCE"/>
            <w:noWrap/>
          </w:tcPr>
          <w:p w14:paraId="6390E626" w14:textId="77777777" w:rsidR="00C45D59" w:rsidRDefault="009B0962">
            <w:pPr>
              <w:pStyle w:val="P68B1DB1-Normal12"/>
              <w:spacing w:after="0" w:line="240" w:lineRule="auto"/>
              <w:rPr>
                <w:noProof/>
              </w:rPr>
            </w:pPr>
            <w:r>
              <w:rPr>
                <w:noProof/>
              </w:rPr>
              <w:t>Finalizarea proiectului de mijloace aeriene pentru gestionarea crizelor</w:t>
            </w:r>
          </w:p>
        </w:tc>
        <w:tc>
          <w:tcPr>
            <w:tcW w:w="1320" w:type="dxa"/>
            <w:shd w:val="clear" w:color="auto" w:fill="C6EFCE"/>
            <w:noWrap/>
          </w:tcPr>
          <w:p w14:paraId="48DA18AC" w14:textId="77777777" w:rsidR="00C45D59" w:rsidRDefault="009B0962">
            <w:pPr>
              <w:pStyle w:val="P68B1DB1-Normal12"/>
              <w:spacing w:after="0" w:line="240" w:lineRule="auto"/>
              <w:rPr>
                <w:noProof/>
              </w:rPr>
            </w:pPr>
            <w:r>
              <w:rPr>
                <w:noProof/>
              </w:rPr>
              <w:t>Furnizarea de mijloace aeriene de gestionare a crizelor</w:t>
            </w:r>
          </w:p>
        </w:tc>
        <w:tc>
          <w:tcPr>
            <w:tcW w:w="1200" w:type="dxa"/>
            <w:shd w:val="clear" w:color="auto" w:fill="C6EFCE"/>
            <w:noWrap/>
          </w:tcPr>
          <w:p w14:paraId="71F1594B" w14:textId="77777777" w:rsidR="00C45D59" w:rsidRDefault="00C45D59">
            <w:pPr>
              <w:rPr>
                <w:rFonts w:ascii="Times New Roman" w:eastAsia="Times New Roman" w:hAnsi="Times New Roman" w:cs="Times New Roman"/>
                <w:noProof/>
                <w:color w:val="006100"/>
                <w:sz w:val="18"/>
                <w:szCs w:val="18"/>
              </w:rPr>
            </w:pPr>
          </w:p>
        </w:tc>
        <w:tc>
          <w:tcPr>
            <w:tcW w:w="960" w:type="dxa"/>
            <w:shd w:val="clear" w:color="auto" w:fill="C6EFCE"/>
            <w:noWrap/>
          </w:tcPr>
          <w:p w14:paraId="52FB9824" w14:textId="77777777" w:rsidR="00C45D59" w:rsidRDefault="00C45D59">
            <w:pPr>
              <w:rPr>
                <w:rFonts w:ascii="Times New Roman" w:eastAsia="Times New Roman" w:hAnsi="Times New Roman" w:cs="Times New Roman"/>
                <w:noProof/>
                <w:color w:val="006100"/>
                <w:sz w:val="18"/>
                <w:szCs w:val="18"/>
              </w:rPr>
            </w:pPr>
          </w:p>
        </w:tc>
        <w:tc>
          <w:tcPr>
            <w:tcW w:w="960" w:type="dxa"/>
            <w:shd w:val="clear" w:color="auto" w:fill="C6EFCE"/>
            <w:noWrap/>
          </w:tcPr>
          <w:p w14:paraId="19088DB3" w14:textId="77777777" w:rsidR="00C45D59" w:rsidRDefault="00C45D59">
            <w:pPr>
              <w:rPr>
                <w:rFonts w:ascii="Times New Roman" w:eastAsia="Times New Roman" w:hAnsi="Times New Roman" w:cs="Times New Roman"/>
                <w:noProof/>
                <w:color w:val="006100"/>
                <w:sz w:val="18"/>
                <w:szCs w:val="18"/>
              </w:rPr>
            </w:pPr>
          </w:p>
        </w:tc>
        <w:tc>
          <w:tcPr>
            <w:tcW w:w="960" w:type="dxa"/>
            <w:shd w:val="clear" w:color="auto" w:fill="C6EFCE"/>
            <w:noWrap/>
          </w:tcPr>
          <w:p w14:paraId="7830BFBA" w14:textId="77777777" w:rsidR="00C45D59" w:rsidRDefault="009B0962">
            <w:pPr>
              <w:pStyle w:val="P68B1DB1-Normal12"/>
              <w:rPr>
                <w:rFonts w:eastAsia="Times New Roman"/>
                <w:noProof/>
              </w:rPr>
            </w:pPr>
            <w:r>
              <w:rPr>
                <w:noProof/>
              </w:rPr>
              <w:t>Î4</w:t>
            </w:r>
          </w:p>
        </w:tc>
        <w:tc>
          <w:tcPr>
            <w:tcW w:w="960" w:type="dxa"/>
            <w:shd w:val="clear" w:color="auto" w:fill="C6EFCE"/>
            <w:noWrap/>
          </w:tcPr>
          <w:p w14:paraId="01382927" w14:textId="77777777" w:rsidR="00C45D59" w:rsidRDefault="009B0962">
            <w:pPr>
              <w:pStyle w:val="P68B1DB1-Normal12"/>
              <w:rPr>
                <w:rFonts w:eastAsia="Times New Roman"/>
                <w:noProof/>
              </w:rPr>
            </w:pPr>
            <w:r>
              <w:rPr>
                <w:noProof/>
              </w:rPr>
              <w:t>2025</w:t>
            </w:r>
          </w:p>
        </w:tc>
        <w:tc>
          <w:tcPr>
            <w:tcW w:w="4553" w:type="dxa"/>
            <w:shd w:val="clear" w:color="auto" w:fill="C6EFCE"/>
            <w:noWrap/>
          </w:tcPr>
          <w:p w14:paraId="628F63E7" w14:textId="77777777" w:rsidR="00C45D59" w:rsidRDefault="009B0962">
            <w:pPr>
              <w:pStyle w:val="P68B1DB1-Normal23"/>
              <w:tabs>
                <w:tab w:val="center" w:pos="2168"/>
              </w:tabs>
              <w:rPr>
                <w:noProof/>
              </w:rPr>
            </w:pPr>
            <w:r>
              <w:rPr>
                <w:noProof/>
              </w:rPr>
              <w:t>Furnizarea de:</w:t>
            </w:r>
            <w:r>
              <w:rPr>
                <w:noProof/>
              </w:rPr>
              <w:tab/>
            </w:r>
          </w:p>
          <w:p w14:paraId="31F8919A" w14:textId="77777777" w:rsidR="00C45D59" w:rsidRDefault="009B0962">
            <w:pPr>
              <w:pStyle w:val="P68B1DB1-Normal12"/>
              <w:numPr>
                <w:ilvl w:val="0"/>
                <w:numId w:val="35"/>
              </w:numPr>
              <w:spacing w:before="120" w:after="0" w:line="259" w:lineRule="auto"/>
              <w:contextualSpacing/>
              <w:jc w:val="both"/>
              <w:rPr>
                <w:rFonts w:eastAsia="Times New Roman"/>
                <w:noProof/>
              </w:rPr>
            </w:pPr>
            <w:r>
              <w:rPr>
                <w:noProof/>
              </w:rPr>
              <w:t>2 elicoptere utilitare de dimensiune medie pentru uz medical;</w:t>
            </w:r>
          </w:p>
          <w:p w14:paraId="27F6897A" w14:textId="53039A0D" w:rsidR="00C45D59" w:rsidRDefault="009B0962">
            <w:pPr>
              <w:pStyle w:val="P68B1DB1-Normal12"/>
              <w:numPr>
                <w:ilvl w:val="0"/>
                <w:numId w:val="35"/>
              </w:numPr>
              <w:spacing w:before="120" w:after="0" w:line="259" w:lineRule="auto"/>
              <w:contextualSpacing/>
              <w:jc w:val="both"/>
              <w:rPr>
                <w:rFonts w:eastAsia="Times New Roman"/>
                <w:noProof/>
              </w:rPr>
            </w:pPr>
            <w:r>
              <w:rPr>
                <w:noProof/>
              </w:rPr>
              <w:t>2 elicoptere de dimensiune medie pentru stingerea incendiilor la finalizarea testelor la sol;</w:t>
            </w:r>
          </w:p>
          <w:p w14:paraId="3804E091" w14:textId="77777777" w:rsidR="00C45D59" w:rsidRDefault="009B0962">
            <w:pPr>
              <w:pStyle w:val="P68B1DB1-Normal12"/>
              <w:numPr>
                <w:ilvl w:val="0"/>
                <w:numId w:val="35"/>
              </w:numPr>
              <w:spacing w:before="120" w:after="0" w:line="259" w:lineRule="auto"/>
              <w:contextualSpacing/>
              <w:jc w:val="both"/>
              <w:rPr>
                <w:rFonts w:eastAsia="Times New Roman"/>
                <w:noProof/>
              </w:rPr>
            </w:pPr>
            <w:r>
              <w:rPr>
                <w:noProof/>
              </w:rPr>
              <w:t>1 elicopter pentru transportul echipei de gestionare a incidentelor a GSCP.</w:t>
            </w:r>
          </w:p>
          <w:p w14:paraId="2E27ECF3" w14:textId="77777777" w:rsidR="00C45D59" w:rsidRDefault="00C45D59">
            <w:pPr>
              <w:spacing w:before="120" w:after="0" w:line="259" w:lineRule="auto"/>
              <w:contextualSpacing/>
              <w:jc w:val="both"/>
              <w:rPr>
                <w:rFonts w:ascii="Times New Roman" w:eastAsia="Times New Roman" w:hAnsi="Times New Roman" w:cs="Times New Roman"/>
                <w:noProof/>
                <w:color w:val="006100"/>
                <w:sz w:val="18"/>
                <w:szCs w:val="18"/>
              </w:rPr>
            </w:pPr>
          </w:p>
          <w:p w14:paraId="4CB9EAB0" w14:textId="77777777" w:rsidR="00C45D59" w:rsidRDefault="009B0962">
            <w:pPr>
              <w:pStyle w:val="P68B1DB1-Normal23"/>
              <w:spacing w:before="120" w:after="0" w:line="259" w:lineRule="auto"/>
              <w:contextualSpacing/>
              <w:jc w:val="both"/>
              <w:rPr>
                <w:noProof/>
              </w:rPr>
            </w:pPr>
            <w:r>
              <w:rPr>
                <w:noProof/>
              </w:rPr>
              <w:t>Toate aeronavele cu destinație specială trebuie să reprezinte cea mai bună performanță de mediu disponibilă din clasa lor.</w:t>
            </w:r>
          </w:p>
        </w:tc>
      </w:tr>
      <w:tr w:rsidR="00C45D59" w14:paraId="0EAA6D69" w14:textId="77777777">
        <w:trPr>
          <w:trHeight w:val="309"/>
          <w:jc w:val="center"/>
        </w:trPr>
        <w:tc>
          <w:tcPr>
            <w:tcW w:w="575" w:type="dxa"/>
            <w:shd w:val="clear" w:color="auto" w:fill="C6EFCE"/>
            <w:noWrap/>
          </w:tcPr>
          <w:p w14:paraId="5FAC7DB2" w14:textId="77777777" w:rsidR="00C45D59" w:rsidRDefault="009B0962">
            <w:pPr>
              <w:pStyle w:val="P68B1DB1-Normal12"/>
              <w:rPr>
                <w:rFonts w:eastAsia="Times New Roman"/>
                <w:noProof/>
              </w:rPr>
            </w:pPr>
            <w:r>
              <w:rPr>
                <w:noProof/>
              </w:rPr>
              <w:t>83</w:t>
            </w:r>
          </w:p>
        </w:tc>
        <w:tc>
          <w:tcPr>
            <w:tcW w:w="1680" w:type="dxa"/>
            <w:shd w:val="clear" w:color="auto" w:fill="C6EFCE"/>
            <w:noWrap/>
          </w:tcPr>
          <w:p w14:paraId="775F1231" w14:textId="77777777" w:rsidR="00C45D59" w:rsidRDefault="009B0962">
            <w:pPr>
              <w:pStyle w:val="P68B1DB1-Normal12"/>
              <w:spacing w:after="0" w:line="240" w:lineRule="auto"/>
              <w:rPr>
                <w:noProof/>
              </w:rPr>
            </w:pPr>
            <w:r>
              <w:rPr>
                <w:noProof/>
              </w:rPr>
              <w:t>4-1.4. Utilizarea durabilă a resurselor, reziliența la schimbările climatice și protecția mediului – 16912_Echipamente de combatere a incendiilor forestiere, de prevenire și de răspuns</w:t>
            </w:r>
          </w:p>
        </w:tc>
        <w:tc>
          <w:tcPr>
            <w:tcW w:w="1143" w:type="dxa"/>
            <w:shd w:val="clear" w:color="auto" w:fill="C6EFCE"/>
            <w:noWrap/>
          </w:tcPr>
          <w:p w14:paraId="1549DDA9" w14:textId="77777777" w:rsidR="00C45D59" w:rsidRDefault="009B0962">
            <w:pPr>
              <w:pStyle w:val="P68B1DB1-Normal12"/>
              <w:spacing w:after="0" w:line="240" w:lineRule="auto"/>
              <w:rPr>
                <w:noProof/>
              </w:rPr>
            </w:pPr>
            <w:r>
              <w:rPr>
                <w:noProof/>
              </w:rPr>
              <w:t>Etapă</w:t>
            </w:r>
          </w:p>
        </w:tc>
        <w:tc>
          <w:tcPr>
            <w:tcW w:w="1277" w:type="dxa"/>
            <w:shd w:val="clear" w:color="auto" w:fill="C6EFCE"/>
            <w:noWrap/>
          </w:tcPr>
          <w:p w14:paraId="4DC9599C" w14:textId="77777777" w:rsidR="00C45D59" w:rsidRDefault="009B0962">
            <w:pPr>
              <w:pStyle w:val="P68B1DB1-Normal12"/>
              <w:spacing w:after="0" w:line="240" w:lineRule="auto"/>
              <w:rPr>
                <w:noProof/>
              </w:rPr>
            </w:pPr>
            <w:r>
              <w:rPr>
                <w:noProof/>
              </w:rPr>
              <w:t>Finalizarea echipamentelor de combatere a pădurilor</w:t>
            </w:r>
          </w:p>
        </w:tc>
        <w:tc>
          <w:tcPr>
            <w:tcW w:w="1320" w:type="dxa"/>
            <w:shd w:val="clear" w:color="auto" w:fill="C6EFCE"/>
            <w:noWrap/>
          </w:tcPr>
          <w:p w14:paraId="407F9EDF" w14:textId="77777777" w:rsidR="00C45D59" w:rsidRDefault="009B0962">
            <w:pPr>
              <w:pStyle w:val="P68B1DB1-Normal12"/>
              <w:spacing w:after="0" w:line="240" w:lineRule="auto"/>
              <w:rPr>
                <w:noProof/>
              </w:rPr>
            </w:pPr>
            <w:r>
              <w:rPr>
                <w:noProof/>
              </w:rPr>
              <w:t>Furnizarea de echipamente de stingere a incendiilor și de intervenție</w:t>
            </w:r>
          </w:p>
        </w:tc>
        <w:tc>
          <w:tcPr>
            <w:tcW w:w="1200" w:type="dxa"/>
            <w:shd w:val="clear" w:color="auto" w:fill="C6EFCE"/>
            <w:noWrap/>
          </w:tcPr>
          <w:p w14:paraId="7AFEABBF" w14:textId="77777777" w:rsidR="00C45D59" w:rsidRDefault="00C45D59">
            <w:pPr>
              <w:rPr>
                <w:rFonts w:ascii="Times New Roman" w:eastAsia="Times New Roman" w:hAnsi="Times New Roman" w:cs="Times New Roman"/>
                <w:noProof/>
                <w:color w:val="006100"/>
                <w:sz w:val="18"/>
                <w:szCs w:val="18"/>
              </w:rPr>
            </w:pPr>
          </w:p>
        </w:tc>
        <w:tc>
          <w:tcPr>
            <w:tcW w:w="960" w:type="dxa"/>
            <w:shd w:val="clear" w:color="auto" w:fill="C6EFCE"/>
            <w:noWrap/>
          </w:tcPr>
          <w:p w14:paraId="170FBD51" w14:textId="77777777" w:rsidR="00C45D59" w:rsidRDefault="00C45D59">
            <w:pPr>
              <w:rPr>
                <w:rFonts w:ascii="Times New Roman" w:eastAsia="Times New Roman" w:hAnsi="Times New Roman" w:cs="Times New Roman"/>
                <w:noProof/>
                <w:color w:val="006100"/>
                <w:sz w:val="18"/>
                <w:szCs w:val="18"/>
              </w:rPr>
            </w:pPr>
          </w:p>
        </w:tc>
        <w:tc>
          <w:tcPr>
            <w:tcW w:w="960" w:type="dxa"/>
            <w:shd w:val="clear" w:color="auto" w:fill="C6EFCE"/>
            <w:noWrap/>
          </w:tcPr>
          <w:p w14:paraId="51DE9AE0" w14:textId="77777777" w:rsidR="00C45D59" w:rsidRDefault="00C45D59">
            <w:pPr>
              <w:rPr>
                <w:rFonts w:ascii="Times New Roman" w:eastAsia="Times New Roman" w:hAnsi="Times New Roman" w:cs="Times New Roman"/>
                <w:noProof/>
                <w:color w:val="006100"/>
                <w:sz w:val="18"/>
                <w:szCs w:val="18"/>
              </w:rPr>
            </w:pPr>
          </w:p>
        </w:tc>
        <w:tc>
          <w:tcPr>
            <w:tcW w:w="960" w:type="dxa"/>
            <w:shd w:val="clear" w:color="auto" w:fill="C6EFCE"/>
            <w:noWrap/>
          </w:tcPr>
          <w:p w14:paraId="63E86408" w14:textId="77777777" w:rsidR="00C45D59" w:rsidRDefault="009B0962">
            <w:pPr>
              <w:pStyle w:val="P68B1DB1-Normal12"/>
              <w:rPr>
                <w:rFonts w:eastAsia="Times New Roman"/>
                <w:noProof/>
              </w:rPr>
            </w:pPr>
            <w:r>
              <w:rPr>
                <w:noProof/>
              </w:rPr>
              <w:t>Î4</w:t>
            </w:r>
          </w:p>
        </w:tc>
        <w:tc>
          <w:tcPr>
            <w:tcW w:w="960" w:type="dxa"/>
            <w:shd w:val="clear" w:color="auto" w:fill="C6EFCE"/>
            <w:noWrap/>
          </w:tcPr>
          <w:p w14:paraId="65526CE2" w14:textId="77777777" w:rsidR="00C45D59" w:rsidRDefault="009B0962">
            <w:pPr>
              <w:pStyle w:val="P68B1DB1-Normal12"/>
              <w:rPr>
                <w:rFonts w:eastAsia="Times New Roman"/>
                <w:noProof/>
              </w:rPr>
            </w:pPr>
            <w:r>
              <w:rPr>
                <w:noProof/>
              </w:rPr>
              <w:t>2025</w:t>
            </w:r>
          </w:p>
        </w:tc>
        <w:tc>
          <w:tcPr>
            <w:tcW w:w="4553" w:type="dxa"/>
            <w:shd w:val="clear" w:color="auto" w:fill="C6EFCE"/>
            <w:noWrap/>
          </w:tcPr>
          <w:p w14:paraId="2627FC1C" w14:textId="77777777" w:rsidR="00C45D59" w:rsidRDefault="009B0962">
            <w:pPr>
              <w:pStyle w:val="P68B1DB1-Normal23"/>
              <w:rPr>
                <w:noProof/>
              </w:rPr>
            </w:pPr>
            <w:r>
              <w:rPr>
                <w:noProof/>
              </w:rPr>
              <w:t>Furnizarea de:</w:t>
            </w:r>
          </w:p>
          <w:p w14:paraId="66FF8820" w14:textId="77777777" w:rsidR="00C45D59" w:rsidRDefault="009B0962">
            <w:pPr>
              <w:pStyle w:val="P68B1DB1-Normal12"/>
              <w:numPr>
                <w:ilvl w:val="0"/>
                <w:numId w:val="36"/>
              </w:numPr>
              <w:spacing w:before="120" w:after="0" w:line="259" w:lineRule="auto"/>
              <w:contextualSpacing/>
              <w:jc w:val="both"/>
              <w:rPr>
                <w:rFonts w:eastAsia="Times New Roman"/>
                <w:noProof/>
              </w:rPr>
            </w:pPr>
            <w:r>
              <w:rPr>
                <w:noProof/>
              </w:rPr>
              <w:t>motoare de incendiu și alte vehicule de intervenție, precum și echipamente;</w:t>
            </w:r>
          </w:p>
          <w:p w14:paraId="7416182D" w14:textId="77777777" w:rsidR="00C45D59" w:rsidRDefault="009B0962">
            <w:pPr>
              <w:pStyle w:val="P68B1DB1-Normal12"/>
              <w:numPr>
                <w:ilvl w:val="0"/>
                <w:numId w:val="36"/>
              </w:numPr>
              <w:spacing w:before="120" w:after="0" w:line="259" w:lineRule="auto"/>
              <w:contextualSpacing/>
              <w:jc w:val="both"/>
              <w:rPr>
                <w:rFonts w:eastAsia="Times New Roman"/>
                <w:noProof/>
              </w:rPr>
            </w:pPr>
            <w:r>
              <w:rPr>
                <w:noProof/>
              </w:rPr>
              <w:t xml:space="preserve">poduri transportabile pliabile. </w:t>
            </w:r>
          </w:p>
        </w:tc>
      </w:tr>
      <w:tr w:rsidR="00C45D59" w14:paraId="55BE7B3A" w14:textId="77777777">
        <w:trPr>
          <w:trHeight w:val="309"/>
          <w:jc w:val="center"/>
        </w:trPr>
        <w:tc>
          <w:tcPr>
            <w:tcW w:w="575" w:type="dxa"/>
            <w:shd w:val="clear" w:color="auto" w:fill="C6EFCE"/>
            <w:noWrap/>
          </w:tcPr>
          <w:p w14:paraId="3B3420BF" w14:textId="77777777" w:rsidR="00C45D59" w:rsidRDefault="009B0962">
            <w:pPr>
              <w:pStyle w:val="P68B1DB1-Normal12"/>
              <w:rPr>
                <w:rFonts w:eastAsia="Times New Roman"/>
                <w:noProof/>
              </w:rPr>
            </w:pPr>
            <w:r>
              <w:rPr>
                <w:noProof/>
              </w:rPr>
              <w:t>332</w:t>
            </w:r>
          </w:p>
        </w:tc>
        <w:tc>
          <w:tcPr>
            <w:tcW w:w="1680" w:type="dxa"/>
            <w:shd w:val="clear" w:color="auto" w:fill="C6EFCE"/>
            <w:noWrap/>
          </w:tcPr>
          <w:p w14:paraId="59D923CA" w14:textId="2B51EC99" w:rsidR="00C45D59" w:rsidRDefault="009B0962">
            <w:pPr>
              <w:pStyle w:val="P68B1DB1-Normal12"/>
              <w:spacing w:after="0" w:line="240" w:lineRule="auto"/>
              <w:rPr>
                <w:noProof/>
              </w:rPr>
            </w:pPr>
            <w:r>
              <w:rPr>
                <w:noProof/>
              </w:rPr>
              <w:t>4-1.4. Utilizarea durabilă a resurselor, reziliența la schimbările climatice și protecția mediului – 16983_Inspecție primară a rezistenței seismice a clădirilor sau a instalațiilor sportive</w:t>
            </w:r>
          </w:p>
        </w:tc>
        <w:tc>
          <w:tcPr>
            <w:tcW w:w="1143" w:type="dxa"/>
            <w:shd w:val="clear" w:color="auto" w:fill="C6EFCE"/>
            <w:noWrap/>
          </w:tcPr>
          <w:p w14:paraId="7A3EE581" w14:textId="77777777" w:rsidR="00C45D59" w:rsidRDefault="009B0962">
            <w:pPr>
              <w:pStyle w:val="P68B1DB1-Normal12"/>
              <w:spacing w:after="0" w:line="240" w:lineRule="auto"/>
              <w:rPr>
                <w:noProof/>
              </w:rPr>
            </w:pPr>
            <w:r>
              <w:rPr>
                <w:noProof/>
              </w:rPr>
              <w:t>Etapă</w:t>
            </w:r>
          </w:p>
        </w:tc>
        <w:tc>
          <w:tcPr>
            <w:tcW w:w="1277" w:type="dxa"/>
            <w:shd w:val="clear" w:color="auto" w:fill="C6EFCE"/>
            <w:noWrap/>
          </w:tcPr>
          <w:p w14:paraId="59F77FFF" w14:textId="00EE72CB" w:rsidR="00C45D59" w:rsidRDefault="009B0962">
            <w:pPr>
              <w:pStyle w:val="P68B1DB1-Normal12"/>
              <w:spacing w:after="0" w:line="240" w:lineRule="auto"/>
              <w:rPr>
                <w:noProof/>
              </w:rPr>
            </w:pPr>
            <w:r>
              <w:rPr>
                <w:noProof/>
              </w:rPr>
              <w:t>Finalizarea inspecțiilor seismice primare</w:t>
            </w:r>
          </w:p>
        </w:tc>
        <w:tc>
          <w:tcPr>
            <w:tcW w:w="1320" w:type="dxa"/>
            <w:shd w:val="clear" w:color="auto" w:fill="C6EFCE"/>
            <w:noWrap/>
          </w:tcPr>
          <w:p w14:paraId="06F6367A" w14:textId="3758AB29" w:rsidR="00C45D59" w:rsidRDefault="009B0962">
            <w:pPr>
              <w:pStyle w:val="P68B1DB1-Normal12"/>
              <w:spacing w:after="0" w:line="240" w:lineRule="auto"/>
              <w:rPr>
                <w:noProof/>
              </w:rPr>
            </w:pPr>
            <w:r>
              <w:rPr>
                <w:noProof/>
              </w:rPr>
              <w:t>Certificate de inspecție primară eliberate pentru clădiri sau instalații sportive</w:t>
            </w:r>
          </w:p>
        </w:tc>
        <w:tc>
          <w:tcPr>
            <w:tcW w:w="1200" w:type="dxa"/>
            <w:shd w:val="clear" w:color="auto" w:fill="C6EFCE"/>
            <w:noWrap/>
          </w:tcPr>
          <w:p w14:paraId="2E949BD2" w14:textId="77777777" w:rsidR="00C45D59" w:rsidRDefault="00C45D59">
            <w:pPr>
              <w:rPr>
                <w:rFonts w:ascii="Times New Roman" w:eastAsia="Times New Roman" w:hAnsi="Times New Roman" w:cs="Times New Roman"/>
                <w:noProof/>
                <w:color w:val="006100"/>
                <w:sz w:val="18"/>
                <w:szCs w:val="18"/>
              </w:rPr>
            </w:pPr>
          </w:p>
        </w:tc>
        <w:tc>
          <w:tcPr>
            <w:tcW w:w="960" w:type="dxa"/>
            <w:shd w:val="clear" w:color="auto" w:fill="C6EFCE"/>
            <w:noWrap/>
          </w:tcPr>
          <w:p w14:paraId="162A954B" w14:textId="77777777" w:rsidR="00C45D59" w:rsidRDefault="00C45D59">
            <w:pPr>
              <w:rPr>
                <w:rFonts w:ascii="Times New Roman" w:eastAsia="Times New Roman" w:hAnsi="Times New Roman" w:cs="Times New Roman"/>
                <w:noProof/>
                <w:color w:val="006100"/>
                <w:sz w:val="18"/>
                <w:szCs w:val="18"/>
              </w:rPr>
            </w:pPr>
          </w:p>
        </w:tc>
        <w:tc>
          <w:tcPr>
            <w:tcW w:w="960" w:type="dxa"/>
            <w:shd w:val="clear" w:color="auto" w:fill="C6EFCE"/>
            <w:noWrap/>
          </w:tcPr>
          <w:p w14:paraId="7AAE1517" w14:textId="77777777" w:rsidR="00C45D59" w:rsidRDefault="00C45D59">
            <w:pPr>
              <w:rPr>
                <w:rFonts w:ascii="Times New Roman" w:eastAsia="Times New Roman" w:hAnsi="Times New Roman" w:cs="Times New Roman"/>
                <w:noProof/>
                <w:color w:val="006100"/>
                <w:sz w:val="18"/>
                <w:szCs w:val="18"/>
              </w:rPr>
            </w:pPr>
          </w:p>
        </w:tc>
        <w:tc>
          <w:tcPr>
            <w:tcW w:w="960" w:type="dxa"/>
            <w:shd w:val="clear" w:color="auto" w:fill="C6EFCE"/>
            <w:noWrap/>
          </w:tcPr>
          <w:p w14:paraId="036C1210" w14:textId="77777777" w:rsidR="00C45D59" w:rsidRDefault="009B0962">
            <w:pPr>
              <w:pStyle w:val="P68B1DB1-Normal12"/>
              <w:rPr>
                <w:rFonts w:eastAsia="Times New Roman"/>
                <w:noProof/>
              </w:rPr>
            </w:pPr>
            <w:r>
              <w:rPr>
                <w:noProof/>
              </w:rPr>
              <w:t>Î1</w:t>
            </w:r>
          </w:p>
        </w:tc>
        <w:tc>
          <w:tcPr>
            <w:tcW w:w="960" w:type="dxa"/>
            <w:shd w:val="clear" w:color="auto" w:fill="C6EFCE"/>
            <w:noWrap/>
          </w:tcPr>
          <w:p w14:paraId="63FDA948" w14:textId="77777777" w:rsidR="00C45D59" w:rsidRDefault="009B0962">
            <w:pPr>
              <w:pStyle w:val="P68B1DB1-Normal12"/>
              <w:rPr>
                <w:rFonts w:eastAsia="Times New Roman"/>
                <w:noProof/>
              </w:rPr>
            </w:pPr>
            <w:r>
              <w:rPr>
                <w:noProof/>
              </w:rPr>
              <w:t>2025</w:t>
            </w:r>
          </w:p>
        </w:tc>
        <w:tc>
          <w:tcPr>
            <w:tcW w:w="4553" w:type="dxa"/>
            <w:shd w:val="clear" w:color="auto" w:fill="C6EFCE"/>
            <w:noWrap/>
          </w:tcPr>
          <w:p w14:paraId="15541536" w14:textId="1B3C80B8" w:rsidR="00C45D59" w:rsidRDefault="009B0962">
            <w:pPr>
              <w:pStyle w:val="P68B1DB1-Normal12"/>
              <w:rPr>
                <w:noProof/>
              </w:rPr>
            </w:pPr>
            <w:r>
              <w:rPr>
                <w:noProof/>
              </w:rPr>
              <w:t>43 365 certificate de inspecție primară pentru clădiri sau instalații sportive eliberate</w:t>
            </w:r>
          </w:p>
        </w:tc>
      </w:tr>
      <w:tr w:rsidR="00C45D59" w14:paraId="2F33DFA1" w14:textId="77777777">
        <w:trPr>
          <w:trHeight w:val="309"/>
          <w:jc w:val="center"/>
        </w:trPr>
        <w:tc>
          <w:tcPr>
            <w:tcW w:w="575" w:type="dxa"/>
            <w:shd w:val="clear" w:color="auto" w:fill="C6EFCE"/>
            <w:noWrap/>
          </w:tcPr>
          <w:p w14:paraId="078A4C45" w14:textId="77777777" w:rsidR="00C45D59" w:rsidRDefault="009B0962">
            <w:pPr>
              <w:pStyle w:val="P68B1DB1-Normal12"/>
              <w:rPr>
                <w:noProof/>
              </w:rPr>
            </w:pPr>
            <w:r>
              <w:rPr>
                <w:noProof/>
              </w:rPr>
              <w:t>385</w:t>
            </w:r>
          </w:p>
        </w:tc>
        <w:tc>
          <w:tcPr>
            <w:tcW w:w="1680" w:type="dxa"/>
            <w:shd w:val="clear" w:color="auto" w:fill="C6EFCE"/>
            <w:noWrap/>
          </w:tcPr>
          <w:p w14:paraId="5F9CB1A1" w14:textId="77777777" w:rsidR="00C45D59" w:rsidRDefault="009B0962">
            <w:pPr>
              <w:pStyle w:val="P68B1DB1-Normal12"/>
              <w:spacing w:after="0" w:line="240" w:lineRule="auto"/>
              <w:rPr>
                <w:noProof/>
              </w:rPr>
            </w:pPr>
            <w:r>
              <w:rPr>
                <w:noProof/>
              </w:rPr>
              <w:t>4-1.4. Utilizarea durabilă a resurselor, reziliența la schimbările climatice și protecția mediului – 16404_ Programul de dezvoltare pentru administrația locală „Antonis Tritsis”</w:t>
            </w:r>
          </w:p>
        </w:tc>
        <w:tc>
          <w:tcPr>
            <w:tcW w:w="1143" w:type="dxa"/>
            <w:shd w:val="clear" w:color="auto" w:fill="C6EFCE"/>
            <w:noWrap/>
          </w:tcPr>
          <w:p w14:paraId="19576108" w14:textId="77777777" w:rsidR="00C45D59" w:rsidRDefault="009B0962">
            <w:pPr>
              <w:pStyle w:val="P68B1DB1-Normal12"/>
              <w:rPr>
                <w:noProof/>
              </w:rPr>
            </w:pPr>
            <w:r>
              <w:rPr>
                <w:noProof/>
              </w:rPr>
              <w:t>Etapă</w:t>
            </w:r>
          </w:p>
        </w:tc>
        <w:tc>
          <w:tcPr>
            <w:tcW w:w="1277" w:type="dxa"/>
            <w:shd w:val="clear" w:color="auto" w:fill="C6EFCE"/>
            <w:noWrap/>
          </w:tcPr>
          <w:p w14:paraId="483226D4" w14:textId="77777777" w:rsidR="00C45D59" w:rsidRDefault="009B0962">
            <w:pPr>
              <w:pStyle w:val="P68B1DB1-Normal12"/>
              <w:spacing w:after="0" w:line="240" w:lineRule="auto"/>
              <w:rPr>
                <w:noProof/>
              </w:rPr>
            </w:pPr>
            <w:r>
              <w:rPr>
                <w:noProof/>
              </w:rPr>
              <w:t>Programul de dezvoltare pentru administrația locală „Antonis Tritsis”</w:t>
            </w:r>
          </w:p>
        </w:tc>
        <w:tc>
          <w:tcPr>
            <w:tcW w:w="1320" w:type="dxa"/>
            <w:shd w:val="clear" w:color="auto" w:fill="C6EFCE"/>
            <w:noWrap/>
          </w:tcPr>
          <w:p w14:paraId="47087253" w14:textId="6A46E60A" w:rsidR="00C45D59" w:rsidRDefault="009B0962">
            <w:pPr>
              <w:pStyle w:val="P68B1DB1-Normal12"/>
              <w:spacing w:after="0" w:line="240" w:lineRule="auto"/>
              <w:rPr>
                <w:noProof/>
              </w:rPr>
            </w:pPr>
            <w:r>
              <w:rPr>
                <w:noProof/>
              </w:rPr>
              <w:t>Realizarea a 83 proiecte în cadrul programului Antonis Tritsis</w:t>
            </w:r>
          </w:p>
        </w:tc>
        <w:tc>
          <w:tcPr>
            <w:tcW w:w="1200" w:type="dxa"/>
            <w:shd w:val="clear" w:color="auto" w:fill="C6EFCE"/>
            <w:noWrap/>
          </w:tcPr>
          <w:p w14:paraId="2A16B5CB" w14:textId="77777777" w:rsidR="00C45D59" w:rsidRDefault="00C45D59">
            <w:pPr>
              <w:rPr>
                <w:rFonts w:ascii="Times New Roman" w:eastAsia="Times New Roman" w:hAnsi="Times New Roman" w:cs="Times New Roman"/>
                <w:noProof/>
                <w:color w:val="006100"/>
                <w:sz w:val="18"/>
                <w:szCs w:val="18"/>
              </w:rPr>
            </w:pPr>
          </w:p>
        </w:tc>
        <w:tc>
          <w:tcPr>
            <w:tcW w:w="960" w:type="dxa"/>
            <w:shd w:val="clear" w:color="auto" w:fill="C6EFCE"/>
            <w:noWrap/>
          </w:tcPr>
          <w:p w14:paraId="4448E5D7" w14:textId="77777777" w:rsidR="00C45D59" w:rsidRDefault="00C45D59">
            <w:pPr>
              <w:rPr>
                <w:rFonts w:ascii="Times New Roman" w:eastAsia="Times New Roman" w:hAnsi="Times New Roman" w:cs="Times New Roman"/>
                <w:noProof/>
                <w:color w:val="006100"/>
                <w:sz w:val="18"/>
                <w:szCs w:val="18"/>
              </w:rPr>
            </w:pPr>
          </w:p>
        </w:tc>
        <w:tc>
          <w:tcPr>
            <w:tcW w:w="960" w:type="dxa"/>
            <w:shd w:val="clear" w:color="auto" w:fill="C6EFCE"/>
            <w:noWrap/>
          </w:tcPr>
          <w:p w14:paraId="3BA652AE" w14:textId="77777777" w:rsidR="00C45D59" w:rsidRDefault="00C45D59">
            <w:pPr>
              <w:rPr>
                <w:rFonts w:ascii="Times New Roman" w:eastAsia="Times New Roman" w:hAnsi="Times New Roman" w:cs="Times New Roman"/>
                <w:noProof/>
                <w:color w:val="006100"/>
                <w:sz w:val="18"/>
                <w:szCs w:val="18"/>
              </w:rPr>
            </w:pPr>
          </w:p>
        </w:tc>
        <w:tc>
          <w:tcPr>
            <w:tcW w:w="960" w:type="dxa"/>
            <w:shd w:val="clear" w:color="auto" w:fill="C6EFCE"/>
            <w:noWrap/>
          </w:tcPr>
          <w:p w14:paraId="76BEB46D" w14:textId="77777777" w:rsidR="00C45D59" w:rsidRDefault="009B0962">
            <w:pPr>
              <w:pStyle w:val="P68B1DB1-Normal12"/>
              <w:rPr>
                <w:noProof/>
              </w:rPr>
            </w:pPr>
            <w:r>
              <w:rPr>
                <w:noProof/>
              </w:rPr>
              <w:t>Î2</w:t>
            </w:r>
          </w:p>
        </w:tc>
        <w:tc>
          <w:tcPr>
            <w:tcW w:w="960" w:type="dxa"/>
            <w:shd w:val="clear" w:color="auto" w:fill="C6EFCE"/>
            <w:noWrap/>
          </w:tcPr>
          <w:p w14:paraId="0D1CA3ED" w14:textId="77777777" w:rsidR="00C45D59" w:rsidRDefault="009B0962">
            <w:pPr>
              <w:pStyle w:val="P68B1DB1-Normal12"/>
              <w:rPr>
                <w:noProof/>
              </w:rPr>
            </w:pPr>
            <w:r>
              <w:rPr>
                <w:noProof/>
              </w:rPr>
              <w:t>2025</w:t>
            </w:r>
          </w:p>
        </w:tc>
        <w:tc>
          <w:tcPr>
            <w:tcW w:w="4553" w:type="dxa"/>
            <w:shd w:val="clear" w:color="auto" w:fill="C6EFCE"/>
            <w:noWrap/>
          </w:tcPr>
          <w:p w14:paraId="1EC964FC" w14:textId="3F2DE001" w:rsidR="00C45D59" w:rsidRDefault="009B0962">
            <w:pPr>
              <w:pStyle w:val="P68B1DB1-Normal12"/>
              <w:rPr>
                <w:rStyle w:val="FootnoteReference"/>
                <w:noProof/>
              </w:rPr>
            </w:pPr>
            <w:r>
              <w:rPr>
                <w:noProof/>
              </w:rPr>
              <w:t>Realizarea a 83 proiecte în cadrul programului Antonis Tritsis. În cazul construirii de sisteme de ape uzate front-to-end, măsura trebuie să aibă un consum net de energie egal cu zero, iar în cazul reînnoirii sistemelor de ape uzate front-to-end, măsura trebuie să conducă la o scădere a consumului mediu de energie cu cel puțin 10 % (numai prin măsuri de eficiență energetică și nu prin modificări semnificative sau modificări ale sarcinii).</w:t>
            </w:r>
          </w:p>
        </w:tc>
      </w:tr>
    </w:tbl>
    <w:p w14:paraId="295C674E" w14:textId="77777777" w:rsidR="00C45D59" w:rsidRDefault="009B0962">
      <w:pPr>
        <w:spacing w:before="120" w:after="120" w:line="240" w:lineRule="auto"/>
        <w:rPr>
          <w:rFonts w:ascii="Times New Roman" w:hAnsi="Times New Roman" w:cs="Times New Roman"/>
          <w:noProof/>
          <w:sz w:val="2"/>
          <w:szCs w:val="2"/>
        </w:rPr>
        <w:sectPr w:rsidR="00C45D59">
          <w:headerReference w:type="even" r:id="rId114"/>
          <w:headerReference w:type="default" r:id="rId115"/>
          <w:footerReference w:type="even" r:id="rId116"/>
          <w:footerReference w:type="default" r:id="rId117"/>
          <w:headerReference w:type="first" r:id="rId118"/>
          <w:footerReference w:type="first" r:id="rId119"/>
          <w:pgSz w:w="16839" w:h="11907" w:orient="landscape"/>
          <w:pgMar w:top="1134" w:right="1134" w:bottom="1134" w:left="1134" w:header="567" w:footer="567" w:gutter="0"/>
          <w:cols w:space="720"/>
          <w:docGrid w:linePitch="360"/>
        </w:sectPr>
      </w:pPr>
      <w:r>
        <w:rPr>
          <w:noProof/>
        </w:rPr>
        <w:tab/>
      </w:r>
    </w:p>
    <w:p w14:paraId="58F3DAE0" w14:textId="77777777" w:rsidR="00C45D59" w:rsidRDefault="009B0962">
      <w:pPr>
        <w:pStyle w:val="P68B1DB1-ListParagraph3"/>
        <w:numPr>
          <w:ilvl w:val="0"/>
          <w:numId w:val="37"/>
        </w:numPr>
        <w:spacing w:before="120" w:after="120" w:line="240" w:lineRule="auto"/>
        <w:jc w:val="both"/>
        <w:outlineLvl w:val="3"/>
        <w:rPr>
          <w:rFonts w:cs="Times New Roman"/>
          <w:bCs/>
          <w:noProof/>
        </w:rPr>
      </w:pPr>
      <w:r>
        <w:rPr>
          <w:noProof/>
        </w:rPr>
        <w:t>COMPONENTA 2.1: CONECTARE</w:t>
      </w:r>
    </w:p>
    <w:p w14:paraId="1E209E6A" w14:textId="77777777" w:rsidR="00C45D59" w:rsidRDefault="009B0962">
      <w:pPr>
        <w:pStyle w:val="P68B1DB1-Normal5"/>
        <w:spacing w:before="120" w:after="120" w:line="240" w:lineRule="auto"/>
        <w:jc w:val="both"/>
        <w:rPr>
          <w:rFonts w:cs="Times New Roman"/>
          <w:noProof/>
        </w:rPr>
      </w:pPr>
      <w:r>
        <w:rPr>
          <w:noProof/>
        </w:rPr>
        <w:t xml:space="preserve">Această componentă </w:t>
      </w:r>
      <w:r>
        <w:rPr>
          <w:noProof/>
          <w:color w:val="000000"/>
        </w:rPr>
        <w:t>a planului de redresare și reziliență</w:t>
      </w:r>
      <w:r>
        <w:rPr>
          <w:noProof/>
        </w:rPr>
        <w:t xml:space="preserve"> al Greciei conține măsuri care vizează promovarea și facilitarea implementării pe scară largă a rețelelor de foarte mare capacitate, inclusiv 5G și fibră optică, în conformitate cu obiectivele UE în materie de conectivitate 2025 5G și gigabit, precum și dezvoltarea unei constelații de sateliți de mici dimensiuni. Investițiile incluse în cadrul acestei componente se referă la instalarea infrastructurii de fibră optică în clădiri și la utilizarea tehnologiilor și aplicațiilor spațiale prin dezvoltarea unei constelații de sateliți mici care să sprijine serviciile de conectivitate securizată cuplate cu aplicații multifuncționale pentru observarea Pământului. Reformele incluse în cadrul acestei componente stabilesc un cadru pentru a facilita trecerea la conexiuni rapide în bandă largă și tranziția către tehnologia 5G.</w:t>
      </w:r>
    </w:p>
    <w:p w14:paraId="646A1695" w14:textId="77777777" w:rsidR="00C45D59" w:rsidRDefault="009B0962">
      <w:pPr>
        <w:pStyle w:val="P68B1DB1-Normal5"/>
        <w:spacing w:before="120" w:after="120" w:line="240" w:lineRule="auto"/>
        <w:jc w:val="both"/>
        <w:rPr>
          <w:rFonts w:cs="Times New Roman"/>
          <w:noProof/>
          <w:szCs w:val="24"/>
        </w:rPr>
      </w:pPr>
      <w:r>
        <w:rPr>
          <w:noProof/>
        </w:rPr>
        <w:t xml:space="preserve">Toate investițiile și reformele propuse abordează provocările care rezultă din nevoia tot mai mare de conectivitate și de observare și supraveghere a Pământului. Măsurile sprijină punerea în aplicare a </w:t>
      </w:r>
      <w:r>
        <w:rPr>
          <w:i/>
          <w:noProof/>
          <w:color w:val="000000" w:themeColor="text1"/>
        </w:rPr>
        <w:t xml:space="preserve">Recomandării specifice fiecărei țări </w:t>
      </w:r>
      <w:r>
        <w:rPr>
          <w:noProof/>
        </w:rPr>
        <w:t>privind investițiile publice și private (</w:t>
      </w:r>
      <w:r>
        <w:rPr>
          <w:i/>
          <w:noProof/>
          <w:color w:val="000000" w:themeColor="text1"/>
        </w:rPr>
        <w:t xml:space="preserve">Recomandarea </w:t>
      </w:r>
      <w:r>
        <w:rPr>
          <w:noProof/>
        </w:rPr>
        <w:t>specifică fiecărei țări 3 2020), care solicită Greciei să își concentreze investițiile pe tranziția digitală și, în special, pe infrastructura digitală de foarte mare capacitate. De asemenea, acestea răspund în mod eficace tranziției digitale și/sau provocărilor generate de aceasta, deoarece se preconizează că vor contribui în mod semnificativ la îmbunătățirea conectivității de foarte mare viteză în Grecia. Se preconizează că nicio măsură din cadrul acestei componente nu prejudiciază în mod semnificativ obiectivele de mediu în sensul articolului 17 din Regulamentul (UE) 2020/852, ținând seama de descrierea măsurilor și a etapelor de atenuare prevăzute în planul de redresare și reziliență în conformitate cu Orientările tehnice privind aplicarea principiului de „a nu prejudicia în mod semnificativ” (2021/C58/01).</w:t>
      </w:r>
    </w:p>
    <w:p w14:paraId="54F1364F" w14:textId="77777777" w:rsidR="00C45D59" w:rsidRDefault="009B0962">
      <w:pPr>
        <w:pStyle w:val="P68B1DB1-Normal6"/>
        <w:spacing w:before="120" w:after="120" w:line="240" w:lineRule="auto"/>
        <w:jc w:val="both"/>
        <w:rPr>
          <w:rFonts w:cs="Times New Roman"/>
          <w:i/>
          <w:noProof/>
          <w:color w:val="4F81BD"/>
        </w:rPr>
      </w:pPr>
      <w:r>
        <w:rPr>
          <w:noProof/>
        </w:rPr>
        <w:t>E.1. Descrierea reformelor și a investițiilor pentru sprijinul financiar nerambursabil</w:t>
      </w:r>
    </w:p>
    <w:p w14:paraId="44BD48EB" w14:textId="77777777" w:rsidR="00C45D59" w:rsidRDefault="009B0962">
      <w:pPr>
        <w:pStyle w:val="P68B1DB1-Normal5"/>
        <w:spacing w:before="120" w:after="120" w:line="240" w:lineRule="auto"/>
        <w:jc w:val="both"/>
        <w:rPr>
          <w:rFonts w:cs="Times New Roman"/>
          <w:noProof/>
        </w:rPr>
      </w:pPr>
      <w:r>
        <w:rPr>
          <w:b/>
          <w:noProof/>
        </w:rPr>
        <w:t>Investiții:</w:t>
      </w:r>
      <w:r>
        <w:rPr>
          <w:noProof/>
        </w:rPr>
        <w:t xml:space="preserve"> Sateliți mici (identificatorul măsurii: 16855)</w:t>
      </w:r>
    </w:p>
    <w:p w14:paraId="13A1A25A" w14:textId="77777777" w:rsidR="00C45D59" w:rsidRDefault="009B0962">
      <w:pPr>
        <w:pStyle w:val="P68B1DB1-Normal7"/>
        <w:spacing w:before="120" w:after="120" w:line="240" w:lineRule="auto"/>
        <w:jc w:val="both"/>
        <w:rPr>
          <w:noProof/>
        </w:rPr>
      </w:pPr>
      <w:r>
        <w:rPr>
          <w:noProof/>
        </w:rPr>
        <w:t xml:space="preserve">Obiectivul acestei investiții este lansarea și plasarea pe orbită a unei constelații de sateliți de mici dimensiuni. Investiția constă într-o constelație de sateliți mici care vizează sprijinirea serviciilor de conectivitate, precum și a aplicațiilor de observare a Pământului pentru cartografiere, transport maritim, agricultură de precizie, amenajarea teritoriului și altele. </w:t>
      </w:r>
    </w:p>
    <w:p w14:paraId="52E20491" w14:textId="1FA2D5E2" w:rsidR="00C45D59" w:rsidRDefault="009B0962">
      <w:pPr>
        <w:pStyle w:val="P68B1DB1-Normal7"/>
        <w:spacing w:before="120" w:after="120" w:line="240" w:lineRule="auto"/>
        <w:jc w:val="both"/>
        <w:rPr>
          <w:noProof/>
        </w:rPr>
      </w:pPr>
      <w:r>
        <w:rPr>
          <w:noProof/>
        </w:rPr>
        <w:t>Măsura constă, de asemenea, în (i) semnarea unei modificări a acordului de proiect pentru asistența acordată de Agenția Spațială Europeană (ESA) în gestionarea și punerea în aplicare a proiectului spațial național prin satelit al Greciei între ESA și Ministerul Guvernanței Digitale și (ii) un transfer de fonduri în valoare de 350 000 000 EUR către ESA pentru a sprijini activitățile din faza II prevăzute în acordul de proiect.</w:t>
      </w:r>
    </w:p>
    <w:p w14:paraId="0DC8136E" w14:textId="77777777" w:rsidR="00C45D59" w:rsidRDefault="009B0962">
      <w:pPr>
        <w:pStyle w:val="P68B1DB1-Normal5"/>
        <w:spacing w:before="120" w:after="120" w:line="240" w:lineRule="auto"/>
        <w:jc w:val="both"/>
        <w:rPr>
          <w:rFonts w:cs="Times New Roman"/>
          <w:noProof/>
          <w:szCs w:val="24"/>
        </w:rPr>
      </w:pPr>
      <w:r>
        <w:rPr>
          <w:b/>
          <w:noProof/>
        </w:rPr>
        <w:t>Reformă:</w:t>
      </w:r>
      <w:r>
        <w:rPr>
          <w:noProof/>
        </w:rPr>
        <w:t xml:space="preserve"> Tranziția către tehnologia 5G, facilitând dezvoltarea de servicii inovatoare la distanță (identificatorul măsurii: 16844)</w:t>
      </w:r>
    </w:p>
    <w:p w14:paraId="4F9E1516" w14:textId="30C8AF49" w:rsidR="00C45D59" w:rsidRDefault="009B0962">
      <w:pPr>
        <w:spacing w:before="120" w:after="120" w:line="240" w:lineRule="auto"/>
        <w:jc w:val="both"/>
        <w:rPr>
          <w:rFonts w:ascii="Times New Roman" w:hAnsi="Times New Roman" w:cs="Times New Roman"/>
          <w:noProof/>
          <w:sz w:val="24"/>
          <w:szCs w:val="24"/>
        </w:rPr>
      </w:pPr>
      <w:r>
        <w:rPr>
          <w:rFonts w:ascii="Times New Roman" w:hAnsi="Times New Roman"/>
          <w:noProof/>
          <w:sz w:val="24"/>
          <w:szCs w:val="24"/>
        </w:rPr>
        <w:t>Obiectivul acestei reforme este de a stabili o bază pentru tranziția către tehnologia 5G. Reformele includ intrarea în vigoare a unui nou cadru legislativ și de reglementare</w:t>
      </w:r>
      <w:r>
        <w:rPr>
          <w:noProof/>
        </w:rPr>
        <w:t xml:space="preserve"> </w:t>
      </w:r>
      <w:r>
        <w:rPr>
          <w:rFonts w:ascii="Times New Roman" w:hAnsi="Times New Roman"/>
          <w:noProof/>
          <w:sz w:val="24"/>
          <w:szCs w:val="24"/>
        </w:rPr>
        <w:t>pentru tranziția la tehnologia 5G.</w:t>
      </w:r>
    </w:p>
    <w:p w14:paraId="7E9BDAAF" w14:textId="77777777" w:rsidR="00C45D59" w:rsidRDefault="009B0962">
      <w:pPr>
        <w:pStyle w:val="P68B1DB1-Normal7"/>
        <w:spacing w:before="120" w:after="120" w:line="240" w:lineRule="auto"/>
        <w:jc w:val="both"/>
        <w:rPr>
          <w:rFonts w:cs="Times New Roman"/>
          <w:noProof/>
        </w:rPr>
      </w:pPr>
      <w:r>
        <w:rPr>
          <w:b/>
          <w:noProof/>
        </w:rPr>
        <w:t xml:space="preserve">Reformă: </w:t>
      </w:r>
      <w:r>
        <w:rPr>
          <w:noProof/>
        </w:rPr>
        <w:t>Trecerea la conexiuni în bandă largă de ordinul gigabiților – Tranziția către conexiuni în bandă largă de ordinul gigabiților și consolidarea cererii de bandă largă de ordinul gigabiților (identificatorul măsurii: 16857)</w:t>
      </w:r>
    </w:p>
    <w:p w14:paraId="3C2168C8" w14:textId="77777777" w:rsidR="00C45D59" w:rsidRDefault="009B0962">
      <w:pPr>
        <w:pStyle w:val="P68B1DB1-Normal7"/>
        <w:spacing w:before="120" w:after="120" w:line="240" w:lineRule="auto"/>
        <w:jc w:val="both"/>
        <w:rPr>
          <w:noProof/>
        </w:rPr>
      </w:pPr>
      <w:r>
        <w:rPr>
          <w:noProof/>
        </w:rPr>
        <w:t>Această reformă constă în intrarea în vigoare a unui cadru juridic pentru tranziția către conexiunile de rețea de foarte mare capacitate VHCN prin instalarea de fibră optică și de echipamente aferente în clădiri, precum și de cabluri submarine în cazul insulelor grecești, permițând o mai mare acoperire a conexiunilor în bandă largă de ordinul gigabiților. Cadrul juridic definește specificațiile tehnice și normele și procedurile relevante pentru implementarea infrastructurii de bandă largă interioare capabile să furnizeze conectivitate în gigabit utilizatorilor finali. Punerea în aplicare a reformei se finalizează până la 30 iunie 2024.</w:t>
      </w:r>
    </w:p>
    <w:p w14:paraId="68BD8836" w14:textId="77777777" w:rsidR="00C45D59" w:rsidRDefault="009B0962">
      <w:pPr>
        <w:pStyle w:val="P68B1DB1-Normal5"/>
        <w:spacing w:before="120" w:after="120" w:line="240" w:lineRule="auto"/>
        <w:jc w:val="both"/>
        <w:rPr>
          <w:rFonts w:cs="Times New Roman"/>
          <w:noProof/>
        </w:rPr>
      </w:pPr>
      <w:r>
        <w:rPr>
          <w:b/>
          <w:noProof/>
        </w:rPr>
        <w:t>Investiții:</w:t>
      </w:r>
      <w:r>
        <w:rPr>
          <w:noProof/>
        </w:rPr>
        <w:t xml:space="preserve"> Infrastructura de fibră optică din clădiri (identificatorul măsurii: 16818)</w:t>
      </w:r>
    </w:p>
    <w:p w14:paraId="4A1F6B5D" w14:textId="77777777" w:rsidR="00C45D59" w:rsidRDefault="009B0962">
      <w:pPr>
        <w:pStyle w:val="P68B1DB1-Normal5"/>
        <w:spacing w:before="120" w:after="120" w:line="240" w:lineRule="auto"/>
        <w:jc w:val="both"/>
        <w:rPr>
          <w:rFonts w:cs="Times New Roman"/>
          <w:noProof/>
        </w:rPr>
      </w:pPr>
      <w:r>
        <w:rPr>
          <w:noProof/>
        </w:rPr>
        <w:t xml:space="preserve">Obiectivul acestei investiții este de a promova instalarea infrastructurii de fibră optică în clădirile rezidențiale și comerciale și în locuințe, precum și conectarea utilizatorilor finali la rețelele de foarte mare capacitate (VHCN). Investiția include scheme de subvenționare a cererii (cupoane valorice) care subvenționează (a) costurile cablării interne și (b) taxele de conectare (taxa unică de configurare a serviciilor în bandă largă). </w:t>
      </w:r>
    </w:p>
    <w:p w14:paraId="3A0A682C" w14:textId="7B9E6F9E" w:rsidR="00C45D59" w:rsidRDefault="00C45D59">
      <w:pPr>
        <w:spacing w:before="120" w:after="120" w:line="240" w:lineRule="auto"/>
        <w:jc w:val="both"/>
        <w:rPr>
          <w:rFonts w:ascii="Times New Roman" w:hAnsi="Times New Roman" w:cs="Times New Roman"/>
          <w:noProof/>
          <w:sz w:val="24"/>
        </w:rPr>
      </w:pPr>
    </w:p>
    <w:p w14:paraId="125B4359" w14:textId="77777777" w:rsidR="00C45D59" w:rsidRDefault="00C45D59">
      <w:pPr>
        <w:spacing w:before="120" w:after="120" w:line="240" w:lineRule="auto"/>
        <w:jc w:val="both"/>
        <w:rPr>
          <w:rFonts w:ascii="Times New Roman" w:hAnsi="Times New Roman" w:cs="Times New Roman"/>
          <w:noProof/>
          <w:sz w:val="24"/>
        </w:rPr>
        <w:sectPr w:rsidR="00C45D59">
          <w:headerReference w:type="even" r:id="rId120"/>
          <w:headerReference w:type="default" r:id="rId121"/>
          <w:footerReference w:type="even" r:id="rId122"/>
          <w:footerReference w:type="default" r:id="rId123"/>
          <w:headerReference w:type="first" r:id="rId124"/>
          <w:footerReference w:type="first" r:id="rId125"/>
          <w:pgSz w:w="11906" w:h="16838"/>
          <w:pgMar w:top="1134" w:right="1134" w:bottom="1134" w:left="1134" w:header="567" w:footer="567" w:gutter="0"/>
          <w:cols w:space="708"/>
          <w:docGrid w:linePitch="360"/>
        </w:sectPr>
      </w:pPr>
    </w:p>
    <w:p w14:paraId="52337B68" w14:textId="77777777" w:rsidR="00C45D59" w:rsidRDefault="009B0962">
      <w:pPr>
        <w:pStyle w:val="P68B1DB1-Normal6"/>
        <w:spacing w:before="120" w:after="120" w:line="240" w:lineRule="auto"/>
        <w:jc w:val="both"/>
        <w:rPr>
          <w:rFonts w:cs="Times New Roman"/>
          <w:bCs/>
          <w:noProof/>
        </w:rPr>
      </w:pPr>
      <w:r>
        <w:rPr>
          <w:noProof/>
        </w:rPr>
        <w:t>E.2. Jaloane, ținte, indicatori și calendarul de monitorizare și implementare aplicabile sprijinului financiar nerambursabil</w:t>
      </w:r>
    </w:p>
    <w:p w14:paraId="1C1228F7" w14:textId="77777777" w:rsidR="00C45D59" w:rsidRDefault="009B0962">
      <w:pPr>
        <w:pStyle w:val="P68B1DB1-Normal9"/>
        <w:keepNext/>
        <w:keepLines/>
        <w:spacing w:before="40" w:after="0" w:line="240" w:lineRule="auto"/>
        <w:jc w:val="both"/>
        <w:outlineLvl w:val="4"/>
        <w:rPr>
          <w:rFonts w:eastAsia="Times New Roman"/>
          <w:noProof/>
        </w:rPr>
      </w:pPr>
      <w:r>
        <w:rPr>
          <w:noProof/>
        </w:rPr>
        <w:t>Grupul 8: Conectivitate</w:t>
      </w:r>
    </w:p>
    <w:p w14:paraId="7FBA3995" w14:textId="77777777" w:rsidR="00C45D59" w:rsidRDefault="009B0962">
      <w:pPr>
        <w:pStyle w:val="P68B1DB1-Normal5"/>
        <w:spacing w:before="120" w:after="120" w:line="240" w:lineRule="auto"/>
        <w:jc w:val="both"/>
        <w:rPr>
          <w:rFonts w:cs="Times New Roman"/>
          <w:noProof/>
          <w:szCs w:val="24"/>
        </w:rPr>
      </w:pPr>
      <w:r>
        <w:rPr>
          <w:noProof/>
        </w:rPr>
        <w:t>Măsurile incluse în acest grup sunt:</w:t>
      </w:r>
    </w:p>
    <w:p w14:paraId="26400FA1" w14:textId="77777777" w:rsidR="00C45D59" w:rsidRDefault="009B0962">
      <w:pPr>
        <w:spacing w:before="120" w:after="120" w:line="240" w:lineRule="auto"/>
        <w:jc w:val="both"/>
        <w:rPr>
          <w:rFonts w:ascii="Times New Roman" w:hAnsi="Times New Roman" w:cs="Times New Roman"/>
          <w:noProof/>
          <w:sz w:val="24"/>
        </w:rPr>
      </w:pPr>
      <w:r>
        <w:rPr>
          <w:rFonts w:ascii="Times New Roman" w:hAnsi="Times New Roman"/>
          <w:noProof/>
          <w:sz w:val="24"/>
        </w:rPr>
        <w:t>●</w:t>
      </w:r>
      <w:r>
        <w:rPr>
          <w:noProof/>
        </w:rPr>
        <w:t xml:space="preserve"> </w:t>
      </w:r>
      <w:r>
        <w:rPr>
          <w:rFonts w:ascii="Times New Roman" w:hAnsi="Times New Roman"/>
          <w:noProof/>
          <w:sz w:val="24"/>
        </w:rPr>
        <w:t>Tranziția către tehnologia 5G, facilitând dezvoltarea de servicii inovatoare la distanță. (NUMĂR DE IDENTIFICARE: 16844)</w:t>
      </w:r>
    </w:p>
    <w:p w14:paraId="02A448C4" w14:textId="77777777" w:rsidR="00C45D59" w:rsidRDefault="009B0962">
      <w:pPr>
        <w:spacing w:before="120" w:after="120" w:line="240" w:lineRule="auto"/>
        <w:jc w:val="both"/>
        <w:rPr>
          <w:rFonts w:ascii="Times New Roman" w:hAnsi="Times New Roman" w:cs="Times New Roman"/>
          <w:noProof/>
          <w:sz w:val="24"/>
        </w:rPr>
      </w:pPr>
      <w:r>
        <w:rPr>
          <w:rFonts w:ascii="Times New Roman" w:hAnsi="Times New Roman"/>
          <w:noProof/>
          <w:sz w:val="24"/>
        </w:rPr>
        <w:t>●</w:t>
      </w:r>
      <w:r>
        <w:rPr>
          <w:noProof/>
        </w:rPr>
        <w:t xml:space="preserve"> </w:t>
      </w:r>
      <w:r>
        <w:rPr>
          <w:rFonts w:ascii="Times New Roman" w:hAnsi="Times New Roman"/>
          <w:noProof/>
          <w:sz w:val="24"/>
        </w:rPr>
        <w:t>Trecerea la conexiuni în bandă largă la nivel de gigabit – Tranziția către conexiuni în bandă largă la nivel de gigabit și consolidarea cererii de bandă largă la nivel de gigabit (ID: 16857)</w:t>
      </w:r>
    </w:p>
    <w:p w14:paraId="7388404C" w14:textId="77777777" w:rsidR="00C45D59" w:rsidRDefault="009B0962">
      <w:pPr>
        <w:spacing w:before="120" w:after="120" w:line="240" w:lineRule="auto"/>
        <w:jc w:val="both"/>
        <w:rPr>
          <w:rFonts w:ascii="Times New Roman" w:hAnsi="Times New Roman" w:cs="Times New Roman"/>
          <w:noProof/>
          <w:sz w:val="24"/>
          <w:szCs w:val="24"/>
        </w:rPr>
      </w:pPr>
      <w:r>
        <w:rPr>
          <w:rFonts w:ascii="Times New Roman" w:hAnsi="Times New Roman"/>
          <w:noProof/>
          <w:sz w:val="24"/>
        </w:rPr>
        <w:t>●</w:t>
      </w:r>
      <w:r>
        <w:rPr>
          <w:noProof/>
        </w:rPr>
        <w:t xml:space="preserve"> </w:t>
      </w:r>
      <w:r>
        <w:rPr>
          <w:rFonts w:ascii="Times New Roman" w:hAnsi="Times New Roman"/>
          <w:noProof/>
          <w:sz w:val="24"/>
        </w:rPr>
        <w:t>Infrastructura de fibră optică din clădiri (ID: 16818)</w:t>
      </w:r>
    </w:p>
    <w:p w14:paraId="4D178D2F" w14:textId="77777777" w:rsidR="00C45D59" w:rsidRDefault="009B0962">
      <w:pPr>
        <w:spacing w:before="120" w:after="120" w:line="240" w:lineRule="auto"/>
        <w:jc w:val="both"/>
        <w:rPr>
          <w:noProof/>
        </w:rPr>
      </w:pPr>
      <w:r>
        <w:rPr>
          <w:rFonts w:ascii="Times New Roman" w:hAnsi="Times New Roman"/>
          <w:noProof/>
          <w:sz w:val="24"/>
        </w:rPr>
        <w:t>●</w:t>
      </w:r>
      <w:r>
        <w:rPr>
          <w:noProof/>
        </w:rPr>
        <w:t xml:space="preserve"> </w:t>
      </w:r>
      <w:r>
        <w:rPr>
          <w:rFonts w:ascii="Times New Roman" w:hAnsi="Times New Roman"/>
          <w:noProof/>
          <w:sz w:val="24"/>
        </w:rPr>
        <w:t>Sateliți mici (ID: 16855)</w:t>
      </w:r>
      <w:r>
        <w:rPr>
          <w:noProof/>
        </w:rPr>
        <w:tab/>
      </w:r>
    </w:p>
    <w:tbl>
      <w:tblPr>
        <w:tblpPr w:leftFromText="180" w:rightFromText="180" w:vertAnchor="text" w:tblpY="1"/>
        <w:tblOverlap w:val="never"/>
        <w:tblW w:w="15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8"/>
        <w:gridCol w:w="1680"/>
        <w:gridCol w:w="1155"/>
        <w:gridCol w:w="1560"/>
        <w:gridCol w:w="2268"/>
        <w:gridCol w:w="1417"/>
        <w:gridCol w:w="992"/>
        <w:gridCol w:w="851"/>
        <w:gridCol w:w="984"/>
        <w:gridCol w:w="850"/>
        <w:gridCol w:w="3402"/>
      </w:tblGrid>
      <w:tr w:rsidR="00C45D59" w14:paraId="7BF92D98" w14:textId="77777777" w:rsidTr="004048D3">
        <w:trPr>
          <w:trHeight w:val="585"/>
          <w:tblHeader/>
        </w:trPr>
        <w:tc>
          <w:tcPr>
            <w:tcW w:w="588" w:type="dxa"/>
            <w:vMerge w:val="restart"/>
            <w:shd w:val="clear" w:color="auto" w:fill="BDD7EE"/>
            <w:vAlign w:val="center"/>
            <w:hideMark/>
          </w:tcPr>
          <w:p w14:paraId="1B90324C" w14:textId="1C9F3AD2" w:rsidR="00C45D59" w:rsidRDefault="009B0962" w:rsidP="004048D3">
            <w:pPr>
              <w:pStyle w:val="P68B1DB1-Normal10"/>
              <w:spacing w:after="0" w:line="240" w:lineRule="auto"/>
              <w:jc w:val="center"/>
              <w:rPr>
                <w:rFonts w:eastAsia="Times New Roman" w:cs="Times New Roman"/>
                <w:bCs/>
                <w:noProof/>
                <w:szCs w:val="18"/>
              </w:rPr>
            </w:pPr>
            <w:r>
              <w:rPr>
                <w:noProof/>
              </w:rPr>
              <w:t>Nr</w:t>
            </w:r>
            <w:r w:rsidR="009F5BD9">
              <w:rPr>
                <w:noProof/>
              </w:rPr>
              <w:t>.</w:t>
            </w:r>
            <w:r>
              <w:rPr>
                <w:noProof/>
              </w:rPr>
              <w:t xml:space="preserve"> </w:t>
            </w:r>
            <w:r>
              <w:rPr>
                <w:noProof/>
              </w:rPr>
              <w:br/>
            </w:r>
            <w:r w:rsidR="009F5BD9">
              <w:rPr>
                <w:noProof/>
              </w:rPr>
              <w:t>crt</w:t>
            </w:r>
            <w:r>
              <w:rPr>
                <w:noProof/>
              </w:rPr>
              <w:t>.</w:t>
            </w:r>
          </w:p>
        </w:tc>
        <w:tc>
          <w:tcPr>
            <w:tcW w:w="1680" w:type="dxa"/>
            <w:vMerge w:val="restart"/>
            <w:shd w:val="clear" w:color="auto" w:fill="BDD7EE"/>
            <w:vAlign w:val="center"/>
            <w:hideMark/>
          </w:tcPr>
          <w:p w14:paraId="05E64882" w14:textId="77777777" w:rsidR="00C45D59" w:rsidRDefault="009B0962" w:rsidP="004048D3">
            <w:pPr>
              <w:pStyle w:val="P68B1DB1-Normal10"/>
              <w:spacing w:after="0" w:line="240" w:lineRule="auto"/>
              <w:jc w:val="center"/>
              <w:rPr>
                <w:rFonts w:eastAsia="Times New Roman" w:cs="Times New Roman"/>
                <w:bCs/>
                <w:noProof/>
                <w:szCs w:val="18"/>
              </w:rPr>
            </w:pPr>
            <w:r>
              <w:rPr>
                <w:noProof/>
              </w:rPr>
              <w:t>Măsură conexă (reformă sau investiții)</w:t>
            </w:r>
          </w:p>
        </w:tc>
        <w:tc>
          <w:tcPr>
            <w:tcW w:w="1155" w:type="dxa"/>
            <w:vMerge w:val="restart"/>
            <w:shd w:val="clear" w:color="auto" w:fill="BDD7EE"/>
            <w:vAlign w:val="center"/>
            <w:hideMark/>
          </w:tcPr>
          <w:p w14:paraId="5600F347" w14:textId="77777777" w:rsidR="009F5BD9" w:rsidRDefault="009B0962" w:rsidP="004048D3">
            <w:pPr>
              <w:pStyle w:val="P68B1DB1-Normal10"/>
              <w:spacing w:after="0" w:line="240" w:lineRule="auto"/>
              <w:jc w:val="center"/>
              <w:rPr>
                <w:noProof/>
              </w:rPr>
            </w:pPr>
            <w:r>
              <w:rPr>
                <w:noProof/>
              </w:rPr>
              <w:t>Etapă/</w:t>
            </w:r>
          </w:p>
          <w:p w14:paraId="6E784DDC" w14:textId="23A04197" w:rsidR="00C45D59" w:rsidRDefault="009B0962" w:rsidP="004048D3">
            <w:pPr>
              <w:pStyle w:val="P68B1DB1-Normal10"/>
              <w:spacing w:after="0" w:line="240" w:lineRule="auto"/>
              <w:jc w:val="center"/>
              <w:rPr>
                <w:rFonts w:eastAsia="Times New Roman" w:cs="Times New Roman"/>
                <w:bCs/>
                <w:noProof/>
                <w:szCs w:val="18"/>
              </w:rPr>
            </w:pPr>
            <w:r>
              <w:rPr>
                <w:noProof/>
              </w:rPr>
              <w:t>Obiectiv</w:t>
            </w:r>
          </w:p>
        </w:tc>
        <w:tc>
          <w:tcPr>
            <w:tcW w:w="1560" w:type="dxa"/>
            <w:vMerge w:val="restart"/>
            <w:shd w:val="clear" w:color="auto" w:fill="BDD7EE"/>
            <w:vAlign w:val="center"/>
            <w:hideMark/>
          </w:tcPr>
          <w:p w14:paraId="184FD853" w14:textId="75B441F8" w:rsidR="00C45D59" w:rsidRDefault="009F5BD9" w:rsidP="004048D3">
            <w:pPr>
              <w:pStyle w:val="P68B1DB1-Normal10"/>
              <w:spacing w:after="0" w:line="240" w:lineRule="auto"/>
              <w:jc w:val="center"/>
              <w:rPr>
                <w:rFonts w:eastAsia="Times New Roman" w:cs="Times New Roman"/>
                <w:bCs/>
                <w:noProof/>
                <w:szCs w:val="18"/>
              </w:rPr>
            </w:pPr>
            <w:r>
              <w:rPr>
                <w:noProof/>
              </w:rPr>
              <w:t>Denumire</w:t>
            </w:r>
          </w:p>
        </w:tc>
        <w:tc>
          <w:tcPr>
            <w:tcW w:w="2268" w:type="dxa"/>
            <w:vMerge w:val="restart"/>
            <w:shd w:val="clear" w:color="auto" w:fill="BDD7EE"/>
            <w:vAlign w:val="center"/>
            <w:hideMark/>
          </w:tcPr>
          <w:p w14:paraId="4A2AB51A" w14:textId="77777777" w:rsidR="00C45D59" w:rsidRDefault="009B0962" w:rsidP="004048D3">
            <w:pPr>
              <w:pStyle w:val="P68B1DB1-Normal10"/>
              <w:spacing w:after="0" w:line="240" w:lineRule="auto"/>
              <w:jc w:val="center"/>
              <w:rPr>
                <w:rFonts w:eastAsia="Times New Roman" w:cs="Times New Roman"/>
                <w:bCs/>
                <w:noProof/>
                <w:szCs w:val="18"/>
              </w:rPr>
            </w:pPr>
            <w:r>
              <w:rPr>
                <w:noProof/>
              </w:rPr>
              <w:t>Indicatori calitativi (pentru obiectivele de etapă)</w:t>
            </w:r>
          </w:p>
        </w:tc>
        <w:tc>
          <w:tcPr>
            <w:tcW w:w="3260" w:type="dxa"/>
            <w:gridSpan w:val="3"/>
            <w:shd w:val="clear" w:color="auto" w:fill="BDD7EE"/>
            <w:vAlign w:val="center"/>
            <w:hideMark/>
          </w:tcPr>
          <w:p w14:paraId="63729530" w14:textId="305B82CD" w:rsidR="00C45D59" w:rsidRDefault="009B0962" w:rsidP="004048D3">
            <w:pPr>
              <w:pStyle w:val="P68B1DB1-Normal18"/>
              <w:spacing w:after="0" w:line="240" w:lineRule="auto"/>
              <w:jc w:val="center"/>
              <w:rPr>
                <w:rFonts w:ascii="Times New Roman" w:eastAsia="Times New Roman" w:hAnsi="Times New Roman" w:cs="Times New Roman"/>
                <w:bCs/>
                <w:noProof/>
                <w:szCs w:val="18"/>
              </w:rPr>
            </w:pPr>
            <w:r>
              <w:rPr>
                <w:rFonts w:ascii="Times New Roman" w:hAnsi="Times New Roman"/>
                <w:noProof/>
              </w:rPr>
              <w:t xml:space="preserve">Indicatori cantitativi </w:t>
            </w:r>
            <w:r>
              <w:rPr>
                <w:rFonts w:ascii="Times New Roman" w:hAnsi="Times New Roman" w:cs="Times New Roman"/>
                <w:noProof/>
                <w:szCs w:val="18"/>
              </w:rPr>
              <w:br/>
            </w:r>
            <w:r>
              <w:rPr>
                <w:rFonts w:ascii="Times New Roman" w:hAnsi="Times New Roman"/>
                <w:noProof/>
              </w:rPr>
              <w:t xml:space="preserve"> (pentru obiective)</w:t>
            </w:r>
          </w:p>
        </w:tc>
        <w:tc>
          <w:tcPr>
            <w:tcW w:w="1834" w:type="dxa"/>
            <w:gridSpan w:val="2"/>
            <w:shd w:val="clear" w:color="auto" w:fill="BDD7EE"/>
            <w:vAlign w:val="center"/>
            <w:hideMark/>
          </w:tcPr>
          <w:p w14:paraId="3DD23E1C" w14:textId="77777777" w:rsidR="00C45D59" w:rsidRDefault="009B0962" w:rsidP="004048D3">
            <w:pPr>
              <w:pStyle w:val="P68B1DB1-Normal10"/>
              <w:spacing w:after="0" w:line="240" w:lineRule="auto"/>
              <w:jc w:val="center"/>
              <w:rPr>
                <w:rFonts w:eastAsia="Times New Roman" w:cs="Times New Roman"/>
                <w:bCs/>
                <w:noProof/>
                <w:szCs w:val="18"/>
              </w:rPr>
            </w:pPr>
            <w:r>
              <w:rPr>
                <w:noProof/>
              </w:rPr>
              <w:t xml:space="preserve">Calendar orientativ pentru finalizare </w:t>
            </w:r>
          </w:p>
        </w:tc>
        <w:tc>
          <w:tcPr>
            <w:tcW w:w="3402" w:type="dxa"/>
            <w:vMerge w:val="restart"/>
            <w:shd w:val="clear" w:color="auto" w:fill="BDD7EE"/>
            <w:vAlign w:val="center"/>
            <w:hideMark/>
          </w:tcPr>
          <w:p w14:paraId="45A592AF" w14:textId="77777777" w:rsidR="00C45D59" w:rsidRDefault="009B0962" w:rsidP="004048D3">
            <w:pPr>
              <w:pStyle w:val="P68B1DB1-Normal10"/>
              <w:spacing w:after="0" w:line="240" w:lineRule="auto"/>
              <w:jc w:val="center"/>
              <w:rPr>
                <w:rFonts w:eastAsia="Times New Roman" w:cs="Times New Roman"/>
                <w:bCs/>
                <w:noProof/>
                <w:szCs w:val="18"/>
              </w:rPr>
            </w:pPr>
            <w:r>
              <w:rPr>
                <w:noProof/>
              </w:rPr>
              <w:t>Descrierea fiecărui jalon și a fiecărei ținte</w:t>
            </w:r>
          </w:p>
        </w:tc>
      </w:tr>
      <w:tr w:rsidR="00C45D59" w14:paraId="38C407AA" w14:textId="77777777" w:rsidTr="004048D3">
        <w:trPr>
          <w:trHeight w:val="372"/>
          <w:tblHeader/>
        </w:trPr>
        <w:tc>
          <w:tcPr>
            <w:tcW w:w="588" w:type="dxa"/>
            <w:vMerge/>
            <w:vAlign w:val="center"/>
            <w:hideMark/>
          </w:tcPr>
          <w:p w14:paraId="2157213F" w14:textId="77777777" w:rsidR="00C45D59" w:rsidRDefault="00C45D59" w:rsidP="004048D3">
            <w:pPr>
              <w:spacing w:after="0" w:line="240" w:lineRule="auto"/>
              <w:rPr>
                <w:rFonts w:ascii="Times New Roman" w:eastAsia="Times New Roman" w:hAnsi="Times New Roman" w:cs="Times New Roman"/>
                <w:b/>
                <w:bCs/>
                <w:noProof/>
                <w:sz w:val="18"/>
                <w:szCs w:val="18"/>
              </w:rPr>
            </w:pPr>
          </w:p>
        </w:tc>
        <w:tc>
          <w:tcPr>
            <w:tcW w:w="1680" w:type="dxa"/>
            <w:vMerge/>
            <w:vAlign w:val="center"/>
            <w:hideMark/>
          </w:tcPr>
          <w:p w14:paraId="26A33FA3" w14:textId="77777777" w:rsidR="00C45D59" w:rsidRDefault="00C45D59" w:rsidP="004048D3">
            <w:pPr>
              <w:spacing w:after="0" w:line="240" w:lineRule="auto"/>
              <w:rPr>
                <w:rFonts w:ascii="Times New Roman" w:eastAsia="Times New Roman" w:hAnsi="Times New Roman" w:cs="Times New Roman"/>
                <w:b/>
                <w:bCs/>
                <w:noProof/>
                <w:sz w:val="18"/>
                <w:szCs w:val="18"/>
              </w:rPr>
            </w:pPr>
          </w:p>
        </w:tc>
        <w:tc>
          <w:tcPr>
            <w:tcW w:w="1155" w:type="dxa"/>
            <w:vMerge/>
            <w:vAlign w:val="center"/>
            <w:hideMark/>
          </w:tcPr>
          <w:p w14:paraId="5FCD0A35" w14:textId="77777777" w:rsidR="00C45D59" w:rsidRDefault="00C45D59" w:rsidP="004048D3">
            <w:pPr>
              <w:spacing w:after="0" w:line="240" w:lineRule="auto"/>
              <w:rPr>
                <w:rFonts w:ascii="Times New Roman" w:eastAsia="Times New Roman" w:hAnsi="Times New Roman" w:cs="Times New Roman"/>
                <w:b/>
                <w:bCs/>
                <w:noProof/>
                <w:sz w:val="18"/>
                <w:szCs w:val="18"/>
              </w:rPr>
            </w:pPr>
          </w:p>
        </w:tc>
        <w:tc>
          <w:tcPr>
            <w:tcW w:w="1560" w:type="dxa"/>
            <w:vMerge/>
            <w:vAlign w:val="center"/>
            <w:hideMark/>
          </w:tcPr>
          <w:p w14:paraId="580D83B8" w14:textId="77777777" w:rsidR="00C45D59" w:rsidRDefault="00C45D59" w:rsidP="004048D3">
            <w:pPr>
              <w:spacing w:after="0" w:line="240" w:lineRule="auto"/>
              <w:rPr>
                <w:rFonts w:ascii="Times New Roman" w:eastAsia="Times New Roman" w:hAnsi="Times New Roman" w:cs="Times New Roman"/>
                <w:b/>
                <w:bCs/>
                <w:noProof/>
                <w:sz w:val="18"/>
                <w:szCs w:val="18"/>
              </w:rPr>
            </w:pPr>
          </w:p>
        </w:tc>
        <w:tc>
          <w:tcPr>
            <w:tcW w:w="2268" w:type="dxa"/>
            <w:vMerge/>
            <w:vAlign w:val="center"/>
            <w:hideMark/>
          </w:tcPr>
          <w:p w14:paraId="19831C56" w14:textId="77777777" w:rsidR="00C45D59" w:rsidRDefault="00C45D59" w:rsidP="004048D3">
            <w:pPr>
              <w:spacing w:after="0" w:line="240" w:lineRule="auto"/>
              <w:rPr>
                <w:rFonts w:ascii="Times New Roman" w:eastAsia="Times New Roman" w:hAnsi="Times New Roman" w:cs="Times New Roman"/>
                <w:b/>
                <w:bCs/>
                <w:noProof/>
                <w:sz w:val="18"/>
                <w:szCs w:val="18"/>
              </w:rPr>
            </w:pPr>
          </w:p>
        </w:tc>
        <w:tc>
          <w:tcPr>
            <w:tcW w:w="1417" w:type="dxa"/>
            <w:shd w:val="clear" w:color="auto" w:fill="BDD7EE"/>
            <w:vAlign w:val="center"/>
            <w:hideMark/>
          </w:tcPr>
          <w:p w14:paraId="55E2D7B2" w14:textId="77777777" w:rsidR="00C45D59" w:rsidRDefault="009B0962" w:rsidP="004048D3">
            <w:pPr>
              <w:pStyle w:val="P68B1DB1-Normal10"/>
              <w:spacing w:after="0" w:line="240" w:lineRule="auto"/>
              <w:jc w:val="center"/>
              <w:rPr>
                <w:rFonts w:eastAsia="Times New Roman" w:cs="Times New Roman"/>
                <w:bCs/>
                <w:noProof/>
                <w:szCs w:val="18"/>
              </w:rPr>
            </w:pPr>
            <w:r>
              <w:rPr>
                <w:noProof/>
              </w:rPr>
              <w:t>Unitatea de măsură</w:t>
            </w:r>
          </w:p>
        </w:tc>
        <w:tc>
          <w:tcPr>
            <w:tcW w:w="992" w:type="dxa"/>
            <w:shd w:val="clear" w:color="auto" w:fill="BDD7EE"/>
            <w:vAlign w:val="center"/>
            <w:hideMark/>
          </w:tcPr>
          <w:p w14:paraId="7A79BA4D" w14:textId="77777777" w:rsidR="00C45D59" w:rsidRDefault="009B0962" w:rsidP="004048D3">
            <w:pPr>
              <w:pStyle w:val="P68B1DB1-Normal10"/>
              <w:spacing w:after="0" w:line="240" w:lineRule="auto"/>
              <w:jc w:val="center"/>
              <w:rPr>
                <w:rFonts w:eastAsia="Times New Roman" w:cs="Times New Roman"/>
                <w:bCs/>
                <w:noProof/>
                <w:szCs w:val="18"/>
              </w:rPr>
            </w:pPr>
            <w:r>
              <w:rPr>
                <w:noProof/>
              </w:rPr>
              <w:t xml:space="preserve">Situația de referință </w:t>
            </w:r>
          </w:p>
        </w:tc>
        <w:tc>
          <w:tcPr>
            <w:tcW w:w="851" w:type="dxa"/>
            <w:shd w:val="clear" w:color="auto" w:fill="BDD7EE"/>
            <w:vAlign w:val="center"/>
            <w:hideMark/>
          </w:tcPr>
          <w:p w14:paraId="2AED18BB" w14:textId="77777777" w:rsidR="00C45D59" w:rsidRDefault="009B0962" w:rsidP="004048D3">
            <w:pPr>
              <w:pStyle w:val="P68B1DB1-Normal10"/>
              <w:spacing w:after="0" w:line="240" w:lineRule="auto"/>
              <w:jc w:val="center"/>
              <w:rPr>
                <w:rFonts w:eastAsia="Times New Roman" w:cs="Times New Roman"/>
                <w:bCs/>
                <w:noProof/>
                <w:szCs w:val="18"/>
              </w:rPr>
            </w:pPr>
            <w:r>
              <w:rPr>
                <w:noProof/>
              </w:rPr>
              <w:t xml:space="preserve">Obiectiv </w:t>
            </w:r>
          </w:p>
        </w:tc>
        <w:tc>
          <w:tcPr>
            <w:tcW w:w="984" w:type="dxa"/>
            <w:shd w:val="clear" w:color="auto" w:fill="BDD7EE"/>
            <w:vAlign w:val="center"/>
            <w:hideMark/>
          </w:tcPr>
          <w:p w14:paraId="64DA820B" w14:textId="77777777" w:rsidR="00C45D59" w:rsidRDefault="009B0962" w:rsidP="004048D3">
            <w:pPr>
              <w:pStyle w:val="P68B1DB1-Normal10"/>
              <w:spacing w:after="0" w:line="240" w:lineRule="auto"/>
              <w:jc w:val="center"/>
              <w:rPr>
                <w:rFonts w:eastAsia="Times New Roman" w:cs="Times New Roman"/>
                <w:bCs/>
                <w:noProof/>
                <w:szCs w:val="18"/>
              </w:rPr>
            </w:pPr>
            <w:r>
              <w:rPr>
                <w:noProof/>
              </w:rPr>
              <w:t>Trimestru</w:t>
            </w:r>
          </w:p>
        </w:tc>
        <w:tc>
          <w:tcPr>
            <w:tcW w:w="850" w:type="dxa"/>
            <w:shd w:val="clear" w:color="auto" w:fill="BDD7EE"/>
            <w:vAlign w:val="center"/>
            <w:hideMark/>
          </w:tcPr>
          <w:p w14:paraId="2DBBBE1C" w14:textId="77777777" w:rsidR="00C45D59" w:rsidRDefault="009B0962" w:rsidP="004048D3">
            <w:pPr>
              <w:pStyle w:val="P68B1DB1-Normal10"/>
              <w:spacing w:after="0" w:line="240" w:lineRule="auto"/>
              <w:jc w:val="center"/>
              <w:rPr>
                <w:rFonts w:eastAsia="Times New Roman" w:cs="Times New Roman"/>
                <w:bCs/>
                <w:noProof/>
                <w:szCs w:val="18"/>
              </w:rPr>
            </w:pPr>
            <w:r>
              <w:rPr>
                <w:noProof/>
              </w:rPr>
              <w:t>Anul</w:t>
            </w:r>
          </w:p>
        </w:tc>
        <w:tc>
          <w:tcPr>
            <w:tcW w:w="3402" w:type="dxa"/>
            <w:vMerge/>
            <w:vAlign w:val="center"/>
            <w:hideMark/>
          </w:tcPr>
          <w:p w14:paraId="1678F10C" w14:textId="77777777" w:rsidR="00C45D59" w:rsidRDefault="00C45D59" w:rsidP="004048D3">
            <w:pPr>
              <w:spacing w:after="0" w:line="240" w:lineRule="auto"/>
              <w:rPr>
                <w:rFonts w:ascii="Times New Roman" w:eastAsia="Times New Roman" w:hAnsi="Times New Roman" w:cs="Times New Roman"/>
                <w:b/>
                <w:bCs/>
                <w:noProof/>
                <w:sz w:val="18"/>
                <w:szCs w:val="18"/>
              </w:rPr>
            </w:pPr>
          </w:p>
        </w:tc>
      </w:tr>
      <w:tr w:rsidR="00C45D59" w14:paraId="0E505255" w14:textId="77777777" w:rsidTr="004048D3">
        <w:trPr>
          <w:trHeight w:val="309"/>
        </w:trPr>
        <w:tc>
          <w:tcPr>
            <w:tcW w:w="588" w:type="dxa"/>
            <w:shd w:val="clear" w:color="auto" w:fill="C6EFCE"/>
            <w:noWrap/>
          </w:tcPr>
          <w:p w14:paraId="5366E856" w14:textId="77777777" w:rsidR="00C45D59" w:rsidRDefault="009B0962" w:rsidP="004048D3">
            <w:pPr>
              <w:pStyle w:val="P68B1DB1-Normal12"/>
              <w:spacing w:after="0" w:line="240" w:lineRule="auto"/>
              <w:rPr>
                <w:rFonts w:eastAsia="Times New Roman"/>
                <w:noProof/>
              </w:rPr>
            </w:pPr>
            <w:r>
              <w:rPr>
                <w:noProof/>
              </w:rPr>
              <w:t>85</w:t>
            </w:r>
          </w:p>
        </w:tc>
        <w:tc>
          <w:tcPr>
            <w:tcW w:w="1680" w:type="dxa"/>
            <w:shd w:val="clear" w:color="auto" w:fill="C6EFCE"/>
            <w:noWrap/>
          </w:tcPr>
          <w:p w14:paraId="2DEC1471" w14:textId="77777777" w:rsidR="00C45D59" w:rsidRDefault="009B0962" w:rsidP="004048D3">
            <w:pPr>
              <w:pStyle w:val="P68B1DB1-Normal12"/>
              <w:spacing w:after="0" w:line="240" w:lineRule="auto"/>
              <w:rPr>
                <w:rFonts w:eastAsia="Times New Roman"/>
                <w:noProof/>
              </w:rPr>
            </w:pPr>
            <w:r>
              <w:rPr>
                <w:noProof/>
              </w:rPr>
              <w:t>5-2.1. Connect – 16818_Infrastructura de fibră optică din clădiri</w:t>
            </w:r>
          </w:p>
        </w:tc>
        <w:tc>
          <w:tcPr>
            <w:tcW w:w="1155" w:type="dxa"/>
            <w:shd w:val="clear" w:color="auto" w:fill="C6EFCE"/>
            <w:noWrap/>
          </w:tcPr>
          <w:p w14:paraId="54D90DCA" w14:textId="77777777" w:rsidR="00C45D59" w:rsidRDefault="009B0962" w:rsidP="004048D3">
            <w:pPr>
              <w:pStyle w:val="P68B1DB1-Normal12"/>
              <w:spacing w:after="0" w:line="240" w:lineRule="auto"/>
              <w:rPr>
                <w:rFonts w:eastAsia="Times New Roman"/>
                <w:noProof/>
              </w:rPr>
            </w:pPr>
            <w:r>
              <w:rPr>
                <w:noProof/>
              </w:rPr>
              <w:t>Etapă</w:t>
            </w:r>
          </w:p>
        </w:tc>
        <w:tc>
          <w:tcPr>
            <w:tcW w:w="1560" w:type="dxa"/>
            <w:shd w:val="clear" w:color="auto" w:fill="C6EFCE"/>
            <w:noWrap/>
          </w:tcPr>
          <w:p w14:paraId="25F2D6F3" w14:textId="77777777" w:rsidR="00C45D59" w:rsidRDefault="009B0962" w:rsidP="004048D3">
            <w:pPr>
              <w:pStyle w:val="P68B1DB1-Normal12"/>
              <w:spacing w:after="0" w:line="240" w:lineRule="auto"/>
              <w:rPr>
                <w:rFonts w:eastAsia="Times New Roman"/>
                <w:noProof/>
              </w:rPr>
            </w:pPr>
            <w:r>
              <w:rPr>
                <w:noProof/>
              </w:rPr>
              <w:t>Atribuirea contractului (contractelor) pentru proiectul „Infrastructura de fibră optică în clădiri”</w:t>
            </w:r>
          </w:p>
        </w:tc>
        <w:tc>
          <w:tcPr>
            <w:tcW w:w="2268" w:type="dxa"/>
            <w:shd w:val="clear" w:color="auto" w:fill="C6EFCE"/>
            <w:noWrap/>
          </w:tcPr>
          <w:p w14:paraId="702CF693" w14:textId="77777777" w:rsidR="00C45D59" w:rsidRDefault="009B0962" w:rsidP="004048D3">
            <w:pPr>
              <w:pStyle w:val="P68B1DB1-Normal12"/>
              <w:spacing w:after="0" w:line="240" w:lineRule="auto"/>
              <w:rPr>
                <w:rFonts w:eastAsia="Times New Roman"/>
                <w:strike/>
                <w:noProof/>
              </w:rPr>
            </w:pPr>
            <w:r>
              <w:rPr>
                <w:noProof/>
              </w:rPr>
              <w:t xml:space="preserve">Notificarea atribuirii contractului (contractelor) </w:t>
            </w:r>
          </w:p>
        </w:tc>
        <w:tc>
          <w:tcPr>
            <w:tcW w:w="1417" w:type="dxa"/>
            <w:shd w:val="clear" w:color="auto" w:fill="C6EFCE"/>
            <w:noWrap/>
          </w:tcPr>
          <w:p w14:paraId="07FC5E7D" w14:textId="77777777" w:rsidR="00C45D59" w:rsidRDefault="00C45D59" w:rsidP="004048D3">
            <w:pPr>
              <w:spacing w:after="0" w:line="240" w:lineRule="auto"/>
              <w:rPr>
                <w:rFonts w:ascii="Times New Roman" w:eastAsia="Times New Roman" w:hAnsi="Times New Roman" w:cs="Times New Roman"/>
                <w:noProof/>
                <w:color w:val="006100"/>
                <w:sz w:val="18"/>
                <w:szCs w:val="18"/>
              </w:rPr>
            </w:pPr>
          </w:p>
        </w:tc>
        <w:tc>
          <w:tcPr>
            <w:tcW w:w="992" w:type="dxa"/>
            <w:shd w:val="clear" w:color="auto" w:fill="C6EFCE"/>
            <w:noWrap/>
          </w:tcPr>
          <w:p w14:paraId="77C1A943" w14:textId="77777777" w:rsidR="00C45D59" w:rsidRDefault="00C45D59" w:rsidP="004048D3">
            <w:pPr>
              <w:spacing w:after="0" w:line="240" w:lineRule="auto"/>
              <w:rPr>
                <w:rFonts w:ascii="Times New Roman" w:eastAsia="Times New Roman" w:hAnsi="Times New Roman" w:cs="Times New Roman"/>
                <w:noProof/>
                <w:color w:val="006100"/>
                <w:sz w:val="18"/>
                <w:szCs w:val="18"/>
              </w:rPr>
            </w:pPr>
          </w:p>
        </w:tc>
        <w:tc>
          <w:tcPr>
            <w:tcW w:w="851" w:type="dxa"/>
            <w:shd w:val="clear" w:color="auto" w:fill="C6EFCE"/>
            <w:noWrap/>
          </w:tcPr>
          <w:p w14:paraId="5B8776F5" w14:textId="77777777" w:rsidR="00C45D59" w:rsidRDefault="00C45D59" w:rsidP="004048D3">
            <w:pPr>
              <w:spacing w:after="0" w:line="240" w:lineRule="auto"/>
              <w:rPr>
                <w:rFonts w:ascii="Times New Roman" w:eastAsia="Times New Roman" w:hAnsi="Times New Roman" w:cs="Times New Roman"/>
                <w:noProof/>
                <w:color w:val="006100"/>
                <w:sz w:val="18"/>
                <w:szCs w:val="18"/>
              </w:rPr>
            </w:pPr>
          </w:p>
        </w:tc>
        <w:tc>
          <w:tcPr>
            <w:tcW w:w="984" w:type="dxa"/>
            <w:shd w:val="clear" w:color="auto" w:fill="C6EFCE"/>
            <w:noWrap/>
          </w:tcPr>
          <w:p w14:paraId="76EB8C83" w14:textId="77777777" w:rsidR="00C45D59" w:rsidRDefault="009B0962" w:rsidP="004048D3">
            <w:pPr>
              <w:pStyle w:val="P68B1DB1-Normal12"/>
              <w:spacing w:after="0" w:line="240" w:lineRule="auto"/>
              <w:rPr>
                <w:rFonts w:eastAsia="Times New Roman"/>
                <w:noProof/>
              </w:rPr>
            </w:pPr>
            <w:r>
              <w:rPr>
                <w:noProof/>
              </w:rPr>
              <w:t>Î3</w:t>
            </w:r>
          </w:p>
        </w:tc>
        <w:tc>
          <w:tcPr>
            <w:tcW w:w="850" w:type="dxa"/>
            <w:shd w:val="clear" w:color="auto" w:fill="C6EFCE"/>
            <w:noWrap/>
          </w:tcPr>
          <w:p w14:paraId="457A72ED" w14:textId="77777777" w:rsidR="00C45D59" w:rsidRDefault="009B0962" w:rsidP="004048D3">
            <w:pPr>
              <w:pStyle w:val="P68B1DB1-Normal12"/>
              <w:spacing w:after="0" w:line="240" w:lineRule="auto"/>
              <w:rPr>
                <w:rFonts w:eastAsia="Times New Roman"/>
                <w:noProof/>
              </w:rPr>
            </w:pPr>
            <w:r>
              <w:rPr>
                <w:noProof/>
              </w:rPr>
              <w:t>2022</w:t>
            </w:r>
          </w:p>
        </w:tc>
        <w:tc>
          <w:tcPr>
            <w:tcW w:w="3402" w:type="dxa"/>
            <w:shd w:val="clear" w:color="auto" w:fill="C6EFCE"/>
            <w:noWrap/>
          </w:tcPr>
          <w:p w14:paraId="0597D953" w14:textId="77777777" w:rsidR="00C45D59" w:rsidRDefault="009B0962" w:rsidP="004048D3">
            <w:pPr>
              <w:pStyle w:val="P68B1DB1-Normal12"/>
              <w:spacing w:after="0" w:line="240" w:lineRule="auto"/>
              <w:rPr>
                <w:rFonts w:eastAsia="Times New Roman"/>
                <w:noProof/>
              </w:rPr>
            </w:pPr>
            <w:r>
              <w:rPr>
                <w:noProof/>
              </w:rPr>
              <w:t>Atribuirea contractului (contractelor) în urma finalizării cu succes a procedurii de licitație pentru proiectul „Infrastructura de fibră optică în clădiri”.</w:t>
            </w:r>
          </w:p>
          <w:p w14:paraId="2D78F5DB" w14:textId="77777777" w:rsidR="00C45D59" w:rsidRDefault="00C45D59" w:rsidP="004048D3">
            <w:pPr>
              <w:spacing w:after="0" w:line="240" w:lineRule="auto"/>
              <w:rPr>
                <w:rFonts w:ascii="Times New Roman" w:eastAsia="Times New Roman" w:hAnsi="Times New Roman" w:cs="Times New Roman"/>
                <w:noProof/>
                <w:color w:val="006100"/>
                <w:sz w:val="18"/>
                <w:szCs w:val="18"/>
              </w:rPr>
            </w:pPr>
          </w:p>
          <w:p w14:paraId="147CAEF3" w14:textId="77777777" w:rsidR="00C45D59" w:rsidRDefault="009B0962" w:rsidP="004048D3">
            <w:pPr>
              <w:pStyle w:val="P68B1DB1-Normal12"/>
              <w:spacing w:after="0" w:line="240" w:lineRule="auto"/>
              <w:rPr>
                <w:rFonts w:eastAsia="Times New Roman"/>
                <w:noProof/>
              </w:rPr>
            </w:pPr>
            <w:r>
              <w:rPr>
                <w:noProof/>
              </w:rPr>
              <w:t>AS Societatea Informațională/Ministerul Guvernanței Digitale se asigură că toate cererile depuse sunt examinate pentru a confirma dacă acestea răspund în mod corespunzător cerințelor cererii de propuneri. La selectarea contractantului corespunzător, Societatea informațională S.A./Ministerul Guvernanței Digitale atribuie contractul care definește obligațiile, rolurile și responsabilitățile părților contractante.</w:t>
            </w:r>
          </w:p>
        </w:tc>
      </w:tr>
      <w:tr w:rsidR="00C45D59" w14:paraId="71120599" w14:textId="77777777" w:rsidTr="004048D3">
        <w:trPr>
          <w:trHeight w:val="309"/>
        </w:trPr>
        <w:tc>
          <w:tcPr>
            <w:tcW w:w="588" w:type="dxa"/>
            <w:shd w:val="clear" w:color="auto" w:fill="C6EFCE"/>
            <w:noWrap/>
          </w:tcPr>
          <w:p w14:paraId="3A73473E" w14:textId="77777777" w:rsidR="00C45D59" w:rsidRDefault="009B0962" w:rsidP="004048D3">
            <w:pPr>
              <w:pStyle w:val="P68B1DB1-Normal12"/>
              <w:spacing w:after="0" w:line="240" w:lineRule="auto"/>
              <w:rPr>
                <w:rFonts w:eastAsia="Times New Roman"/>
                <w:noProof/>
              </w:rPr>
            </w:pPr>
            <w:r>
              <w:rPr>
                <w:noProof/>
              </w:rPr>
              <w:t>87</w:t>
            </w:r>
          </w:p>
        </w:tc>
        <w:tc>
          <w:tcPr>
            <w:tcW w:w="1680" w:type="dxa"/>
            <w:shd w:val="clear" w:color="auto" w:fill="C6EFCE"/>
            <w:noWrap/>
          </w:tcPr>
          <w:p w14:paraId="7380F07C" w14:textId="77777777" w:rsidR="00C45D59" w:rsidRDefault="009B0962" w:rsidP="004048D3">
            <w:pPr>
              <w:pStyle w:val="P68B1DB1-Normal12"/>
              <w:spacing w:after="0" w:line="240" w:lineRule="auto"/>
              <w:rPr>
                <w:rFonts w:eastAsia="Times New Roman"/>
                <w:noProof/>
              </w:rPr>
            </w:pPr>
            <w:r>
              <w:rPr>
                <w:noProof/>
              </w:rPr>
              <w:t>5-2.1. Connect – 16855_Sateliți de mici dimensiuni</w:t>
            </w:r>
          </w:p>
        </w:tc>
        <w:tc>
          <w:tcPr>
            <w:tcW w:w="1155" w:type="dxa"/>
            <w:shd w:val="clear" w:color="auto" w:fill="C6EFCE"/>
            <w:noWrap/>
          </w:tcPr>
          <w:p w14:paraId="3496B285" w14:textId="77777777" w:rsidR="00C45D59" w:rsidRDefault="009B0962" w:rsidP="004048D3">
            <w:pPr>
              <w:pStyle w:val="P68B1DB1-Normal12"/>
              <w:spacing w:after="0" w:line="240" w:lineRule="auto"/>
              <w:rPr>
                <w:rFonts w:eastAsia="Times New Roman"/>
                <w:noProof/>
              </w:rPr>
            </w:pPr>
            <w:r>
              <w:rPr>
                <w:noProof/>
              </w:rPr>
              <w:t>Etapă</w:t>
            </w:r>
          </w:p>
        </w:tc>
        <w:tc>
          <w:tcPr>
            <w:tcW w:w="1560" w:type="dxa"/>
            <w:shd w:val="clear" w:color="auto" w:fill="C6EFCE"/>
            <w:noWrap/>
          </w:tcPr>
          <w:p w14:paraId="144B5A55" w14:textId="77777777" w:rsidR="00C45D59" w:rsidRDefault="009B0962" w:rsidP="004048D3">
            <w:pPr>
              <w:pStyle w:val="P68B1DB1-Normal12"/>
              <w:spacing w:after="0" w:line="240" w:lineRule="auto"/>
              <w:rPr>
                <w:rFonts w:eastAsia="Times New Roman"/>
                <w:noProof/>
              </w:rPr>
            </w:pPr>
            <w:r>
              <w:rPr>
                <w:noProof/>
              </w:rPr>
              <w:t>Atribuirea contractului (contractelor) pentru proiectul „Small Satellites”</w:t>
            </w:r>
          </w:p>
        </w:tc>
        <w:tc>
          <w:tcPr>
            <w:tcW w:w="2268" w:type="dxa"/>
            <w:shd w:val="clear" w:color="auto" w:fill="C6EFCE"/>
            <w:noWrap/>
          </w:tcPr>
          <w:p w14:paraId="29D52355" w14:textId="77777777" w:rsidR="00C45D59" w:rsidRDefault="009B0962" w:rsidP="004048D3">
            <w:pPr>
              <w:pStyle w:val="P68B1DB1-Normal12"/>
              <w:spacing w:after="0" w:line="240" w:lineRule="auto"/>
              <w:rPr>
                <w:rFonts w:eastAsia="Times New Roman"/>
                <w:noProof/>
              </w:rPr>
            </w:pPr>
            <w:r>
              <w:rPr>
                <w:noProof/>
              </w:rPr>
              <w:t xml:space="preserve">Notificarea atribuirii contractului (contractelor) </w:t>
            </w:r>
          </w:p>
        </w:tc>
        <w:tc>
          <w:tcPr>
            <w:tcW w:w="1417" w:type="dxa"/>
            <w:shd w:val="clear" w:color="auto" w:fill="C6EFCE"/>
            <w:noWrap/>
          </w:tcPr>
          <w:p w14:paraId="70B92D0C" w14:textId="77777777" w:rsidR="00C45D59" w:rsidRDefault="00C45D59" w:rsidP="004048D3">
            <w:pPr>
              <w:spacing w:after="0" w:line="240" w:lineRule="auto"/>
              <w:rPr>
                <w:rFonts w:ascii="Times New Roman" w:eastAsia="Times New Roman" w:hAnsi="Times New Roman" w:cs="Times New Roman"/>
                <w:noProof/>
                <w:color w:val="006100"/>
                <w:sz w:val="18"/>
                <w:szCs w:val="18"/>
              </w:rPr>
            </w:pPr>
          </w:p>
        </w:tc>
        <w:tc>
          <w:tcPr>
            <w:tcW w:w="992" w:type="dxa"/>
            <w:shd w:val="clear" w:color="auto" w:fill="C6EFCE"/>
            <w:noWrap/>
          </w:tcPr>
          <w:p w14:paraId="0B0215E8" w14:textId="77777777" w:rsidR="00C45D59" w:rsidRDefault="00C45D59" w:rsidP="004048D3">
            <w:pPr>
              <w:spacing w:after="0" w:line="240" w:lineRule="auto"/>
              <w:rPr>
                <w:rFonts w:ascii="Times New Roman" w:eastAsia="Times New Roman" w:hAnsi="Times New Roman" w:cs="Times New Roman"/>
                <w:noProof/>
                <w:color w:val="006100"/>
                <w:sz w:val="18"/>
                <w:szCs w:val="18"/>
              </w:rPr>
            </w:pPr>
          </w:p>
        </w:tc>
        <w:tc>
          <w:tcPr>
            <w:tcW w:w="851" w:type="dxa"/>
            <w:shd w:val="clear" w:color="auto" w:fill="C6EFCE"/>
            <w:noWrap/>
          </w:tcPr>
          <w:p w14:paraId="6A0F1229" w14:textId="77777777" w:rsidR="00C45D59" w:rsidRDefault="00C45D59" w:rsidP="004048D3">
            <w:pPr>
              <w:spacing w:after="0" w:line="240" w:lineRule="auto"/>
              <w:rPr>
                <w:rFonts w:ascii="Times New Roman" w:eastAsia="Times New Roman" w:hAnsi="Times New Roman" w:cs="Times New Roman"/>
                <w:noProof/>
                <w:color w:val="006100"/>
                <w:sz w:val="18"/>
                <w:szCs w:val="18"/>
              </w:rPr>
            </w:pPr>
          </w:p>
        </w:tc>
        <w:tc>
          <w:tcPr>
            <w:tcW w:w="984" w:type="dxa"/>
            <w:shd w:val="clear" w:color="auto" w:fill="C6EFCE"/>
            <w:noWrap/>
          </w:tcPr>
          <w:p w14:paraId="5F38A787" w14:textId="77777777" w:rsidR="00C45D59" w:rsidRDefault="009B0962" w:rsidP="004048D3">
            <w:pPr>
              <w:pStyle w:val="P68B1DB1-Normal12"/>
              <w:spacing w:after="0" w:line="240" w:lineRule="auto"/>
              <w:rPr>
                <w:rFonts w:eastAsia="Times New Roman"/>
                <w:noProof/>
              </w:rPr>
            </w:pPr>
            <w:r>
              <w:rPr>
                <w:noProof/>
              </w:rPr>
              <w:t>Î2</w:t>
            </w:r>
          </w:p>
        </w:tc>
        <w:tc>
          <w:tcPr>
            <w:tcW w:w="850" w:type="dxa"/>
            <w:shd w:val="clear" w:color="auto" w:fill="C6EFCE"/>
            <w:noWrap/>
          </w:tcPr>
          <w:p w14:paraId="1B7FD0D1" w14:textId="77777777" w:rsidR="00C45D59" w:rsidRDefault="009B0962" w:rsidP="004048D3">
            <w:pPr>
              <w:pStyle w:val="P68B1DB1-Normal12"/>
              <w:spacing w:after="0" w:line="240" w:lineRule="auto"/>
              <w:rPr>
                <w:rFonts w:eastAsia="Times New Roman"/>
                <w:noProof/>
              </w:rPr>
            </w:pPr>
            <w:r>
              <w:rPr>
                <w:noProof/>
              </w:rPr>
              <w:t>2023</w:t>
            </w:r>
          </w:p>
        </w:tc>
        <w:tc>
          <w:tcPr>
            <w:tcW w:w="3402" w:type="dxa"/>
            <w:shd w:val="clear" w:color="auto" w:fill="C6EFCE"/>
            <w:noWrap/>
          </w:tcPr>
          <w:p w14:paraId="117AB58D" w14:textId="77777777" w:rsidR="00C45D59" w:rsidRDefault="009B0962" w:rsidP="004048D3">
            <w:pPr>
              <w:pStyle w:val="P68B1DB1-Normal12"/>
              <w:spacing w:after="0" w:line="240" w:lineRule="auto"/>
              <w:rPr>
                <w:rFonts w:eastAsia="Times New Roman"/>
                <w:noProof/>
              </w:rPr>
            </w:pPr>
            <w:r>
              <w:rPr>
                <w:noProof/>
              </w:rPr>
              <w:t>Atribuirea contractului (contractelor) în urma finalizării cu succes a procedurii de licitație pentru proiectul „Small Satellites”.</w:t>
            </w:r>
          </w:p>
          <w:p w14:paraId="2B938A9C" w14:textId="77777777" w:rsidR="00C45D59" w:rsidRDefault="00C45D59" w:rsidP="004048D3">
            <w:pPr>
              <w:spacing w:after="0" w:line="240" w:lineRule="auto"/>
              <w:rPr>
                <w:rFonts w:ascii="Times New Roman" w:hAnsi="Times New Roman" w:cs="Times New Roman"/>
                <w:noProof/>
                <w:color w:val="006100"/>
                <w:sz w:val="18"/>
                <w:szCs w:val="18"/>
              </w:rPr>
            </w:pPr>
          </w:p>
          <w:p w14:paraId="563958D7" w14:textId="77777777" w:rsidR="00C45D59" w:rsidRDefault="009B0962" w:rsidP="004048D3">
            <w:pPr>
              <w:pStyle w:val="P68B1DB1-Normal23"/>
              <w:spacing w:after="0" w:line="240" w:lineRule="auto"/>
              <w:rPr>
                <w:noProof/>
              </w:rPr>
            </w:pPr>
            <w:bookmarkStart w:id="2" w:name="_Hlk208835858"/>
            <w:r>
              <w:rPr>
                <w:noProof/>
              </w:rPr>
              <w:t>Investiția vizează dezvoltarea unei constelații de sateliți de mici dimensiuni pentru a sprijini serviciile de conectivitate, precum și aplicațiile de observare a Pământului în domeniul cartografierii, al transportului maritim, al agriculturii de precizie, al amenajării teritoriului și altele.</w:t>
            </w:r>
            <w:bookmarkEnd w:id="2"/>
          </w:p>
        </w:tc>
      </w:tr>
      <w:tr w:rsidR="00C45D59" w14:paraId="1F89DD2F" w14:textId="77777777" w:rsidTr="004048D3">
        <w:trPr>
          <w:trHeight w:val="309"/>
        </w:trPr>
        <w:tc>
          <w:tcPr>
            <w:tcW w:w="588" w:type="dxa"/>
            <w:shd w:val="clear" w:color="auto" w:fill="C6EFCE"/>
            <w:noWrap/>
          </w:tcPr>
          <w:p w14:paraId="5B6DA216" w14:textId="77777777" w:rsidR="00C45D59" w:rsidRDefault="009B0962" w:rsidP="004048D3">
            <w:pPr>
              <w:pStyle w:val="P68B1DB1-Normal12"/>
              <w:spacing w:after="0" w:line="240" w:lineRule="auto"/>
              <w:rPr>
                <w:rFonts w:eastAsia="Times New Roman"/>
                <w:noProof/>
              </w:rPr>
            </w:pPr>
            <w:r>
              <w:rPr>
                <w:noProof/>
              </w:rPr>
              <w:t>90</w:t>
            </w:r>
          </w:p>
        </w:tc>
        <w:tc>
          <w:tcPr>
            <w:tcW w:w="1680" w:type="dxa"/>
            <w:shd w:val="clear" w:color="auto" w:fill="C6EFCE"/>
            <w:noWrap/>
          </w:tcPr>
          <w:p w14:paraId="17F0083A" w14:textId="77777777" w:rsidR="00C45D59" w:rsidRDefault="009B0962" w:rsidP="004048D3">
            <w:pPr>
              <w:pStyle w:val="P68B1DB1-Normal12"/>
              <w:spacing w:after="0" w:line="240" w:lineRule="auto"/>
              <w:rPr>
                <w:rFonts w:eastAsia="Times New Roman"/>
                <w:noProof/>
              </w:rPr>
            </w:pPr>
            <w:r>
              <w:rPr>
                <w:noProof/>
              </w:rPr>
              <w:t>5-2.1. Connect – 16818_Infrastructura de fibră optică din clădiri</w:t>
            </w:r>
          </w:p>
        </w:tc>
        <w:tc>
          <w:tcPr>
            <w:tcW w:w="1155" w:type="dxa"/>
            <w:shd w:val="clear" w:color="auto" w:fill="C6EFCE"/>
            <w:noWrap/>
          </w:tcPr>
          <w:p w14:paraId="6E785190" w14:textId="77777777" w:rsidR="00C45D59" w:rsidRDefault="009B0962" w:rsidP="004048D3">
            <w:pPr>
              <w:pStyle w:val="P68B1DB1-Normal12"/>
              <w:spacing w:after="0" w:line="240" w:lineRule="auto"/>
              <w:rPr>
                <w:rFonts w:eastAsia="Times New Roman"/>
                <w:noProof/>
              </w:rPr>
            </w:pPr>
            <w:r>
              <w:rPr>
                <w:noProof/>
              </w:rPr>
              <w:t>Țintă</w:t>
            </w:r>
          </w:p>
        </w:tc>
        <w:tc>
          <w:tcPr>
            <w:tcW w:w="1560" w:type="dxa"/>
            <w:shd w:val="clear" w:color="auto" w:fill="C6EFCE"/>
            <w:noWrap/>
          </w:tcPr>
          <w:p w14:paraId="18DDFFDE" w14:textId="77777777" w:rsidR="00C45D59" w:rsidRDefault="009B0962" w:rsidP="004048D3">
            <w:pPr>
              <w:pStyle w:val="P68B1DB1-Normal12"/>
              <w:spacing w:after="0" w:line="240" w:lineRule="auto"/>
              <w:rPr>
                <w:rFonts w:eastAsia="Times New Roman"/>
                <w:noProof/>
              </w:rPr>
            </w:pPr>
            <w:r>
              <w:rPr>
                <w:noProof/>
              </w:rPr>
              <w:t>Execuția proiectului „Infrastructura de fibră optică în clădiri”</w:t>
            </w:r>
          </w:p>
        </w:tc>
        <w:tc>
          <w:tcPr>
            <w:tcW w:w="2268" w:type="dxa"/>
            <w:shd w:val="clear" w:color="auto" w:fill="C6EFCE"/>
            <w:noWrap/>
          </w:tcPr>
          <w:p w14:paraId="17ADB98C" w14:textId="77777777" w:rsidR="00C45D59" w:rsidRDefault="00C45D59" w:rsidP="004048D3">
            <w:pPr>
              <w:spacing w:after="0" w:line="240" w:lineRule="auto"/>
              <w:rPr>
                <w:rFonts w:ascii="Times New Roman" w:eastAsia="Times New Roman" w:hAnsi="Times New Roman" w:cs="Times New Roman"/>
                <w:noProof/>
                <w:color w:val="006100"/>
                <w:sz w:val="18"/>
                <w:szCs w:val="18"/>
              </w:rPr>
            </w:pPr>
          </w:p>
        </w:tc>
        <w:tc>
          <w:tcPr>
            <w:tcW w:w="1417" w:type="dxa"/>
            <w:shd w:val="clear" w:color="auto" w:fill="C6EFCE"/>
            <w:noWrap/>
          </w:tcPr>
          <w:p w14:paraId="7EB3F7C9" w14:textId="77777777" w:rsidR="00C45D59" w:rsidRDefault="009B0962" w:rsidP="004048D3">
            <w:pPr>
              <w:pStyle w:val="P68B1DB1-Normal12"/>
              <w:spacing w:after="0" w:line="240" w:lineRule="auto"/>
              <w:rPr>
                <w:rFonts w:eastAsia="Times New Roman"/>
                <w:noProof/>
              </w:rPr>
            </w:pPr>
            <w:r>
              <w:rPr>
                <w:noProof/>
              </w:rPr>
              <w:t>Numărul de bonuri valorice</w:t>
            </w:r>
          </w:p>
        </w:tc>
        <w:tc>
          <w:tcPr>
            <w:tcW w:w="992" w:type="dxa"/>
            <w:shd w:val="clear" w:color="auto" w:fill="C6EFCE"/>
            <w:noWrap/>
          </w:tcPr>
          <w:p w14:paraId="5935E89B" w14:textId="77777777" w:rsidR="00C45D59" w:rsidRDefault="00C45D59" w:rsidP="004048D3">
            <w:pPr>
              <w:spacing w:after="0" w:line="240" w:lineRule="auto"/>
              <w:rPr>
                <w:rFonts w:ascii="Times New Roman" w:eastAsia="Times New Roman" w:hAnsi="Times New Roman" w:cs="Times New Roman"/>
                <w:noProof/>
                <w:color w:val="006100"/>
                <w:sz w:val="18"/>
                <w:szCs w:val="18"/>
              </w:rPr>
            </w:pPr>
          </w:p>
        </w:tc>
        <w:tc>
          <w:tcPr>
            <w:tcW w:w="851" w:type="dxa"/>
            <w:shd w:val="clear" w:color="auto" w:fill="C6EFCE"/>
            <w:noWrap/>
          </w:tcPr>
          <w:p w14:paraId="042975A1" w14:textId="77777777" w:rsidR="00C45D59" w:rsidRDefault="009B0962" w:rsidP="004048D3">
            <w:pPr>
              <w:pStyle w:val="P68B1DB1-Normal12"/>
              <w:spacing w:after="0" w:line="240" w:lineRule="auto"/>
              <w:rPr>
                <w:rFonts w:eastAsia="Times New Roman"/>
                <w:noProof/>
              </w:rPr>
            </w:pPr>
            <w:r>
              <w:rPr>
                <w:noProof/>
              </w:rPr>
              <w:t>300 255</w:t>
            </w:r>
          </w:p>
        </w:tc>
        <w:tc>
          <w:tcPr>
            <w:tcW w:w="984" w:type="dxa"/>
            <w:shd w:val="clear" w:color="auto" w:fill="C6EFCE"/>
            <w:noWrap/>
          </w:tcPr>
          <w:p w14:paraId="45924381" w14:textId="77777777" w:rsidR="00C45D59" w:rsidRDefault="009B0962" w:rsidP="004048D3">
            <w:pPr>
              <w:pStyle w:val="P68B1DB1-Normal12"/>
              <w:spacing w:after="0" w:line="240" w:lineRule="auto"/>
              <w:rPr>
                <w:rFonts w:eastAsia="Times New Roman"/>
                <w:noProof/>
              </w:rPr>
            </w:pPr>
            <w:r>
              <w:rPr>
                <w:noProof/>
              </w:rPr>
              <w:t>Î4</w:t>
            </w:r>
          </w:p>
        </w:tc>
        <w:tc>
          <w:tcPr>
            <w:tcW w:w="850" w:type="dxa"/>
            <w:shd w:val="clear" w:color="auto" w:fill="C6EFCE"/>
            <w:noWrap/>
          </w:tcPr>
          <w:p w14:paraId="1734978A" w14:textId="77777777" w:rsidR="00C45D59" w:rsidRDefault="009B0962" w:rsidP="004048D3">
            <w:pPr>
              <w:pStyle w:val="P68B1DB1-Normal12"/>
              <w:spacing w:after="0" w:line="240" w:lineRule="auto"/>
              <w:rPr>
                <w:rFonts w:eastAsia="Times New Roman"/>
                <w:noProof/>
              </w:rPr>
            </w:pPr>
            <w:r>
              <w:rPr>
                <w:noProof/>
              </w:rPr>
              <w:t>2025</w:t>
            </w:r>
          </w:p>
        </w:tc>
        <w:tc>
          <w:tcPr>
            <w:tcW w:w="3402" w:type="dxa"/>
            <w:shd w:val="clear" w:color="auto" w:fill="C6EFCE"/>
            <w:noWrap/>
          </w:tcPr>
          <w:p w14:paraId="57A63D48" w14:textId="6453623A" w:rsidR="00C45D59" w:rsidRDefault="009B0962" w:rsidP="004048D3">
            <w:pPr>
              <w:pStyle w:val="P68B1DB1-Normal16"/>
              <w:spacing w:after="0" w:line="240" w:lineRule="auto"/>
              <w:rPr>
                <w:rFonts w:eastAsia="Times New Roman"/>
                <w:noProof/>
                <w:color w:val="006100"/>
              </w:rPr>
            </w:pPr>
            <w:r>
              <w:rPr>
                <w:noProof/>
                <w:color w:val="006100"/>
              </w:rPr>
              <w:t>300 255 vouchere preschimbate pentru locuințe conectate la infrastructura și serviciile de fibră optică FTTH.</w:t>
            </w:r>
            <w:r>
              <w:rPr>
                <w:noProof/>
              </w:rPr>
              <w:t xml:space="preserve"> </w:t>
            </w:r>
          </w:p>
        </w:tc>
      </w:tr>
      <w:tr w:rsidR="00C45D59" w14:paraId="10649370" w14:textId="77777777" w:rsidTr="004048D3">
        <w:trPr>
          <w:trHeight w:val="309"/>
        </w:trPr>
        <w:tc>
          <w:tcPr>
            <w:tcW w:w="588" w:type="dxa"/>
            <w:shd w:val="clear" w:color="auto" w:fill="C6EFCE"/>
            <w:noWrap/>
          </w:tcPr>
          <w:p w14:paraId="06F70861" w14:textId="77777777" w:rsidR="00C45D59" w:rsidRDefault="009B0962" w:rsidP="004048D3">
            <w:pPr>
              <w:pStyle w:val="P68B1DB1-Normal12"/>
              <w:spacing w:after="0" w:line="240" w:lineRule="auto"/>
              <w:rPr>
                <w:rFonts w:eastAsia="Times New Roman"/>
                <w:noProof/>
              </w:rPr>
            </w:pPr>
            <w:r>
              <w:rPr>
                <w:noProof/>
              </w:rPr>
              <w:t>92</w:t>
            </w:r>
          </w:p>
        </w:tc>
        <w:tc>
          <w:tcPr>
            <w:tcW w:w="1680" w:type="dxa"/>
            <w:shd w:val="clear" w:color="auto" w:fill="C6EFCE"/>
            <w:noWrap/>
          </w:tcPr>
          <w:p w14:paraId="4E091C79" w14:textId="1E28CE74" w:rsidR="00C45D59" w:rsidRDefault="009B0962" w:rsidP="004048D3">
            <w:pPr>
              <w:pStyle w:val="P68B1DB1-Normal12"/>
              <w:spacing w:after="0" w:line="240" w:lineRule="auto"/>
              <w:rPr>
                <w:rFonts w:eastAsia="Times New Roman"/>
                <w:noProof/>
              </w:rPr>
            </w:pPr>
            <w:r>
              <w:rPr>
                <w:noProof/>
              </w:rPr>
              <w:t>5-2.1. Connect – 16855_Sateliți de mici dimensiuni</w:t>
            </w:r>
          </w:p>
        </w:tc>
        <w:tc>
          <w:tcPr>
            <w:tcW w:w="1155" w:type="dxa"/>
            <w:shd w:val="clear" w:color="auto" w:fill="C6EFCE"/>
            <w:noWrap/>
          </w:tcPr>
          <w:p w14:paraId="4E962061" w14:textId="77777777" w:rsidR="00C45D59" w:rsidRDefault="009B0962" w:rsidP="004048D3">
            <w:pPr>
              <w:pStyle w:val="P68B1DB1-Normal12"/>
              <w:spacing w:after="0" w:line="240" w:lineRule="auto"/>
              <w:rPr>
                <w:rFonts w:eastAsia="Times New Roman"/>
                <w:noProof/>
              </w:rPr>
            </w:pPr>
            <w:r>
              <w:rPr>
                <w:noProof/>
              </w:rPr>
              <w:t>Etapă</w:t>
            </w:r>
          </w:p>
        </w:tc>
        <w:tc>
          <w:tcPr>
            <w:tcW w:w="1560" w:type="dxa"/>
            <w:shd w:val="clear" w:color="auto" w:fill="C6EFCE"/>
            <w:noWrap/>
          </w:tcPr>
          <w:p w14:paraId="7064FB95" w14:textId="77777777" w:rsidR="00C45D59" w:rsidRDefault="009B0962" w:rsidP="004048D3">
            <w:pPr>
              <w:pStyle w:val="P68B1DB1-Normal12"/>
              <w:spacing w:after="0" w:line="240" w:lineRule="auto"/>
              <w:rPr>
                <w:rFonts w:eastAsia="Times New Roman"/>
                <w:noProof/>
              </w:rPr>
            </w:pPr>
            <w:r>
              <w:rPr>
                <w:noProof/>
              </w:rPr>
              <w:t>Executarea proiectului „Sateliți mici”</w:t>
            </w:r>
          </w:p>
        </w:tc>
        <w:tc>
          <w:tcPr>
            <w:tcW w:w="2268" w:type="dxa"/>
            <w:shd w:val="clear" w:color="auto" w:fill="C6EFCE"/>
            <w:noWrap/>
          </w:tcPr>
          <w:p w14:paraId="6D1474DE" w14:textId="77777777" w:rsidR="00C45D59" w:rsidRDefault="009B0962" w:rsidP="004048D3">
            <w:pPr>
              <w:pStyle w:val="P68B1DB1-Normal12"/>
              <w:spacing w:after="0" w:line="240" w:lineRule="auto"/>
              <w:rPr>
                <w:rFonts w:eastAsia="Times New Roman"/>
                <w:noProof/>
              </w:rPr>
            </w:pPr>
            <w:r>
              <w:rPr>
                <w:noProof/>
              </w:rPr>
              <w:t xml:space="preserve">Rapoarte de punere în funcțiune pe orbită în urma lansării sateliților mici </w:t>
            </w:r>
          </w:p>
        </w:tc>
        <w:tc>
          <w:tcPr>
            <w:tcW w:w="1417" w:type="dxa"/>
            <w:shd w:val="clear" w:color="auto" w:fill="C6EFCE"/>
            <w:noWrap/>
          </w:tcPr>
          <w:p w14:paraId="44D45EA9" w14:textId="77777777" w:rsidR="00C45D59" w:rsidRDefault="00C45D59" w:rsidP="004048D3">
            <w:pPr>
              <w:spacing w:after="0" w:line="240" w:lineRule="auto"/>
              <w:rPr>
                <w:rFonts w:ascii="Times New Roman" w:eastAsia="Times New Roman" w:hAnsi="Times New Roman" w:cs="Times New Roman"/>
                <w:noProof/>
                <w:color w:val="006100"/>
                <w:sz w:val="18"/>
                <w:szCs w:val="18"/>
              </w:rPr>
            </w:pPr>
          </w:p>
        </w:tc>
        <w:tc>
          <w:tcPr>
            <w:tcW w:w="992" w:type="dxa"/>
            <w:shd w:val="clear" w:color="auto" w:fill="C6EFCE"/>
            <w:noWrap/>
          </w:tcPr>
          <w:p w14:paraId="22405688" w14:textId="77777777" w:rsidR="00C45D59" w:rsidRDefault="00C45D59" w:rsidP="004048D3">
            <w:pPr>
              <w:spacing w:after="0" w:line="240" w:lineRule="auto"/>
              <w:rPr>
                <w:rFonts w:ascii="Times New Roman" w:eastAsia="Times New Roman" w:hAnsi="Times New Roman" w:cs="Times New Roman"/>
                <w:noProof/>
                <w:color w:val="006100"/>
                <w:sz w:val="18"/>
                <w:szCs w:val="18"/>
              </w:rPr>
            </w:pPr>
          </w:p>
        </w:tc>
        <w:tc>
          <w:tcPr>
            <w:tcW w:w="851" w:type="dxa"/>
            <w:shd w:val="clear" w:color="auto" w:fill="C6EFCE"/>
            <w:noWrap/>
          </w:tcPr>
          <w:p w14:paraId="194470C8" w14:textId="77777777" w:rsidR="00C45D59" w:rsidRDefault="00C45D59" w:rsidP="004048D3">
            <w:pPr>
              <w:spacing w:after="0" w:line="240" w:lineRule="auto"/>
              <w:rPr>
                <w:rFonts w:ascii="Times New Roman" w:eastAsia="Times New Roman" w:hAnsi="Times New Roman" w:cs="Times New Roman"/>
                <w:noProof/>
                <w:color w:val="006100"/>
                <w:sz w:val="18"/>
                <w:szCs w:val="18"/>
              </w:rPr>
            </w:pPr>
          </w:p>
        </w:tc>
        <w:tc>
          <w:tcPr>
            <w:tcW w:w="984" w:type="dxa"/>
            <w:shd w:val="clear" w:color="auto" w:fill="C6EFCE"/>
            <w:noWrap/>
          </w:tcPr>
          <w:p w14:paraId="71A7662B" w14:textId="77777777" w:rsidR="00C45D59" w:rsidRDefault="009B0962" w:rsidP="004048D3">
            <w:pPr>
              <w:pStyle w:val="P68B1DB1-Normal12"/>
              <w:spacing w:after="0" w:line="240" w:lineRule="auto"/>
              <w:rPr>
                <w:rFonts w:eastAsia="Times New Roman"/>
                <w:noProof/>
              </w:rPr>
            </w:pPr>
            <w:r>
              <w:rPr>
                <w:noProof/>
              </w:rPr>
              <w:t>Î4</w:t>
            </w:r>
          </w:p>
        </w:tc>
        <w:tc>
          <w:tcPr>
            <w:tcW w:w="850" w:type="dxa"/>
            <w:shd w:val="clear" w:color="auto" w:fill="C6EFCE"/>
            <w:noWrap/>
          </w:tcPr>
          <w:p w14:paraId="3E0784B2" w14:textId="77777777" w:rsidR="00C45D59" w:rsidRDefault="009B0962" w:rsidP="004048D3">
            <w:pPr>
              <w:pStyle w:val="P68B1DB1-Normal12"/>
              <w:spacing w:after="0" w:line="240" w:lineRule="auto"/>
              <w:rPr>
                <w:rFonts w:eastAsia="Times New Roman"/>
                <w:noProof/>
              </w:rPr>
            </w:pPr>
            <w:r>
              <w:rPr>
                <w:noProof/>
              </w:rPr>
              <w:t>2025</w:t>
            </w:r>
          </w:p>
        </w:tc>
        <w:tc>
          <w:tcPr>
            <w:tcW w:w="3402" w:type="dxa"/>
            <w:shd w:val="clear" w:color="auto" w:fill="C6EFCE"/>
            <w:noWrap/>
          </w:tcPr>
          <w:p w14:paraId="417A6AEB" w14:textId="77777777" w:rsidR="00C45D59" w:rsidRDefault="009B0962" w:rsidP="004048D3">
            <w:pPr>
              <w:pStyle w:val="P68B1DB1-Normal12"/>
              <w:spacing w:after="0" w:line="240" w:lineRule="auto"/>
              <w:rPr>
                <w:rFonts w:eastAsia="Times New Roman"/>
                <w:noProof/>
              </w:rPr>
            </w:pPr>
            <w:r>
              <w:rPr>
                <w:noProof/>
              </w:rPr>
              <w:t>Proiectul-pilot începe, iar constelația de sateliți mici menită să sprijine serviciile de conectivitate, precum și aplicațiile de observare a Pământului pentru cartografiere, transport maritim, agricultură de precizie, amenajarea teritoriului și altele, este lansată și pusă pe orbită.</w:t>
            </w:r>
          </w:p>
        </w:tc>
      </w:tr>
      <w:tr w:rsidR="00C45D59" w14:paraId="5B81A800" w14:textId="77777777" w:rsidTr="004048D3">
        <w:trPr>
          <w:trHeight w:val="309"/>
        </w:trPr>
        <w:tc>
          <w:tcPr>
            <w:tcW w:w="588" w:type="dxa"/>
            <w:shd w:val="clear" w:color="auto" w:fill="C6EFCE"/>
            <w:noWrap/>
          </w:tcPr>
          <w:p w14:paraId="3118D05F" w14:textId="5FCA2A11" w:rsidR="00C45D59" w:rsidRDefault="009B0962" w:rsidP="004048D3">
            <w:pPr>
              <w:pStyle w:val="P68B1DB1-Normal12"/>
              <w:spacing w:after="0" w:line="240" w:lineRule="auto"/>
              <w:rPr>
                <w:noProof/>
              </w:rPr>
            </w:pPr>
            <w:r>
              <w:rPr>
                <w:noProof/>
              </w:rPr>
              <w:t>92a</w:t>
            </w:r>
          </w:p>
        </w:tc>
        <w:tc>
          <w:tcPr>
            <w:tcW w:w="1680" w:type="dxa"/>
            <w:shd w:val="clear" w:color="auto" w:fill="C6EFCE"/>
            <w:noWrap/>
          </w:tcPr>
          <w:p w14:paraId="1FFE8BE7" w14:textId="6BB0D976" w:rsidR="00C45D59" w:rsidRDefault="009B0962" w:rsidP="004048D3">
            <w:pPr>
              <w:pStyle w:val="P68B1DB1-Normal12"/>
              <w:spacing w:after="0" w:line="240" w:lineRule="auto"/>
              <w:rPr>
                <w:noProof/>
              </w:rPr>
            </w:pPr>
            <w:r>
              <w:rPr>
                <w:noProof/>
              </w:rPr>
              <w:t>5-2.1. Connect – 16855_Sateliți de mici dimensiuni</w:t>
            </w:r>
          </w:p>
        </w:tc>
        <w:tc>
          <w:tcPr>
            <w:tcW w:w="1155" w:type="dxa"/>
            <w:shd w:val="clear" w:color="auto" w:fill="C6EFCE"/>
            <w:noWrap/>
          </w:tcPr>
          <w:p w14:paraId="0349EA06" w14:textId="4290643C" w:rsidR="00C45D59" w:rsidRDefault="009B0962" w:rsidP="004048D3">
            <w:pPr>
              <w:pStyle w:val="P68B1DB1-Normal12"/>
              <w:spacing w:after="0" w:line="240" w:lineRule="auto"/>
              <w:rPr>
                <w:noProof/>
              </w:rPr>
            </w:pPr>
            <w:r>
              <w:rPr>
                <w:noProof/>
              </w:rPr>
              <w:t>Etapă</w:t>
            </w:r>
          </w:p>
        </w:tc>
        <w:tc>
          <w:tcPr>
            <w:tcW w:w="1560" w:type="dxa"/>
            <w:shd w:val="clear" w:color="auto" w:fill="C6EFCE"/>
            <w:noWrap/>
          </w:tcPr>
          <w:p w14:paraId="45A39822" w14:textId="46849508" w:rsidR="00C45D59" w:rsidRDefault="009B0962" w:rsidP="004048D3">
            <w:pPr>
              <w:pStyle w:val="P68B1DB1-Normal12"/>
              <w:spacing w:after="0" w:line="240" w:lineRule="auto"/>
              <w:rPr>
                <w:noProof/>
              </w:rPr>
            </w:pPr>
            <w:r>
              <w:rPr>
                <w:noProof/>
              </w:rPr>
              <w:t>Semnarea modificării acordului privind proiectul</w:t>
            </w:r>
            <w:r>
              <w:rPr>
                <w:noProof/>
                <w:u w:val="single"/>
              </w:rPr>
              <w:t xml:space="preserve"> și </w:t>
            </w:r>
            <w:r>
              <w:rPr>
                <w:noProof/>
              </w:rPr>
              <w:t>transferul fondurilor</w:t>
            </w:r>
          </w:p>
        </w:tc>
        <w:tc>
          <w:tcPr>
            <w:tcW w:w="2268" w:type="dxa"/>
            <w:shd w:val="clear" w:color="auto" w:fill="C6EFCE"/>
            <w:noWrap/>
          </w:tcPr>
          <w:p w14:paraId="301033C9" w14:textId="791B9F17" w:rsidR="00C45D59" w:rsidRDefault="009B0962" w:rsidP="004048D3">
            <w:pPr>
              <w:pStyle w:val="P68B1DB1-Normal12"/>
              <w:spacing w:after="0" w:line="240" w:lineRule="auto"/>
              <w:rPr>
                <w:noProof/>
              </w:rPr>
            </w:pPr>
            <w:r>
              <w:rPr>
                <w:noProof/>
              </w:rPr>
              <w:t>Semnarea modificării acordului de proiect dintre ESA și Ministerul Guvernanței Digitale și transferul de fonduri</w:t>
            </w:r>
          </w:p>
        </w:tc>
        <w:tc>
          <w:tcPr>
            <w:tcW w:w="1417" w:type="dxa"/>
            <w:shd w:val="clear" w:color="auto" w:fill="C6EFCE"/>
            <w:noWrap/>
          </w:tcPr>
          <w:p w14:paraId="789F71EB" w14:textId="77777777" w:rsidR="00C45D59" w:rsidRDefault="00C45D59" w:rsidP="004048D3">
            <w:pPr>
              <w:spacing w:after="0" w:line="240" w:lineRule="auto"/>
              <w:rPr>
                <w:rFonts w:ascii="Times New Roman" w:eastAsia="Times New Roman" w:hAnsi="Times New Roman" w:cs="Times New Roman"/>
                <w:noProof/>
                <w:color w:val="006100"/>
                <w:sz w:val="18"/>
                <w:szCs w:val="18"/>
              </w:rPr>
            </w:pPr>
          </w:p>
        </w:tc>
        <w:tc>
          <w:tcPr>
            <w:tcW w:w="992" w:type="dxa"/>
            <w:shd w:val="clear" w:color="auto" w:fill="C6EFCE"/>
            <w:noWrap/>
          </w:tcPr>
          <w:p w14:paraId="17E244A7" w14:textId="77777777" w:rsidR="00C45D59" w:rsidRDefault="00C45D59" w:rsidP="004048D3">
            <w:pPr>
              <w:spacing w:after="0" w:line="240" w:lineRule="auto"/>
              <w:rPr>
                <w:rFonts w:ascii="Times New Roman" w:eastAsia="Times New Roman" w:hAnsi="Times New Roman" w:cs="Times New Roman"/>
                <w:noProof/>
                <w:color w:val="006100"/>
                <w:sz w:val="18"/>
                <w:szCs w:val="18"/>
              </w:rPr>
            </w:pPr>
          </w:p>
        </w:tc>
        <w:tc>
          <w:tcPr>
            <w:tcW w:w="851" w:type="dxa"/>
            <w:shd w:val="clear" w:color="auto" w:fill="C6EFCE"/>
            <w:noWrap/>
          </w:tcPr>
          <w:p w14:paraId="5E706CF1" w14:textId="77777777" w:rsidR="00C45D59" w:rsidRDefault="00C45D59" w:rsidP="004048D3">
            <w:pPr>
              <w:spacing w:after="0" w:line="240" w:lineRule="auto"/>
              <w:rPr>
                <w:rFonts w:ascii="Times New Roman" w:eastAsia="Times New Roman" w:hAnsi="Times New Roman" w:cs="Times New Roman"/>
                <w:noProof/>
                <w:color w:val="006100"/>
                <w:sz w:val="18"/>
                <w:szCs w:val="18"/>
              </w:rPr>
            </w:pPr>
          </w:p>
        </w:tc>
        <w:tc>
          <w:tcPr>
            <w:tcW w:w="984" w:type="dxa"/>
            <w:shd w:val="clear" w:color="auto" w:fill="C6EFCE"/>
            <w:noWrap/>
          </w:tcPr>
          <w:p w14:paraId="1A10552F" w14:textId="2D573F78" w:rsidR="00C45D59" w:rsidRDefault="009B0962" w:rsidP="004048D3">
            <w:pPr>
              <w:pStyle w:val="P68B1DB1-Normal12"/>
              <w:spacing w:after="0" w:line="240" w:lineRule="auto"/>
              <w:rPr>
                <w:noProof/>
              </w:rPr>
            </w:pPr>
            <w:r>
              <w:rPr>
                <w:noProof/>
              </w:rPr>
              <w:t>Î2</w:t>
            </w:r>
          </w:p>
        </w:tc>
        <w:tc>
          <w:tcPr>
            <w:tcW w:w="850" w:type="dxa"/>
            <w:shd w:val="clear" w:color="auto" w:fill="C6EFCE"/>
            <w:noWrap/>
          </w:tcPr>
          <w:p w14:paraId="7FA0BAAC" w14:textId="5D0635A8" w:rsidR="00C45D59" w:rsidRDefault="009B0962" w:rsidP="004048D3">
            <w:pPr>
              <w:pStyle w:val="P68B1DB1-Normal12"/>
              <w:spacing w:after="0" w:line="240" w:lineRule="auto"/>
              <w:rPr>
                <w:noProof/>
              </w:rPr>
            </w:pPr>
            <w:r>
              <w:rPr>
                <w:noProof/>
              </w:rPr>
              <w:t>2026</w:t>
            </w:r>
          </w:p>
        </w:tc>
        <w:tc>
          <w:tcPr>
            <w:tcW w:w="3402" w:type="dxa"/>
            <w:shd w:val="clear" w:color="auto" w:fill="C6EFCE"/>
            <w:noWrap/>
          </w:tcPr>
          <w:p w14:paraId="12E4AA39" w14:textId="77777777" w:rsidR="00C45D59" w:rsidRDefault="009B0962" w:rsidP="004048D3">
            <w:pPr>
              <w:pStyle w:val="P68B1DB1-Normal12"/>
              <w:spacing w:after="0" w:line="240" w:lineRule="auto"/>
              <w:rPr>
                <w:noProof/>
              </w:rPr>
            </w:pPr>
            <w:r>
              <w:rPr>
                <w:noProof/>
              </w:rPr>
              <w:t>Semnarea modificării acordului de proiect pentru asistența Agenției Spațiale Europene (ESA) în gestionarea și punerea în aplicare a proiectului spațial național prin satelit al Greciei între Grecia și ESA.</w:t>
            </w:r>
          </w:p>
          <w:p w14:paraId="6962F983" w14:textId="77777777" w:rsidR="00C45D59" w:rsidRDefault="00C45D59" w:rsidP="004048D3">
            <w:pPr>
              <w:spacing w:after="0" w:line="240" w:lineRule="auto"/>
              <w:rPr>
                <w:rFonts w:ascii="Times New Roman" w:hAnsi="Times New Roman" w:cs="Times New Roman"/>
                <w:noProof/>
                <w:color w:val="006100"/>
                <w:sz w:val="18"/>
                <w:szCs w:val="18"/>
              </w:rPr>
            </w:pPr>
          </w:p>
          <w:p w14:paraId="150B0842" w14:textId="77777777" w:rsidR="00C45D59" w:rsidRDefault="009B0962" w:rsidP="004048D3">
            <w:pPr>
              <w:pStyle w:val="P68B1DB1-Normal12"/>
              <w:spacing w:after="0" w:line="240" w:lineRule="auto"/>
              <w:rPr>
                <w:noProof/>
              </w:rPr>
            </w:pPr>
            <w:r>
              <w:rPr>
                <w:noProof/>
              </w:rPr>
              <w:t xml:space="preserve">Acordul privind proiectul include activitățile care ar urma să fie finanțate în temeiul acordului privind proiectul, care constau în punerea în aplicare a activităților din faza II („Hellas Space 2.0”), și anume: </w:t>
            </w:r>
          </w:p>
          <w:p w14:paraId="63489481" w14:textId="77777777" w:rsidR="00C45D59" w:rsidRDefault="009B0962" w:rsidP="004048D3">
            <w:pPr>
              <w:pStyle w:val="P68B1DB1-Normal12"/>
              <w:spacing w:after="0" w:line="240" w:lineRule="auto"/>
              <w:rPr>
                <w:noProof/>
              </w:rPr>
            </w:pPr>
            <w:r>
              <w:rPr>
                <w:noProof/>
              </w:rPr>
              <w:t xml:space="preserve">1) implementarea constelației de detecție a sateliților optici RGBNIR, a sateliților termici MWIR, a sateliților de monitorizare RF; </w:t>
            </w:r>
          </w:p>
          <w:p w14:paraId="72761278" w14:textId="77777777" w:rsidR="00C45D59" w:rsidRDefault="009B0962" w:rsidP="004048D3">
            <w:pPr>
              <w:pStyle w:val="P68B1DB1-Normal12"/>
              <w:spacing w:after="0" w:line="240" w:lineRule="auto"/>
              <w:rPr>
                <w:noProof/>
              </w:rPr>
            </w:pPr>
            <w:r>
              <w:rPr>
                <w:noProof/>
              </w:rPr>
              <w:t xml:space="preserve">2) demonstrator (demonstratori) al (ai) capacităților de cunoaștere a domeniului spațial &amp; pe orbită; </w:t>
            </w:r>
          </w:p>
          <w:p w14:paraId="36AF7E3B" w14:textId="77777777" w:rsidR="00C45D59" w:rsidRDefault="009B0962" w:rsidP="004048D3">
            <w:pPr>
              <w:pStyle w:val="P68B1DB1-Normal12"/>
              <w:spacing w:after="0" w:line="240" w:lineRule="auto"/>
              <w:rPr>
                <w:noProof/>
              </w:rPr>
            </w:pPr>
            <w:r>
              <w:rPr>
                <w:noProof/>
              </w:rPr>
              <w:t xml:space="preserve">3) achiziționarea și implementarea terminalelor pentru utilizatorii conectivității securizate și adoptarea PRS Galileo; </w:t>
            </w:r>
          </w:p>
          <w:p w14:paraId="058A61FF" w14:textId="77777777" w:rsidR="00C45D59" w:rsidRDefault="009B0962" w:rsidP="004048D3">
            <w:pPr>
              <w:pStyle w:val="P68B1DB1-Normal12"/>
              <w:spacing w:after="0" w:line="240" w:lineRule="auto"/>
              <w:rPr>
                <w:noProof/>
              </w:rPr>
            </w:pPr>
            <w:r>
              <w:rPr>
                <w:noProof/>
              </w:rPr>
              <w:t xml:space="preserve">4) programul de inovare spațială &amp; testare pentru demonstrații de observare a Pământului și conectivitate pe orbită și oportunități de sarcină utilă pe orbită; </w:t>
            </w:r>
          </w:p>
          <w:p w14:paraId="28DE2ED5" w14:textId="77777777" w:rsidR="00C45D59" w:rsidRDefault="009B0962" w:rsidP="004048D3">
            <w:pPr>
              <w:pStyle w:val="P68B1DB1-Normal12"/>
              <w:spacing w:after="0" w:line="240" w:lineRule="auto"/>
              <w:rPr>
                <w:noProof/>
              </w:rPr>
            </w:pPr>
            <w:r>
              <w:rPr>
                <w:noProof/>
              </w:rPr>
              <w:t>5) o infrastructură securizată de servicii &amp; date de EO pentru consolidarea nodului guvernamental și a serviciilor emblematice din aval;</w:t>
            </w:r>
          </w:p>
          <w:p w14:paraId="6EB767E2" w14:textId="77777777" w:rsidR="00C45D59" w:rsidRDefault="009B0962" w:rsidP="004048D3">
            <w:pPr>
              <w:pStyle w:val="P68B1DB1-Normal12"/>
              <w:spacing w:after="0" w:line="240" w:lineRule="auto"/>
              <w:rPr>
                <w:noProof/>
              </w:rPr>
            </w:pPr>
            <w:r>
              <w:rPr>
                <w:noProof/>
              </w:rPr>
              <w:t>6) formarea absolvenților greci în ceea ce privește activitățile care intră în domeniul de aplicare al prezentului acord privind proiectele și activitățile de comunicare.</w:t>
            </w:r>
          </w:p>
          <w:p w14:paraId="0D194663" w14:textId="77777777" w:rsidR="00C45D59" w:rsidRDefault="00C45D59" w:rsidP="004048D3">
            <w:pPr>
              <w:spacing w:after="0" w:line="240" w:lineRule="auto"/>
              <w:rPr>
                <w:rFonts w:ascii="Times New Roman" w:hAnsi="Times New Roman" w:cs="Times New Roman"/>
                <w:noProof/>
                <w:color w:val="006100"/>
                <w:sz w:val="18"/>
                <w:szCs w:val="18"/>
              </w:rPr>
            </w:pPr>
          </w:p>
          <w:p w14:paraId="1DADEC0E" w14:textId="77777777" w:rsidR="00C45D59" w:rsidRDefault="009B0962" w:rsidP="004048D3">
            <w:pPr>
              <w:pStyle w:val="P68B1DB1-Normal12"/>
              <w:spacing w:after="0" w:line="240" w:lineRule="auto"/>
              <w:rPr>
                <w:noProof/>
              </w:rPr>
            </w:pPr>
            <w:r>
              <w:rPr>
                <w:noProof/>
              </w:rPr>
              <w:t>Acordul privind proiectele include, de asemenea, o dispoziție care asigură faptul că fondurile sunt utilizate integral și exclusiv de ESA pentru sprijinirea activităților din faza II.</w:t>
            </w:r>
          </w:p>
          <w:p w14:paraId="34458F62" w14:textId="77777777" w:rsidR="00C45D59" w:rsidRDefault="00C45D59" w:rsidP="004048D3">
            <w:pPr>
              <w:spacing w:after="0" w:line="240" w:lineRule="auto"/>
              <w:rPr>
                <w:rFonts w:ascii="Times New Roman" w:hAnsi="Times New Roman" w:cs="Times New Roman"/>
                <w:noProof/>
                <w:color w:val="006100"/>
                <w:sz w:val="18"/>
                <w:szCs w:val="18"/>
              </w:rPr>
            </w:pPr>
          </w:p>
          <w:p w14:paraId="54264714" w14:textId="30EE7275" w:rsidR="00C45D59" w:rsidRDefault="009B0962" w:rsidP="004048D3">
            <w:pPr>
              <w:pStyle w:val="P68B1DB1-Normal12"/>
              <w:spacing w:after="0" w:line="240" w:lineRule="auto"/>
              <w:rPr>
                <w:noProof/>
              </w:rPr>
            </w:pPr>
            <w:r>
              <w:rPr>
                <w:noProof/>
              </w:rPr>
              <w:t>Grecia transferă 350 000 000 EUR către ESA pentru sprijinirea activităților din faza II a acordului de proiect.</w:t>
            </w:r>
          </w:p>
        </w:tc>
      </w:tr>
      <w:tr w:rsidR="00C45D59" w14:paraId="6D947DB9" w14:textId="77777777" w:rsidTr="004048D3">
        <w:trPr>
          <w:trHeight w:val="309"/>
        </w:trPr>
        <w:tc>
          <w:tcPr>
            <w:tcW w:w="588" w:type="dxa"/>
            <w:shd w:val="clear" w:color="auto" w:fill="C6EFCE"/>
            <w:noWrap/>
          </w:tcPr>
          <w:p w14:paraId="7D78EFE6" w14:textId="77777777" w:rsidR="00C45D59" w:rsidRDefault="009B0962" w:rsidP="004048D3">
            <w:pPr>
              <w:pStyle w:val="P68B1DB1-Normal12"/>
              <w:spacing w:after="0" w:line="240" w:lineRule="auto"/>
              <w:rPr>
                <w:rFonts w:eastAsia="Times New Roman"/>
                <w:noProof/>
              </w:rPr>
            </w:pPr>
            <w:r>
              <w:rPr>
                <w:noProof/>
              </w:rPr>
              <w:t>333</w:t>
            </w:r>
          </w:p>
        </w:tc>
        <w:tc>
          <w:tcPr>
            <w:tcW w:w="1680" w:type="dxa"/>
            <w:shd w:val="clear" w:color="auto" w:fill="C6EFCE"/>
            <w:noWrap/>
          </w:tcPr>
          <w:p w14:paraId="23983DF2" w14:textId="77777777" w:rsidR="00C45D59" w:rsidRDefault="009B0962" w:rsidP="004048D3">
            <w:pPr>
              <w:pStyle w:val="P68B1DB1-Normal16"/>
              <w:spacing w:after="0" w:line="240" w:lineRule="auto"/>
              <w:rPr>
                <w:rFonts w:eastAsia="Times New Roman"/>
                <w:noProof/>
                <w:color w:val="006100"/>
              </w:rPr>
            </w:pPr>
            <w:r>
              <w:rPr>
                <w:noProof/>
                <w:color w:val="006100"/>
              </w:rPr>
              <w:t>5-2.1. Connect – 16844_</w:t>
            </w:r>
            <w:r>
              <w:rPr>
                <w:noProof/>
              </w:rPr>
              <w:t xml:space="preserve"> </w:t>
            </w:r>
            <w:r>
              <w:rPr>
                <w:noProof/>
                <w:color w:val="006100"/>
              </w:rPr>
              <w:t>Tranziția către tehnologia 5G, facilitând dezvoltarea de servicii inovatoare la distanță</w:t>
            </w:r>
          </w:p>
        </w:tc>
        <w:tc>
          <w:tcPr>
            <w:tcW w:w="1155" w:type="dxa"/>
            <w:shd w:val="clear" w:color="auto" w:fill="C6EFCE"/>
            <w:noWrap/>
          </w:tcPr>
          <w:p w14:paraId="228D3C44" w14:textId="77777777" w:rsidR="00C45D59" w:rsidRDefault="009B0962" w:rsidP="004048D3">
            <w:pPr>
              <w:pStyle w:val="P68B1DB1-Normal12"/>
              <w:spacing w:after="0" w:line="240" w:lineRule="auto"/>
              <w:rPr>
                <w:rFonts w:eastAsia="Times New Roman"/>
                <w:noProof/>
              </w:rPr>
            </w:pPr>
            <w:r>
              <w:rPr>
                <w:noProof/>
              </w:rPr>
              <w:t>Etapă</w:t>
            </w:r>
          </w:p>
        </w:tc>
        <w:tc>
          <w:tcPr>
            <w:tcW w:w="1560" w:type="dxa"/>
            <w:shd w:val="clear" w:color="auto" w:fill="C6EFCE"/>
            <w:noWrap/>
          </w:tcPr>
          <w:p w14:paraId="1F4DBDE5" w14:textId="77777777" w:rsidR="00C45D59" w:rsidRDefault="009B0962" w:rsidP="004048D3">
            <w:pPr>
              <w:pStyle w:val="P68B1DB1-Normal12"/>
              <w:spacing w:after="0" w:line="240" w:lineRule="auto"/>
              <w:rPr>
                <w:rFonts w:eastAsia="Times New Roman"/>
                <w:noProof/>
              </w:rPr>
            </w:pPr>
            <w:r>
              <w:rPr>
                <w:noProof/>
              </w:rPr>
              <w:t>Intrarea în vigoare a tranziției către reforma tehnologiei 5G</w:t>
            </w:r>
          </w:p>
        </w:tc>
        <w:tc>
          <w:tcPr>
            <w:tcW w:w="2268" w:type="dxa"/>
            <w:shd w:val="clear" w:color="auto" w:fill="C6EFCE"/>
            <w:noWrap/>
          </w:tcPr>
          <w:p w14:paraId="047AAEB8" w14:textId="77777777" w:rsidR="00C45D59" w:rsidRDefault="009B0962" w:rsidP="004048D3">
            <w:pPr>
              <w:pStyle w:val="P68B1DB1-Normal12"/>
              <w:spacing w:after="0" w:line="240" w:lineRule="auto"/>
              <w:rPr>
                <w:rFonts w:eastAsia="Times New Roman"/>
                <w:noProof/>
              </w:rPr>
            </w:pPr>
            <w:r>
              <w:rPr>
                <w:noProof/>
              </w:rPr>
              <w:t>Intrarea în vigoare a cadrului legislativ și de reglementare</w:t>
            </w:r>
          </w:p>
        </w:tc>
        <w:tc>
          <w:tcPr>
            <w:tcW w:w="1417" w:type="dxa"/>
            <w:shd w:val="clear" w:color="auto" w:fill="C6EFCE"/>
            <w:noWrap/>
          </w:tcPr>
          <w:p w14:paraId="718D88FB" w14:textId="77777777" w:rsidR="00C45D59" w:rsidRDefault="00C45D59" w:rsidP="004048D3">
            <w:pPr>
              <w:spacing w:after="0" w:line="240" w:lineRule="auto"/>
              <w:rPr>
                <w:rFonts w:ascii="Times New Roman" w:eastAsia="Times New Roman" w:hAnsi="Times New Roman" w:cs="Times New Roman"/>
                <w:noProof/>
                <w:color w:val="006100"/>
                <w:sz w:val="18"/>
                <w:szCs w:val="18"/>
              </w:rPr>
            </w:pPr>
          </w:p>
        </w:tc>
        <w:tc>
          <w:tcPr>
            <w:tcW w:w="992" w:type="dxa"/>
            <w:shd w:val="clear" w:color="auto" w:fill="C6EFCE"/>
            <w:noWrap/>
          </w:tcPr>
          <w:p w14:paraId="5DCCF19A" w14:textId="77777777" w:rsidR="00C45D59" w:rsidRDefault="00C45D59" w:rsidP="004048D3">
            <w:pPr>
              <w:spacing w:after="0" w:line="240" w:lineRule="auto"/>
              <w:rPr>
                <w:rFonts w:ascii="Times New Roman" w:eastAsia="Times New Roman" w:hAnsi="Times New Roman" w:cs="Times New Roman"/>
                <w:noProof/>
                <w:color w:val="006100"/>
                <w:sz w:val="18"/>
                <w:szCs w:val="18"/>
              </w:rPr>
            </w:pPr>
          </w:p>
        </w:tc>
        <w:tc>
          <w:tcPr>
            <w:tcW w:w="851" w:type="dxa"/>
            <w:shd w:val="clear" w:color="auto" w:fill="C6EFCE"/>
            <w:noWrap/>
          </w:tcPr>
          <w:p w14:paraId="1A5D9ADB" w14:textId="77777777" w:rsidR="00C45D59" w:rsidRDefault="00C45D59" w:rsidP="004048D3">
            <w:pPr>
              <w:spacing w:after="0" w:line="240" w:lineRule="auto"/>
              <w:rPr>
                <w:rFonts w:ascii="Times New Roman" w:eastAsia="Times New Roman" w:hAnsi="Times New Roman" w:cs="Times New Roman"/>
                <w:noProof/>
                <w:color w:val="006100"/>
                <w:sz w:val="18"/>
                <w:szCs w:val="18"/>
              </w:rPr>
            </w:pPr>
          </w:p>
        </w:tc>
        <w:tc>
          <w:tcPr>
            <w:tcW w:w="984" w:type="dxa"/>
            <w:shd w:val="clear" w:color="auto" w:fill="C6EFCE"/>
            <w:noWrap/>
          </w:tcPr>
          <w:p w14:paraId="140A8B58" w14:textId="77777777" w:rsidR="00C45D59" w:rsidRDefault="009B0962" w:rsidP="004048D3">
            <w:pPr>
              <w:pStyle w:val="P68B1DB1-Normal12"/>
              <w:spacing w:after="0" w:line="240" w:lineRule="auto"/>
              <w:rPr>
                <w:rFonts w:eastAsia="Times New Roman"/>
                <w:noProof/>
              </w:rPr>
            </w:pPr>
            <w:r>
              <w:rPr>
                <w:noProof/>
              </w:rPr>
              <w:t>Î3</w:t>
            </w:r>
          </w:p>
        </w:tc>
        <w:tc>
          <w:tcPr>
            <w:tcW w:w="850" w:type="dxa"/>
            <w:shd w:val="clear" w:color="auto" w:fill="C6EFCE"/>
            <w:noWrap/>
          </w:tcPr>
          <w:p w14:paraId="739062E4" w14:textId="77777777" w:rsidR="00C45D59" w:rsidRDefault="009B0962" w:rsidP="004048D3">
            <w:pPr>
              <w:pStyle w:val="P68B1DB1-Normal12"/>
              <w:spacing w:after="0" w:line="240" w:lineRule="auto"/>
              <w:rPr>
                <w:rFonts w:eastAsia="Times New Roman"/>
                <w:noProof/>
              </w:rPr>
            </w:pPr>
            <w:r>
              <w:rPr>
                <w:noProof/>
              </w:rPr>
              <w:t>2024</w:t>
            </w:r>
          </w:p>
        </w:tc>
        <w:tc>
          <w:tcPr>
            <w:tcW w:w="3402" w:type="dxa"/>
            <w:shd w:val="clear" w:color="auto" w:fill="C6EFCE"/>
            <w:noWrap/>
          </w:tcPr>
          <w:p w14:paraId="052EC050" w14:textId="77777777" w:rsidR="00C45D59" w:rsidRDefault="009B0962" w:rsidP="004048D3">
            <w:pPr>
              <w:pStyle w:val="P68B1DB1-Normal12"/>
              <w:spacing w:after="0" w:line="240" w:lineRule="auto"/>
              <w:rPr>
                <w:noProof/>
              </w:rPr>
            </w:pPr>
            <w:r>
              <w:rPr>
                <w:noProof/>
              </w:rPr>
              <w:t>Intrarea în vigoare a legislației secundare care definește procesul de alocare a spectrului 5G pentru proiecte-pilot prin intermediul fondului Phaistos sau/și al entităților universitare, inclusiv un proces de identificare a oportunităților și riscurilor suplimentare în dezvoltarea rețelelor 5G, raționalizarea procedurilor de alocare a spectrului 5G și evaluarea cerințelor și a riscurilor în aplicații economice specifice.</w:t>
            </w:r>
          </w:p>
        </w:tc>
      </w:tr>
      <w:tr w:rsidR="00C45D59" w14:paraId="236DC0ED" w14:textId="77777777" w:rsidTr="004048D3">
        <w:trPr>
          <w:trHeight w:val="309"/>
        </w:trPr>
        <w:tc>
          <w:tcPr>
            <w:tcW w:w="588" w:type="dxa"/>
            <w:shd w:val="clear" w:color="auto" w:fill="C6EFCE"/>
            <w:noWrap/>
          </w:tcPr>
          <w:p w14:paraId="74A8190A" w14:textId="77777777" w:rsidR="00C45D59" w:rsidRDefault="009B0962" w:rsidP="004048D3">
            <w:pPr>
              <w:pStyle w:val="P68B1DB1-Normal12"/>
              <w:spacing w:after="0" w:line="240" w:lineRule="auto"/>
              <w:rPr>
                <w:rFonts w:eastAsia="Times New Roman"/>
                <w:noProof/>
              </w:rPr>
            </w:pPr>
            <w:r>
              <w:rPr>
                <w:noProof/>
              </w:rPr>
              <w:t>334</w:t>
            </w:r>
          </w:p>
        </w:tc>
        <w:tc>
          <w:tcPr>
            <w:tcW w:w="1680" w:type="dxa"/>
            <w:shd w:val="clear" w:color="auto" w:fill="C6EFCE"/>
            <w:noWrap/>
          </w:tcPr>
          <w:p w14:paraId="6FD59821" w14:textId="03E6B006" w:rsidR="00C45D59" w:rsidRDefault="009B0962" w:rsidP="004048D3">
            <w:pPr>
              <w:pStyle w:val="P68B1DB1-Normal12"/>
              <w:spacing w:after="0" w:line="240" w:lineRule="auto"/>
              <w:rPr>
                <w:rFonts w:eastAsia="Times New Roman"/>
                <w:noProof/>
              </w:rPr>
            </w:pPr>
            <w:r>
              <w:rPr>
                <w:noProof/>
              </w:rPr>
              <w:t>5-2.1. Conectare – 16857_Schimbarea conexiunilor în bandă largă la nivel de gigabit – Tranziția către conexiuni în bandă largă la nivel de gigabit și consolidarea cererii de bandă largă la nivel de gigabit</w:t>
            </w:r>
          </w:p>
        </w:tc>
        <w:tc>
          <w:tcPr>
            <w:tcW w:w="1155" w:type="dxa"/>
            <w:shd w:val="clear" w:color="auto" w:fill="C6EFCE"/>
            <w:noWrap/>
          </w:tcPr>
          <w:p w14:paraId="703A21CC" w14:textId="77777777" w:rsidR="00C45D59" w:rsidRDefault="009B0962" w:rsidP="004048D3">
            <w:pPr>
              <w:pStyle w:val="P68B1DB1-Normal12"/>
              <w:spacing w:after="0" w:line="240" w:lineRule="auto"/>
              <w:rPr>
                <w:rFonts w:eastAsia="Times New Roman"/>
                <w:noProof/>
              </w:rPr>
            </w:pPr>
            <w:r>
              <w:rPr>
                <w:noProof/>
              </w:rPr>
              <w:t>Etapă</w:t>
            </w:r>
          </w:p>
        </w:tc>
        <w:tc>
          <w:tcPr>
            <w:tcW w:w="1560" w:type="dxa"/>
            <w:shd w:val="clear" w:color="auto" w:fill="C6EFCE"/>
            <w:noWrap/>
          </w:tcPr>
          <w:p w14:paraId="012F7A09" w14:textId="77777777" w:rsidR="00C45D59" w:rsidRDefault="009B0962" w:rsidP="004048D3">
            <w:pPr>
              <w:pStyle w:val="P68B1DB1-Normal12"/>
              <w:spacing w:after="0" w:line="240" w:lineRule="auto"/>
              <w:rPr>
                <w:rFonts w:eastAsia="Times New Roman"/>
                <w:noProof/>
              </w:rPr>
            </w:pPr>
            <w:r>
              <w:rPr>
                <w:noProof/>
              </w:rPr>
              <w:t>Intrarea în vigoare a reformei privind trecerea la conexiuni în bandă largă de ordinul gigabiților</w:t>
            </w:r>
          </w:p>
        </w:tc>
        <w:tc>
          <w:tcPr>
            <w:tcW w:w="2268" w:type="dxa"/>
            <w:shd w:val="clear" w:color="auto" w:fill="C6EFCE"/>
            <w:noWrap/>
          </w:tcPr>
          <w:p w14:paraId="1569668A" w14:textId="77777777" w:rsidR="00C45D59" w:rsidRDefault="009B0962" w:rsidP="004048D3">
            <w:pPr>
              <w:pStyle w:val="P68B1DB1-Normal12"/>
              <w:spacing w:after="0" w:line="240" w:lineRule="auto"/>
              <w:rPr>
                <w:rFonts w:eastAsia="Times New Roman"/>
                <w:noProof/>
              </w:rPr>
            </w:pPr>
            <w:r>
              <w:rPr>
                <w:noProof/>
              </w:rPr>
              <w:t>Intrarea în vigoare a cadrului legislativ</w:t>
            </w:r>
          </w:p>
        </w:tc>
        <w:tc>
          <w:tcPr>
            <w:tcW w:w="1417" w:type="dxa"/>
            <w:shd w:val="clear" w:color="auto" w:fill="C6EFCE"/>
            <w:noWrap/>
          </w:tcPr>
          <w:p w14:paraId="078F899D" w14:textId="77777777" w:rsidR="00C45D59" w:rsidRDefault="00C45D59" w:rsidP="004048D3">
            <w:pPr>
              <w:spacing w:after="0" w:line="240" w:lineRule="auto"/>
              <w:rPr>
                <w:rFonts w:ascii="Times New Roman" w:eastAsia="Times New Roman" w:hAnsi="Times New Roman" w:cs="Times New Roman"/>
                <w:noProof/>
                <w:color w:val="006100"/>
                <w:sz w:val="18"/>
                <w:szCs w:val="18"/>
              </w:rPr>
            </w:pPr>
          </w:p>
        </w:tc>
        <w:tc>
          <w:tcPr>
            <w:tcW w:w="992" w:type="dxa"/>
            <w:shd w:val="clear" w:color="auto" w:fill="C6EFCE"/>
            <w:noWrap/>
          </w:tcPr>
          <w:p w14:paraId="289F03F9" w14:textId="77777777" w:rsidR="00C45D59" w:rsidRDefault="00C45D59" w:rsidP="004048D3">
            <w:pPr>
              <w:spacing w:after="0" w:line="240" w:lineRule="auto"/>
              <w:rPr>
                <w:rFonts w:ascii="Times New Roman" w:eastAsia="Times New Roman" w:hAnsi="Times New Roman" w:cs="Times New Roman"/>
                <w:noProof/>
                <w:color w:val="006100"/>
                <w:sz w:val="18"/>
                <w:szCs w:val="18"/>
              </w:rPr>
            </w:pPr>
          </w:p>
        </w:tc>
        <w:tc>
          <w:tcPr>
            <w:tcW w:w="851" w:type="dxa"/>
            <w:shd w:val="clear" w:color="auto" w:fill="C6EFCE"/>
            <w:noWrap/>
          </w:tcPr>
          <w:p w14:paraId="77681E90" w14:textId="77777777" w:rsidR="00C45D59" w:rsidRDefault="00C45D59" w:rsidP="004048D3">
            <w:pPr>
              <w:spacing w:after="0" w:line="240" w:lineRule="auto"/>
              <w:rPr>
                <w:rFonts w:ascii="Times New Roman" w:eastAsia="Times New Roman" w:hAnsi="Times New Roman" w:cs="Times New Roman"/>
                <w:noProof/>
                <w:color w:val="006100"/>
                <w:sz w:val="18"/>
                <w:szCs w:val="18"/>
              </w:rPr>
            </w:pPr>
          </w:p>
        </w:tc>
        <w:tc>
          <w:tcPr>
            <w:tcW w:w="984" w:type="dxa"/>
            <w:shd w:val="clear" w:color="auto" w:fill="C6EFCE"/>
            <w:noWrap/>
          </w:tcPr>
          <w:p w14:paraId="70697E39" w14:textId="77777777" w:rsidR="00C45D59" w:rsidRDefault="009B0962" w:rsidP="004048D3">
            <w:pPr>
              <w:pStyle w:val="P68B1DB1-Normal12"/>
              <w:spacing w:after="0" w:line="240" w:lineRule="auto"/>
              <w:rPr>
                <w:rFonts w:eastAsia="Times New Roman"/>
                <w:noProof/>
              </w:rPr>
            </w:pPr>
            <w:r>
              <w:rPr>
                <w:noProof/>
              </w:rPr>
              <w:t>Î2</w:t>
            </w:r>
          </w:p>
        </w:tc>
        <w:tc>
          <w:tcPr>
            <w:tcW w:w="850" w:type="dxa"/>
            <w:shd w:val="clear" w:color="auto" w:fill="C6EFCE"/>
            <w:noWrap/>
          </w:tcPr>
          <w:p w14:paraId="1A1C3557" w14:textId="77777777" w:rsidR="00C45D59" w:rsidRDefault="009B0962" w:rsidP="004048D3">
            <w:pPr>
              <w:pStyle w:val="P68B1DB1-Normal12"/>
              <w:spacing w:after="0" w:line="240" w:lineRule="auto"/>
              <w:rPr>
                <w:rFonts w:eastAsia="Times New Roman"/>
                <w:noProof/>
              </w:rPr>
            </w:pPr>
            <w:r>
              <w:rPr>
                <w:noProof/>
              </w:rPr>
              <w:t>2024</w:t>
            </w:r>
          </w:p>
        </w:tc>
        <w:tc>
          <w:tcPr>
            <w:tcW w:w="3402" w:type="dxa"/>
            <w:shd w:val="clear" w:color="auto" w:fill="C6EFCE"/>
            <w:noWrap/>
          </w:tcPr>
          <w:p w14:paraId="4736FBFC" w14:textId="77777777" w:rsidR="00C45D59" w:rsidRDefault="009B0962" w:rsidP="004048D3">
            <w:pPr>
              <w:pStyle w:val="P68B1DB1-xmsonormal33"/>
              <w:rPr>
                <w:rFonts w:eastAsia="Times New Roman" w:cs="Calibri"/>
                <w:noProof/>
              </w:rPr>
            </w:pPr>
            <w:r>
              <w:rPr>
                <w:noProof/>
              </w:rPr>
              <w:t xml:space="preserve">Intrarea în vigoare a unui cadru juridic care definește specificațiile tehnice și normele și procedurile relevante pentru implementarea infrastructurii de bandă largă interioare capabile să furnizeze conectivitate în gigabit utilizatorilor finali. </w:t>
            </w:r>
          </w:p>
        </w:tc>
      </w:tr>
    </w:tbl>
    <w:p w14:paraId="448EF76C" w14:textId="7CFB778B" w:rsidR="00C45D59" w:rsidRDefault="004048D3">
      <w:pPr>
        <w:spacing w:before="120" w:after="120" w:line="240" w:lineRule="auto"/>
        <w:ind w:left="709"/>
        <w:jc w:val="both"/>
        <w:rPr>
          <w:rFonts w:ascii="Times New Roman" w:hAnsi="Times New Roman" w:cs="Times New Roman"/>
          <w:noProof/>
          <w:sz w:val="24"/>
          <w:szCs w:val="24"/>
        </w:rPr>
        <w:sectPr w:rsidR="00C45D59">
          <w:headerReference w:type="even" r:id="rId126"/>
          <w:headerReference w:type="default" r:id="rId127"/>
          <w:footerReference w:type="even" r:id="rId128"/>
          <w:footerReference w:type="default" r:id="rId129"/>
          <w:headerReference w:type="first" r:id="rId130"/>
          <w:footerReference w:type="first" r:id="rId131"/>
          <w:pgSz w:w="16839" w:h="11907" w:orient="landscape"/>
          <w:pgMar w:top="1134" w:right="1134" w:bottom="1134" w:left="1134" w:header="567" w:footer="567" w:gutter="0"/>
          <w:cols w:space="720"/>
          <w:docGrid w:linePitch="360"/>
        </w:sectPr>
      </w:pPr>
      <w:r>
        <w:rPr>
          <w:rFonts w:ascii="Times New Roman" w:hAnsi="Times New Roman" w:cs="Times New Roman"/>
          <w:noProof/>
          <w:sz w:val="24"/>
          <w:szCs w:val="24"/>
        </w:rPr>
        <w:br w:type="textWrapping" w:clear="all"/>
      </w:r>
    </w:p>
    <w:p w14:paraId="3BB6D455" w14:textId="77777777" w:rsidR="00C45D59" w:rsidRDefault="009B0962">
      <w:pPr>
        <w:pStyle w:val="P68B1DB1-Normal17"/>
        <w:spacing w:before="120" w:after="120" w:line="240" w:lineRule="auto"/>
        <w:ind w:firstLine="6"/>
        <w:jc w:val="both"/>
        <w:outlineLvl w:val="3"/>
        <w:rPr>
          <w:rFonts w:cs="Times New Roman"/>
          <w:bCs/>
          <w:noProof/>
        </w:rPr>
      </w:pPr>
      <w:r>
        <w:rPr>
          <w:noProof/>
        </w:rPr>
        <w:t>F. COMPONENTA 2.2: MODERNIZEAZĂ</w:t>
      </w:r>
    </w:p>
    <w:p w14:paraId="6FFCA282" w14:textId="77777777" w:rsidR="00C45D59" w:rsidRDefault="009B0962">
      <w:pPr>
        <w:pStyle w:val="P68B1DB1-Normal5"/>
        <w:spacing w:before="120" w:after="120" w:line="240" w:lineRule="auto"/>
        <w:jc w:val="both"/>
        <w:rPr>
          <w:rFonts w:cs="Times New Roman"/>
          <w:noProof/>
        </w:rPr>
      </w:pPr>
      <w:r>
        <w:rPr>
          <w:noProof/>
        </w:rPr>
        <w:t xml:space="preserve">Componenta „Modernizare” </w:t>
      </w:r>
      <w:r>
        <w:rPr>
          <w:noProof/>
          <w:color w:val="000000"/>
        </w:rPr>
        <w:t>a planului de redresare și reziliență</w:t>
      </w:r>
      <w:r>
        <w:rPr>
          <w:noProof/>
        </w:rPr>
        <w:t xml:space="preserve"> al Greciei vizează modernizarea administrației publice prin îmbunătățirea modelului său operațional și prin furnizarea de servicii de înaltă calitate cetățenilor și întreprinderilor. Accelerarea eforturilor de îmbunătățire a performanței digitale a administrației publice acționează ca un catalizator pentru atingerea acestui obiectiv. Obiectivul în materie de reforme și investiții: (a) transformarea digitală a organizațiilor din sectorul public, inclusiv digitalizarea arhivelor și îmbunătățirea serviciilor digitale; (b) îmbunătățirea proceselor operaționale, urmată de încorporarea unor sisteme informatice moderne; (c) o interoperabilitate sporită între sisteme și date; (d) strategii și politici ample în materie de securitate cibernetică și de guvernanță a datelor; precum și (e) utilizarea extinsă a tehnologiilor avansate, cum ar fi cloud computingul, inteligența artificială și volumele mari de date.</w:t>
      </w:r>
    </w:p>
    <w:p w14:paraId="49F34911" w14:textId="77777777" w:rsidR="00C45D59" w:rsidRDefault="009B0962">
      <w:pPr>
        <w:pStyle w:val="P68B1DB1-Normal5"/>
        <w:spacing w:before="120" w:after="120" w:line="240" w:lineRule="auto"/>
        <w:jc w:val="both"/>
        <w:rPr>
          <w:rFonts w:cs="Times New Roman"/>
          <w:noProof/>
        </w:rPr>
      </w:pPr>
      <w:r>
        <w:rPr>
          <w:noProof/>
        </w:rPr>
        <w:t>Componenta urmărește să abordeze provocarea pe care o reprezintă modernizarea și digitalizarea administrației publice, raționalizând și simplificând în același timp principalele sale procese și proceduri. Acesta sprijină abordarea recomandării specifice fiecărei țări privind investițiile publice și private (recomandările specifice fiecărei țări 3 2020 și 2 2019) prin îmbunătățirea eficacității și a digitalizării administrației publice. Se preconizează că nicio măsură din cadrul acestei componente nu prejudiciază în mod semnificativ obiectivele de mediu în sensul articolului 17 din Regulamentul (UE) 2020/852, ținând seama de descrierea măsurilor și a etapelor de atenuare prevăzute în planul de redresare și reziliență în conformitate cu Orientările tehnice privind aplicarea principiului de „a nu prejudicia în mod semnificativ” (2021/C58/01).</w:t>
      </w:r>
    </w:p>
    <w:p w14:paraId="1546E420" w14:textId="77777777" w:rsidR="00C45D59" w:rsidRDefault="009B0962">
      <w:pPr>
        <w:pStyle w:val="P68B1DB1-Normal6"/>
        <w:spacing w:before="120" w:after="120" w:line="240" w:lineRule="auto"/>
        <w:jc w:val="both"/>
        <w:rPr>
          <w:rFonts w:cs="Times New Roman"/>
          <w:i/>
          <w:noProof/>
          <w:color w:val="4F81BD"/>
        </w:rPr>
      </w:pPr>
      <w:r>
        <w:rPr>
          <w:noProof/>
        </w:rPr>
        <w:t>F.1. Descrierea reformelor și a investițiilor pentru sprijinul financiar nerambursabil</w:t>
      </w:r>
    </w:p>
    <w:p w14:paraId="5BAA5606" w14:textId="77777777" w:rsidR="00C45D59" w:rsidRDefault="009B0962">
      <w:pPr>
        <w:pStyle w:val="P68B1DB1-Normal5"/>
        <w:spacing w:before="120" w:after="120" w:line="240" w:lineRule="auto"/>
        <w:jc w:val="both"/>
        <w:rPr>
          <w:rFonts w:cs="Times New Roman"/>
          <w:noProof/>
        </w:rPr>
      </w:pPr>
      <w:r>
        <w:rPr>
          <w:b/>
          <w:noProof/>
        </w:rPr>
        <w:t>Reformă:</w:t>
      </w:r>
      <w:r>
        <w:rPr>
          <w:noProof/>
        </w:rPr>
        <w:t xml:space="preserve"> Către servicii orientate către client ale administrației publice prin simplificarea și îmbunătățirea proceselor, a îmbunătățirilor sistemelor și a conformității cu strategiile și politicile europene (măsura ID 16929)</w:t>
      </w:r>
    </w:p>
    <w:p w14:paraId="30B2F913" w14:textId="77777777" w:rsidR="00C45D59" w:rsidRDefault="009B0962">
      <w:pPr>
        <w:pStyle w:val="P68B1DB1-Normal7"/>
        <w:spacing w:before="120" w:after="120" w:line="240" w:lineRule="auto"/>
        <w:jc w:val="both"/>
        <w:rPr>
          <w:rFonts w:cs="Times New Roman"/>
          <w:noProof/>
        </w:rPr>
      </w:pPr>
      <w:r>
        <w:rPr>
          <w:noProof/>
        </w:rPr>
        <w:t xml:space="preserve">Obiectivul reformei este de a furniza servicii publice orientate către utilizatori cetățenilor și întreprinderilor din Grecia și de a asigura o mai bună funcționare a administrației publice elene. Reforma constă în: a) intrarea în vigoare a capitolelor relevante din Codul administrației locale unice și b) realizarea de acțiuni de monitorizare și măsurare a sarcinii administrative și de sprijinire a procesului de evaluare a impactului normativ. </w:t>
      </w:r>
    </w:p>
    <w:p w14:paraId="5D0A2006" w14:textId="77777777" w:rsidR="00C45D59" w:rsidRDefault="009B0962">
      <w:pPr>
        <w:pStyle w:val="P68B1DB1-Normal5"/>
        <w:spacing w:before="120" w:after="120" w:line="240" w:lineRule="auto"/>
        <w:jc w:val="both"/>
        <w:rPr>
          <w:rFonts w:cs="Times New Roman"/>
          <w:noProof/>
        </w:rPr>
      </w:pPr>
      <w:r>
        <w:rPr>
          <w:b/>
          <w:noProof/>
        </w:rPr>
        <w:t>Investiții:</w:t>
      </w:r>
      <w:r>
        <w:rPr>
          <w:noProof/>
        </w:rPr>
        <w:t xml:space="preserve"> Digitalizarea arhivelor și a serviciilor conexe (măsura ID 16778)</w:t>
      </w:r>
    </w:p>
    <w:p w14:paraId="687B6304" w14:textId="77777777" w:rsidR="00C45D59" w:rsidRDefault="009B0962">
      <w:pPr>
        <w:pStyle w:val="P68B1DB1-Normal7"/>
        <w:jc w:val="both"/>
        <w:rPr>
          <w:noProof/>
        </w:rPr>
      </w:pPr>
      <w:r>
        <w:rPr>
          <w:noProof/>
        </w:rPr>
        <w:t xml:space="preserve">Investiția constă în digitalizarea arhivelor esențiale în diferite sectoare (justiție, sănătate, arhive generale ale statului, urbanism, exproprieri, cadastru, imigrație și azil, afaceri maritime) și în integrarea în sistemele informatice relevante, precum și în implementarea pilot a stocării în condiții de siguranță a arhivelor din sectorul public și a arhivelor din sectorul public „în sens mai larg” (un total de nouă subproiecte). </w:t>
      </w:r>
    </w:p>
    <w:p w14:paraId="60926C50" w14:textId="77777777" w:rsidR="00C45D59" w:rsidRDefault="009B0962">
      <w:pPr>
        <w:pStyle w:val="P68B1DB1-Normal7"/>
        <w:spacing w:before="120" w:after="120"/>
        <w:jc w:val="both"/>
        <w:rPr>
          <w:noProof/>
        </w:rPr>
      </w:pPr>
      <w:r>
        <w:rPr>
          <w:noProof/>
        </w:rPr>
        <w:t>Mai precis, subproiectele menționate cuprind punerea în aplicare a digitalizării a 1 150 000 000 de pagini și alte acțiuni necesare în legătură cu următoarele arhive: 1) sistemul de justiție, 2) dosarele medicale și examinările imagistice ale sistemului de sănătate publică, 3) arhivele generale ale statului pentru agențiile centrale și locale, 4) sistemul de imigrație și azil, 5) planurile de expropriere, 6) autorizațiile și planurile de construcție, precum și crearea de metadate și geocodare pentru agențiile de urbanism, 7a) titlurile de proprietate și documentele respective din birourile ipotecare ale cadastrului și 7b) punerea în aplicare a serviciilor îmbunătățite ale cadastrului și 8) afacerile maritime. Subproiectul 9) se referă la implementarea pilot a stocării securizate a 1 440 000 de cutii de fișiere care conțin fișiere fizice în alte arhive din sectorul public. Această investiție vizează reducerea costurilor de timp pentru furnizarea de servicii către public de către administrația publică, în timp ce un acces mai bun la arhive urmărește, de asemenea, să conducă la economii semnificative de costuri și la eliberarea resurselor.</w:t>
      </w:r>
    </w:p>
    <w:p w14:paraId="6C522D6C" w14:textId="77777777" w:rsidR="00C45D59" w:rsidRDefault="009B0962">
      <w:pPr>
        <w:pStyle w:val="P68B1DB1-Normal5"/>
        <w:spacing w:before="120" w:after="120" w:line="240" w:lineRule="auto"/>
        <w:jc w:val="both"/>
        <w:rPr>
          <w:rFonts w:cs="Times New Roman"/>
          <w:noProof/>
        </w:rPr>
      </w:pPr>
      <w:r>
        <w:rPr>
          <w:b/>
          <w:noProof/>
        </w:rPr>
        <w:t>Investiții:</w:t>
      </w:r>
      <w:r>
        <w:rPr>
          <w:noProof/>
        </w:rPr>
        <w:t xml:space="preserve"> CRM pentru administrația publică (măsura ID 16810)</w:t>
      </w:r>
    </w:p>
    <w:p w14:paraId="27A58BCF" w14:textId="77777777" w:rsidR="00C45D59" w:rsidRDefault="009B0962">
      <w:pPr>
        <w:pStyle w:val="P68B1DB1-Normal7"/>
        <w:spacing w:before="120" w:after="120" w:line="240" w:lineRule="auto"/>
        <w:jc w:val="both"/>
        <w:rPr>
          <w:rFonts w:cs="Times New Roman"/>
          <w:noProof/>
        </w:rPr>
      </w:pPr>
      <w:r>
        <w:rPr>
          <w:noProof/>
        </w:rPr>
        <w:t xml:space="preserve">Obiectivul acestei investiții este conceperea, instituirea și lansarea unui sistem integrat de gestionare a întregului ciclu de viață al relației administrației publice cu cetățenii și întreprinderile. Investiția constă în a) sistemul de gestionare a relațiilor cu clienții pentru administrația publică, care permite gestionarea interacțiunilor administrației publice cu cetățenii și întreprinderile și b) disponibilitatea unui sistem integrat de comunicare electronică între sistemele și serviciile din sectorul public și cetățenii greci (Gov. gr – messenger). </w:t>
      </w:r>
    </w:p>
    <w:p w14:paraId="14F15C8B" w14:textId="77777777" w:rsidR="00C45D59" w:rsidRDefault="009B0962">
      <w:pPr>
        <w:pStyle w:val="P68B1DB1-Normal7"/>
        <w:spacing w:before="120" w:after="120" w:line="240" w:lineRule="auto"/>
        <w:jc w:val="both"/>
        <w:rPr>
          <w:rFonts w:cs="Times New Roman"/>
          <w:noProof/>
        </w:rPr>
      </w:pPr>
      <w:r>
        <w:rPr>
          <w:b/>
          <w:noProof/>
        </w:rPr>
        <w:t>Investiții:</w:t>
      </w:r>
      <w:r>
        <w:rPr>
          <w:noProof/>
        </w:rPr>
        <w:t xml:space="preserve"> Modernizarea ghișeelor unice ale administrației publice (măsura ID 16780)</w:t>
      </w:r>
    </w:p>
    <w:p w14:paraId="0A77F9E5" w14:textId="77777777" w:rsidR="00C45D59" w:rsidRDefault="009B0962">
      <w:pPr>
        <w:pStyle w:val="NormalWeb"/>
        <w:spacing w:before="120" w:after="120" w:line="240" w:lineRule="auto"/>
        <w:jc w:val="both"/>
        <w:rPr>
          <w:noProof/>
        </w:rPr>
      </w:pPr>
      <w:r>
        <w:rPr>
          <w:noProof/>
        </w:rPr>
        <w:t>Obiectivul măsurii este modernizarea centrelor de servicii pentru cetățeni (PSC). Investiția constă în achiziționarea de noi echipamente și instrumente digitale și în renovarea clădirilor ghișeelor unice ale administrației publice.</w:t>
      </w:r>
    </w:p>
    <w:p w14:paraId="37BA7EEA" w14:textId="77777777" w:rsidR="00C45D59" w:rsidRDefault="009B0962">
      <w:pPr>
        <w:pStyle w:val="P68B1DB1-Normal7"/>
        <w:spacing w:before="120" w:after="120" w:line="240" w:lineRule="auto"/>
        <w:jc w:val="both"/>
        <w:rPr>
          <w:rFonts w:cs="Times New Roman"/>
          <w:noProof/>
        </w:rPr>
      </w:pPr>
      <w:r>
        <w:rPr>
          <w:b/>
          <w:noProof/>
        </w:rPr>
        <w:t>Investiții:</w:t>
      </w:r>
      <w:r>
        <w:rPr>
          <w:noProof/>
        </w:rPr>
        <w:t xml:space="preserve"> Noul sistem pentru achizițiile publice (măsura ID 16736)</w:t>
      </w:r>
    </w:p>
    <w:p w14:paraId="08A39DBE" w14:textId="79E5FCCD" w:rsidR="00C45D59" w:rsidRDefault="009B0962">
      <w:pPr>
        <w:pStyle w:val="P68B1DB1-Normal8"/>
        <w:spacing w:before="120" w:after="120" w:line="240" w:lineRule="auto"/>
        <w:jc w:val="both"/>
        <w:rPr>
          <w:rFonts w:ascii="Times New Roman" w:hAnsi="Times New Roman" w:cs="Times New Roman"/>
          <w:noProof/>
        </w:rPr>
      </w:pPr>
      <w:r>
        <w:rPr>
          <w:rFonts w:ascii="Times New Roman" w:eastAsia="Times New Roman" w:hAnsi="Times New Roman" w:cs="Times New Roman"/>
          <w:noProof/>
          <w:color w:val="000000" w:themeColor="text1"/>
        </w:rPr>
        <w:t xml:space="preserve">Investiția se referă la reproiectarea și punerea în aplicare a unui nou sistem informatic pentru achizițiile publice. </w:t>
      </w:r>
      <w:r>
        <w:rPr>
          <w:rFonts w:ascii="Times New Roman" w:hAnsi="Times New Roman"/>
          <w:noProof/>
        </w:rPr>
        <w:t>Investiția include: a) reproiectarea și îmbogățirea portalului www.eprocurement.gov.gr; b) subsisteme de adăugiri și personalizări extinse utilizate pentru licitații; c) reforma, reorganizarea și îmbogățirea Registrului electronic central al achizițiilor publice (KIMDIS), modernizarea și extinderea sistemelor de extragere a datelor statistice și prelucrarea statistică ulterioară a acestora; d) Configurarea și punerea în aplicare a extinderilor sistemului electronic de achiziții publice (ESIDIS) pentru a sprijini noi strategii și procese operaționale în domeniul achizițiilor publice prin mijloace electronice; e) îmbunătățirea serviciilor de interoperabilitate deja puse în aplicare și punerea în aplicare a unora noi pentru schimbul de date; f) servicii de interoperabilitate electronică prin intermediul Centrului de interoperabilitate (KED), care face parte din portalul digital unic național (gov.gr); g) instituirea unui mecanism de criptare a datelor stocate în bazele de date ale sistemului pentru a preveni acțiunile răuvoitoare ale administratorilor ESIDIS și G-Cloud; h) un nou studiu de securitate și adăugiri și/sau modificări ale sistemului pentru a spori securitatea acestuia, certificarea și intervențiile pentru a spori securitatea sistemului cu scopul de a permite certificarea viitoare; I) îmbunătățirea și relansarea sistemului de planificare a achizițiilor publice pentru un sprijin mai larg al achizițiilor publice și al procedurilor centralizate de achiziții publice care utilizează cataloage electronice; j) adăugarea cererilor de sprijin pentru operatorii economici: îmbogățirea cererilor de căutare a ofertelor, a datelor istorice și statistice privind implicarea acestora în procesele de achiziții publice, îmbogățirea subsistemelor de informare și comunicare ale furnizorilor și ale autorităților contractante; K) adăugarea unor capacități de asistent virtual, astfel încât orice persoană interesată să poată adresa întrebări în limbaj natural; L) adăugarea unui sistem electronic de arhivare a fișierelor (ESIDIS – KIMDIS) care respectă dispozițiile cadrului juridic pentru fișierele electronice; m) producerea de materiale de formare și acțiuni de publicitate; N) servicii de asistență tehnică și de monitorizare a proiectelor; și o) un studiu de evaluare a posibilităților și a eficacității instrumentelor existente de achiziții publice electronice și de selecție, modernizare sau înlocuire a acestora cu instrumente noi și mai eficiente.</w:t>
      </w:r>
    </w:p>
    <w:p w14:paraId="07E7477C" w14:textId="77777777" w:rsidR="00C45D59" w:rsidRDefault="009B0962">
      <w:pPr>
        <w:pStyle w:val="P68B1DB1-Normal7"/>
        <w:spacing w:before="120" w:after="120" w:line="240" w:lineRule="auto"/>
        <w:jc w:val="both"/>
        <w:rPr>
          <w:rFonts w:cs="Times New Roman"/>
          <w:noProof/>
        </w:rPr>
      </w:pPr>
      <w:r>
        <w:rPr>
          <w:b/>
          <w:noProof/>
        </w:rPr>
        <w:t>Investiții:</w:t>
      </w:r>
      <w:r>
        <w:rPr>
          <w:noProof/>
        </w:rPr>
        <w:t xml:space="preserve"> Transformarea digitală a Ministerului Afacerilor Externe (măsura ID 16742)</w:t>
      </w:r>
    </w:p>
    <w:p w14:paraId="4EAE2222" w14:textId="198CD695" w:rsidR="00C45D59" w:rsidRDefault="009B0962">
      <w:pPr>
        <w:pStyle w:val="NormalWeb"/>
        <w:spacing w:after="0" w:line="240" w:lineRule="auto"/>
        <w:jc w:val="both"/>
        <w:rPr>
          <w:noProof/>
        </w:rPr>
      </w:pPr>
      <w:r>
        <w:rPr>
          <w:noProof/>
        </w:rPr>
        <w:t>Obiectivul acestei măsuri este modernizarea Ministerului Afacerilor Externe. Investiția constă în digitalizarea operațiunilor și a infrastructurii informatice.</w:t>
      </w:r>
    </w:p>
    <w:p w14:paraId="09605423" w14:textId="77777777" w:rsidR="00C45D59" w:rsidRDefault="009B0962">
      <w:pPr>
        <w:pStyle w:val="P68B1DB1-Normal7"/>
        <w:spacing w:before="120" w:after="120" w:line="240" w:lineRule="auto"/>
        <w:jc w:val="both"/>
        <w:rPr>
          <w:rFonts w:cs="Times New Roman"/>
          <w:noProof/>
        </w:rPr>
      </w:pPr>
      <w:r>
        <w:rPr>
          <w:b/>
          <w:noProof/>
        </w:rPr>
        <w:t>Investiții:</w:t>
      </w:r>
      <w:r>
        <w:rPr>
          <w:noProof/>
        </w:rPr>
        <w:t xml:space="preserve"> Programe de actualizare a competențelor digitale pentru recruți (măsura ID 16826)</w:t>
      </w:r>
    </w:p>
    <w:p w14:paraId="4F8877C3" w14:textId="77777777" w:rsidR="00C45D59" w:rsidRDefault="009B0962">
      <w:pPr>
        <w:pStyle w:val="P68B1DB1-Normal7"/>
        <w:spacing w:before="120" w:after="120" w:line="240" w:lineRule="auto"/>
        <w:jc w:val="both"/>
        <w:rPr>
          <w:rFonts w:cs="Times New Roman"/>
          <w:noProof/>
        </w:rPr>
      </w:pPr>
      <w:r>
        <w:rPr>
          <w:noProof/>
        </w:rPr>
        <w:t xml:space="preserve">Investiția integrează un program de formare și certificare pentru competențele digitale în serviciul militar obligatoriu. Scopul este de a valorifica timpul de serviciu al recruților pentru a transmite competențele digitale necesare pe forțele armate și pe piața forței de muncă din prezent. Punerea în aplicare a acestei investiții se realizează prin modernizarea și extinderea platformei Academiei digitale a cetățenilor și include: a) Accesul personalizat al recruților la portalul de formare, care trebuie să dispună de mecanisme solide de securitate cibernetică și de descurajare a atacurilor cibernetice, precum și de o arhitectură îmbunătățită de protecție a datelor cu caracter personal b) Configurarea portofoliului electronic (e-portofoliu) al recrutului în care se reflectă profilul său educațional, împreună cu calificările sale existente c) Dezvoltarea și configurarea programelor de formare a competențelor digitale d) Dezvoltarea și utilizarea unui instrument de autoevaluare e) 50 000 tablete care sunt dobândite și furnizate recruților pe durata participării la programele de învățare la distanță f) certificarea competențelor digitale dobândite în cursul procesului de formare, care se bazează pe cadrele europene și naționale privind competențele digitale. </w:t>
      </w:r>
    </w:p>
    <w:p w14:paraId="416764C2" w14:textId="77777777" w:rsidR="00C45D59" w:rsidRDefault="009B0962">
      <w:pPr>
        <w:pStyle w:val="P68B1DB1-Normal7"/>
        <w:spacing w:before="120" w:after="120" w:line="240" w:lineRule="auto"/>
        <w:jc w:val="both"/>
        <w:rPr>
          <w:rFonts w:cs="Times New Roman"/>
          <w:noProof/>
        </w:rPr>
      </w:pPr>
      <w:r>
        <w:rPr>
          <w:b/>
          <w:noProof/>
        </w:rPr>
        <w:t>Investiții:</w:t>
      </w:r>
      <w:r>
        <w:rPr>
          <w:noProof/>
        </w:rPr>
        <w:t xml:space="preserve"> Transformarea </w:t>
      </w:r>
      <w:bookmarkStart w:id="3" w:name="_Hlk213856119"/>
      <w:r>
        <w:rPr>
          <w:noProof/>
        </w:rPr>
        <w:t xml:space="preserve">digitală a Organizației Naționale de Turism din Grecia </w:t>
      </w:r>
      <w:bookmarkEnd w:id="3"/>
      <w:r>
        <w:rPr>
          <w:noProof/>
        </w:rPr>
        <w:t>(măsura ID 16791)</w:t>
      </w:r>
    </w:p>
    <w:p w14:paraId="3691360D" w14:textId="77777777" w:rsidR="00C45D59" w:rsidRDefault="009B0962">
      <w:pPr>
        <w:pStyle w:val="P68B1DB1-Normal7"/>
        <w:spacing w:before="120" w:after="120" w:line="240" w:lineRule="auto"/>
        <w:jc w:val="both"/>
        <w:rPr>
          <w:noProof/>
        </w:rPr>
      </w:pPr>
      <w:bookmarkStart w:id="4" w:name="_Hlk213856157"/>
      <w:r>
        <w:rPr>
          <w:noProof/>
        </w:rPr>
        <w:t xml:space="preserve">Obiectivul acestei investiții este de a dezvolta capacitățile digitale ale Organizației Naționale de Turism din Grecia. Investiția constă în crearea unei hărți turistice digitale, a unui depozit digital pentru bunurile culturale ale Greciei și a unui nou sistem de informare a turiștilor. </w:t>
      </w:r>
    </w:p>
    <w:bookmarkEnd w:id="4"/>
    <w:p w14:paraId="7BD366D0" w14:textId="16B2C850" w:rsidR="00C45D59" w:rsidRDefault="009B0962">
      <w:pPr>
        <w:pStyle w:val="P68B1DB1-Normal7"/>
        <w:spacing w:before="120" w:after="120" w:line="240" w:lineRule="auto"/>
        <w:jc w:val="both"/>
        <w:rPr>
          <w:rFonts w:cs="Times New Roman"/>
          <w:noProof/>
        </w:rPr>
      </w:pPr>
      <w:r>
        <w:rPr>
          <w:b/>
          <w:noProof/>
        </w:rPr>
        <w:t>Reformă:</w:t>
      </w:r>
      <w:r>
        <w:rPr>
          <w:noProof/>
        </w:rPr>
        <w:t xml:space="preserve"> Strategia de securitate cibernetică și Centrul național de operațiuni de securitate cibernetică (măsura ID 16823)</w:t>
      </w:r>
    </w:p>
    <w:p w14:paraId="781C2E73" w14:textId="77777777" w:rsidR="00C45D59" w:rsidRDefault="009B0962">
      <w:pPr>
        <w:pStyle w:val="P68B1DB1-Normal7"/>
        <w:spacing w:after="0" w:line="240" w:lineRule="auto"/>
        <w:jc w:val="both"/>
        <w:rPr>
          <w:noProof/>
        </w:rPr>
      </w:pPr>
      <w:r>
        <w:rPr>
          <w:noProof/>
        </w:rPr>
        <w:t>Obiectivul măsurii este de a îmbunătăți securitatea cibernetică a sistemelor din sectorul public. Măsura constă în elaborarea unei strategii de securitate cibernetică și a unui centru național de operațiuni de securitate cibernetică (SOC).</w:t>
      </w:r>
    </w:p>
    <w:p w14:paraId="6C2ED967" w14:textId="77777777" w:rsidR="00C45D59" w:rsidRDefault="009B0962">
      <w:pPr>
        <w:pStyle w:val="P68B1DB1-Normal7"/>
        <w:spacing w:before="120" w:after="120" w:line="240" w:lineRule="auto"/>
        <w:jc w:val="both"/>
        <w:rPr>
          <w:rFonts w:cs="Times New Roman"/>
          <w:noProof/>
        </w:rPr>
      </w:pPr>
      <w:r>
        <w:rPr>
          <w:b/>
          <w:noProof/>
        </w:rPr>
        <w:t>Investiții:</w:t>
      </w:r>
      <w:r>
        <w:rPr>
          <w:noProof/>
        </w:rPr>
        <w:t xml:space="preserve"> Servicii web și Centrul de interoperabilitate de nouă generație (KED) (măsura ID 16779)</w:t>
      </w:r>
    </w:p>
    <w:p w14:paraId="5C572659" w14:textId="77777777" w:rsidR="00C45D59" w:rsidRDefault="009B0962">
      <w:pPr>
        <w:pStyle w:val="P68B1DB1-Normal7"/>
        <w:spacing w:before="120" w:after="120" w:line="240" w:lineRule="auto"/>
        <w:jc w:val="both"/>
        <w:rPr>
          <w:noProof/>
        </w:rPr>
      </w:pPr>
      <w:r>
        <w:rPr>
          <w:noProof/>
        </w:rPr>
        <w:t>Obiectivul acestei măsuri este de a dezvolta infrastructura de interoperabilitate între serviciile administrației publice pentru a facilita schimbul de informații și serviciile online. Investiția constă în a) servicii web; b) Centrul de interoperabilitate de nouă generație (KED).</w:t>
      </w:r>
    </w:p>
    <w:p w14:paraId="16670DC2" w14:textId="77777777" w:rsidR="00C45D59" w:rsidRDefault="009B0962">
      <w:pPr>
        <w:pStyle w:val="P68B1DB1-Normal5"/>
        <w:spacing w:before="120" w:after="120" w:line="240" w:lineRule="auto"/>
        <w:jc w:val="both"/>
        <w:rPr>
          <w:rFonts w:cs="Times New Roman"/>
          <w:noProof/>
        </w:rPr>
      </w:pPr>
      <w:r>
        <w:rPr>
          <w:b/>
          <w:noProof/>
        </w:rPr>
        <w:t>Reformă:</w:t>
      </w:r>
      <w:r>
        <w:rPr>
          <w:noProof/>
        </w:rPr>
        <w:t xml:space="preserve"> Interconectarea și interoperabilitatea registrelor, sistemelor și serviciilor pentru schimbul de date între organizațiile publice naționale (măsura ID 16782)</w:t>
      </w:r>
    </w:p>
    <w:p w14:paraId="0A8794C3" w14:textId="77777777" w:rsidR="00C45D59" w:rsidRDefault="009B0962">
      <w:pPr>
        <w:pStyle w:val="P68B1DB1-Normal7"/>
        <w:spacing w:before="120" w:after="120" w:line="240" w:lineRule="auto"/>
        <w:jc w:val="both"/>
        <w:rPr>
          <w:rFonts w:cs="Times New Roman"/>
          <w:noProof/>
        </w:rPr>
      </w:pPr>
      <w:r>
        <w:rPr>
          <w:noProof/>
        </w:rPr>
        <w:t>Obiectivul acestei reforme este de a facilita furnizarea de servicii publice digitale cetățenilor și întreprinderilor. Reforma constă în introducerea unui cadru pentru interconectarea și interoperabilitatea registrelor și a serviciilor pentru schimbul de date între organizațiile publice.</w:t>
      </w:r>
    </w:p>
    <w:p w14:paraId="0E62A2AF" w14:textId="77777777" w:rsidR="00C45D59" w:rsidRDefault="009B0962">
      <w:pPr>
        <w:pStyle w:val="P68B1DB1-Normal7"/>
        <w:spacing w:before="120" w:after="120" w:line="240" w:lineRule="auto"/>
        <w:jc w:val="both"/>
        <w:rPr>
          <w:rFonts w:cs="Times New Roman"/>
          <w:noProof/>
        </w:rPr>
      </w:pPr>
      <w:r>
        <w:rPr>
          <w:b/>
          <w:noProof/>
        </w:rPr>
        <w:t>Investiții:</w:t>
      </w:r>
      <w:r>
        <w:rPr>
          <w:noProof/>
        </w:rPr>
        <w:t xml:space="preserve"> Registre electronice (măsura ID 16824)</w:t>
      </w:r>
    </w:p>
    <w:p w14:paraId="7907BCA2" w14:textId="2600FDE9" w:rsidR="00C45D59" w:rsidRDefault="009B0962">
      <w:pPr>
        <w:pStyle w:val="P68B1DB1-Normal7"/>
        <w:spacing w:before="120" w:after="120" w:line="240" w:lineRule="auto"/>
        <w:jc w:val="both"/>
        <w:rPr>
          <w:rFonts w:cs="Times New Roman"/>
          <w:noProof/>
        </w:rPr>
      </w:pPr>
      <w:r>
        <w:rPr>
          <w:noProof/>
        </w:rPr>
        <w:t>Obiectivul acestei măsuri este de a sprijini furnizarea de servicii publice digitale prin intermediul registrelor și platformelor electronice. Investiția constă în furnizarea de registre și platforme electronice în următoarele domenii: registrul cetățenilor, bunăstarea animalelor, infrastructura de electromobilitate și sănătatea și securitatea socială.</w:t>
      </w:r>
    </w:p>
    <w:p w14:paraId="38DC815F" w14:textId="77777777" w:rsidR="00C45D59" w:rsidRDefault="009B0962">
      <w:pPr>
        <w:pStyle w:val="P68B1DB1-Normal7"/>
        <w:spacing w:before="120" w:after="120" w:line="240" w:lineRule="auto"/>
        <w:jc w:val="both"/>
        <w:rPr>
          <w:rFonts w:cs="Times New Roman"/>
          <w:noProof/>
        </w:rPr>
      </w:pPr>
      <w:r>
        <w:rPr>
          <w:b/>
          <w:noProof/>
        </w:rPr>
        <w:t>Reformă:</w:t>
      </w:r>
      <w:r>
        <w:rPr>
          <w:noProof/>
        </w:rPr>
        <w:t xml:space="preserve"> Încorporarea de noi tehnologii și tendințe către serviciile avansate ale administrației publice, creșterea eficienței și a eficacității și reducerea costurilor de exploatare, modernizare și întreținere a sistemelor (măsura ID 16928)</w:t>
      </w:r>
    </w:p>
    <w:p w14:paraId="7E5BF05A" w14:textId="70F87BCF" w:rsidR="00C45D59" w:rsidRDefault="009B0962">
      <w:pPr>
        <w:pStyle w:val="P68B1DB1-Normal7"/>
        <w:spacing w:before="120" w:after="120" w:line="240" w:lineRule="auto"/>
        <w:jc w:val="both"/>
        <w:rPr>
          <w:rFonts w:cs="Times New Roman"/>
          <w:noProof/>
        </w:rPr>
      </w:pPr>
      <w:r>
        <w:rPr>
          <w:noProof/>
        </w:rPr>
        <w:t xml:space="preserve">Obiectivul acestei reforme este de a moderniza serviciile administrației publice prin progrese tehnologice. Reforma constă în introducerea unui cadru pentru adoptarea de noi tehnologii în administrația publică și a unei politici privind datele deschise și reutilizabile. </w:t>
      </w:r>
    </w:p>
    <w:p w14:paraId="28209A8B" w14:textId="77777777" w:rsidR="00C45D59" w:rsidRDefault="009B0962">
      <w:pPr>
        <w:pStyle w:val="P68B1DB1-Normal7"/>
        <w:spacing w:before="120" w:after="120" w:line="240" w:lineRule="auto"/>
        <w:jc w:val="both"/>
        <w:rPr>
          <w:rFonts w:cs="Times New Roman"/>
          <w:noProof/>
        </w:rPr>
      </w:pPr>
      <w:r>
        <w:rPr>
          <w:b/>
          <w:noProof/>
        </w:rPr>
        <w:t>Investiții:</w:t>
      </w:r>
      <w:r>
        <w:rPr>
          <w:noProof/>
        </w:rPr>
        <w:t xml:space="preserve"> Orașe inteligente (măsura ID 16854)</w:t>
      </w:r>
    </w:p>
    <w:p w14:paraId="05D58511" w14:textId="456384B2" w:rsidR="00C45D59" w:rsidRDefault="009B0962">
      <w:pPr>
        <w:pStyle w:val="P68B1DB1-Normal7"/>
        <w:spacing w:before="120" w:after="120" w:line="240" w:lineRule="auto"/>
        <w:jc w:val="both"/>
        <w:rPr>
          <w:rFonts w:cs="Times New Roman"/>
          <w:noProof/>
        </w:rPr>
      </w:pPr>
      <w:r>
        <w:rPr>
          <w:noProof/>
        </w:rPr>
        <w:t>Obiectivul investiției este de a transforma treptat 11 de municipalități elene în „orașe inteligente”. Măsura constă în realizarea de proiecte de „orașe inteligente” de către 11 de municipalități.</w:t>
      </w:r>
    </w:p>
    <w:p w14:paraId="6B5E83FC" w14:textId="77777777" w:rsidR="00C45D59" w:rsidRDefault="009B0962">
      <w:pPr>
        <w:pStyle w:val="P68B1DB1-Normal7"/>
        <w:spacing w:before="120" w:after="120" w:line="240" w:lineRule="auto"/>
        <w:jc w:val="both"/>
        <w:rPr>
          <w:rFonts w:cs="Times New Roman"/>
          <w:noProof/>
        </w:rPr>
      </w:pPr>
      <w:r>
        <w:rPr>
          <w:b/>
          <w:noProof/>
        </w:rPr>
        <w:t>Investiții:</w:t>
      </w:r>
      <w:r>
        <w:rPr>
          <w:noProof/>
        </w:rPr>
        <w:t xml:space="preserve"> Furnizarea infrastructurii și a serviciului de cloud computing central (măsura ID 16853)</w:t>
      </w:r>
    </w:p>
    <w:p w14:paraId="23FA5E33" w14:textId="77777777" w:rsidR="00C45D59" w:rsidRDefault="009B0962">
      <w:pPr>
        <w:pStyle w:val="P68B1DB1-Normal7"/>
        <w:spacing w:before="120" w:after="120" w:line="240" w:lineRule="auto"/>
        <w:jc w:val="both"/>
        <w:rPr>
          <w:rFonts w:cs="Times New Roman"/>
          <w:noProof/>
        </w:rPr>
      </w:pPr>
      <w:r>
        <w:rPr>
          <w:noProof/>
        </w:rPr>
        <w:t>Investiția urmărește să consolideze funcționarea instituțiilor-cheie ale Ministerului Guvernanței Digitale, și anume GSISPA și IDIKA SA, prin implementarea infrastructurii și a serviciilor de cloud computing (în conformitate cu Legea nr. 4727/2020), urmând cele mai bune practici internaționale pentru implementarea infrastructurii și a serviciilor guvernamentale de cloud (G-Cloud). Proiectul va furniza o infrastructură modernă de cloud hibrid, formată din doi locatari: Unul pentru tehnologia de tip cloud și altul pentru tehnologia de tip H-Cloud. Fiecare chiriaș trebuie să aibă componenta de cloud privat și componenta de cloud public într-un mediu unificat de gestionare și de furnizare a serviciilor. Punerea în aplicare a investiției se finalizează până la 30 iunie 2024.</w:t>
      </w:r>
    </w:p>
    <w:p w14:paraId="56FC838C" w14:textId="77777777" w:rsidR="00C45D59" w:rsidRDefault="009B0962">
      <w:pPr>
        <w:pStyle w:val="P68B1DB1-Normal7"/>
        <w:spacing w:before="120" w:after="120" w:line="240" w:lineRule="auto"/>
        <w:jc w:val="both"/>
        <w:rPr>
          <w:noProof/>
        </w:rPr>
      </w:pPr>
      <w:r>
        <w:rPr>
          <w:noProof/>
        </w:rPr>
        <w:t xml:space="preserve">Centrele de date ale furnizorului de servicii cloud au obligația de a respecta „Codul european de conduită privind eficiența energetică a centrelor de date”. </w:t>
      </w:r>
    </w:p>
    <w:p w14:paraId="304F7477" w14:textId="77777777" w:rsidR="00C45D59" w:rsidRDefault="009B0962">
      <w:pPr>
        <w:pStyle w:val="P68B1DB1-Normal7"/>
        <w:spacing w:before="120" w:after="120" w:line="240" w:lineRule="auto"/>
        <w:jc w:val="both"/>
        <w:rPr>
          <w:rFonts w:cs="Times New Roman"/>
          <w:noProof/>
        </w:rPr>
      </w:pPr>
      <w:r>
        <w:rPr>
          <w:noProof/>
        </w:rPr>
        <w:t>Cerința este aliniată la Regulamentul (UE) 2018/1999 al Parlamentului European și al Consiliului din 11 decembrie 2018 privind guvernanța uniunii energetice și a acțiunilor climatice, prin sprijinirea tranziției verzi și prin contribuția la realizarea obiectivelor climatice ale Uniunii pentru 2030 prevăzute la articolul 2 alineatul (11), modificat prin articolul 10 din Legea europeană a climei, și prin respectarea obiectivului neutralității climatice a UE până în 2050 și a tranziției digitale, contribuind astfel la convergența economică și socială ascendentă, restabilind și promovând creșterea durabilă și integrarea economiilor Uniunii.</w:t>
      </w:r>
    </w:p>
    <w:p w14:paraId="7333D491" w14:textId="77777777" w:rsidR="00C45D59" w:rsidRDefault="009B0962">
      <w:pPr>
        <w:pStyle w:val="P68B1DB1-Normal5"/>
        <w:spacing w:before="120" w:after="120" w:line="240" w:lineRule="auto"/>
        <w:jc w:val="both"/>
        <w:rPr>
          <w:rFonts w:cs="Times New Roman"/>
          <w:noProof/>
        </w:rPr>
      </w:pPr>
      <w:r>
        <w:rPr>
          <w:b/>
          <w:noProof/>
        </w:rPr>
        <w:t>Investiții:</w:t>
      </w:r>
      <w:r>
        <w:rPr>
          <w:noProof/>
        </w:rPr>
        <w:t xml:space="preserve"> Modernizarea infrastructurii și a serviciilor de cloud computing ale infrastructurilor naționale de cercetare și tehnologie (GRNET) (măsura ID 16955)</w:t>
      </w:r>
    </w:p>
    <w:p w14:paraId="266EA8A0" w14:textId="2660AF80" w:rsidR="00C45D59" w:rsidRDefault="009B0962">
      <w:pPr>
        <w:pStyle w:val="P68B1DB1-Normal7"/>
        <w:spacing w:before="120" w:after="120" w:line="240" w:lineRule="auto"/>
        <w:jc w:val="both"/>
        <w:rPr>
          <w:rFonts w:cs="Times New Roman"/>
          <w:noProof/>
        </w:rPr>
      </w:pPr>
      <w:r>
        <w:rPr>
          <w:noProof/>
        </w:rPr>
        <w:t>Obiectivul investiției este de a moderniza infrastructurile și serviciile GRNET. Investiția constă în: (a) modernizarea software-ului și a serviciilor de cloud computing ale GRNET, (b) supercalculatorul DAEDALUS (execuția etapei A, astfel cum se specifică în contractul relevant), (c) închirierea infrastructurii de fibră optică, (d) livrarea sau livrarea și instalarea echipamentelor de rețea ale GRNET.</w:t>
      </w:r>
    </w:p>
    <w:p w14:paraId="7E47D5F7" w14:textId="24B89D05" w:rsidR="00C45D59" w:rsidRDefault="009B0962">
      <w:pPr>
        <w:pStyle w:val="P68B1DB1-Normal7"/>
        <w:spacing w:before="120" w:after="120" w:line="240" w:lineRule="auto"/>
        <w:jc w:val="both"/>
        <w:rPr>
          <w:rFonts w:cs="Times New Roman"/>
          <w:noProof/>
        </w:rPr>
      </w:pPr>
      <w:r>
        <w:rPr>
          <w:b/>
          <w:noProof/>
        </w:rPr>
        <w:t>Investiții:</w:t>
      </w:r>
      <w:r>
        <w:rPr>
          <w:noProof/>
        </w:rPr>
        <w:t xml:space="preserve"> Extinderea Syzefxis II (măsura ID 16956)</w:t>
      </w:r>
    </w:p>
    <w:p w14:paraId="24E86EC0" w14:textId="61499BC0" w:rsidR="00C45D59" w:rsidRDefault="009B0962">
      <w:pPr>
        <w:pStyle w:val="P68B1DB1-Normal7"/>
        <w:spacing w:before="120" w:after="120" w:line="240" w:lineRule="auto"/>
        <w:jc w:val="both"/>
        <w:rPr>
          <w:noProof/>
        </w:rPr>
      </w:pPr>
      <w:r>
        <w:rPr>
          <w:noProof/>
        </w:rPr>
        <w:t xml:space="preserve">Obiectivul acestei investiții este de a furniza organismelor din sectorul public servicii de telecomunicații modernizate. Investiția constă în furnizarea unui sistem digital pentru colectarea datelor din sondajele la fața locului pentru implementarea SYZEFXIS II, în servicii de control al calității și de monitorizare pentru instalarea de sisteme de cabluri pentru rețelele naționale de telecomunicații, în instalarea de echipamente de alimentare cu energie electrică neîntreruptibile în cadrul entităților SYZEFXIS II, în instituirea unui sistem de gestionare a securității informațiilor pentru rețeaua din sectorul public și în instalarea infrastructurii de rețea în rețeaua școlară panelenică. </w:t>
      </w:r>
    </w:p>
    <w:p w14:paraId="0F28CA9D" w14:textId="77777777" w:rsidR="00C45D59" w:rsidRDefault="009B0962">
      <w:pPr>
        <w:pStyle w:val="P68B1DB1-Normal5"/>
        <w:spacing w:before="120" w:after="120" w:line="240" w:lineRule="auto"/>
        <w:jc w:val="both"/>
        <w:rPr>
          <w:rFonts w:cs="Times New Roman"/>
          <w:noProof/>
        </w:rPr>
      </w:pPr>
      <w:r>
        <w:rPr>
          <w:b/>
          <w:noProof/>
        </w:rPr>
        <w:t>Investiții:</w:t>
      </w:r>
      <w:r>
        <w:rPr>
          <w:noProof/>
        </w:rPr>
        <w:t xml:space="preserve"> BI central – Analiza datelor (măsura ID 16842)</w:t>
      </w:r>
    </w:p>
    <w:p w14:paraId="2AF1B491" w14:textId="77777777" w:rsidR="00C45D59" w:rsidRDefault="009B0962">
      <w:pPr>
        <w:pStyle w:val="P68B1DB1-Normal7"/>
        <w:spacing w:before="120" w:after="120" w:line="240" w:lineRule="auto"/>
        <w:jc w:val="both"/>
        <w:rPr>
          <w:rFonts w:cs="Times New Roman"/>
          <w:noProof/>
        </w:rPr>
      </w:pPr>
      <w:r>
        <w:rPr>
          <w:noProof/>
        </w:rPr>
        <w:t xml:space="preserve">Obiectivul acestei investiții este de a spori capacitatea administrației publice de a utiliza datele pentru procesul decizional. Investiția constă în crearea unei platforme centrale de analiză a datelor operative ale întreprinderilor, care să permită agențiilor administrației publice să integreze și să analizeze datele pentru a-și sprijini operațiunile și procesul decizional. </w:t>
      </w:r>
    </w:p>
    <w:p w14:paraId="15A8D5C0" w14:textId="77777777" w:rsidR="00C45D59" w:rsidRDefault="009B0962">
      <w:pPr>
        <w:pStyle w:val="P68B1DB1-Normal7"/>
        <w:spacing w:before="120" w:after="120" w:line="240" w:lineRule="auto"/>
        <w:jc w:val="both"/>
        <w:rPr>
          <w:rFonts w:cs="Times New Roman"/>
          <w:noProof/>
        </w:rPr>
      </w:pPr>
      <w:r>
        <w:rPr>
          <w:b/>
          <w:noProof/>
        </w:rPr>
        <w:t>Investiții:</w:t>
      </w:r>
      <w:r>
        <w:rPr>
          <w:noProof/>
        </w:rPr>
        <w:t xml:space="preserve"> Sistemul central de gestionare a documentelor (măsura ID 16738)</w:t>
      </w:r>
    </w:p>
    <w:p w14:paraId="091CEDA3" w14:textId="77777777" w:rsidR="00C45D59" w:rsidRDefault="009B0962">
      <w:pPr>
        <w:pStyle w:val="P68B1DB1-Normal7"/>
        <w:spacing w:before="120" w:after="120" w:line="240" w:lineRule="auto"/>
        <w:jc w:val="both"/>
        <w:rPr>
          <w:rFonts w:cs="Times New Roman"/>
          <w:noProof/>
        </w:rPr>
      </w:pPr>
      <w:r>
        <w:rPr>
          <w:noProof/>
        </w:rPr>
        <w:t xml:space="preserve">Investiția constă în punerea în aplicare a unui sistem central de gestionare a documentelor care captează, stochează și extrage documente pe suport de hârtie și electronice. Acest sistem facilitează interoperabilitatea între organizațiile din sectorul public și vizează accelerarea prelucrării cazurilor și cererilor de servicii ale cetățenilor și întreprinderilor. Investiția include a) furnizarea a 20 000 de semnături digitale la distanță aprobate, b) dezvoltarea de aplicații pentru interoperabilitate, crearea unui cod QR unic sau a unui identificator unic care să fie integrat în documente, c) dezvoltarea de subsisteme pentru a acoperi nevoile guvernului de semnare a documentelor cu semnături digitale, d) servicii de asistență (inclusiv servicii pentru elaborarea de studii), servicii de formare și de asistență. </w:t>
      </w:r>
    </w:p>
    <w:p w14:paraId="58B43203" w14:textId="7775B1CB" w:rsidR="00C45D59" w:rsidRDefault="009B0962">
      <w:pPr>
        <w:pStyle w:val="P68B1DB1-Normal7"/>
        <w:spacing w:before="120" w:after="120" w:line="240" w:lineRule="auto"/>
        <w:jc w:val="both"/>
        <w:rPr>
          <w:noProof/>
        </w:rPr>
      </w:pPr>
      <w:r>
        <w:rPr>
          <w:b/>
          <w:noProof/>
        </w:rPr>
        <w:t xml:space="preserve">Investiții: </w:t>
      </w:r>
      <w:r>
        <w:rPr>
          <w:noProof/>
        </w:rPr>
        <w:t>Contribuția voluntară la întreprinderea comună EuroHPC (măsura 16859)</w:t>
      </w:r>
    </w:p>
    <w:p w14:paraId="5BBECE70" w14:textId="77777777" w:rsidR="00C45D59" w:rsidRDefault="009B0962">
      <w:pPr>
        <w:pStyle w:val="P68B1DB1-Normal7"/>
        <w:spacing w:before="120" w:after="120" w:line="240" w:lineRule="auto"/>
        <w:jc w:val="both"/>
        <w:rPr>
          <w:noProof/>
        </w:rPr>
      </w:pPr>
      <w:r>
        <w:rPr>
          <w:noProof/>
        </w:rPr>
        <w:t xml:space="preserve">Această măsură urmărește să sprijine înființarea de către Grecia a gigafabricilor de inteligență artificială și a serviciilor acestora, precum și accesul Greciei la acestea. </w:t>
      </w:r>
    </w:p>
    <w:p w14:paraId="09DD021E" w14:textId="736CBFAD" w:rsidR="00C45D59" w:rsidRDefault="009B0962">
      <w:pPr>
        <w:pStyle w:val="P68B1DB1-Normal7"/>
        <w:spacing w:before="120" w:after="120" w:line="240" w:lineRule="auto"/>
        <w:jc w:val="both"/>
        <w:rPr>
          <w:noProof/>
        </w:rPr>
      </w:pPr>
      <w:r>
        <w:rPr>
          <w:noProof/>
        </w:rPr>
        <w:t xml:space="preserve">Măsura constă într-o contribuție voluntară de 350 000 000 EUR la întreprinderea comună EuroHPC. </w:t>
      </w:r>
    </w:p>
    <w:p w14:paraId="2E752925" w14:textId="0E568638" w:rsidR="00C45D59" w:rsidRDefault="009B0962">
      <w:pPr>
        <w:pStyle w:val="P68B1DB1-Normal7"/>
        <w:spacing w:before="120" w:after="120" w:line="240" w:lineRule="auto"/>
        <w:jc w:val="both"/>
        <w:rPr>
          <w:noProof/>
        </w:rPr>
      </w:pPr>
      <w:r>
        <w:rPr>
          <w:noProof/>
        </w:rPr>
        <w:t>Contribuția va sprijini o gigafabrică de IA și/sau alte inițiative EuroHPC, cum ar fi fabricile de IA, supercalculatoarele sau calculatoarele cuantice sau alte investiții în IA, tehnologia cuantică sau HPC legate de obiectivele întreprinderii comune EuroHPC, care urmează să fie stabilite în Uniune.</w:t>
      </w:r>
    </w:p>
    <w:p w14:paraId="35D5333F" w14:textId="4A17D0D3" w:rsidR="00C45D59" w:rsidRDefault="00C45D59">
      <w:pPr>
        <w:spacing w:before="120" w:after="120" w:line="240" w:lineRule="auto"/>
        <w:jc w:val="both"/>
        <w:rPr>
          <w:rFonts w:ascii="Times New Roman" w:hAnsi="Times New Roman" w:cs="Times New Roman"/>
          <w:noProof/>
          <w:sz w:val="24"/>
          <w:szCs w:val="24"/>
        </w:rPr>
        <w:sectPr w:rsidR="00C45D59">
          <w:headerReference w:type="even" r:id="rId132"/>
          <w:headerReference w:type="default" r:id="rId133"/>
          <w:footerReference w:type="even" r:id="rId134"/>
          <w:footerReference w:type="default" r:id="rId135"/>
          <w:headerReference w:type="first" r:id="rId136"/>
          <w:footerReference w:type="first" r:id="rId137"/>
          <w:pgSz w:w="11906" w:h="16838"/>
          <w:pgMar w:top="1134" w:right="1134" w:bottom="1134" w:left="1134" w:header="567" w:footer="567" w:gutter="0"/>
          <w:cols w:space="708"/>
          <w:docGrid w:linePitch="360"/>
        </w:sectPr>
      </w:pPr>
    </w:p>
    <w:p w14:paraId="4F1BD818" w14:textId="77777777" w:rsidR="00C45D59" w:rsidRDefault="009B0962">
      <w:pPr>
        <w:pStyle w:val="P68B1DB1-Normal6"/>
        <w:spacing w:before="120" w:after="120" w:line="240" w:lineRule="auto"/>
        <w:jc w:val="both"/>
        <w:rPr>
          <w:noProof/>
        </w:rPr>
      </w:pPr>
      <w:r>
        <w:rPr>
          <w:noProof/>
        </w:rPr>
        <w:t>F.2. Jaloane, ținte, indicatori și calendarul de monitorizare și implementare aplicabile sprijinului financiar nerambursabil</w:t>
      </w:r>
    </w:p>
    <w:p w14:paraId="7A3DF33F" w14:textId="77777777" w:rsidR="00C45D59" w:rsidRDefault="009B0962">
      <w:pPr>
        <w:pStyle w:val="P68B1DB1-Normal9"/>
        <w:keepNext/>
        <w:keepLines/>
        <w:spacing w:before="40" w:after="0" w:line="240" w:lineRule="auto"/>
        <w:jc w:val="both"/>
        <w:outlineLvl w:val="4"/>
        <w:rPr>
          <w:rFonts w:eastAsia="Times New Roman"/>
          <w:noProof/>
        </w:rPr>
      </w:pPr>
      <w:r>
        <w:rPr>
          <w:noProof/>
        </w:rPr>
        <w:t>Principala investiție 3: Digitalizarea arhivelor și servicii conexe</w:t>
      </w:r>
    </w:p>
    <w:tbl>
      <w:tblPr>
        <w:tblpPr w:leftFromText="180" w:rightFromText="180" w:vertAnchor="text" w:tblpXSpec="center" w:tblpY="1"/>
        <w:tblOverlap w:val="never"/>
        <w:tblW w:w="15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985"/>
        <w:gridCol w:w="1092"/>
        <w:gridCol w:w="1601"/>
        <w:gridCol w:w="1715"/>
        <w:gridCol w:w="1200"/>
        <w:gridCol w:w="1080"/>
        <w:gridCol w:w="960"/>
        <w:gridCol w:w="960"/>
        <w:gridCol w:w="840"/>
        <w:gridCol w:w="3593"/>
      </w:tblGrid>
      <w:tr w:rsidR="00C45D59" w14:paraId="4DBBC57E" w14:textId="77777777" w:rsidTr="004048D3">
        <w:trPr>
          <w:trHeight w:val="927"/>
          <w:tblHeader/>
        </w:trPr>
        <w:tc>
          <w:tcPr>
            <w:tcW w:w="562" w:type="dxa"/>
            <w:vMerge w:val="restart"/>
            <w:shd w:val="clear" w:color="auto" w:fill="BDD7EE"/>
            <w:vAlign w:val="center"/>
            <w:hideMark/>
          </w:tcPr>
          <w:p w14:paraId="35A9B29F" w14:textId="0EFC660D" w:rsidR="00C45D59" w:rsidRDefault="009B0962" w:rsidP="004048D3">
            <w:pPr>
              <w:pStyle w:val="P68B1DB1-Normal10"/>
              <w:spacing w:after="0" w:line="240" w:lineRule="auto"/>
              <w:jc w:val="center"/>
              <w:rPr>
                <w:rFonts w:eastAsia="Times New Roman" w:cs="Times New Roman"/>
                <w:bCs/>
                <w:noProof/>
                <w:szCs w:val="18"/>
              </w:rPr>
            </w:pPr>
            <w:r>
              <w:rPr>
                <w:noProof/>
              </w:rPr>
              <w:t>Nr</w:t>
            </w:r>
            <w:r w:rsidR="004048D3">
              <w:rPr>
                <w:noProof/>
              </w:rPr>
              <w:t>.</w:t>
            </w:r>
            <w:r>
              <w:rPr>
                <w:noProof/>
              </w:rPr>
              <w:t xml:space="preserve"> </w:t>
            </w:r>
            <w:r w:rsidR="004048D3">
              <w:rPr>
                <w:noProof/>
              </w:rPr>
              <w:t>crt</w:t>
            </w:r>
            <w:r>
              <w:rPr>
                <w:noProof/>
              </w:rPr>
              <w:t>.</w:t>
            </w:r>
          </w:p>
        </w:tc>
        <w:tc>
          <w:tcPr>
            <w:tcW w:w="1985" w:type="dxa"/>
            <w:vMerge w:val="restart"/>
            <w:shd w:val="clear" w:color="auto" w:fill="BDD7EE"/>
            <w:vAlign w:val="center"/>
            <w:hideMark/>
          </w:tcPr>
          <w:p w14:paraId="4A36459E" w14:textId="77777777" w:rsidR="00C45D59" w:rsidRDefault="009B0962" w:rsidP="004048D3">
            <w:pPr>
              <w:pStyle w:val="P68B1DB1-Normal10"/>
              <w:spacing w:after="0" w:line="240" w:lineRule="auto"/>
              <w:ind w:left="-2" w:firstLine="2"/>
              <w:jc w:val="center"/>
              <w:rPr>
                <w:rFonts w:eastAsia="Times New Roman" w:cs="Times New Roman"/>
                <w:bCs/>
                <w:noProof/>
                <w:szCs w:val="18"/>
              </w:rPr>
            </w:pPr>
            <w:r>
              <w:rPr>
                <w:noProof/>
              </w:rPr>
              <w:t>Măsură conexă (reformă sau investiții)</w:t>
            </w:r>
          </w:p>
        </w:tc>
        <w:tc>
          <w:tcPr>
            <w:tcW w:w="1092" w:type="dxa"/>
            <w:vMerge w:val="restart"/>
            <w:shd w:val="clear" w:color="auto" w:fill="BDD7EE"/>
            <w:vAlign w:val="center"/>
            <w:hideMark/>
          </w:tcPr>
          <w:p w14:paraId="1F199FA8" w14:textId="03E3B58D" w:rsidR="00C45D59" w:rsidRDefault="009B0962" w:rsidP="004048D3">
            <w:pPr>
              <w:pStyle w:val="P68B1DB1-Normal10"/>
              <w:spacing w:after="0" w:line="240" w:lineRule="auto"/>
              <w:jc w:val="center"/>
              <w:rPr>
                <w:rFonts w:eastAsia="Times New Roman" w:cs="Times New Roman"/>
                <w:bCs/>
                <w:noProof/>
                <w:szCs w:val="18"/>
              </w:rPr>
            </w:pPr>
            <w:r>
              <w:rPr>
                <w:noProof/>
              </w:rPr>
              <w:t>Etapă/</w:t>
            </w:r>
            <w:r w:rsidR="004048D3">
              <w:rPr>
                <w:noProof/>
              </w:rPr>
              <w:t xml:space="preserve"> </w:t>
            </w:r>
            <w:r>
              <w:rPr>
                <w:noProof/>
              </w:rPr>
              <w:t>Obiectiv</w:t>
            </w:r>
          </w:p>
        </w:tc>
        <w:tc>
          <w:tcPr>
            <w:tcW w:w="1601" w:type="dxa"/>
            <w:vMerge w:val="restart"/>
            <w:shd w:val="clear" w:color="auto" w:fill="BDD7EE"/>
            <w:vAlign w:val="center"/>
            <w:hideMark/>
          </w:tcPr>
          <w:p w14:paraId="350EC108" w14:textId="2783A2FE" w:rsidR="00C45D59" w:rsidRDefault="004048D3" w:rsidP="004048D3">
            <w:pPr>
              <w:pStyle w:val="P68B1DB1-Normal10"/>
              <w:spacing w:after="0" w:line="240" w:lineRule="auto"/>
              <w:jc w:val="center"/>
              <w:rPr>
                <w:rFonts w:eastAsia="Times New Roman" w:cs="Times New Roman"/>
                <w:bCs/>
                <w:noProof/>
                <w:szCs w:val="18"/>
              </w:rPr>
            </w:pPr>
            <w:r>
              <w:rPr>
                <w:noProof/>
              </w:rPr>
              <w:t>Denumire</w:t>
            </w:r>
          </w:p>
        </w:tc>
        <w:tc>
          <w:tcPr>
            <w:tcW w:w="1715" w:type="dxa"/>
            <w:vMerge w:val="restart"/>
            <w:shd w:val="clear" w:color="auto" w:fill="BDD7EE"/>
            <w:vAlign w:val="center"/>
            <w:hideMark/>
          </w:tcPr>
          <w:p w14:paraId="121010F2" w14:textId="77777777" w:rsidR="00C45D59" w:rsidRDefault="009B0962" w:rsidP="004048D3">
            <w:pPr>
              <w:pStyle w:val="P68B1DB1-Normal10"/>
              <w:spacing w:after="0" w:line="240" w:lineRule="auto"/>
              <w:jc w:val="center"/>
              <w:rPr>
                <w:rFonts w:eastAsia="Times New Roman" w:cs="Times New Roman"/>
                <w:bCs/>
                <w:noProof/>
                <w:szCs w:val="18"/>
              </w:rPr>
            </w:pPr>
            <w:r>
              <w:rPr>
                <w:noProof/>
              </w:rPr>
              <w:t>Indicatori calitativi (pentru obiectivele de etapă)</w:t>
            </w:r>
          </w:p>
        </w:tc>
        <w:tc>
          <w:tcPr>
            <w:tcW w:w="3240" w:type="dxa"/>
            <w:gridSpan w:val="3"/>
            <w:shd w:val="clear" w:color="auto" w:fill="BDD7EE"/>
            <w:vAlign w:val="center"/>
            <w:hideMark/>
          </w:tcPr>
          <w:p w14:paraId="0D66E0DE" w14:textId="77777777" w:rsidR="00C45D59" w:rsidRDefault="009B0962" w:rsidP="004048D3">
            <w:pPr>
              <w:pStyle w:val="P68B1DB1-Normal10"/>
              <w:spacing w:after="0" w:line="240" w:lineRule="auto"/>
              <w:jc w:val="center"/>
              <w:rPr>
                <w:rFonts w:eastAsia="Times New Roman" w:cs="Times New Roman"/>
                <w:bCs/>
                <w:noProof/>
                <w:szCs w:val="18"/>
              </w:rPr>
            </w:pPr>
            <w:r>
              <w:rPr>
                <w:noProof/>
              </w:rPr>
              <w:t>Indicatori cantitativi (pentru ținte)</w:t>
            </w:r>
          </w:p>
        </w:tc>
        <w:tc>
          <w:tcPr>
            <w:tcW w:w="1800" w:type="dxa"/>
            <w:gridSpan w:val="2"/>
            <w:shd w:val="clear" w:color="auto" w:fill="BDD7EE"/>
            <w:vAlign w:val="center"/>
            <w:hideMark/>
          </w:tcPr>
          <w:p w14:paraId="3ECD6D08" w14:textId="77777777" w:rsidR="00C45D59" w:rsidRDefault="009B0962" w:rsidP="004048D3">
            <w:pPr>
              <w:pStyle w:val="P68B1DB1-Normal10"/>
              <w:spacing w:after="0" w:line="240" w:lineRule="auto"/>
              <w:jc w:val="center"/>
              <w:rPr>
                <w:rFonts w:eastAsia="Times New Roman" w:cs="Times New Roman"/>
                <w:bCs/>
                <w:noProof/>
                <w:szCs w:val="18"/>
              </w:rPr>
            </w:pPr>
            <w:r>
              <w:rPr>
                <w:noProof/>
              </w:rPr>
              <w:t xml:space="preserve">Calendar orientativ pentru finalizare </w:t>
            </w:r>
          </w:p>
        </w:tc>
        <w:tc>
          <w:tcPr>
            <w:tcW w:w="3593" w:type="dxa"/>
            <w:vMerge w:val="restart"/>
            <w:shd w:val="clear" w:color="auto" w:fill="BDD7EE"/>
            <w:vAlign w:val="center"/>
            <w:hideMark/>
          </w:tcPr>
          <w:p w14:paraId="69DC9136" w14:textId="77777777" w:rsidR="00C45D59" w:rsidRDefault="009B0962" w:rsidP="004048D3">
            <w:pPr>
              <w:pStyle w:val="P68B1DB1-Normal10"/>
              <w:spacing w:after="0" w:line="240" w:lineRule="auto"/>
              <w:jc w:val="center"/>
              <w:rPr>
                <w:rFonts w:eastAsia="Times New Roman" w:cs="Times New Roman"/>
                <w:bCs/>
                <w:noProof/>
                <w:szCs w:val="18"/>
              </w:rPr>
            </w:pPr>
            <w:r>
              <w:rPr>
                <w:noProof/>
              </w:rPr>
              <w:t>Descrierea fiecărui jalon și a fiecărei ținte</w:t>
            </w:r>
          </w:p>
        </w:tc>
      </w:tr>
      <w:tr w:rsidR="00C45D59" w14:paraId="6132C376" w14:textId="77777777" w:rsidTr="004048D3">
        <w:trPr>
          <w:trHeight w:val="512"/>
          <w:tblHeader/>
        </w:trPr>
        <w:tc>
          <w:tcPr>
            <w:tcW w:w="562" w:type="dxa"/>
            <w:vMerge/>
            <w:vAlign w:val="center"/>
            <w:hideMark/>
          </w:tcPr>
          <w:p w14:paraId="37945CCC" w14:textId="77777777" w:rsidR="00C45D59" w:rsidRDefault="00C45D59" w:rsidP="004048D3">
            <w:pPr>
              <w:spacing w:after="0" w:line="240" w:lineRule="auto"/>
              <w:rPr>
                <w:rFonts w:ascii="Times New Roman" w:eastAsia="Times New Roman" w:hAnsi="Times New Roman" w:cs="Times New Roman"/>
                <w:b/>
                <w:bCs/>
                <w:noProof/>
                <w:sz w:val="18"/>
                <w:szCs w:val="18"/>
              </w:rPr>
            </w:pPr>
          </w:p>
        </w:tc>
        <w:tc>
          <w:tcPr>
            <w:tcW w:w="1985" w:type="dxa"/>
            <w:vMerge/>
            <w:vAlign w:val="center"/>
            <w:hideMark/>
          </w:tcPr>
          <w:p w14:paraId="51B8D8C6" w14:textId="77777777" w:rsidR="00C45D59" w:rsidRDefault="00C45D59" w:rsidP="004048D3">
            <w:pPr>
              <w:spacing w:after="0" w:line="240" w:lineRule="auto"/>
              <w:rPr>
                <w:rFonts w:ascii="Times New Roman" w:eastAsia="Times New Roman" w:hAnsi="Times New Roman" w:cs="Times New Roman"/>
                <w:b/>
                <w:bCs/>
                <w:noProof/>
                <w:sz w:val="18"/>
                <w:szCs w:val="18"/>
              </w:rPr>
            </w:pPr>
          </w:p>
        </w:tc>
        <w:tc>
          <w:tcPr>
            <w:tcW w:w="1092" w:type="dxa"/>
            <w:vMerge/>
            <w:vAlign w:val="center"/>
            <w:hideMark/>
          </w:tcPr>
          <w:p w14:paraId="3B60F587" w14:textId="77777777" w:rsidR="00C45D59" w:rsidRDefault="00C45D59" w:rsidP="004048D3">
            <w:pPr>
              <w:spacing w:after="0" w:line="240" w:lineRule="auto"/>
              <w:rPr>
                <w:rFonts w:ascii="Times New Roman" w:eastAsia="Times New Roman" w:hAnsi="Times New Roman" w:cs="Times New Roman"/>
                <w:b/>
                <w:bCs/>
                <w:noProof/>
                <w:sz w:val="18"/>
                <w:szCs w:val="18"/>
              </w:rPr>
            </w:pPr>
          </w:p>
        </w:tc>
        <w:tc>
          <w:tcPr>
            <w:tcW w:w="1601" w:type="dxa"/>
            <w:vMerge/>
            <w:vAlign w:val="center"/>
            <w:hideMark/>
          </w:tcPr>
          <w:p w14:paraId="11B80E78" w14:textId="77777777" w:rsidR="00C45D59" w:rsidRDefault="00C45D59" w:rsidP="004048D3">
            <w:pPr>
              <w:spacing w:after="0" w:line="240" w:lineRule="auto"/>
              <w:rPr>
                <w:rFonts w:ascii="Times New Roman" w:eastAsia="Times New Roman" w:hAnsi="Times New Roman" w:cs="Times New Roman"/>
                <w:b/>
                <w:bCs/>
                <w:noProof/>
                <w:sz w:val="18"/>
                <w:szCs w:val="18"/>
              </w:rPr>
            </w:pPr>
          </w:p>
        </w:tc>
        <w:tc>
          <w:tcPr>
            <w:tcW w:w="1715" w:type="dxa"/>
            <w:vMerge/>
            <w:vAlign w:val="center"/>
            <w:hideMark/>
          </w:tcPr>
          <w:p w14:paraId="5D0FBD93" w14:textId="77777777" w:rsidR="00C45D59" w:rsidRDefault="00C45D59" w:rsidP="004048D3">
            <w:pPr>
              <w:spacing w:after="0" w:line="240" w:lineRule="auto"/>
              <w:rPr>
                <w:rFonts w:ascii="Times New Roman" w:eastAsia="Times New Roman" w:hAnsi="Times New Roman" w:cs="Times New Roman"/>
                <w:b/>
                <w:bCs/>
                <w:noProof/>
                <w:sz w:val="18"/>
                <w:szCs w:val="18"/>
              </w:rPr>
            </w:pPr>
          </w:p>
        </w:tc>
        <w:tc>
          <w:tcPr>
            <w:tcW w:w="1200" w:type="dxa"/>
            <w:shd w:val="clear" w:color="auto" w:fill="BDD7EE"/>
            <w:vAlign w:val="center"/>
            <w:hideMark/>
          </w:tcPr>
          <w:p w14:paraId="3FE8A225" w14:textId="77777777" w:rsidR="00C45D59" w:rsidRDefault="009B0962" w:rsidP="004048D3">
            <w:pPr>
              <w:pStyle w:val="P68B1DB1-Normal10"/>
              <w:spacing w:after="0" w:line="240" w:lineRule="auto"/>
              <w:jc w:val="center"/>
              <w:rPr>
                <w:rFonts w:eastAsia="Times New Roman" w:cs="Times New Roman"/>
                <w:bCs/>
                <w:noProof/>
                <w:szCs w:val="18"/>
              </w:rPr>
            </w:pPr>
            <w:r>
              <w:rPr>
                <w:noProof/>
              </w:rPr>
              <w:t>Unitatea de măsură</w:t>
            </w:r>
          </w:p>
        </w:tc>
        <w:tc>
          <w:tcPr>
            <w:tcW w:w="1080" w:type="dxa"/>
            <w:shd w:val="clear" w:color="auto" w:fill="BDD7EE"/>
            <w:vAlign w:val="center"/>
            <w:hideMark/>
          </w:tcPr>
          <w:p w14:paraId="5AA134F0" w14:textId="77777777" w:rsidR="00C45D59" w:rsidRDefault="009B0962" w:rsidP="004048D3">
            <w:pPr>
              <w:pStyle w:val="P68B1DB1-Normal10"/>
              <w:spacing w:after="0" w:line="240" w:lineRule="auto"/>
              <w:jc w:val="center"/>
              <w:rPr>
                <w:rFonts w:eastAsia="Times New Roman" w:cs="Times New Roman"/>
                <w:bCs/>
                <w:noProof/>
                <w:szCs w:val="18"/>
              </w:rPr>
            </w:pPr>
            <w:r>
              <w:rPr>
                <w:noProof/>
              </w:rPr>
              <w:t xml:space="preserve">Situația de referință </w:t>
            </w:r>
          </w:p>
        </w:tc>
        <w:tc>
          <w:tcPr>
            <w:tcW w:w="960" w:type="dxa"/>
            <w:shd w:val="clear" w:color="auto" w:fill="BDD7EE"/>
            <w:vAlign w:val="center"/>
            <w:hideMark/>
          </w:tcPr>
          <w:p w14:paraId="7578D0AC" w14:textId="77777777" w:rsidR="00C45D59" w:rsidRDefault="009B0962" w:rsidP="004048D3">
            <w:pPr>
              <w:pStyle w:val="P68B1DB1-Normal10"/>
              <w:spacing w:after="0" w:line="240" w:lineRule="auto"/>
              <w:jc w:val="center"/>
              <w:rPr>
                <w:rFonts w:eastAsia="Times New Roman" w:cs="Times New Roman"/>
                <w:bCs/>
                <w:noProof/>
                <w:szCs w:val="18"/>
              </w:rPr>
            </w:pPr>
            <w:r>
              <w:rPr>
                <w:noProof/>
              </w:rPr>
              <w:t xml:space="preserve">Obiectiv </w:t>
            </w:r>
          </w:p>
        </w:tc>
        <w:tc>
          <w:tcPr>
            <w:tcW w:w="960" w:type="dxa"/>
            <w:shd w:val="clear" w:color="auto" w:fill="BDD7EE"/>
            <w:vAlign w:val="center"/>
            <w:hideMark/>
          </w:tcPr>
          <w:p w14:paraId="36EA4F7F" w14:textId="77777777" w:rsidR="00C45D59" w:rsidRDefault="009B0962" w:rsidP="004048D3">
            <w:pPr>
              <w:pStyle w:val="P68B1DB1-Normal10"/>
              <w:spacing w:after="0" w:line="240" w:lineRule="auto"/>
              <w:jc w:val="center"/>
              <w:rPr>
                <w:rFonts w:eastAsia="Times New Roman" w:cs="Times New Roman"/>
                <w:bCs/>
                <w:noProof/>
                <w:szCs w:val="18"/>
              </w:rPr>
            </w:pPr>
            <w:r>
              <w:rPr>
                <w:noProof/>
              </w:rPr>
              <w:t>Trimestru</w:t>
            </w:r>
          </w:p>
        </w:tc>
        <w:tc>
          <w:tcPr>
            <w:tcW w:w="840" w:type="dxa"/>
            <w:shd w:val="clear" w:color="auto" w:fill="BDD7EE"/>
            <w:vAlign w:val="center"/>
            <w:hideMark/>
          </w:tcPr>
          <w:p w14:paraId="55F87C19" w14:textId="77777777" w:rsidR="00C45D59" w:rsidRDefault="009B0962" w:rsidP="004048D3">
            <w:pPr>
              <w:pStyle w:val="P68B1DB1-Normal10"/>
              <w:spacing w:after="0" w:line="240" w:lineRule="auto"/>
              <w:jc w:val="center"/>
              <w:rPr>
                <w:rFonts w:eastAsia="Times New Roman" w:cs="Times New Roman"/>
                <w:bCs/>
                <w:noProof/>
                <w:szCs w:val="18"/>
              </w:rPr>
            </w:pPr>
            <w:r>
              <w:rPr>
                <w:noProof/>
              </w:rPr>
              <w:t>Anul</w:t>
            </w:r>
          </w:p>
        </w:tc>
        <w:tc>
          <w:tcPr>
            <w:tcW w:w="3593" w:type="dxa"/>
            <w:vMerge/>
            <w:vAlign w:val="center"/>
            <w:hideMark/>
          </w:tcPr>
          <w:p w14:paraId="38BDB76E" w14:textId="77777777" w:rsidR="00C45D59" w:rsidRDefault="00C45D59" w:rsidP="004048D3">
            <w:pPr>
              <w:spacing w:after="0" w:line="240" w:lineRule="auto"/>
              <w:rPr>
                <w:rFonts w:ascii="Times New Roman" w:eastAsia="Times New Roman" w:hAnsi="Times New Roman" w:cs="Times New Roman"/>
                <w:b/>
                <w:bCs/>
                <w:noProof/>
                <w:sz w:val="18"/>
                <w:szCs w:val="18"/>
              </w:rPr>
            </w:pPr>
          </w:p>
        </w:tc>
      </w:tr>
      <w:tr w:rsidR="00C45D59" w14:paraId="3E5676B9" w14:textId="77777777" w:rsidTr="004048D3">
        <w:trPr>
          <w:trHeight w:val="309"/>
        </w:trPr>
        <w:tc>
          <w:tcPr>
            <w:tcW w:w="562" w:type="dxa"/>
            <w:shd w:val="clear" w:color="auto" w:fill="C6EFCE"/>
            <w:noWrap/>
          </w:tcPr>
          <w:p w14:paraId="73817129" w14:textId="77777777" w:rsidR="00C45D59" w:rsidRDefault="009B0962" w:rsidP="004048D3">
            <w:pPr>
              <w:pStyle w:val="P68B1DB1-Normal12"/>
              <w:spacing w:after="0" w:line="240" w:lineRule="auto"/>
              <w:rPr>
                <w:rFonts w:eastAsia="Times New Roman"/>
                <w:noProof/>
              </w:rPr>
            </w:pPr>
            <w:r>
              <w:rPr>
                <w:noProof/>
              </w:rPr>
              <w:t>93</w:t>
            </w:r>
          </w:p>
          <w:p w14:paraId="47DF364B" w14:textId="77777777" w:rsidR="00C45D59" w:rsidRDefault="00C45D59" w:rsidP="004048D3">
            <w:pPr>
              <w:rPr>
                <w:rFonts w:ascii="Times New Roman" w:eastAsia="Times New Roman" w:hAnsi="Times New Roman" w:cs="Times New Roman"/>
                <w:noProof/>
                <w:sz w:val="18"/>
                <w:szCs w:val="18"/>
              </w:rPr>
            </w:pPr>
          </w:p>
        </w:tc>
        <w:tc>
          <w:tcPr>
            <w:tcW w:w="1985" w:type="dxa"/>
            <w:shd w:val="clear" w:color="auto" w:fill="C6EFCE"/>
            <w:noWrap/>
          </w:tcPr>
          <w:p w14:paraId="5932B396" w14:textId="77777777" w:rsidR="00C45D59" w:rsidRDefault="009B0962" w:rsidP="004048D3">
            <w:pPr>
              <w:pStyle w:val="P68B1DB1-Normal12"/>
              <w:spacing w:after="0" w:line="240" w:lineRule="auto"/>
              <w:rPr>
                <w:rFonts w:eastAsia="Times New Roman"/>
                <w:noProof/>
              </w:rPr>
            </w:pPr>
            <w:r>
              <w:rPr>
                <w:noProof/>
              </w:rPr>
              <w:t>6-2.2. Modernizare – 16778_Digitalizarea arhivelor și a serviciilor conexe</w:t>
            </w:r>
          </w:p>
        </w:tc>
        <w:tc>
          <w:tcPr>
            <w:tcW w:w="1092" w:type="dxa"/>
            <w:shd w:val="clear" w:color="auto" w:fill="C6EFCE"/>
            <w:noWrap/>
          </w:tcPr>
          <w:p w14:paraId="09206141" w14:textId="77777777" w:rsidR="00C45D59" w:rsidRDefault="009B0962" w:rsidP="004048D3">
            <w:pPr>
              <w:pStyle w:val="P68B1DB1-Normal12"/>
              <w:spacing w:after="0" w:line="240" w:lineRule="auto"/>
              <w:rPr>
                <w:rFonts w:eastAsia="Times New Roman"/>
                <w:noProof/>
              </w:rPr>
            </w:pPr>
            <w:r>
              <w:rPr>
                <w:noProof/>
              </w:rPr>
              <w:t>Etapă</w:t>
            </w:r>
          </w:p>
        </w:tc>
        <w:tc>
          <w:tcPr>
            <w:tcW w:w="1601" w:type="dxa"/>
            <w:shd w:val="clear" w:color="auto" w:fill="C6EFCE"/>
            <w:noWrap/>
          </w:tcPr>
          <w:p w14:paraId="3A3FB356" w14:textId="77777777" w:rsidR="00C45D59" w:rsidRDefault="009B0962" w:rsidP="004048D3">
            <w:pPr>
              <w:pStyle w:val="P68B1DB1-Normal12"/>
              <w:spacing w:after="0" w:line="240" w:lineRule="auto"/>
              <w:rPr>
                <w:rFonts w:eastAsia="Times New Roman"/>
                <w:iCs/>
                <w:noProof/>
              </w:rPr>
            </w:pPr>
            <w:r>
              <w:rPr>
                <w:noProof/>
              </w:rPr>
              <w:t>Atribuirea contractului (contractelor) pentru digitalizarea arhivelor</w:t>
            </w:r>
          </w:p>
        </w:tc>
        <w:tc>
          <w:tcPr>
            <w:tcW w:w="1715" w:type="dxa"/>
            <w:shd w:val="clear" w:color="auto" w:fill="C6EFCE"/>
            <w:noWrap/>
          </w:tcPr>
          <w:p w14:paraId="38CFB0FA" w14:textId="77777777" w:rsidR="00C45D59" w:rsidRDefault="009B0962" w:rsidP="004048D3">
            <w:pPr>
              <w:pStyle w:val="P68B1DB1-Normal12"/>
              <w:spacing w:after="0" w:line="240" w:lineRule="auto"/>
              <w:rPr>
                <w:rFonts w:eastAsia="Times New Roman"/>
                <w:noProof/>
              </w:rPr>
            </w:pPr>
            <w:r>
              <w:rPr>
                <w:noProof/>
              </w:rPr>
              <w:t xml:space="preserve">Notificarea atribuirii contractului (contractelor) care acoperă toate cele 9 subproiecte ale proiectului de digitalizare a arhivelor </w:t>
            </w:r>
          </w:p>
        </w:tc>
        <w:tc>
          <w:tcPr>
            <w:tcW w:w="1200" w:type="dxa"/>
            <w:shd w:val="clear" w:color="auto" w:fill="C6EFCE"/>
            <w:noWrap/>
          </w:tcPr>
          <w:p w14:paraId="12C52C48" w14:textId="77777777" w:rsidR="00C45D59" w:rsidRDefault="00C45D59" w:rsidP="004048D3">
            <w:pPr>
              <w:spacing w:after="0" w:line="240" w:lineRule="auto"/>
              <w:rPr>
                <w:rFonts w:ascii="Times New Roman" w:eastAsia="Times New Roman" w:hAnsi="Times New Roman" w:cs="Times New Roman"/>
                <w:noProof/>
                <w:color w:val="006100"/>
                <w:sz w:val="18"/>
                <w:szCs w:val="18"/>
              </w:rPr>
            </w:pPr>
          </w:p>
        </w:tc>
        <w:tc>
          <w:tcPr>
            <w:tcW w:w="1080" w:type="dxa"/>
            <w:shd w:val="clear" w:color="auto" w:fill="C6EFCE"/>
            <w:noWrap/>
          </w:tcPr>
          <w:p w14:paraId="3140883F" w14:textId="77777777" w:rsidR="00C45D59" w:rsidRDefault="00C45D59" w:rsidP="004048D3">
            <w:pPr>
              <w:spacing w:after="0" w:line="240" w:lineRule="auto"/>
              <w:rPr>
                <w:rFonts w:ascii="Times New Roman" w:eastAsia="Times New Roman" w:hAnsi="Times New Roman" w:cs="Times New Roman"/>
                <w:noProof/>
                <w:color w:val="006100"/>
                <w:sz w:val="18"/>
                <w:szCs w:val="18"/>
              </w:rPr>
            </w:pPr>
          </w:p>
        </w:tc>
        <w:tc>
          <w:tcPr>
            <w:tcW w:w="960" w:type="dxa"/>
            <w:shd w:val="clear" w:color="auto" w:fill="C6EFCE"/>
            <w:noWrap/>
          </w:tcPr>
          <w:p w14:paraId="13B7944F" w14:textId="77777777" w:rsidR="00C45D59" w:rsidRDefault="00C45D59" w:rsidP="004048D3">
            <w:pPr>
              <w:spacing w:after="0" w:line="240" w:lineRule="auto"/>
              <w:rPr>
                <w:rFonts w:ascii="Times New Roman" w:eastAsia="Times New Roman" w:hAnsi="Times New Roman" w:cs="Times New Roman"/>
                <w:noProof/>
                <w:color w:val="006100"/>
                <w:sz w:val="18"/>
                <w:szCs w:val="18"/>
              </w:rPr>
            </w:pPr>
          </w:p>
        </w:tc>
        <w:tc>
          <w:tcPr>
            <w:tcW w:w="960" w:type="dxa"/>
            <w:shd w:val="clear" w:color="auto" w:fill="C6EFCE"/>
            <w:noWrap/>
          </w:tcPr>
          <w:p w14:paraId="04C14FC1" w14:textId="77777777" w:rsidR="00C45D59" w:rsidRDefault="009B0962" w:rsidP="004048D3">
            <w:pPr>
              <w:pStyle w:val="P68B1DB1-Normal12"/>
              <w:spacing w:after="0" w:line="240" w:lineRule="auto"/>
              <w:rPr>
                <w:rFonts w:eastAsia="Times New Roman"/>
                <w:noProof/>
              </w:rPr>
            </w:pPr>
            <w:r>
              <w:rPr>
                <w:noProof/>
              </w:rPr>
              <w:t>Î4</w:t>
            </w:r>
          </w:p>
        </w:tc>
        <w:tc>
          <w:tcPr>
            <w:tcW w:w="840" w:type="dxa"/>
            <w:shd w:val="clear" w:color="auto" w:fill="C6EFCE"/>
            <w:noWrap/>
          </w:tcPr>
          <w:p w14:paraId="071D434F" w14:textId="77777777" w:rsidR="00C45D59" w:rsidRDefault="009B0962" w:rsidP="004048D3">
            <w:pPr>
              <w:pStyle w:val="P68B1DB1-Normal12"/>
              <w:spacing w:after="0" w:line="240" w:lineRule="auto"/>
              <w:rPr>
                <w:rFonts w:eastAsia="Times New Roman"/>
                <w:noProof/>
              </w:rPr>
            </w:pPr>
            <w:r>
              <w:rPr>
                <w:noProof/>
              </w:rPr>
              <w:t>2022</w:t>
            </w:r>
          </w:p>
        </w:tc>
        <w:tc>
          <w:tcPr>
            <w:tcW w:w="3593" w:type="dxa"/>
            <w:shd w:val="clear" w:color="auto" w:fill="C6EFCE"/>
            <w:noWrap/>
          </w:tcPr>
          <w:p w14:paraId="08ABD6EA" w14:textId="77777777" w:rsidR="00C45D59" w:rsidRDefault="009B0962" w:rsidP="004048D3">
            <w:pPr>
              <w:pStyle w:val="P68B1DB1-Normal12"/>
              <w:spacing w:after="0" w:line="240" w:lineRule="auto"/>
              <w:rPr>
                <w:rFonts w:eastAsia="Times New Roman"/>
                <w:noProof/>
              </w:rPr>
            </w:pPr>
            <w:r>
              <w:rPr>
                <w:noProof/>
              </w:rPr>
              <w:t xml:space="preserve">Atribuirea contractului (contractelor) pentru a acoperi fiecare dintre următoarele 9 subproiecte, inclusiv toate componentele lor constitutive: </w:t>
            </w:r>
          </w:p>
          <w:p w14:paraId="43607EBD" w14:textId="77777777" w:rsidR="00C45D59" w:rsidRDefault="009B0962" w:rsidP="004048D3">
            <w:pPr>
              <w:pStyle w:val="P68B1DB1-Normal12"/>
              <w:numPr>
                <w:ilvl w:val="0"/>
                <w:numId w:val="38"/>
              </w:numPr>
              <w:spacing w:before="120" w:after="160" w:line="259" w:lineRule="auto"/>
              <w:ind w:left="220" w:hanging="169"/>
              <w:contextualSpacing/>
              <w:jc w:val="both"/>
              <w:rPr>
                <w:rFonts w:eastAsia="Times New Roman"/>
                <w:noProof/>
              </w:rPr>
            </w:pPr>
            <w:r>
              <w:rPr>
                <w:noProof/>
              </w:rPr>
              <w:t>Subproiectul nr. 1: Digitalizarea arhivelor sistemului judiciar</w:t>
            </w:r>
          </w:p>
          <w:p w14:paraId="67EAE72F" w14:textId="77777777" w:rsidR="00C45D59" w:rsidRDefault="009B0962" w:rsidP="004048D3">
            <w:pPr>
              <w:pStyle w:val="P68B1DB1-Normal12"/>
              <w:numPr>
                <w:ilvl w:val="0"/>
                <w:numId w:val="38"/>
              </w:numPr>
              <w:spacing w:before="120" w:after="0" w:line="259" w:lineRule="auto"/>
              <w:ind w:left="220" w:hanging="169"/>
              <w:contextualSpacing/>
              <w:jc w:val="both"/>
              <w:rPr>
                <w:rFonts w:eastAsia="Times New Roman"/>
                <w:noProof/>
              </w:rPr>
            </w:pPr>
            <w:r>
              <w:rPr>
                <w:noProof/>
              </w:rPr>
              <w:t>Subproiectul nr. 2: Digitalizarea arhivelor sistemului de sănătate publică</w:t>
            </w:r>
          </w:p>
          <w:p w14:paraId="39B3DDB3" w14:textId="77777777" w:rsidR="00C45D59" w:rsidRDefault="009B0962" w:rsidP="004048D3">
            <w:pPr>
              <w:pStyle w:val="P68B1DB1-Normal12"/>
              <w:numPr>
                <w:ilvl w:val="0"/>
                <w:numId w:val="38"/>
              </w:numPr>
              <w:spacing w:before="120" w:after="0" w:line="259" w:lineRule="auto"/>
              <w:ind w:left="220" w:hanging="169"/>
              <w:contextualSpacing/>
              <w:jc w:val="both"/>
              <w:rPr>
                <w:rFonts w:eastAsia="Times New Roman"/>
                <w:noProof/>
              </w:rPr>
            </w:pPr>
            <w:r>
              <w:rPr>
                <w:noProof/>
              </w:rPr>
              <w:t>Subproiectul nr. 3: Digitalizarea Arhivelor Generale ale Statului</w:t>
            </w:r>
          </w:p>
          <w:p w14:paraId="444CFDE2" w14:textId="77777777" w:rsidR="00C45D59" w:rsidRDefault="009B0962" w:rsidP="004048D3">
            <w:pPr>
              <w:pStyle w:val="P68B1DB1-Normal12"/>
              <w:numPr>
                <w:ilvl w:val="0"/>
                <w:numId w:val="38"/>
              </w:numPr>
              <w:spacing w:before="120" w:after="0" w:line="259" w:lineRule="auto"/>
              <w:ind w:left="220" w:hanging="169"/>
              <w:contextualSpacing/>
              <w:jc w:val="both"/>
              <w:rPr>
                <w:rFonts w:eastAsia="Times New Roman"/>
                <w:noProof/>
              </w:rPr>
            </w:pPr>
            <w:r>
              <w:rPr>
                <w:noProof/>
              </w:rPr>
              <w:t>Subproiectul nr. 4: Digitalizarea arhivelor sistemului de imigrație și azil</w:t>
            </w:r>
          </w:p>
          <w:p w14:paraId="58B4A97B" w14:textId="77777777" w:rsidR="00C45D59" w:rsidRDefault="009B0962" w:rsidP="004048D3">
            <w:pPr>
              <w:pStyle w:val="P68B1DB1-Normal12"/>
              <w:numPr>
                <w:ilvl w:val="0"/>
                <w:numId w:val="38"/>
              </w:numPr>
              <w:spacing w:before="120" w:after="0" w:line="259" w:lineRule="auto"/>
              <w:ind w:left="220" w:hanging="169"/>
              <w:contextualSpacing/>
              <w:jc w:val="both"/>
              <w:rPr>
                <w:rFonts w:eastAsia="Times New Roman"/>
                <w:noProof/>
              </w:rPr>
            </w:pPr>
            <w:r>
              <w:rPr>
                <w:noProof/>
              </w:rPr>
              <w:t>Subproiectul nr. 5: Digitalizarea arhivelor exproprierilor</w:t>
            </w:r>
          </w:p>
          <w:p w14:paraId="25D6C07B" w14:textId="77777777" w:rsidR="00C45D59" w:rsidRDefault="009B0962" w:rsidP="004048D3">
            <w:pPr>
              <w:pStyle w:val="P68B1DB1-Normal12"/>
              <w:numPr>
                <w:ilvl w:val="0"/>
                <w:numId w:val="38"/>
              </w:numPr>
              <w:spacing w:before="120" w:after="0" w:line="259" w:lineRule="auto"/>
              <w:ind w:left="220" w:hanging="169"/>
              <w:contextualSpacing/>
              <w:jc w:val="both"/>
              <w:rPr>
                <w:rFonts w:eastAsia="Times New Roman"/>
                <w:noProof/>
              </w:rPr>
            </w:pPr>
            <w:r>
              <w:rPr>
                <w:noProof/>
              </w:rPr>
              <w:t>Subproiectul nr. 6: Digitalizarea arhivelor agențiilor de urbanism</w:t>
            </w:r>
          </w:p>
          <w:p w14:paraId="3AA2FEA2" w14:textId="77777777" w:rsidR="00C45D59" w:rsidRDefault="009B0962" w:rsidP="004048D3">
            <w:pPr>
              <w:pStyle w:val="P68B1DB1-Normal12"/>
              <w:numPr>
                <w:ilvl w:val="0"/>
                <w:numId w:val="38"/>
              </w:numPr>
              <w:spacing w:before="120" w:after="0" w:line="259" w:lineRule="auto"/>
              <w:ind w:left="220" w:hanging="169"/>
              <w:contextualSpacing/>
              <w:jc w:val="both"/>
              <w:rPr>
                <w:rFonts w:eastAsia="Times New Roman"/>
                <w:noProof/>
              </w:rPr>
            </w:pPr>
            <w:r>
              <w:rPr>
                <w:noProof/>
              </w:rPr>
              <w:t>Subproiectul 7A – Digitalizarea arhivelor cadastrului (Ktimatologio)</w:t>
            </w:r>
          </w:p>
          <w:p w14:paraId="1A0F5F6D" w14:textId="77777777" w:rsidR="00C45D59" w:rsidRDefault="009B0962" w:rsidP="004048D3">
            <w:pPr>
              <w:pStyle w:val="P68B1DB1-Normal12"/>
              <w:numPr>
                <w:ilvl w:val="0"/>
                <w:numId w:val="38"/>
              </w:numPr>
              <w:spacing w:before="120" w:after="0" w:line="259" w:lineRule="auto"/>
              <w:ind w:left="220" w:hanging="169"/>
              <w:contextualSpacing/>
              <w:jc w:val="both"/>
              <w:rPr>
                <w:rFonts w:eastAsia="Times New Roman"/>
                <w:noProof/>
              </w:rPr>
            </w:pPr>
            <w:r>
              <w:rPr>
                <w:noProof/>
              </w:rPr>
              <w:t>Subproiectul 7B – Servicii digitale îmbunătățite de cadastru</w:t>
            </w:r>
          </w:p>
          <w:p w14:paraId="5ACC9284" w14:textId="77777777" w:rsidR="00C45D59" w:rsidRDefault="009B0962" w:rsidP="004048D3">
            <w:pPr>
              <w:pStyle w:val="P68B1DB1-Normal12"/>
              <w:numPr>
                <w:ilvl w:val="0"/>
                <w:numId w:val="38"/>
              </w:numPr>
              <w:spacing w:before="120" w:after="0" w:line="259" w:lineRule="auto"/>
              <w:ind w:left="220" w:hanging="169"/>
              <w:contextualSpacing/>
              <w:jc w:val="both"/>
              <w:rPr>
                <w:rFonts w:eastAsia="Times New Roman"/>
                <w:noProof/>
              </w:rPr>
            </w:pPr>
            <w:r>
              <w:rPr>
                <w:noProof/>
              </w:rPr>
              <w:t>Subproiectul 8 – Digitalizarea arhivelor maritime</w:t>
            </w:r>
          </w:p>
          <w:p w14:paraId="751DBB73" w14:textId="77777777" w:rsidR="00C45D59" w:rsidRDefault="009B0962" w:rsidP="004048D3">
            <w:pPr>
              <w:pStyle w:val="P68B1DB1-Normal12"/>
              <w:numPr>
                <w:ilvl w:val="0"/>
                <w:numId w:val="38"/>
              </w:numPr>
              <w:spacing w:before="120" w:after="0" w:line="259" w:lineRule="auto"/>
              <w:ind w:left="220" w:hanging="169"/>
              <w:contextualSpacing/>
              <w:jc w:val="both"/>
              <w:rPr>
                <w:rFonts w:eastAsia="Times New Roman"/>
                <w:noProof/>
              </w:rPr>
            </w:pPr>
            <w:r>
              <w:rPr>
                <w:noProof/>
              </w:rPr>
              <w:t>Subproiectul nr. 9: Depozitarea în condiții de siguranță a resurselor din sectorul public și din sectorul public „extins”</w:t>
            </w:r>
          </w:p>
          <w:p w14:paraId="10AD2164" w14:textId="77777777" w:rsidR="00C45D59" w:rsidRDefault="009B0962" w:rsidP="004048D3">
            <w:pPr>
              <w:pStyle w:val="P68B1DB1-Normal12"/>
              <w:spacing w:after="0" w:line="240" w:lineRule="auto"/>
              <w:rPr>
                <w:rFonts w:eastAsia="Times New Roman"/>
                <w:noProof/>
              </w:rPr>
            </w:pPr>
            <w:r>
              <w:rPr>
                <w:noProof/>
              </w:rPr>
              <w:t xml:space="preserve">Specificațiile includ termene și obiective și detaliază, pentru fiecare dintre cele 9 subproiecte, următoarele: </w:t>
            </w:r>
          </w:p>
          <w:p w14:paraId="5CE6C17C" w14:textId="77777777" w:rsidR="00C45D59" w:rsidRDefault="009B0962" w:rsidP="004048D3">
            <w:pPr>
              <w:pStyle w:val="P68B1DB1-Normal12"/>
              <w:spacing w:after="0" w:line="240" w:lineRule="auto"/>
              <w:rPr>
                <w:rFonts w:eastAsia="Times New Roman"/>
                <w:noProof/>
              </w:rPr>
            </w:pPr>
            <w:r>
              <w:rPr>
                <w:noProof/>
              </w:rPr>
              <w:t xml:space="preserve">1. digitalizarea înregistrărilor fizice </w:t>
            </w:r>
          </w:p>
          <w:p w14:paraId="1B9988D1" w14:textId="77777777" w:rsidR="00C45D59" w:rsidRDefault="009B0962" w:rsidP="004048D3">
            <w:pPr>
              <w:pStyle w:val="P68B1DB1-Normal12"/>
              <w:spacing w:after="0" w:line="240" w:lineRule="auto"/>
              <w:rPr>
                <w:rFonts w:eastAsia="Times New Roman"/>
                <w:noProof/>
              </w:rPr>
            </w:pPr>
            <w:r>
              <w:rPr>
                <w:noProof/>
              </w:rPr>
              <w:t>2. migrarea înregistrărilor digitale în sistemele existente (inclusiv dosarele de justiție în OSDDY-PP/OSDDY-DD; titluri de proprietate în sistemul informatic al Registrului funciar național)</w:t>
            </w:r>
          </w:p>
          <w:p w14:paraId="6C227A70" w14:textId="77777777" w:rsidR="00C45D59" w:rsidRDefault="009B0962" w:rsidP="004048D3">
            <w:pPr>
              <w:pStyle w:val="P68B1DB1-Normal12"/>
              <w:spacing w:after="0" w:line="240" w:lineRule="auto"/>
              <w:rPr>
                <w:rFonts w:eastAsia="Times New Roman"/>
                <w:noProof/>
              </w:rPr>
            </w:pPr>
            <w:r>
              <w:rPr>
                <w:noProof/>
              </w:rPr>
              <w:t>3. analiza, proiectarea și implementarea centrelor de date și a infrastructurii situate în cadrul agențiilor locale, împreună cu interfața unică adecvată (inclusiv registrul central pentru evidențele pacienților; Sistemul integrat de informații geografice al hărții digitale unificate a creditelor și creanțelor pentru exproprieri; Sistemul de gestionare a documentelor &amp; fișierelor digitale (DMS/DAS) pentru înregistrările cadastrale; instalarea software-ului de gestionare a arhivelor).</w:t>
            </w:r>
          </w:p>
          <w:p w14:paraId="01C00397" w14:textId="77777777" w:rsidR="00C45D59" w:rsidRDefault="009B0962" w:rsidP="004048D3">
            <w:pPr>
              <w:pStyle w:val="P68B1DB1-Normal12"/>
              <w:spacing w:after="0" w:line="240" w:lineRule="auto"/>
              <w:rPr>
                <w:rFonts w:eastAsia="Times New Roman"/>
                <w:noProof/>
              </w:rPr>
            </w:pPr>
            <w:r>
              <w:rPr>
                <w:noProof/>
              </w:rPr>
              <w:t>4. servicii de asistență (inclusiv noi servicii electronice legate de căutarea și recuperarea fișierelor pentru cetățeni; administrația publică; cercetători pentru Arhivele de Stat).</w:t>
            </w:r>
          </w:p>
        </w:tc>
      </w:tr>
      <w:tr w:rsidR="00C45D59" w14:paraId="3D0FAA0A" w14:textId="77777777" w:rsidTr="004048D3">
        <w:trPr>
          <w:trHeight w:val="309"/>
        </w:trPr>
        <w:tc>
          <w:tcPr>
            <w:tcW w:w="562" w:type="dxa"/>
            <w:shd w:val="clear" w:color="auto" w:fill="C6EFCE"/>
            <w:noWrap/>
            <w:hideMark/>
          </w:tcPr>
          <w:p w14:paraId="161559E6" w14:textId="77777777" w:rsidR="00C45D59" w:rsidRDefault="009B0962" w:rsidP="004048D3">
            <w:pPr>
              <w:pStyle w:val="P68B1DB1-Normal12"/>
              <w:spacing w:after="0" w:line="240" w:lineRule="auto"/>
              <w:rPr>
                <w:rFonts w:eastAsia="Times New Roman"/>
                <w:noProof/>
              </w:rPr>
            </w:pPr>
            <w:r>
              <w:rPr>
                <w:noProof/>
              </w:rPr>
              <w:t>95</w:t>
            </w:r>
          </w:p>
        </w:tc>
        <w:tc>
          <w:tcPr>
            <w:tcW w:w="1985" w:type="dxa"/>
            <w:shd w:val="clear" w:color="auto" w:fill="C6EFCE"/>
            <w:noWrap/>
            <w:hideMark/>
          </w:tcPr>
          <w:p w14:paraId="4C2689FF" w14:textId="77777777" w:rsidR="00C45D59" w:rsidRDefault="009B0962" w:rsidP="004048D3">
            <w:pPr>
              <w:pStyle w:val="P68B1DB1-Normal12"/>
              <w:spacing w:after="0" w:line="240" w:lineRule="auto"/>
              <w:rPr>
                <w:rFonts w:eastAsia="Times New Roman"/>
                <w:noProof/>
              </w:rPr>
            </w:pPr>
            <w:r>
              <w:rPr>
                <w:noProof/>
              </w:rPr>
              <w:t>6-2.2. Modernizare – 16778_Digitalizarea arhivelor și a serviciilor conexe</w:t>
            </w:r>
          </w:p>
        </w:tc>
        <w:tc>
          <w:tcPr>
            <w:tcW w:w="1092" w:type="dxa"/>
            <w:shd w:val="clear" w:color="auto" w:fill="C6EFCE"/>
            <w:noWrap/>
            <w:hideMark/>
          </w:tcPr>
          <w:p w14:paraId="7D88D360" w14:textId="77777777" w:rsidR="00C45D59" w:rsidRDefault="009B0962" w:rsidP="004048D3">
            <w:pPr>
              <w:pStyle w:val="P68B1DB1-Normal12"/>
              <w:spacing w:after="0" w:line="240" w:lineRule="auto"/>
              <w:rPr>
                <w:rFonts w:eastAsia="Times New Roman"/>
                <w:noProof/>
              </w:rPr>
            </w:pPr>
            <w:r>
              <w:rPr>
                <w:noProof/>
              </w:rPr>
              <w:t>Etapă</w:t>
            </w:r>
          </w:p>
        </w:tc>
        <w:tc>
          <w:tcPr>
            <w:tcW w:w="1601" w:type="dxa"/>
            <w:shd w:val="clear" w:color="auto" w:fill="C6EFCE"/>
            <w:noWrap/>
            <w:hideMark/>
          </w:tcPr>
          <w:p w14:paraId="0521FE9E" w14:textId="77777777" w:rsidR="00C45D59" w:rsidRDefault="009B0962" w:rsidP="004048D3">
            <w:pPr>
              <w:pStyle w:val="P68B1DB1-Normal12"/>
              <w:spacing w:after="0" w:line="240" w:lineRule="auto"/>
              <w:rPr>
                <w:rFonts w:eastAsia="Times New Roman"/>
                <w:noProof/>
              </w:rPr>
            </w:pPr>
            <w:r>
              <w:rPr>
                <w:noProof/>
              </w:rPr>
              <w:t>Digitalizarea arhivelor</w:t>
            </w:r>
          </w:p>
        </w:tc>
        <w:tc>
          <w:tcPr>
            <w:tcW w:w="1715" w:type="dxa"/>
            <w:shd w:val="clear" w:color="auto" w:fill="C6EFCE"/>
            <w:noWrap/>
            <w:hideMark/>
          </w:tcPr>
          <w:p w14:paraId="0431A6E1" w14:textId="77777777" w:rsidR="00C45D59" w:rsidRDefault="009B0962" w:rsidP="004048D3">
            <w:pPr>
              <w:pStyle w:val="P68B1DB1-Normal12"/>
              <w:spacing w:after="0" w:line="240" w:lineRule="auto"/>
              <w:rPr>
                <w:rFonts w:eastAsia="Times New Roman"/>
                <w:noProof/>
              </w:rPr>
            </w:pPr>
            <w:r>
              <w:rPr>
                <w:noProof/>
              </w:rPr>
              <w:t>Digitalizarea, metadatele și migrarea arhivelor în sistemele existente și realizarea proiectului pentru „Servicii digitale de cadastru” și a proiectului pentru „Stocarea securizată a arhivelor din sectorul public și din sectorul public în sens larg”</w:t>
            </w:r>
          </w:p>
        </w:tc>
        <w:tc>
          <w:tcPr>
            <w:tcW w:w="1200" w:type="dxa"/>
            <w:shd w:val="clear" w:color="auto" w:fill="C6EFCE"/>
            <w:noWrap/>
            <w:hideMark/>
          </w:tcPr>
          <w:p w14:paraId="7FDBB10B" w14:textId="77777777" w:rsidR="00C45D59" w:rsidRDefault="00C45D59" w:rsidP="004048D3">
            <w:pPr>
              <w:spacing w:after="0" w:line="240" w:lineRule="auto"/>
              <w:rPr>
                <w:rFonts w:ascii="Times New Roman" w:eastAsia="Times New Roman" w:hAnsi="Times New Roman" w:cs="Times New Roman"/>
                <w:noProof/>
                <w:color w:val="006100"/>
                <w:sz w:val="18"/>
                <w:szCs w:val="18"/>
              </w:rPr>
            </w:pPr>
          </w:p>
        </w:tc>
        <w:tc>
          <w:tcPr>
            <w:tcW w:w="1080" w:type="dxa"/>
            <w:shd w:val="clear" w:color="auto" w:fill="C6EFCE"/>
            <w:noWrap/>
            <w:hideMark/>
          </w:tcPr>
          <w:p w14:paraId="2A23F2C0" w14:textId="77777777" w:rsidR="00C45D59" w:rsidRDefault="00C45D59" w:rsidP="004048D3">
            <w:pPr>
              <w:spacing w:after="0" w:line="240" w:lineRule="auto"/>
              <w:rPr>
                <w:rFonts w:ascii="Times New Roman" w:eastAsia="Times New Roman" w:hAnsi="Times New Roman" w:cs="Times New Roman"/>
                <w:noProof/>
                <w:color w:val="006100"/>
                <w:sz w:val="18"/>
                <w:szCs w:val="18"/>
              </w:rPr>
            </w:pPr>
          </w:p>
        </w:tc>
        <w:tc>
          <w:tcPr>
            <w:tcW w:w="960" w:type="dxa"/>
            <w:shd w:val="clear" w:color="auto" w:fill="C6EFCE"/>
            <w:noWrap/>
            <w:hideMark/>
          </w:tcPr>
          <w:p w14:paraId="40247E0D" w14:textId="77777777" w:rsidR="00C45D59" w:rsidRDefault="00C45D59" w:rsidP="004048D3">
            <w:pPr>
              <w:spacing w:after="0" w:line="240" w:lineRule="auto"/>
              <w:rPr>
                <w:rFonts w:ascii="Times New Roman" w:eastAsia="Times New Roman" w:hAnsi="Times New Roman" w:cs="Times New Roman"/>
                <w:noProof/>
                <w:color w:val="006100"/>
                <w:sz w:val="18"/>
                <w:szCs w:val="18"/>
              </w:rPr>
            </w:pPr>
          </w:p>
        </w:tc>
        <w:tc>
          <w:tcPr>
            <w:tcW w:w="960" w:type="dxa"/>
            <w:shd w:val="clear" w:color="auto" w:fill="C6EFCE"/>
            <w:noWrap/>
            <w:hideMark/>
          </w:tcPr>
          <w:p w14:paraId="53048B71" w14:textId="77777777" w:rsidR="00C45D59" w:rsidRDefault="009B0962" w:rsidP="004048D3">
            <w:pPr>
              <w:pStyle w:val="P68B1DB1-Normal12"/>
              <w:spacing w:after="0" w:line="240" w:lineRule="auto"/>
              <w:rPr>
                <w:rFonts w:eastAsia="Times New Roman"/>
                <w:noProof/>
              </w:rPr>
            </w:pPr>
            <w:r>
              <w:rPr>
                <w:noProof/>
              </w:rPr>
              <w:t>Î4</w:t>
            </w:r>
          </w:p>
        </w:tc>
        <w:tc>
          <w:tcPr>
            <w:tcW w:w="840" w:type="dxa"/>
            <w:shd w:val="clear" w:color="auto" w:fill="C6EFCE"/>
            <w:noWrap/>
            <w:hideMark/>
          </w:tcPr>
          <w:p w14:paraId="70665C45" w14:textId="77777777" w:rsidR="00C45D59" w:rsidRDefault="009B0962" w:rsidP="004048D3">
            <w:pPr>
              <w:pStyle w:val="P68B1DB1-Normal12"/>
              <w:spacing w:after="0" w:line="240" w:lineRule="auto"/>
              <w:rPr>
                <w:rFonts w:eastAsia="Times New Roman"/>
                <w:noProof/>
              </w:rPr>
            </w:pPr>
            <w:r>
              <w:rPr>
                <w:noProof/>
              </w:rPr>
              <w:t>2025</w:t>
            </w:r>
          </w:p>
        </w:tc>
        <w:tc>
          <w:tcPr>
            <w:tcW w:w="3593" w:type="dxa"/>
            <w:shd w:val="clear" w:color="auto" w:fill="C6EFCE"/>
            <w:noWrap/>
            <w:hideMark/>
          </w:tcPr>
          <w:p w14:paraId="21EEA453" w14:textId="77777777" w:rsidR="00C45D59" w:rsidRDefault="009B0962" w:rsidP="004048D3">
            <w:pPr>
              <w:pStyle w:val="P68B1DB1-Normal12"/>
              <w:spacing w:after="0" w:line="240" w:lineRule="auto"/>
              <w:rPr>
                <w:noProof/>
              </w:rPr>
            </w:pPr>
            <w:r>
              <w:rPr>
                <w:noProof/>
              </w:rPr>
              <w:t xml:space="preserve">Digitalizarea, inclusiv metadatele, și migrarea către sistemele existente, de cel puțin 1 035 000 000 de pagini. </w:t>
            </w:r>
          </w:p>
          <w:p w14:paraId="5B22D54C" w14:textId="77777777" w:rsidR="00C45D59" w:rsidRDefault="00C45D59" w:rsidP="004048D3">
            <w:pPr>
              <w:spacing w:after="0" w:line="240" w:lineRule="auto"/>
              <w:rPr>
                <w:rFonts w:ascii="Times New Roman" w:hAnsi="Times New Roman" w:cs="Times New Roman"/>
                <w:noProof/>
                <w:color w:val="006100"/>
                <w:sz w:val="18"/>
                <w:szCs w:val="18"/>
              </w:rPr>
            </w:pPr>
          </w:p>
          <w:p w14:paraId="40B363FD" w14:textId="25FF0840" w:rsidR="00C45D59" w:rsidRDefault="009B0962" w:rsidP="004048D3">
            <w:pPr>
              <w:pStyle w:val="P68B1DB1-Normal12"/>
              <w:spacing w:after="0" w:line="240" w:lineRule="auto"/>
              <w:rPr>
                <w:rFonts w:eastAsia="Times New Roman"/>
                <w:noProof/>
              </w:rPr>
            </w:pPr>
            <w:r>
              <w:rPr>
                <w:noProof/>
              </w:rPr>
              <w:t>Livrarea subproiectului „Servicii digitale îmbunătățite de cadastru” pentru digitalizarea serviciilor oferite de cadastrul elen și a subproiectului „Stocarea în condiții de siguranță a arhivelor din sectorul public și a arhivelor din sectorul public în sens mai larg” pentru stocarea în condiții de siguranță a fișierelor fizice în alte arhive din sectorul public. </w:t>
            </w:r>
          </w:p>
        </w:tc>
      </w:tr>
    </w:tbl>
    <w:p w14:paraId="1CFB2644" w14:textId="0010AF23" w:rsidR="00C45D59" w:rsidRDefault="004048D3">
      <w:pPr>
        <w:spacing w:before="120" w:after="120" w:line="240" w:lineRule="auto"/>
        <w:ind w:left="709"/>
        <w:jc w:val="both"/>
        <w:rPr>
          <w:rFonts w:ascii="Times New Roman" w:hAnsi="Times New Roman" w:cs="Times New Roman"/>
          <w:noProof/>
          <w:sz w:val="24"/>
          <w:szCs w:val="24"/>
        </w:rPr>
      </w:pPr>
      <w:r>
        <w:rPr>
          <w:rFonts w:ascii="Times New Roman" w:hAnsi="Times New Roman" w:cs="Times New Roman"/>
          <w:noProof/>
          <w:sz w:val="24"/>
          <w:szCs w:val="24"/>
        </w:rPr>
        <w:br w:type="textWrapping" w:clear="all"/>
      </w:r>
    </w:p>
    <w:p w14:paraId="69F7B001" w14:textId="61374A27" w:rsidR="00C45D59" w:rsidRDefault="009B0962">
      <w:pPr>
        <w:rPr>
          <w:rFonts w:ascii="Cambria" w:eastAsia="Times New Roman" w:hAnsi="Cambria"/>
          <w:noProof/>
          <w:color w:val="365F91"/>
          <w:sz w:val="24"/>
        </w:rPr>
      </w:pPr>
      <w:r>
        <w:rPr>
          <w:noProof/>
        </w:rPr>
        <w:br w:type="page"/>
      </w:r>
      <w:r>
        <w:rPr>
          <w:rFonts w:ascii="Cambria" w:hAnsi="Cambria"/>
          <w:noProof/>
          <w:color w:val="365F91"/>
          <w:sz w:val="24"/>
        </w:rPr>
        <w:t>Reforma cheie 5: Către servicii orientate către client ale administrației publice prin simplificarea și îmbunătățirea proceselor – Interconectarea și interoperabilitatea registrelor, sistemelor și serviciilor</w:t>
      </w:r>
    </w:p>
    <w:tbl>
      <w:tblPr>
        <w:tblpPr w:leftFromText="180" w:rightFromText="180" w:vertAnchor="text" w:tblpY="1"/>
        <w:tblOverlap w:val="never"/>
        <w:tblW w:w="16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
        <w:gridCol w:w="2866"/>
        <w:gridCol w:w="1105"/>
        <w:gridCol w:w="1383"/>
        <w:gridCol w:w="1701"/>
        <w:gridCol w:w="992"/>
        <w:gridCol w:w="992"/>
        <w:gridCol w:w="851"/>
        <w:gridCol w:w="992"/>
        <w:gridCol w:w="723"/>
        <w:gridCol w:w="3989"/>
      </w:tblGrid>
      <w:tr w:rsidR="00C45D59" w14:paraId="2DE1B445" w14:textId="77777777" w:rsidTr="004048D3">
        <w:trPr>
          <w:trHeight w:val="939"/>
          <w:tblHeader/>
        </w:trPr>
        <w:tc>
          <w:tcPr>
            <w:tcW w:w="708" w:type="dxa"/>
            <w:vMerge w:val="restart"/>
            <w:shd w:val="clear" w:color="auto" w:fill="BDD7EE"/>
            <w:vAlign w:val="center"/>
            <w:hideMark/>
          </w:tcPr>
          <w:p w14:paraId="5E280422" w14:textId="535924C4" w:rsidR="00C45D59" w:rsidRDefault="009B0962" w:rsidP="004048D3">
            <w:pPr>
              <w:pStyle w:val="P68B1DB1-Normal10"/>
              <w:spacing w:after="0" w:line="240" w:lineRule="auto"/>
              <w:jc w:val="center"/>
              <w:rPr>
                <w:rFonts w:eastAsia="Times New Roman" w:cs="Times New Roman"/>
                <w:bCs/>
                <w:noProof/>
                <w:szCs w:val="18"/>
              </w:rPr>
            </w:pPr>
            <w:r>
              <w:rPr>
                <w:noProof/>
              </w:rPr>
              <w:t>Nr</w:t>
            </w:r>
            <w:r w:rsidR="004048D3">
              <w:rPr>
                <w:noProof/>
              </w:rPr>
              <w:t>.</w:t>
            </w:r>
            <w:r>
              <w:rPr>
                <w:noProof/>
              </w:rPr>
              <w:t xml:space="preserve"> </w:t>
            </w:r>
            <w:r w:rsidR="004048D3">
              <w:rPr>
                <w:noProof/>
              </w:rPr>
              <w:t>crt</w:t>
            </w:r>
            <w:r>
              <w:rPr>
                <w:noProof/>
              </w:rPr>
              <w:t>.</w:t>
            </w:r>
          </w:p>
        </w:tc>
        <w:tc>
          <w:tcPr>
            <w:tcW w:w="2866" w:type="dxa"/>
            <w:vMerge w:val="restart"/>
            <w:shd w:val="clear" w:color="auto" w:fill="BDD7EE"/>
            <w:vAlign w:val="center"/>
            <w:hideMark/>
          </w:tcPr>
          <w:p w14:paraId="40336A29" w14:textId="77777777" w:rsidR="00C45D59" w:rsidRDefault="009B0962" w:rsidP="004048D3">
            <w:pPr>
              <w:pStyle w:val="P68B1DB1-Normal10"/>
              <w:spacing w:after="0" w:line="240" w:lineRule="auto"/>
              <w:jc w:val="center"/>
              <w:rPr>
                <w:noProof/>
              </w:rPr>
            </w:pPr>
            <w:r>
              <w:rPr>
                <w:noProof/>
              </w:rPr>
              <w:t xml:space="preserve">Măsură conexă </w:t>
            </w:r>
          </w:p>
          <w:p w14:paraId="0F7C909F" w14:textId="77777777" w:rsidR="00C45D59" w:rsidRDefault="009B0962" w:rsidP="004048D3">
            <w:pPr>
              <w:pStyle w:val="P68B1DB1-Normal10"/>
              <w:spacing w:after="0" w:line="240" w:lineRule="auto"/>
              <w:jc w:val="center"/>
              <w:rPr>
                <w:rFonts w:eastAsia="Times New Roman" w:cs="Times New Roman"/>
                <w:bCs/>
                <w:noProof/>
                <w:szCs w:val="18"/>
              </w:rPr>
            </w:pPr>
            <w:r>
              <w:rPr>
                <w:noProof/>
              </w:rPr>
              <w:t>(Reformă sau investiție)</w:t>
            </w:r>
          </w:p>
        </w:tc>
        <w:tc>
          <w:tcPr>
            <w:tcW w:w="1105" w:type="dxa"/>
            <w:vMerge w:val="restart"/>
            <w:shd w:val="clear" w:color="auto" w:fill="BDD7EE"/>
            <w:vAlign w:val="center"/>
            <w:hideMark/>
          </w:tcPr>
          <w:p w14:paraId="38C4E28D" w14:textId="1DE45822" w:rsidR="00C45D59" w:rsidRDefault="009B0962" w:rsidP="004048D3">
            <w:pPr>
              <w:pStyle w:val="P68B1DB1-Normal10"/>
              <w:spacing w:after="0" w:line="240" w:lineRule="auto"/>
              <w:jc w:val="center"/>
              <w:rPr>
                <w:rFonts w:eastAsia="Times New Roman" w:cs="Times New Roman"/>
                <w:bCs/>
                <w:noProof/>
                <w:szCs w:val="18"/>
              </w:rPr>
            </w:pPr>
            <w:r>
              <w:rPr>
                <w:noProof/>
              </w:rPr>
              <w:t>Etapă/</w:t>
            </w:r>
            <w:r w:rsidR="004048D3">
              <w:rPr>
                <w:noProof/>
              </w:rPr>
              <w:t xml:space="preserve"> </w:t>
            </w:r>
            <w:r>
              <w:rPr>
                <w:noProof/>
              </w:rPr>
              <w:t>Obiectiv</w:t>
            </w:r>
          </w:p>
        </w:tc>
        <w:tc>
          <w:tcPr>
            <w:tcW w:w="1383" w:type="dxa"/>
            <w:vMerge w:val="restart"/>
            <w:shd w:val="clear" w:color="auto" w:fill="BDD7EE"/>
            <w:vAlign w:val="center"/>
            <w:hideMark/>
          </w:tcPr>
          <w:p w14:paraId="74341D4D" w14:textId="1A21B17C" w:rsidR="00C45D59" w:rsidRDefault="004048D3" w:rsidP="004048D3">
            <w:pPr>
              <w:pStyle w:val="P68B1DB1-Normal10"/>
              <w:spacing w:after="0" w:line="240" w:lineRule="auto"/>
              <w:jc w:val="center"/>
              <w:rPr>
                <w:rFonts w:eastAsia="Times New Roman" w:cs="Times New Roman"/>
                <w:bCs/>
                <w:noProof/>
                <w:szCs w:val="18"/>
              </w:rPr>
            </w:pPr>
            <w:r>
              <w:rPr>
                <w:noProof/>
              </w:rPr>
              <w:t>Denumire</w:t>
            </w:r>
          </w:p>
        </w:tc>
        <w:tc>
          <w:tcPr>
            <w:tcW w:w="1701" w:type="dxa"/>
            <w:vMerge w:val="restart"/>
            <w:shd w:val="clear" w:color="auto" w:fill="BDD7EE"/>
            <w:vAlign w:val="center"/>
            <w:hideMark/>
          </w:tcPr>
          <w:p w14:paraId="0E550A43" w14:textId="77777777" w:rsidR="00C45D59" w:rsidRDefault="009B0962" w:rsidP="004048D3">
            <w:pPr>
              <w:pStyle w:val="P68B1DB1-Normal10"/>
              <w:spacing w:after="0" w:line="240" w:lineRule="auto"/>
              <w:jc w:val="center"/>
              <w:rPr>
                <w:rFonts w:eastAsia="Times New Roman" w:cs="Times New Roman"/>
                <w:bCs/>
                <w:noProof/>
                <w:szCs w:val="18"/>
              </w:rPr>
            </w:pPr>
            <w:r>
              <w:rPr>
                <w:noProof/>
              </w:rPr>
              <w:t>Indicatori calitativi (pentru obiectivele de etapă)</w:t>
            </w:r>
          </w:p>
        </w:tc>
        <w:tc>
          <w:tcPr>
            <w:tcW w:w="2835" w:type="dxa"/>
            <w:gridSpan w:val="3"/>
            <w:shd w:val="clear" w:color="auto" w:fill="BDD7EE"/>
            <w:vAlign w:val="center"/>
            <w:hideMark/>
          </w:tcPr>
          <w:p w14:paraId="6F776668" w14:textId="77777777" w:rsidR="00C45D59" w:rsidRDefault="009B0962" w:rsidP="004048D3">
            <w:pPr>
              <w:pStyle w:val="P68B1DB1-Normal10"/>
              <w:spacing w:after="0" w:line="240" w:lineRule="auto"/>
              <w:jc w:val="center"/>
              <w:rPr>
                <w:rFonts w:eastAsia="Times New Roman" w:cs="Times New Roman"/>
                <w:bCs/>
                <w:noProof/>
                <w:szCs w:val="18"/>
              </w:rPr>
            </w:pPr>
            <w:r>
              <w:rPr>
                <w:noProof/>
              </w:rPr>
              <w:t>Indicatori cantitativi (pentru ținte)</w:t>
            </w:r>
          </w:p>
        </w:tc>
        <w:tc>
          <w:tcPr>
            <w:tcW w:w="1715" w:type="dxa"/>
            <w:gridSpan w:val="2"/>
            <w:shd w:val="clear" w:color="auto" w:fill="BDD7EE"/>
            <w:vAlign w:val="center"/>
            <w:hideMark/>
          </w:tcPr>
          <w:p w14:paraId="52A09B37" w14:textId="77777777" w:rsidR="00C45D59" w:rsidRDefault="009B0962" w:rsidP="004048D3">
            <w:pPr>
              <w:pStyle w:val="P68B1DB1-Normal10"/>
              <w:spacing w:after="0" w:line="240" w:lineRule="auto"/>
              <w:jc w:val="center"/>
              <w:rPr>
                <w:rFonts w:eastAsia="Times New Roman" w:cs="Times New Roman"/>
                <w:bCs/>
                <w:noProof/>
                <w:szCs w:val="18"/>
              </w:rPr>
            </w:pPr>
            <w:r>
              <w:rPr>
                <w:noProof/>
              </w:rPr>
              <w:t xml:space="preserve">Calendar orientativ pentru finalizare </w:t>
            </w:r>
          </w:p>
        </w:tc>
        <w:tc>
          <w:tcPr>
            <w:tcW w:w="3989" w:type="dxa"/>
            <w:vMerge w:val="restart"/>
            <w:shd w:val="clear" w:color="auto" w:fill="BDD7EE"/>
            <w:vAlign w:val="center"/>
            <w:hideMark/>
          </w:tcPr>
          <w:p w14:paraId="766F7B7F" w14:textId="77777777" w:rsidR="00C45D59" w:rsidRDefault="009B0962" w:rsidP="004048D3">
            <w:pPr>
              <w:pStyle w:val="P68B1DB1-Normal10"/>
              <w:spacing w:after="0" w:line="240" w:lineRule="auto"/>
              <w:jc w:val="center"/>
              <w:rPr>
                <w:rFonts w:eastAsia="Times New Roman" w:cs="Times New Roman"/>
                <w:bCs/>
                <w:noProof/>
                <w:szCs w:val="18"/>
              </w:rPr>
            </w:pPr>
            <w:r>
              <w:rPr>
                <w:noProof/>
              </w:rPr>
              <w:t>Descrierea fiecărui jalon și a fiecărei ținte</w:t>
            </w:r>
          </w:p>
        </w:tc>
      </w:tr>
      <w:tr w:rsidR="00C45D59" w14:paraId="41122DA6" w14:textId="77777777" w:rsidTr="004048D3">
        <w:trPr>
          <w:trHeight w:val="612"/>
          <w:tblHeader/>
        </w:trPr>
        <w:tc>
          <w:tcPr>
            <w:tcW w:w="708" w:type="dxa"/>
            <w:vMerge/>
            <w:vAlign w:val="center"/>
            <w:hideMark/>
          </w:tcPr>
          <w:p w14:paraId="46CD7BBB" w14:textId="77777777" w:rsidR="00C45D59" w:rsidRDefault="00C45D59" w:rsidP="004048D3">
            <w:pPr>
              <w:spacing w:after="0" w:line="240" w:lineRule="auto"/>
              <w:rPr>
                <w:rFonts w:ascii="Times New Roman" w:eastAsia="Times New Roman" w:hAnsi="Times New Roman" w:cs="Times New Roman"/>
                <w:b/>
                <w:bCs/>
                <w:noProof/>
                <w:sz w:val="18"/>
                <w:szCs w:val="18"/>
              </w:rPr>
            </w:pPr>
          </w:p>
        </w:tc>
        <w:tc>
          <w:tcPr>
            <w:tcW w:w="2866" w:type="dxa"/>
            <w:vMerge/>
            <w:vAlign w:val="center"/>
            <w:hideMark/>
          </w:tcPr>
          <w:p w14:paraId="54108568" w14:textId="77777777" w:rsidR="00C45D59" w:rsidRDefault="00C45D59" w:rsidP="004048D3">
            <w:pPr>
              <w:spacing w:after="0" w:line="240" w:lineRule="auto"/>
              <w:rPr>
                <w:rFonts w:ascii="Times New Roman" w:eastAsia="Times New Roman" w:hAnsi="Times New Roman" w:cs="Times New Roman"/>
                <w:b/>
                <w:bCs/>
                <w:noProof/>
                <w:sz w:val="18"/>
                <w:szCs w:val="18"/>
              </w:rPr>
            </w:pPr>
          </w:p>
        </w:tc>
        <w:tc>
          <w:tcPr>
            <w:tcW w:w="1105" w:type="dxa"/>
            <w:vMerge/>
            <w:vAlign w:val="center"/>
            <w:hideMark/>
          </w:tcPr>
          <w:p w14:paraId="18DAC3C5" w14:textId="77777777" w:rsidR="00C45D59" w:rsidRDefault="00C45D59" w:rsidP="004048D3">
            <w:pPr>
              <w:spacing w:after="0" w:line="240" w:lineRule="auto"/>
              <w:rPr>
                <w:rFonts w:ascii="Times New Roman" w:eastAsia="Times New Roman" w:hAnsi="Times New Roman" w:cs="Times New Roman"/>
                <w:b/>
                <w:bCs/>
                <w:noProof/>
                <w:sz w:val="18"/>
                <w:szCs w:val="18"/>
              </w:rPr>
            </w:pPr>
          </w:p>
        </w:tc>
        <w:tc>
          <w:tcPr>
            <w:tcW w:w="1383" w:type="dxa"/>
            <w:vMerge/>
            <w:vAlign w:val="center"/>
            <w:hideMark/>
          </w:tcPr>
          <w:p w14:paraId="1B952001" w14:textId="77777777" w:rsidR="00C45D59" w:rsidRDefault="00C45D59" w:rsidP="004048D3">
            <w:pPr>
              <w:spacing w:after="0" w:line="240" w:lineRule="auto"/>
              <w:rPr>
                <w:rFonts w:ascii="Times New Roman" w:eastAsia="Times New Roman" w:hAnsi="Times New Roman" w:cs="Times New Roman"/>
                <w:b/>
                <w:bCs/>
                <w:noProof/>
                <w:sz w:val="18"/>
                <w:szCs w:val="18"/>
              </w:rPr>
            </w:pPr>
          </w:p>
        </w:tc>
        <w:tc>
          <w:tcPr>
            <w:tcW w:w="1701" w:type="dxa"/>
            <w:vMerge/>
            <w:vAlign w:val="center"/>
            <w:hideMark/>
          </w:tcPr>
          <w:p w14:paraId="42F98C1F" w14:textId="77777777" w:rsidR="00C45D59" w:rsidRDefault="00C45D59" w:rsidP="004048D3">
            <w:pPr>
              <w:spacing w:after="0" w:line="240" w:lineRule="auto"/>
              <w:rPr>
                <w:rFonts w:ascii="Times New Roman" w:eastAsia="Times New Roman" w:hAnsi="Times New Roman" w:cs="Times New Roman"/>
                <w:b/>
                <w:bCs/>
                <w:noProof/>
                <w:sz w:val="18"/>
                <w:szCs w:val="18"/>
              </w:rPr>
            </w:pPr>
          </w:p>
        </w:tc>
        <w:tc>
          <w:tcPr>
            <w:tcW w:w="992" w:type="dxa"/>
            <w:shd w:val="clear" w:color="auto" w:fill="BDD7EE"/>
            <w:vAlign w:val="center"/>
            <w:hideMark/>
          </w:tcPr>
          <w:p w14:paraId="7A815F38" w14:textId="77777777" w:rsidR="00C45D59" w:rsidRDefault="009B0962" w:rsidP="004048D3">
            <w:pPr>
              <w:pStyle w:val="P68B1DB1-Normal10"/>
              <w:spacing w:after="0" w:line="240" w:lineRule="auto"/>
              <w:jc w:val="center"/>
              <w:rPr>
                <w:rFonts w:eastAsia="Times New Roman" w:cs="Times New Roman"/>
                <w:bCs/>
                <w:noProof/>
                <w:szCs w:val="18"/>
              </w:rPr>
            </w:pPr>
            <w:r>
              <w:rPr>
                <w:noProof/>
              </w:rPr>
              <w:t>Unitatea de măsură</w:t>
            </w:r>
          </w:p>
        </w:tc>
        <w:tc>
          <w:tcPr>
            <w:tcW w:w="992" w:type="dxa"/>
            <w:shd w:val="clear" w:color="auto" w:fill="BDD7EE"/>
            <w:vAlign w:val="center"/>
          </w:tcPr>
          <w:p w14:paraId="502EDF01" w14:textId="77777777" w:rsidR="00C45D59" w:rsidRDefault="009B0962" w:rsidP="004048D3">
            <w:pPr>
              <w:pStyle w:val="P68B1DB1-Normal10"/>
              <w:spacing w:after="0" w:line="240" w:lineRule="auto"/>
              <w:jc w:val="center"/>
              <w:rPr>
                <w:rFonts w:eastAsia="Times New Roman" w:cs="Times New Roman"/>
                <w:bCs/>
                <w:noProof/>
                <w:szCs w:val="18"/>
              </w:rPr>
            </w:pPr>
            <w:r>
              <w:rPr>
                <w:noProof/>
              </w:rPr>
              <w:t>Situația de referință</w:t>
            </w:r>
          </w:p>
        </w:tc>
        <w:tc>
          <w:tcPr>
            <w:tcW w:w="851" w:type="dxa"/>
            <w:shd w:val="clear" w:color="auto" w:fill="BDD7EE"/>
            <w:vAlign w:val="center"/>
            <w:hideMark/>
          </w:tcPr>
          <w:p w14:paraId="312E065A" w14:textId="77777777" w:rsidR="00C45D59" w:rsidRDefault="009B0962" w:rsidP="004048D3">
            <w:pPr>
              <w:pStyle w:val="P68B1DB1-Normal10"/>
              <w:spacing w:after="0" w:line="240" w:lineRule="auto"/>
              <w:jc w:val="center"/>
              <w:rPr>
                <w:rFonts w:eastAsia="Times New Roman" w:cs="Times New Roman"/>
                <w:bCs/>
                <w:noProof/>
                <w:szCs w:val="18"/>
              </w:rPr>
            </w:pPr>
            <w:r>
              <w:rPr>
                <w:noProof/>
              </w:rPr>
              <w:t>Obiectiv</w:t>
            </w:r>
          </w:p>
        </w:tc>
        <w:tc>
          <w:tcPr>
            <w:tcW w:w="992" w:type="dxa"/>
            <w:shd w:val="clear" w:color="auto" w:fill="BDD7EE"/>
            <w:vAlign w:val="center"/>
            <w:hideMark/>
          </w:tcPr>
          <w:p w14:paraId="4DB66E21" w14:textId="77777777" w:rsidR="00C45D59" w:rsidRDefault="009B0962" w:rsidP="004048D3">
            <w:pPr>
              <w:pStyle w:val="P68B1DB1-Normal10"/>
              <w:spacing w:after="0" w:line="240" w:lineRule="auto"/>
              <w:jc w:val="center"/>
              <w:rPr>
                <w:rFonts w:eastAsia="Times New Roman" w:cs="Times New Roman"/>
                <w:bCs/>
                <w:noProof/>
                <w:szCs w:val="18"/>
              </w:rPr>
            </w:pPr>
            <w:r>
              <w:rPr>
                <w:noProof/>
              </w:rPr>
              <w:t>Trimestru</w:t>
            </w:r>
          </w:p>
        </w:tc>
        <w:tc>
          <w:tcPr>
            <w:tcW w:w="723" w:type="dxa"/>
            <w:shd w:val="clear" w:color="auto" w:fill="BDD7EE"/>
            <w:vAlign w:val="center"/>
            <w:hideMark/>
          </w:tcPr>
          <w:p w14:paraId="6AABD41C" w14:textId="77777777" w:rsidR="00C45D59" w:rsidRDefault="009B0962" w:rsidP="004048D3">
            <w:pPr>
              <w:pStyle w:val="P68B1DB1-Normal10"/>
              <w:spacing w:after="0" w:line="240" w:lineRule="auto"/>
              <w:jc w:val="center"/>
              <w:rPr>
                <w:rFonts w:eastAsia="Times New Roman" w:cs="Times New Roman"/>
                <w:bCs/>
                <w:noProof/>
                <w:szCs w:val="18"/>
              </w:rPr>
            </w:pPr>
            <w:r>
              <w:rPr>
                <w:noProof/>
              </w:rPr>
              <w:t>Anul</w:t>
            </w:r>
          </w:p>
        </w:tc>
        <w:tc>
          <w:tcPr>
            <w:tcW w:w="3989" w:type="dxa"/>
            <w:vMerge/>
            <w:vAlign w:val="center"/>
            <w:hideMark/>
          </w:tcPr>
          <w:p w14:paraId="5CF51421" w14:textId="77777777" w:rsidR="00C45D59" w:rsidRDefault="00C45D59" w:rsidP="004048D3">
            <w:pPr>
              <w:spacing w:after="0" w:line="240" w:lineRule="auto"/>
              <w:rPr>
                <w:rFonts w:ascii="Times New Roman" w:eastAsia="Times New Roman" w:hAnsi="Times New Roman" w:cs="Times New Roman"/>
                <w:b/>
                <w:bCs/>
                <w:noProof/>
                <w:sz w:val="18"/>
                <w:szCs w:val="18"/>
              </w:rPr>
            </w:pPr>
          </w:p>
        </w:tc>
      </w:tr>
      <w:tr w:rsidR="00C45D59" w14:paraId="2DF58313" w14:textId="77777777" w:rsidTr="004048D3">
        <w:trPr>
          <w:trHeight w:val="313"/>
        </w:trPr>
        <w:tc>
          <w:tcPr>
            <w:tcW w:w="708" w:type="dxa"/>
            <w:shd w:val="clear" w:color="auto" w:fill="C6EFCE"/>
            <w:noWrap/>
          </w:tcPr>
          <w:p w14:paraId="716E1637" w14:textId="77777777" w:rsidR="00C45D59" w:rsidRDefault="009B0962" w:rsidP="004048D3">
            <w:pPr>
              <w:pStyle w:val="P68B1DB1-Normal12"/>
              <w:spacing w:after="0" w:line="240" w:lineRule="auto"/>
              <w:rPr>
                <w:rFonts w:eastAsia="Times New Roman"/>
                <w:noProof/>
              </w:rPr>
            </w:pPr>
            <w:r>
              <w:rPr>
                <w:noProof/>
              </w:rPr>
              <w:t>96</w:t>
            </w:r>
          </w:p>
        </w:tc>
        <w:tc>
          <w:tcPr>
            <w:tcW w:w="2866" w:type="dxa"/>
            <w:shd w:val="clear" w:color="auto" w:fill="C6EFCE"/>
            <w:noWrap/>
          </w:tcPr>
          <w:p w14:paraId="27571ED0" w14:textId="77777777" w:rsidR="00C45D59" w:rsidRDefault="009B0962" w:rsidP="004048D3">
            <w:pPr>
              <w:pStyle w:val="P68B1DB1-Normal12"/>
              <w:spacing w:after="0" w:line="240" w:lineRule="auto"/>
              <w:rPr>
                <w:rFonts w:eastAsia="Times New Roman"/>
                <w:noProof/>
              </w:rPr>
            </w:pPr>
            <w:r>
              <w:rPr>
                <w:noProof/>
              </w:rPr>
              <w:t>6-2.2. Modernizare – 16929_Către servicii orientate către client ale administrației publice prin simplificarea și îmbunătățirea proceselor, a îmbunătățirilor sistemelor și a conformității cu strategiile și politicile europene</w:t>
            </w:r>
          </w:p>
        </w:tc>
        <w:tc>
          <w:tcPr>
            <w:tcW w:w="1105" w:type="dxa"/>
            <w:shd w:val="clear" w:color="auto" w:fill="C6EFCE"/>
            <w:noWrap/>
          </w:tcPr>
          <w:p w14:paraId="5445DB84" w14:textId="77777777" w:rsidR="00C45D59" w:rsidRDefault="009B0962" w:rsidP="004048D3">
            <w:pPr>
              <w:pStyle w:val="P68B1DB1-Normal12"/>
              <w:spacing w:after="0" w:line="240" w:lineRule="auto"/>
              <w:rPr>
                <w:rFonts w:eastAsia="Times New Roman"/>
                <w:noProof/>
              </w:rPr>
            </w:pPr>
            <w:r>
              <w:rPr>
                <w:noProof/>
              </w:rPr>
              <w:t>Etapă</w:t>
            </w:r>
          </w:p>
        </w:tc>
        <w:tc>
          <w:tcPr>
            <w:tcW w:w="1383" w:type="dxa"/>
            <w:shd w:val="clear" w:color="auto" w:fill="C6EFCE"/>
            <w:noWrap/>
          </w:tcPr>
          <w:p w14:paraId="17033B82" w14:textId="77777777" w:rsidR="00C45D59" w:rsidRDefault="009B0962" w:rsidP="004048D3">
            <w:pPr>
              <w:pStyle w:val="P68B1DB1-Normal12"/>
              <w:spacing w:after="0" w:line="240" w:lineRule="auto"/>
              <w:rPr>
                <w:rFonts w:eastAsia="Times New Roman"/>
                <w:noProof/>
              </w:rPr>
            </w:pPr>
            <w:r>
              <w:rPr>
                <w:noProof/>
              </w:rPr>
              <w:t>Crearea registrului național de proceduri și punerea în aplicare a planului național de simplificare a proceselor (prima etapă)</w:t>
            </w:r>
          </w:p>
        </w:tc>
        <w:tc>
          <w:tcPr>
            <w:tcW w:w="1701" w:type="dxa"/>
            <w:shd w:val="clear" w:color="auto" w:fill="C6EFCE"/>
            <w:noWrap/>
          </w:tcPr>
          <w:p w14:paraId="720EBAEC" w14:textId="77777777" w:rsidR="00C45D59" w:rsidRDefault="009B0962" w:rsidP="004048D3">
            <w:pPr>
              <w:pStyle w:val="P68B1DB1-Normal12"/>
              <w:spacing w:after="0" w:line="240" w:lineRule="auto"/>
              <w:rPr>
                <w:rFonts w:eastAsia="Times New Roman"/>
                <w:noProof/>
              </w:rPr>
            </w:pPr>
            <w:r>
              <w:rPr>
                <w:noProof/>
              </w:rPr>
              <w:t xml:space="preserve">Raport al Ministerului Guvernanței Digitale care atestă operaționalizarea registrului național de proceduri și finalizarea fluxurilor de lucru în cadrul primei etape a programului național de simplificare a proceselor </w:t>
            </w:r>
          </w:p>
        </w:tc>
        <w:tc>
          <w:tcPr>
            <w:tcW w:w="992" w:type="dxa"/>
            <w:shd w:val="clear" w:color="auto" w:fill="C6EFCE"/>
            <w:noWrap/>
          </w:tcPr>
          <w:p w14:paraId="3A25E1A0" w14:textId="77777777" w:rsidR="00C45D59" w:rsidRDefault="00C45D59" w:rsidP="004048D3">
            <w:pPr>
              <w:spacing w:after="0" w:line="240" w:lineRule="auto"/>
              <w:rPr>
                <w:rFonts w:ascii="Times New Roman" w:eastAsia="Times New Roman" w:hAnsi="Times New Roman" w:cs="Times New Roman"/>
                <w:noProof/>
                <w:color w:val="006100"/>
                <w:sz w:val="18"/>
                <w:szCs w:val="18"/>
              </w:rPr>
            </w:pPr>
          </w:p>
        </w:tc>
        <w:tc>
          <w:tcPr>
            <w:tcW w:w="992" w:type="dxa"/>
            <w:shd w:val="clear" w:color="auto" w:fill="C6EFCE"/>
          </w:tcPr>
          <w:p w14:paraId="5A4D948F" w14:textId="77777777" w:rsidR="00C45D59" w:rsidRDefault="00C45D59" w:rsidP="004048D3">
            <w:pPr>
              <w:spacing w:after="0" w:line="240" w:lineRule="auto"/>
              <w:rPr>
                <w:rFonts w:ascii="Times New Roman" w:eastAsia="Times New Roman" w:hAnsi="Times New Roman" w:cs="Times New Roman"/>
                <w:noProof/>
                <w:color w:val="006100"/>
                <w:sz w:val="18"/>
                <w:szCs w:val="18"/>
              </w:rPr>
            </w:pPr>
          </w:p>
        </w:tc>
        <w:tc>
          <w:tcPr>
            <w:tcW w:w="851" w:type="dxa"/>
            <w:shd w:val="clear" w:color="auto" w:fill="C6EFCE"/>
            <w:noWrap/>
          </w:tcPr>
          <w:p w14:paraId="6D491F31" w14:textId="77777777" w:rsidR="00C45D59" w:rsidRDefault="00C45D59" w:rsidP="004048D3">
            <w:pPr>
              <w:spacing w:after="0" w:line="240" w:lineRule="auto"/>
              <w:rPr>
                <w:rFonts w:ascii="Times New Roman" w:eastAsia="Times New Roman" w:hAnsi="Times New Roman" w:cs="Times New Roman"/>
                <w:noProof/>
                <w:color w:val="006100"/>
                <w:sz w:val="18"/>
                <w:szCs w:val="18"/>
              </w:rPr>
            </w:pPr>
          </w:p>
        </w:tc>
        <w:tc>
          <w:tcPr>
            <w:tcW w:w="992" w:type="dxa"/>
            <w:shd w:val="clear" w:color="auto" w:fill="C6EFCE"/>
          </w:tcPr>
          <w:p w14:paraId="293E9490" w14:textId="77777777" w:rsidR="00C45D59" w:rsidRDefault="009B0962" w:rsidP="004048D3">
            <w:pPr>
              <w:pStyle w:val="P68B1DB1-Normal12"/>
              <w:spacing w:after="0" w:line="240" w:lineRule="auto"/>
              <w:rPr>
                <w:rFonts w:eastAsia="Times New Roman"/>
                <w:noProof/>
              </w:rPr>
            </w:pPr>
            <w:r>
              <w:rPr>
                <w:noProof/>
              </w:rPr>
              <w:t>Î3</w:t>
            </w:r>
          </w:p>
        </w:tc>
        <w:tc>
          <w:tcPr>
            <w:tcW w:w="723" w:type="dxa"/>
            <w:shd w:val="clear" w:color="auto" w:fill="C6EFCE"/>
            <w:noWrap/>
          </w:tcPr>
          <w:p w14:paraId="60D6123B" w14:textId="77777777" w:rsidR="00C45D59" w:rsidRDefault="009B0962" w:rsidP="004048D3">
            <w:pPr>
              <w:pStyle w:val="P68B1DB1-Normal12"/>
              <w:spacing w:after="0" w:line="240" w:lineRule="auto"/>
              <w:rPr>
                <w:rFonts w:eastAsia="Times New Roman"/>
                <w:noProof/>
              </w:rPr>
            </w:pPr>
            <w:r>
              <w:rPr>
                <w:noProof/>
              </w:rPr>
              <w:t>2022</w:t>
            </w:r>
          </w:p>
        </w:tc>
        <w:tc>
          <w:tcPr>
            <w:tcW w:w="3989" w:type="dxa"/>
            <w:shd w:val="clear" w:color="auto" w:fill="C6EFCE"/>
            <w:noWrap/>
          </w:tcPr>
          <w:p w14:paraId="0F864AF0" w14:textId="77777777" w:rsidR="00C45D59" w:rsidRDefault="009B0962" w:rsidP="004048D3">
            <w:pPr>
              <w:pStyle w:val="P68B1DB1-Normal12"/>
              <w:spacing w:before="120" w:after="120" w:line="240" w:lineRule="auto"/>
              <w:jc w:val="both"/>
              <w:rPr>
                <w:rFonts w:eastAsia="Times New Roman"/>
                <w:noProof/>
              </w:rPr>
            </w:pPr>
            <w:r>
              <w:rPr>
                <w:noProof/>
              </w:rPr>
              <w:t>Operaționalizarea registrului național de proceduri („Diavlos”, în conformitate cu articolul 90 din Legea nr. 4727/2020) și integrarea în portalul gov.gr; și finalizarea primei etape a fluxurilor de lucru pentru simplificare, în conformitate cu calendarul prevăzut de Programul național de simplificare a proceselor pe 4 ani, inclusiv digitalizarea procedurilor de achiziții publice.</w:t>
            </w:r>
          </w:p>
        </w:tc>
      </w:tr>
      <w:tr w:rsidR="00C45D59" w14:paraId="208EFE22" w14:textId="77777777" w:rsidTr="004048D3">
        <w:trPr>
          <w:trHeight w:val="313"/>
        </w:trPr>
        <w:tc>
          <w:tcPr>
            <w:tcW w:w="708" w:type="dxa"/>
            <w:shd w:val="clear" w:color="auto" w:fill="C6EFCE"/>
            <w:noWrap/>
          </w:tcPr>
          <w:p w14:paraId="3EB237FC" w14:textId="77777777" w:rsidR="00C45D59" w:rsidRDefault="009B0962" w:rsidP="004048D3">
            <w:pPr>
              <w:pStyle w:val="P68B1DB1-Normal12"/>
              <w:spacing w:after="0" w:line="240" w:lineRule="auto"/>
              <w:rPr>
                <w:rFonts w:eastAsia="Times New Roman"/>
                <w:noProof/>
              </w:rPr>
            </w:pPr>
            <w:r>
              <w:rPr>
                <w:noProof/>
              </w:rPr>
              <w:t>97</w:t>
            </w:r>
          </w:p>
        </w:tc>
        <w:tc>
          <w:tcPr>
            <w:tcW w:w="2866" w:type="dxa"/>
            <w:shd w:val="clear" w:color="auto" w:fill="C6EFCE"/>
            <w:noWrap/>
          </w:tcPr>
          <w:p w14:paraId="561A8E58" w14:textId="77777777" w:rsidR="00C45D59" w:rsidRDefault="009B0962" w:rsidP="004048D3">
            <w:pPr>
              <w:pStyle w:val="P68B1DB1-Normal12"/>
              <w:spacing w:after="0" w:line="240" w:lineRule="auto"/>
              <w:rPr>
                <w:rFonts w:eastAsia="Times New Roman"/>
                <w:noProof/>
              </w:rPr>
            </w:pPr>
            <w:r>
              <w:rPr>
                <w:noProof/>
              </w:rPr>
              <w:t>6-2.2. Modernizare – 16929_Către servicii orientate către client ale administrației publice prin simplificarea și îmbunătățirea proceselor, a îmbunătățirilor sistemelor și a conformității cu strategiile și politicile europene</w:t>
            </w:r>
          </w:p>
        </w:tc>
        <w:tc>
          <w:tcPr>
            <w:tcW w:w="1105" w:type="dxa"/>
            <w:shd w:val="clear" w:color="auto" w:fill="C6EFCE"/>
            <w:noWrap/>
          </w:tcPr>
          <w:p w14:paraId="53D3B0F7" w14:textId="77777777" w:rsidR="00C45D59" w:rsidRDefault="009B0962" w:rsidP="004048D3">
            <w:pPr>
              <w:pStyle w:val="P68B1DB1-Normal12"/>
              <w:spacing w:after="0" w:line="240" w:lineRule="auto"/>
              <w:rPr>
                <w:rFonts w:eastAsia="Times New Roman"/>
                <w:noProof/>
              </w:rPr>
            </w:pPr>
            <w:r>
              <w:rPr>
                <w:noProof/>
              </w:rPr>
              <w:t>Etapă</w:t>
            </w:r>
          </w:p>
        </w:tc>
        <w:tc>
          <w:tcPr>
            <w:tcW w:w="1383" w:type="dxa"/>
            <w:shd w:val="clear" w:color="auto" w:fill="C6EFCE"/>
            <w:noWrap/>
          </w:tcPr>
          <w:p w14:paraId="7B38DC41" w14:textId="77777777" w:rsidR="00C45D59" w:rsidRDefault="009B0962" w:rsidP="004048D3">
            <w:pPr>
              <w:pStyle w:val="P68B1DB1-Normal12"/>
              <w:spacing w:after="0" w:line="240" w:lineRule="auto"/>
              <w:rPr>
                <w:rFonts w:eastAsia="Times New Roman"/>
                <w:noProof/>
              </w:rPr>
            </w:pPr>
            <w:r>
              <w:rPr>
                <w:noProof/>
              </w:rPr>
              <w:t>Punerea în aplicare a planului național de simplificare a proceselor (a doua etapă)</w:t>
            </w:r>
          </w:p>
        </w:tc>
        <w:tc>
          <w:tcPr>
            <w:tcW w:w="1701" w:type="dxa"/>
            <w:shd w:val="clear" w:color="auto" w:fill="C6EFCE"/>
            <w:noWrap/>
          </w:tcPr>
          <w:p w14:paraId="4F66925D" w14:textId="77777777" w:rsidR="00C45D59" w:rsidRDefault="009B0962" w:rsidP="004048D3">
            <w:pPr>
              <w:pStyle w:val="P68B1DB1-Normal12"/>
              <w:spacing w:after="0" w:line="240" w:lineRule="auto"/>
              <w:rPr>
                <w:rFonts w:eastAsia="Times New Roman"/>
                <w:noProof/>
              </w:rPr>
            </w:pPr>
            <w:r>
              <w:rPr>
                <w:noProof/>
              </w:rPr>
              <w:t xml:space="preserve">Raport al Ministerului de Interne care atestă finalizarea celei de a doua etape a fluxurilor de lucru pentru simplificare în cadrul Programului național de simplificare a proceselor </w:t>
            </w:r>
          </w:p>
        </w:tc>
        <w:tc>
          <w:tcPr>
            <w:tcW w:w="992" w:type="dxa"/>
            <w:shd w:val="clear" w:color="auto" w:fill="C6EFCE"/>
            <w:noWrap/>
          </w:tcPr>
          <w:p w14:paraId="2D09D13A" w14:textId="77777777" w:rsidR="00C45D59" w:rsidRDefault="00C45D59" w:rsidP="004048D3">
            <w:pPr>
              <w:spacing w:after="0" w:line="240" w:lineRule="auto"/>
              <w:rPr>
                <w:rFonts w:ascii="Times New Roman" w:eastAsia="Times New Roman" w:hAnsi="Times New Roman" w:cs="Times New Roman"/>
                <w:noProof/>
                <w:color w:val="006100"/>
                <w:sz w:val="18"/>
                <w:szCs w:val="18"/>
              </w:rPr>
            </w:pPr>
          </w:p>
        </w:tc>
        <w:tc>
          <w:tcPr>
            <w:tcW w:w="992" w:type="dxa"/>
            <w:shd w:val="clear" w:color="auto" w:fill="C6EFCE"/>
          </w:tcPr>
          <w:p w14:paraId="6CAC76EF" w14:textId="77777777" w:rsidR="00C45D59" w:rsidRDefault="00C45D59" w:rsidP="004048D3">
            <w:pPr>
              <w:spacing w:after="0" w:line="240" w:lineRule="auto"/>
              <w:rPr>
                <w:rFonts w:ascii="Times New Roman" w:eastAsia="Times New Roman" w:hAnsi="Times New Roman" w:cs="Times New Roman"/>
                <w:noProof/>
                <w:color w:val="006100"/>
                <w:sz w:val="18"/>
                <w:szCs w:val="18"/>
              </w:rPr>
            </w:pPr>
          </w:p>
        </w:tc>
        <w:tc>
          <w:tcPr>
            <w:tcW w:w="851" w:type="dxa"/>
            <w:shd w:val="clear" w:color="auto" w:fill="C6EFCE"/>
            <w:noWrap/>
          </w:tcPr>
          <w:p w14:paraId="2F5B9900" w14:textId="77777777" w:rsidR="00C45D59" w:rsidRDefault="00C45D59" w:rsidP="004048D3">
            <w:pPr>
              <w:spacing w:after="0" w:line="240" w:lineRule="auto"/>
              <w:rPr>
                <w:rFonts w:ascii="Times New Roman" w:eastAsia="Times New Roman" w:hAnsi="Times New Roman" w:cs="Times New Roman"/>
                <w:noProof/>
                <w:color w:val="006100"/>
                <w:sz w:val="18"/>
                <w:szCs w:val="18"/>
              </w:rPr>
            </w:pPr>
          </w:p>
        </w:tc>
        <w:tc>
          <w:tcPr>
            <w:tcW w:w="992" w:type="dxa"/>
            <w:shd w:val="clear" w:color="auto" w:fill="C6EFCE"/>
          </w:tcPr>
          <w:p w14:paraId="6809574F" w14:textId="77777777" w:rsidR="00C45D59" w:rsidRDefault="009B0962" w:rsidP="004048D3">
            <w:pPr>
              <w:pStyle w:val="P68B1DB1-Normal12"/>
              <w:spacing w:after="0" w:line="240" w:lineRule="auto"/>
              <w:rPr>
                <w:rFonts w:eastAsia="Times New Roman"/>
                <w:noProof/>
              </w:rPr>
            </w:pPr>
            <w:r>
              <w:rPr>
                <w:noProof/>
              </w:rPr>
              <w:t>Î4</w:t>
            </w:r>
          </w:p>
        </w:tc>
        <w:tc>
          <w:tcPr>
            <w:tcW w:w="723" w:type="dxa"/>
            <w:shd w:val="clear" w:color="auto" w:fill="C6EFCE"/>
            <w:noWrap/>
          </w:tcPr>
          <w:p w14:paraId="49676863" w14:textId="77777777" w:rsidR="00C45D59" w:rsidRDefault="009B0962" w:rsidP="004048D3">
            <w:pPr>
              <w:pStyle w:val="P68B1DB1-Normal12"/>
              <w:spacing w:after="0" w:line="240" w:lineRule="auto"/>
              <w:rPr>
                <w:rFonts w:eastAsia="Times New Roman"/>
                <w:noProof/>
              </w:rPr>
            </w:pPr>
            <w:r>
              <w:rPr>
                <w:noProof/>
              </w:rPr>
              <w:t>2023</w:t>
            </w:r>
          </w:p>
        </w:tc>
        <w:tc>
          <w:tcPr>
            <w:tcW w:w="3989" w:type="dxa"/>
            <w:shd w:val="clear" w:color="auto" w:fill="C6EFCE"/>
            <w:noWrap/>
          </w:tcPr>
          <w:p w14:paraId="1F1C6D04" w14:textId="77777777" w:rsidR="00C45D59" w:rsidRDefault="009B0962" w:rsidP="004048D3">
            <w:pPr>
              <w:pStyle w:val="P68B1DB1-Normal12"/>
              <w:spacing w:after="0" w:line="240" w:lineRule="auto"/>
              <w:rPr>
                <w:rFonts w:eastAsia="Times New Roman"/>
                <w:noProof/>
              </w:rPr>
            </w:pPr>
            <w:r>
              <w:rPr>
                <w:noProof/>
              </w:rPr>
              <w:t>Finalizarea celei de a doua etape a fluxurilor de lucru pentru simplificare, în conformitate cu calendarul prevăzut de Programul național de simplificare a proceselor pe 4 ani, inclusiv digitalizarea proceselor de evaluare a impactului, înființarea întreprinderilor individuale, simplificarea procedurilor referitoare la „evenimentele din viața cetățenilor”, inclusiv nașterea, decesul și divorțul, simplificarea procedurilor judiciare legate de avocați, hotărârile judecătorești, semnăturile digitale, certificatele eliberate de instanțe, reînnoirea permisului de conducere și funcționarea myfoto.gov.gr și circulația electronică a documentelor în cadrul administrației publice (atestată de circularele emise).</w:t>
            </w:r>
          </w:p>
        </w:tc>
      </w:tr>
      <w:tr w:rsidR="00C45D59" w14:paraId="1914C455" w14:textId="77777777" w:rsidTr="004048D3">
        <w:trPr>
          <w:trHeight w:val="313"/>
        </w:trPr>
        <w:tc>
          <w:tcPr>
            <w:tcW w:w="708" w:type="dxa"/>
            <w:shd w:val="clear" w:color="auto" w:fill="C6EFCE"/>
            <w:noWrap/>
          </w:tcPr>
          <w:p w14:paraId="28B8235D" w14:textId="77777777" w:rsidR="00C45D59" w:rsidRDefault="009B0962" w:rsidP="004048D3">
            <w:pPr>
              <w:pStyle w:val="P68B1DB1-Normal12"/>
              <w:spacing w:after="0" w:line="240" w:lineRule="auto"/>
              <w:rPr>
                <w:rFonts w:eastAsia="Times New Roman"/>
                <w:noProof/>
              </w:rPr>
            </w:pPr>
            <w:r>
              <w:rPr>
                <w:noProof/>
              </w:rPr>
              <w:t>98</w:t>
            </w:r>
          </w:p>
        </w:tc>
        <w:tc>
          <w:tcPr>
            <w:tcW w:w="2866" w:type="dxa"/>
            <w:shd w:val="clear" w:color="auto" w:fill="C6EFCE"/>
            <w:noWrap/>
          </w:tcPr>
          <w:p w14:paraId="3B31656D" w14:textId="77777777" w:rsidR="00C45D59" w:rsidRDefault="009B0962" w:rsidP="004048D3">
            <w:pPr>
              <w:pStyle w:val="P68B1DB1-Normal12"/>
              <w:spacing w:after="0" w:line="240" w:lineRule="auto"/>
              <w:rPr>
                <w:rFonts w:eastAsia="Times New Roman"/>
                <w:noProof/>
              </w:rPr>
            </w:pPr>
            <w:r>
              <w:rPr>
                <w:noProof/>
              </w:rPr>
              <w:t>6-2.2. Modernizare – 16782_Interconectarea și interoperabilitatea registrelor, sistemelor și serviciilor pentru schimbul de date între organizațiile publice naționale</w:t>
            </w:r>
          </w:p>
        </w:tc>
        <w:tc>
          <w:tcPr>
            <w:tcW w:w="1105" w:type="dxa"/>
            <w:shd w:val="clear" w:color="auto" w:fill="C6EFCE"/>
            <w:noWrap/>
          </w:tcPr>
          <w:p w14:paraId="710CDABD" w14:textId="77777777" w:rsidR="00C45D59" w:rsidRDefault="009B0962" w:rsidP="004048D3">
            <w:pPr>
              <w:pStyle w:val="P68B1DB1-Normal12"/>
              <w:spacing w:after="0" w:line="240" w:lineRule="auto"/>
              <w:rPr>
                <w:rFonts w:eastAsia="Times New Roman"/>
                <w:noProof/>
              </w:rPr>
            </w:pPr>
            <w:r>
              <w:rPr>
                <w:noProof/>
              </w:rPr>
              <w:t>Etapă</w:t>
            </w:r>
          </w:p>
        </w:tc>
        <w:tc>
          <w:tcPr>
            <w:tcW w:w="1383" w:type="dxa"/>
            <w:shd w:val="clear" w:color="auto" w:fill="C6EFCE"/>
            <w:noWrap/>
          </w:tcPr>
          <w:p w14:paraId="15308431" w14:textId="77777777" w:rsidR="00C45D59" w:rsidRDefault="009B0962" w:rsidP="004048D3">
            <w:pPr>
              <w:pStyle w:val="P68B1DB1-Normal12"/>
              <w:spacing w:after="0" w:line="240" w:lineRule="auto"/>
              <w:rPr>
                <w:noProof/>
              </w:rPr>
            </w:pPr>
            <w:r>
              <w:rPr>
                <w:noProof/>
              </w:rPr>
              <w:t xml:space="preserve">Baza de reglementare pentru interconectare și </w:t>
            </w:r>
          </w:p>
          <w:p w14:paraId="014C0546" w14:textId="77777777" w:rsidR="00C45D59" w:rsidRDefault="009B0962" w:rsidP="004048D3">
            <w:pPr>
              <w:pStyle w:val="P68B1DB1-Normal12"/>
              <w:spacing w:after="0" w:line="240" w:lineRule="auto"/>
              <w:rPr>
                <w:rFonts w:eastAsia="Times New Roman"/>
                <w:noProof/>
              </w:rPr>
            </w:pPr>
            <w:r>
              <w:rPr>
                <w:noProof/>
              </w:rPr>
              <w:t>interoperabilitatea registrelor</w:t>
            </w:r>
          </w:p>
        </w:tc>
        <w:tc>
          <w:tcPr>
            <w:tcW w:w="1701" w:type="dxa"/>
            <w:shd w:val="clear" w:color="auto" w:fill="C6EFCE"/>
            <w:noWrap/>
          </w:tcPr>
          <w:p w14:paraId="5C730E1E" w14:textId="77777777" w:rsidR="00C45D59" w:rsidRDefault="009B0962" w:rsidP="004048D3">
            <w:pPr>
              <w:pStyle w:val="P68B1DB1-Normal12"/>
              <w:spacing w:after="0" w:line="240" w:lineRule="auto"/>
              <w:rPr>
                <w:rFonts w:eastAsia="Times New Roman"/>
                <w:noProof/>
              </w:rPr>
            </w:pPr>
            <w:r>
              <w:rPr>
                <w:noProof/>
              </w:rPr>
              <w:t>Adoptarea modificărilor în materie de reglementare, inclusiv a legislației primare și secundare conectate pentru interconectarea și interoperabilitatea registrelor și a serviciilor</w:t>
            </w:r>
          </w:p>
        </w:tc>
        <w:tc>
          <w:tcPr>
            <w:tcW w:w="992" w:type="dxa"/>
            <w:shd w:val="clear" w:color="auto" w:fill="C6EFCE"/>
            <w:noWrap/>
          </w:tcPr>
          <w:p w14:paraId="44F17DE0" w14:textId="77777777" w:rsidR="00C45D59" w:rsidRDefault="00C45D59" w:rsidP="004048D3">
            <w:pPr>
              <w:spacing w:after="0" w:line="240" w:lineRule="auto"/>
              <w:rPr>
                <w:rFonts w:ascii="Times New Roman" w:eastAsia="Times New Roman" w:hAnsi="Times New Roman" w:cs="Times New Roman"/>
                <w:noProof/>
                <w:color w:val="006100"/>
                <w:sz w:val="18"/>
                <w:szCs w:val="18"/>
              </w:rPr>
            </w:pPr>
          </w:p>
        </w:tc>
        <w:tc>
          <w:tcPr>
            <w:tcW w:w="992" w:type="dxa"/>
            <w:shd w:val="clear" w:color="auto" w:fill="C6EFCE"/>
          </w:tcPr>
          <w:p w14:paraId="7F76CBAB" w14:textId="77777777" w:rsidR="00C45D59" w:rsidRDefault="00C45D59" w:rsidP="004048D3">
            <w:pPr>
              <w:spacing w:after="0" w:line="240" w:lineRule="auto"/>
              <w:rPr>
                <w:rFonts w:ascii="Times New Roman" w:eastAsia="Times New Roman" w:hAnsi="Times New Roman" w:cs="Times New Roman"/>
                <w:noProof/>
                <w:color w:val="006100"/>
                <w:sz w:val="18"/>
                <w:szCs w:val="18"/>
              </w:rPr>
            </w:pPr>
          </w:p>
        </w:tc>
        <w:tc>
          <w:tcPr>
            <w:tcW w:w="851" w:type="dxa"/>
            <w:shd w:val="clear" w:color="auto" w:fill="C6EFCE"/>
            <w:noWrap/>
          </w:tcPr>
          <w:p w14:paraId="0B706266" w14:textId="77777777" w:rsidR="00C45D59" w:rsidRDefault="00C45D59" w:rsidP="004048D3">
            <w:pPr>
              <w:spacing w:after="0" w:line="240" w:lineRule="auto"/>
              <w:rPr>
                <w:rFonts w:ascii="Times New Roman" w:eastAsia="Times New Roman" w:hAnsi="Times New Roman" w:cs="Times New Roman"/>
                <w:noProof/>
                <w:color w:val="006100"/>
                <w:sz w:val="18"/>
                <w:szCs w:val="18"/>
              </w:rPr>
            </w:pPr>
          </w:p>
        </w:tc>
        <w:tc>
          <w:tcPr>
            <w:tcW w:w="992" w:type="dxa"/>
            <w:shd w:val="clear" w:color="auto" w:fill="C6EFCE"/>
          </w:tcPr>
          <w:p w14:paraId="717B9F85" w14:textId="77777777" w:rsidR="00C45D59" w:rsidRDefault="009B0962" w:rsidP="004048D3">
            <w:pPr>
              <w:pStyle w:val="P68B1DB1-Normal12"/>
              <w:spacing w:after="0" w:line="240" w:lineRule="auto"/>
              <w:rPr>
                <w:rFonts w:eastAsia="Times New Roman"/>
                <w:noProof/>
              </w:rPr>
            </w:pPr>
            <w:r>
              <w:rPr>
                <w:noProof/>
              </w:rPr>
              <w:t>Î4</w:t>
            </w:r>
          </w:p>
        </w:tc>
        <w:tc>
          <w:tcPr>
            <w:tcW w:w="723" w:type="dxa"/>
            <w:shd w:val="clear" w:color="auto" w:fill="C6EFCE"/>
            <w:noWrap/>
          </w:tcPr>
          <w:p w14:paraId="2EA3A18F" w14:textId="77777777" w:rsidR="00C45D59" w:rsidRDefault="009B0962" w:rsidP="004048D3">
            <w:pPr>
              <w:pStyle w:val="P68B1DB1-Normal12"/>
              <w:spacing w:after="0" w:line="240" w:lineRule="auto"/>
              <w:rPr>
                <w:rFonts w:eastAsia="Times New Roman"/>
                <w:noProof/>
              </w:rPr>
            </w:pPr>
            <w:r>
              <w:rPr>
                <w:noProof/>
              </w:rPr>
              <w:t>2024</w:t>
            </w:r>
          </w:p>
        </w:tc>
        <w:tc>
          <w:tcPr>
            <w:tcW w:w="3989" w:type="dxa"/>
            <w:shd w:val="clear" w:color="auto" w:fill="C6EFCE"/>
            <w:noWrap/>
          </w:tcPr>
          <w:p w14:paraId="5679C8AF" w14:textId="77777777" w:rsidR="00C45D59" w:rsidRDefault="009B0962" w:rsidP="004048D3">
            <w:pPr>
              <w:pStyle w:val="P68B1DB1-Normal12"/>
              <w:spacing w:before="120" w:after="120" w:line="240" w:lineRule="auto"/>
              <w:jc w:val="both"/>
              <w:rPr>
                <w:rFonts w:eastAsia="Times New Roman"/>
                <w:noProof/>
              </w:rPr>
            </w:pPr>
            <w:r>
              <w:rPr>
                <w:noProof/>
              </w:rPr>
              <w:t>Adoptarea unor modificări în materie de reglementare pentru a stabili o bază de reglementare pentru interconectarea și interoperabilitatea registrelor și a serviciilor pentru schimbul de date între organizațiile publice naționale</w:t>
            </w:r>
          </w:p>
        </w:tc>
      </w:tr>
      <w:tr w:rsidR="00C45D59" w14:paraId="310495E6" w14:textId="77777777" w:rsidTr="004048D3">
        <w:trPr>
          <w:trHeight w:val="313"/>
        </w:trPr>
        <w:tc>
          <w:tcPr>
            <w:tcW w:w="708" w:type="dxa"/>
            <w:shd w:val="clear" w:color="auto" w:fill="C6EFCE"/>
            <w:noWrap/>
            <w:hideMark/>
          </w:tcPr>
          <w:p w14:paraId="4CBCB3CA" w14:textId="77777777" w:rsidR="00C45D59" w:rsidRDefault="009B0962" w:rsidP="004048D3">
            <w:pPr>
              <w:pStyle w:val="P68B1DB1-Normal12"/>
              <w:spacing w:after="0" w:line="240" w:lineRule="auto"/>
              <w:rPr>
                <w:rFonts w:eastAsia="Times New Roman"/>
                <w:noProof/>
              </w:rPr>
            </w:pPr>
            <w:r>
              <w:rPr>
                <w:noProof/>
              </w:rPr>
              <w:t>99</w:t>
            </w:r>
          </w:p>
        </w:tc>
        <w:tc>
          <w:tcPr>
            <w:tcW w:w="2866" w:type="dxa"/>
            <w:shd w:val="clear" w:color="auto" w:fill="C6EFCE"/>
            <w:noWrap/>
            <w:hideMark/>
          </w:tcPr>
          <w:p w14:paraId="7E4A2E16" w14:textId="77777777" w:rsidR="00C45D59" w:rsidRDefault="009B0962" w:rsidP="004048D3">
            <w:pPr>
              <w:pStyle w:val="P68B1DB1-Normal12"/>
              <w:spacing w:after="0" w:line="240" w:lineRule="auto"/>
              <w:rPr>
                <w:rFonts w:eastAsia="Times New Roman"/>
                <w:noProof/>
              </w:rPr>
            </w:pPr>
            <w:r>
              <w:rPr>
                <w:noProof/>
              </w:rPr>
              <w:t>6-2.2. Modernizare – 16929_Către servicii orientate către client ale administrației publice prin simplificarea și îmbunătățirea proceselor, a îmbunătățirilor sistemelor și a conformității cu strategiile și politicile europene</w:t>
            </w:r>
          </w:p>
        </w:tc>
        <w:tc>
          <w:tcPr>
            <w:tcW w:w="1105" w:type="dxa"/>
            <w:shd w:val="clear" w:color="auto" w:fill="C6EFCE"/>
            <w:noWrap/>
            <w:hideMark/>
          </w:tcPr>
          <w:p w14:paraId="7ED6FCCC" w14:textId="77777777" w:rsidR="00C45D59" w:rsidRDefault="009B0962" w:rsidP="004048D3">
            <w:pPr>
              <w:pStyle w:val="P68B1DB1-Normal12"/>
              <w:spacing w:after="0" w:line="240" w:lineRule="auto"/>
              <w:rPr>
                <w:rFonts w:eastAsia="Times New Roman"/>
                <w:noProof/>
              </w:rPr>
            </w:pPr>
            <w:r>
              <w:rPr>
                <w:noProof/>
              </w:rPr>
              <w:t>Etapă</w:t>
            </w:r>
          </w:p>
        </w:tc>
        <w:tc>
          <w:tcPr>
            <w:tcW w:w="1383" w:type="dxa"/>
            <w:shd w:val="clear" w:color="auto" w:fill="C6EFCE"/>
            <w:noWrap/>
            <w:hideMark/>
          </w:tcPr>
          <w:p w14:paraId="18AD133A" w14:textId="77777777" w:rsidR="00C45D59" w:rsidRDefault="009B0962" w:rsidP="004048D3">
            <w:pPr>
              <w:pStyle w:val="P68B1DB1-Normal12"/>
              <w:spacing w:after="0" w:line="240" w:lineRule="auto"/>
              <w:rPr>
                <w:noProof/>
              </w:rPr>
            </w:pPr>
            <w:r>
              <w:rPr>
                <w:noProof/>
              </w:rPr>
              <w:t xml:space="preserve">Reducerea sarcinii administrative în administrația publică </w:t>
            </w:r>
          </w:p>
        </w:tc>
        <w:tc>
          <w:tcPr>
            <w:tcW w:w="1701" w:type="dxa"/>
            <w:shd w:val="clear" w:color="auto" w:fill="C6EFCE"/>
            <w:noWrap/>
            <w:hideMark/>
          </w:tcPr>
          <w:p w14:paraId="42C747F3" w14:textId="04496EAD" w:rsidR="00C45D59" w:rsidRDefault="009B0962" w:rsidP="004048D3">
            <w:pPr>
              <w:pStyle w:val="P68B1DB1-Normal12"/>
              <w:spacing w:after="0" w:line="240" w:lineRule="auto"/>
              <w:rPr>
                <w:noProof/>
              </w:rPr>
            </w:pPr>
            <w:r>
              <w:rPr>
                <w:noProof/>
              </w:rPr>
              <w:t xml:space="preserve">Punerea în aplicare a unor acțiuni de monitorizare și măsurare a sarcinii administrative și de sprijinire a procesului de evaluare a impactului normativ și a dispozițiilor din Codul administrației locale unice care indică intrarea în vigoare </w:t>
            </w:r>
          </w:p>
        </w:tc>
        <w:tc>
          <w:tcPr>
            <w:tcW w:w="992" w:type="dxa"/>
            <w:shd w:val="clear" w:color="auto" w:fill="C6EFCE"/>
            <w:noWrap/>
            <w:hideMark/>
          </w:tcPr>
          <w:p w14:paraId="722011BC" w14:textId="77777777" w:rsidR="00C45D59" w:rsidRDefault="00C45D59" w:rsidP="004048D3">
            <w:pPr>
              <w:spacing w:after="0" w:line="240" w:lineRule="auto"/>
              <w:rPr>
                <w:rFonts w:ascii="Times New Roman" w:eastAsia="Times New Roman" w:hAnsi="Times New Roman" w:cs="Times New Roman"/>
                <w:noProof/>
                <w:color w:val="006100"/>
                <w:sz w:val="18"/>
                <w:szCs w:val="18"/>
              </w:rPr>
            </w:pPr>
          </w:p>
        </w:tc>
        <w:tc>
          <w:tcPr>
            <w:tcW w:w="992" w:type="dxa"/>
            <w:shd w:val="clear" w:color="auto" w:fill="C6EFCE"/>
          </w:tcPr>
          <w:p w14:paraId="53555F0B" w14:textId="77777777" w:rsidR="00C45D59" w:rsidRDefault="00C45D59" w:rsidP="004048D3">
            <w:pPr>
              <w:spacing w:after="0" w:line="240" w:lineRule="auto"/>
              <w:rPr>
                <w:rFonts w:ascii="Times New Roman" w:eastAsia="Times New Roman" w:hAnsi="Times New Roman" w:cs="Times New Roman"/>
                <w:noProof/>
                <w:color w:val="006100"/>
                <w:sz w:val="18"/>
                <w:szCs w:val="18"/>
              </w:rPr>
            </w:pPr>
          </w:p>
        </w:tc>
        <w:tc>
          <w:tcPr>
            <w:tcW w:w="851" w:type="dxa"/>
            <w:shd w:val="clear" w:color="auto" w:fill="C6EFCE"/>
            <w:noWrap/>
            <w:hideMark/>
          </w:tcPr>
          <w:p w14:paraId="0D2C0BAE" w14:textId="77777777" w:rsidR="00C45D59" w:rsidRDefault="00C45D59" w:rsidP="004048D3">
            <w:pPr>
              <w:spacing w:after="0" w:line="240" w:lineRule="auto"/>
              <w:rPr>
                <w:rFonts w:ascii="Times New Roman" w:eastAsia="Times New Roman" w:hAnsi="Times New Roman" w:cs="Times New Roman"/>
                <w:noProof/>
                <w:color w:val="006100"/>
                <w:sz w:val="18"/>
                <w:szCs w:val="18"/>
              </w:rPr>
            </w:pPr>
          </w:p>
        </w:tc>
        <w:tc>
          <w:tcPr>
            <w:tcW w:w="992" w:type="dxa"/>
            <w:shd w:val="clear" w:color="auto" w:fill="C6EFCE"/>
          </w:tcPr>
          <w:p w14:paraId="6DC8CE27" w14:textId="77777777" w:rsidR="00C45D59" w:rsidRDefault="009B0962" w:rsidP="004048D3">
            <w:pPr>
              <w:pStyle w:val="P68B1DB1-Normal12"/>
              <w:spacing w:after="0" w:line="240" w:lineRule="auto"/>
              <w:rPr>
                <w:rFonts w:eastAsia="Times New Roman"/>
                <w:noProof/>
              </w:rPr>
            </w:pPr>
            <w:r>
              <w:rPr>
                <w:noProof/>
              </w:rPr>
              <w:t>Î4</w:t>
            </w:r>
          </w:p>
        </w:tc>
        <w:tc>
          <w:tcPr>
            <w:tcW w:w="723" w:type="dxa"/>
            <w:shd w:val="clear" w:color="auto" w:fill="C6EFCE"/>
            <w:noWrap/>
            <w:hideMark/>
          </w:tcPr>
          <w:p w14:paraId="4B9993FF" w14:textId="77777777" w:rsidR="00C45D59" w:rsidRDefault="009B0962" w:rsidP="004048D3">
            <w:pPr>
              <w:pStyle w:val="P68B1DB1-Normal12"/>
              <w:spacing w:after="0" w:line="240" w:lineRule="auto"/>
              <w:rPr>
                <w:rFonts w:eastAsia="Times New Roman"/>
                <w:noProof/>
              </w:rPr>
            </w:pPr>
            <w:r>
              <w:rPr>
                <w:noProof/>
              </w:rPr>
              <w:t>2025</w:t>
            </w:r>
          </w:p>
        </w:tc>
        <w:tc>
          <w:tcPr>
            <w:tcW w:w="3989" w:type="dxa"/>
            <w:shd w:val="clear" w:color="auto" w:fill="C6EFCE"/>
            <w:noWrap/>
            <w:hideMark/>
          </w:tcPr>
          <w:p w14:paraId="5DCF71C8" w14:textId="77777777" w:rsidR="00C45D59" w:rsidRDefault="009B0962" w:rsidP="004048D3">
            <w:pPr>
              <w:pStyle w:val="P68B1DB1-ListParagraph34"/>
              <w:numPr>
                <w:ilvl w:val="0"/>
                <w:numId w:val="39"/>
              </w:numPr>
              <w:spacing w:after="0" w:line="240" w:lineRule="auto"/>
              <w:ind w:left="203" w:hanging="203"/>
              <w:rPr>
                <w:noProof/>
              </w:rPr>
            </w:pPr>
            <w:r>
              <w:rPr>
                <w:noProof/>
              </w:rPr>
              <w:t>Intrarea în vigoare a capitolelor din Codul administrației locale unice referitoare la reglementarea aspectelor organizatorice și la reglementarea funcționării financiare și a cadrului de gestionare.</w:t>
            </w:r>
          </w:p>
          <w:p w14:paraId="7A4CDED1" w14:textId="77777777" w:rsidR="00C45D59" w:rsidRDefault="009B0962" w:rsidP="004048D3">
            <w:pPr>
              <w:pStyle w:val="P68B1DB1-ListParagraph34"/>
              <w:numPr>
                <w:ilvl w:val="0"/>
                <w:numId w:val="40"/>
              </w:numPr>
              <w:spacing w:after="0" w:line="240" w:lineRule="auto"/>
              <w:ind w:left="203" w:hanging="203"/>
              <w:rPr>
                <w:noProof/>
              </w:rPr>
            </w:pPr>
            <w:r>
              <w:rPr>
                <w:noProof/>
              </w:rPr>
              <w:t>Standardizarea metodologiei și a procedurilor de măsurare a sarcinilor administrative.</w:t>
            </w:r>
          </w:p>
          <w:p w14:paraId="720CFDF8" w14:textId="77777777" w:rsidR="00C45D59" w:rsidRDefault="009B0962" w:rsidP="004048D3">
            <w:pPr>
              <w:pStyle w:val="P68B1DB1-ListParagraph34"/>
              <w:numPr>
                <w:ilvl w:val="0"/>
                <w:numId w:val="40"/>
              </w:numPr>
              <w:ind w:left="203" w:hanging="203"/>
              <w:rPr>
                <w:noProof/>
              </w:rPr>
            </w:pPr>
            <w:r>
              <w:rPr>
                <w:noProof/>
              </w:rPr>
              <w:t>Stabilirea unui indice de măsurare a birocrației (IMC).</w:t>
            </w:r>
          </w:p>
          <w:p w14:paraId="777811A5" w14:textId="77777777" w:rsidR="00C45D59" w:rsidRDefault="009B0962" w:rsidP="004048D3">
            <w:pPr>
              <w:pStyle w:val="P68B1DB1-ListParagraph34"/>
              <w:numPr>
                <w:ilvl w:val="0"/>
                <w:numId w:val="40"/>
              </w:numPr>
              <w:spacing w:after="0" w:line="240" w:lineRule="auto"/>
              <w:ind w:left="203" w:hanging="203"/>
              <w:rPr>
                <w:noProof/>
              </w:rPr>
            </w:pPr>
            <w:r>
              <w:rPr>
                <w:noProof/>
              </w:rPr>
              <w:t>Instituirea unui mecanism de sprijinire a analizei impactului normativ.</w:t>
            </w:r>
          </w:p>
          <w:p w14:paraId="5449DF33" w14:textId="77777777" w:rsidR="00C45D59" w:rsidRDefault="009B0962" w:rsidP="004048D3">
            <w:pPr>
              <w:pStyle w:val="P68B1DB1-ListParagraph34"/>
              <w:numPr>
                <w:ilvl w:val="0"/>
                <w:numId w:val="40"/>
              </w:numPr>
              <w:spacing w:after="0" w:line="240" w:lineRule="auto"/>
              <w:ind w:left="203" w:hanging="203"/>
              <w:rPr>
                <w:rFonts w:eastAsia="Times New Roman"/>
                <w:noProof/>
              </w:rPr>
            </w:pPr>
            <w:r>
              <w:rPr>
                <w:noProof/>
              </w:rPr>
              <w:t>Publicarea măsurătorilor sarcinii administrative utilizând modelul costului standard.</w:t>
            </w:r>
          </w:p>
        </w:tc>
      </w:tr>
    </w:tbl>
    <w:p w14:paraId="17F76163" w14:textId="19A2AA21" w:rsidR="00C45D59" w:rsidRDefault="004048D3">
      <w:pPr>
        <w:spacing w:after="0" w:line="240" w:lineRule="auto"/>
        <w:rPr>
          <w:rFonts w:ascii="Cambria" w:hAnsi="Cambria"/>
          <w:noProof/>
          <w:color w:val="365F91"/>
          <w:sz w:val="24"/>
        </w:rPr>
        <w:sectPr w:rsidR="00C45D59">
          <w:headerReference w:type="even" r:id="rId138"/>
          <w:headerReference w:type="default" r:id="rId139"/>
          <w:footerReference w:type="even" r:id="rId140"/>
          <w:footerReference w:type="default" r:id="rId141"/>
          <w:headerReference w:type="first" r:id="rId142"/>
          <w:footerReference w:type="first" r:id="rId143"/>
          <w:pgSz w:w="16839" w:h="11907" w:orient="landscape"/>
          <w:pgMar w:top="1134" w:right="1134" w:bottom="1134" w:left="1134" w:header="567" w:footer="567" w:gutter="0"/>
          <w:cols w:space="720"/>
          <w:docGrid w:linePitch="360"/>
        </w:sectPr>
      </w:pPr>
      <w:r>
        <w:rPr>
          <w:rFonts w:ascii="Cambria" w:hAnsi="Cambria"/>
          <w:noProof/>
          <w:color w:val="365F91"/>
          <w:sz w:val="24"/>
        </w:rPr>
        <w:br w:type="textWrapping" w:clear="all"/>
      </w:r>
    </w:p>
    <w:p w14:paraId="085FDBB9" w14:textId="77777777" w:rsidR="00C45D59" w:rsidRDefault="009B0962">
      <w:pPr>
        <w:pStyle w:val="P68B1DB1-Normal9"/>
        <w:spacing w:after="0" w:line="240" w:lineRule="auto"/>
        <w:rPr>
          <w:noProof/>
        </w:rPr>
      </w:pPr>
      <w:r>
        <w:rPr>
          <w:noProof/>
        </w:rPr>
        <w:t>Grupul 9: Inițiative legate de îmbunătățirea serviciilor digitale securizate și orientate către client, utilizând sisteme informatice interoperabile și politici privind datele deschise</w:t>
      </w:r>
    </w:p>
    <w:p w14:paraId="607D09FE" w14:textId="77777777" w:rsidR="00C45D59" w:rsidRDefault="009B0962">
      <w:pPr>
        <w:pStyle w:val="P68B1DB1-Normal5"/>
        <w:spacing w:before="120" w:after="120" w:line="240" w:lineRule="auto"/>
        <w:ind w:left="709"/>
        <w:rPr>
          <w:rFonts w:cs="Times New Roman"/>
          <w:noProof/>
        </w:rPr>
      </w:pPr>
      <w:r>
        <w:rPr>
          <w:noProof/>
        </w:rPr>
        <w:t>Măsurile incluse în acest grup sunt:</w:t>
      </w:r>
    </w:p>
    <w:p w14:paraId="37F5418C" w14:textId="77777777" w:rsidR="00C45D59" w:rsidRDefault="009B0962">
      <w:pPr>
        <w:spacing w:before="120" w:after="120" w:line="240" w:lineRule="auto"/>
        <w:ind w:left="709"/>
        <w:rPr>
          <w:rFonts w:ascii="Times New Roman" w:hAnsi="Times New Roman" w:cs="Times New Roman"/>
          <w:noProof/>
          <w:sz w:val="24"/>
        </w:rPr>
      </w:pPr>
      <w:r>
        <w:rPr>
          <w:rFonts w:ascii="Times New Roman" w:hAnsi="Times New Roman"/>
          <w:noProof/>
          <w:sz w:val="24"/>
        </w:rPr>
        <w:t>●</w:t>
      </w:r>
      <w:r>
        <w:rPr>
          <w:noProof/>
        </w:rPr>
        <w:t xml:space="preserve"> </w:t>
      </w:r>
      <w:r>
        <w:rPr>
          <w:rFonts w:ascii="Times New Roman" w:hAnsi="Times New Roman"/>
          <w:noProof/>
          <w:sz w:val="24"/>
        </w:rPr>
        <w:t>Gestionarea relațiilor cu clienții pentru administrația publică (ID: 16810)</w:t>
      </w:r>
    </w:p>
    <w:p w14:paraId="56E05D64" w14:textId="77777777" w:rsidR="00C45D59" w:rsidRDefault="009B0962">
      <w:pPr>
        <w:spacing w:before="120" w:after="120" w:line="240" w:lineRule="auto"/>
        <w:ind w:left="709"/>
        <w:rPr>
          <w:rFonts w:ascii="Times New Roman" w:hAnsi="Times New Roman" w:cs="Times New Roman"/>
          <w:noProof/>
          <w:sz w:val="24"/>
          <w:szCs w:val="24"/>
        </w:rPr>
      </w:pPr>
      <w:r>
        <w:rPr>
          <w:rFonts w:ascii="Times New Roman" w:hAnsi="Times New Roman"/>
          <w:noProof/>
          <w:sz w:val="24"/>
          <w:szCs w:val="24"/>
        </w:rPr>
        <w:t>●</w:t>
      </w:r>
      <w:r>
        <w:rPr>
          <w:noProof/>
        </w:rPr>
        <w:t xml:space="preserve"> </w:t>
      </w:r>
      <w:r>
        <w:rPr>
          <w:rFonts w:ascii="Times New Roman" w:hAnsi="Times New Roman"/>
          <w:noProof/>
          <w:sz w:val="24"/>
          <w:szCs w:val="24"/>
        </w:rPr>
        <w:t>Modernizarea ghișeelor unice ale administrației publice (ID: 16780)</w:t>
      </w:r>
    </w:p>
    <w:p w14:paraId="786BB4BE" w14:textId="77777777" w:rsidR="00C45D59" w:rsidRDefault="009B0962">
      <w:pPr>
        <w:spacing w:before="120" w:after="120" w:line="240" w:lineRule="auto"/>
        <w:ind w:left="709"/>
        <w:rPr>
          <w:rFonts w:ascii="Times New Roman" w:hAnsi="Times New Roman" w:cs="Times New Roman"/>
          <w:noProof/>
          <w:sz w:val="24"/>
        </w:rPr>
      </w:pPr>
      <w:r>
        <w:rPr>
          <w:rFonts w:ascii="Times New Roman" w:hAnsi="Times New Roman"/>
          <w:noProof/>
          <w:sz w:val="24"/>
        </w:rPr>
        <w:t>●</w:t>
      </w:r>
      <w:r>
        <w:rPr>
          <w:noProof/>
        </w:rPr>
        <w:t xml:space="preserve"> </w:t>
      </w:r>
      <w:r>
        <w:rPr>
          <w:rFonts w:ascii="Times New Roman" w:hAnsi="Times New Roman"/>
          <w:noProof/>
          <w:sz w:val="24"/>
        </w:rPr>
        <w:t>Un nou sistem pentru achizițiile publice (ID: 16736)</w:t>
      </w:r>
    </w:p>
    <w:p w14:paraId="5701E10C" w14:textId="77777777" w:rsidR="00C45D59" w:rsidRDefault="009B0962">
      <w:pPr>
        <w:spacing w:before="120" w:after="120" w:line="240" w:lineRule="auto"/>
        <w:ind w:left="709"/>
        <w:rPr>
          <w:rFonts w:ascii="Times New Roman" w:hAnsi="Times New Roman" w:cs="Times New Roman"/>
          <w:noProof/>
          <w:sz w:val="24"/>
        </w:rPr>
      </w:pPr>
      <w:r>
        <w:rPr>
          <w:rFonts w:ascii="Times New Roman" w:hAnsi="Times New Roman"/>
          <w:noProof/>
          <w:sz w:val="24"/>
        </w:rPr>
        <w:t>●</w:t>
      </w:r>
      <w:r>
        <w:rPr>
          <w:noProof/>
        </w:rPr>
        <w:t xml:space="preserve"> </w:t>
      </w:r>
      <w:r>
        <w:rPr>
          <w:rFonts w:ascii="Times New Roman" w:hAnsi="Times New Roman"/>
          <w:noProof/>
          <w:sz w:val="24"/>
        </w:rPr>
        <w:t>Transformarea digitală a Ministerului Afacerilor Externe (ID: 16742)</w:t>
      </w:r>
    </w:p>
    <w:p w14:paraId="7E23654B" w14:textId="77777777" w:rsidR="00C45D59" w:rsidRDefault="009B0962">
      <w:pPr>
        <w:spacing w:before="120" w:after="120" w:line="240" w:lineRule="auto"/>
        <w:ind w:left="709"/>
        <w:rPr>
          <w:rFonts w:ascii="Times New Roman" w:hAnsi="Times New Roman" w:cs="Times New Roman"/>
          <w:noProof/>
          <w:sz w:val="24"/>
        </w:rPr>
      </w:pPr>
      <w:r>
        <w:rPr>
          <w:rFonts w:ascii="Times New Roman" w:hAnsi="Times New Roman"/>
          <w:noProof/>
          <w:sz w:val="24"/>
        </w:rPr>
        <w:t>●</w:t>
      </w:r>
      <w:r>
        <w:rPr>
          <w:noProof/>
        </w:rPr>
        <w:t xml:space="preserve"> </w:t>
      </w:r>
      <w:r>
        <w:rPr>
          <w:rFonts w:ascii="Times New Roman" w:hAnsi="Times New Roman"/>
          <w:noProof/>
          <w:sz w:val="24"/>
        </w:rPr>
        <w:t>Programe de actualizare a competențelor digitale pentru recruți (ID: 16826)</w:t>
      </w:r>
    </w:p>
    <w:p w14:paraId="2EF1E994" w14:textId="77777777" w:rsidR="00C45D59" w:rsidRDefault="009B0962">
      <w:pPr>
        <w:spacing w:before="120" w:after="120" w:line="240" w:lineRule="auto"/>
        <w:ind w:left="709"/>
        <w:rPr>
          <w:rFonts w:ascii="Times New Roman" w:hAnsi="Times New Roman" w:cs="Times New Roman"/>
          <w:noProof/>
          <w:sz w:val="24"/>
          <w:szCs w:val="24"/>
        </w:rPr>
      </w:pPr>
      <w:r>
        <w:rPr>
          <w:rFonts w:ascii="Times New Roman" w:hAnsi="Times New Roman"/>
          <w:noProof/>
          <w:sz w:val="24"/>
          <w:szCs w:val="24"/>
        </w:rPr>
        <w:t>●</w:t>
      </w:r>
      <w:r>
        <w:rPr>
          <w:noProof/>
        </w:rPr>
        <w:t xml:space="preserve"> </w:t>
      </w:r>
      <w:r>
        <w:rPr>
          <w:rFonts w:ascii="Times New Roman" w:hAnsi="Times New Roman"/>
          <w:noProof/>
          <w:sz w:val="24"/>
          <w:szCs w:val="24"/>
        </w:rPr>
        <w:t>Transformarea digitală a Organizației Naționale de Turism din Grecia (ID: 16791)</w:t>
      </w:r>
    </w:p>
    <w:p w14:paraId="119AAC02" w14:textId="77777777" w:rsidR="00C45D59" w:rsidRDefault="009B0962">
      <w:pPr>
        <w:spacing w:before="120" w:after="120" w:line="240" w:lineRule="auto"/>
        <w:ind w:left="709"/>
        <w:rPr>
          <w:rFonts w:ascii="Times New Roman" w:hAnsi="Times New Roman" w:cs="Times New Roman"/>
          <w:noProof/>
          <w:sz w:val="24"/>
          <w:szCs w:val="24"/>
        </w:rPr>
      </w:pPr>
      <w:r>
        <w:rPr>
          <w:rFonts w:ascii="Times New Roman" w:hAnsi="Times New Roman"/>
          <w:noProof/>
          <w:sz w:val="24"/>
          <w:szCs w:val="24"/>
        </w:rPr>
        <w:t>●</w:t>
      </w:r>
      <w:r>
        <w:rPr>
          <w:noProof/>
        </w:rPr>
        <w:t xml:space="preserve"> </w:t>
      </w:r>
      <w:r>
        <w:rPr>
          <w:rFonts w:ascii="Times New Roman" w:hAnsi="Times New Roman"/>
          <w:noProof/>
          <w:sz w:val="24"/>
          <w:szCs w:val="24"/>
        </w:rPr>
        <w:t>Strategia de securitate cibernetică și un Centru național de operațiuni de securitate cibernetică (ID: 16823)</w:t>
      </w:r>
    </w:p>
    <w:p w14:paraId="75C58903" w14:textId="77777777" w:rsidR="00C45D59" w:rsidRDefault="009B0962">
      <w:pPr>
        <w:spacing w:before="120" w:after="120" w:line="240" w:lineRule="auto"/>
        <w:ind w:left="709"/>
        <w:rPr>
          <w:rFonts w:ascii="Times New Roman" w:hAnsi="Times New Roman" w:cs="Times New Roman"/>
          <w:noProof/>
          <w:sz w:val="24"/>
          <w:szCs w:val="24"/>
        </w:rPr>
      </w:pPr>
      <w:r>
        <w:rPr>
          <w:rFonts w:ascii="Times New Roman" w:hAnsi="Times New Roman"/>
          <w:noProof/>
          <w:sz w:val="24"/>
          <w:szCs w:val="24"/>
        </w:rPr>
        <w:t>●</w:t>
      </w:r>
      <w:r>
        <w:rPr>
          <w:noProof/>
        </w:rPr>
        <w:t xml:space="preserve"> </w:t>
      </w:r>
      <w:r>
        <w:rPr>
          <w:rFonts w:ascii="Times New Roman" w:hAnsi="Times New Roman"/>
          <w:noProof/>
          <w:sz w:val="24"/>
          <w:szCs w:val="24"/>
        </w:rPr>
        <w:t>Servicii web și Centrul de interoperabilitate de nouă generație (KED) (ID: 16779)</w:t>
      </w:r>
    </w:p>
    <w:p w14:paraId="36263273" w14:textId="200F210E" w:rsidR="00C45D59" w:rsidRDefault="009B0962">
      <w:pPr>
        <w:spacing w:before="120" w:after="120" w:line="240" w:lineRule="auto"/>
        <w:ind w:left="709"/>
        <w:rPr>
          <w:rFonts w:ascii="Times New Roman" w:hAnsi="Times New Roman" w:cs="Times New Roman"/>
          <w:noProof/>
          <w:sz w:val="24"/>
        </w:rPr>
      </w:pPr>
      <w:r>
        <w:rPr>
          <w:rFonts w:ascii="Times New Roman" w:hAnsi="Times New Roman"/>
          <w:noProof/>
          <w:sz w:val="24"/>
        </w:rPr>
        <w:t>●</w:t>
      </w:r>
      <w:r>
        <w:rPr>
          <w:noProof/>
        </w:rPr>
        <w:t xml:space="preserve"> </w:t>
      </w:r>
      <w:r>
        <w:rPr>
          <w:rFonts w:ascii="Times New Roman" w:hAnsi="Times New Roman"/>
          <w:noProof/>
          <w:sz w:val="24"/>
        </w:rPr>
        <w:t>Registre electronice (ID: 16824)</w:t>
      </w:r>
    </w:p>
    <w:p w14:paraId="726A3114" w14:textId="77777777" w:rsidR="00C45D59" w:rsidRDefault="009B0962">
      <w:pPr>
        <w:spacing w:before="120" w:after="120" w:line="240" w:lineRule="auto"/>
        <w:ind w:left="709"/>
        <w:rPr>
          <w:rFonts w:ascii="Times New Roman" w:hAnsi="Times New Roman"/>
          <w:noProof/>
          <w:sz w:val="24"/>
        </w:rPr>
      </w:pPr>
      <w:r>
        <w:rPr>
          <w:rFonts w:ascii="Times New Roman" w:hAnsi="Times New Roman"/>
          <w:noProof/>
          <w:sz w:val="24"/>
          <w:szCs w:val="24"/>
        </w:rPr>
        <w:t>●</w:t>
      </w:r>
      <w:r>
        <w:rPr>
          <w:noProof/>
        </w:rPr>
        <w:t xml:space="preserve"> </w:t>
      </w:r>
      <w:r>
        <w:rPr>
          <w:rFonts w:ascii="Times New Roman" w:hAnsi="Times New Roman"/>
          <w:noProof/>
          <w:sz w:val="24"/>
        </w:rPr>
        <w:t>Sistemul central de gestionare a documentelor (ID: 16738)</w:t>
      </w:r>
    </w:p>
    <w:tbl>
      <w:tblPr>
        <w:tblpPr w:leftFromText="180" w:rightFromText="180" w:vertAnchor="text" w:tblpXSpec="center"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0"/>
        <w:gridCol w:w="1941"/>
        <w:gridCol w:w="1094"/>
        <w:gridCol w:w="1410"/>
        <w:gridCol w:w="1860"/>
        <w:gridCol w:w="1015"/>
        <w:gridCol w:w="875"/>
        <w:gridCol w:w="846"/>
        <w:gridCol w:w="982"/>
        <w:gridCol w:w="599"/>
        <w:gridCol w:w="3405"/>
      </w:tblGrid>
      <w:tr w:rsidR="00C45D59" w14:paraId="1DD4AF7D" w14:textId="77777777" w:rsidTr="004048D3">
        <w:trPr>
          <w:trHeight w:val="939"/>
          <w:tblHeader/>
        </w:trPr>
        <w:tc>
          <w:tcPr>
            <w:tcW w:w="778" w:type="dxa"/>
            <w:vMerge w:val="restart"/>
            <w:shd w:val="clear" w:color="auto" w:fill="BDD7EE"/>
            <w:vAlign w:val="center"/>
            <w:hideMark/>
          </w:tcPr>
          <w:p w14:paraId="6EE9BB28" w14:textId="1178F03D" w:rsidR="00C45D59" w:rsidRDefault="009B0962" w:rsidP="004048D3">
            <w:pPr>
              <w:pStyle w:val="P68B1DB1-Normal10"/>
              <w:spacing w:after="0" w:line="240" w:lineRule="auto"/>
              <w:jc w:val="center"/>
              <w:rPr>
                <w:rFonts w:eastAsia="Times New Roman" w:cs="Times New Roman"/>
                <w:bCs/>
                <w:noProof/>
                <w:szCs w:val="18"/>
              </w:rPr>
            </w:pPr>
            <w:r>
              <w:rPr>
                <w:noProof/>
              </w:rPr>
              <w:t>Nr</w:t>
            </w:r>
            <w:r w:rsidR="004048D3">
              <w:rPr>
                <w:noProof/>
              </w:rPr>
              <w:t>.</w:t>
            </w:r>
            <w:r>
              <w:rPr>
                <w:noProof/>
              </w:rPr>
              <w:t xml:space="preserve"> </w:t>
            </w:r>
            <w:r>
              <w:rPr>
                <w:noProof/>
              </w:rPr>
              <w:br/>
            </w:r>
            <w:r w:rsidR="004048D3">
              <w:rPr>
                <w:noProof/>
              </w:rPr>
              <w:t>crt</w:t>
            </w:r>
            <w:r>
              <w:rPr>
                <w:noProof/>
              </w:rPr>
              <w:t>.</w:t>
            </w:r>
          </w:p>
        </w:tc>
        <w:tc>
          <w:tcPr>
            <w:tcW w:w="1936" w:type="dxa"/>
            <w:vMerge w:val="restart"/>
            <w:shd w:val="clear" w:color="auto" w:fill="BDD7EE"/>
            <w:vAlign w:val="center"/>
            <w:hideMark/>
          </w:tcPr>
          <w:p w14:paraId="17BDE725" w14:textId="77777777" w:rsidR="00C45D59" w:rsidRDefault="009B0962" w:rsidP="004048D3">
            <w:pPr>
              <w:pStyle w:val="P68B1DB1-Normal10"/>
              <w:spacing w:after="0" w:line="240" w:lineRule="auto"/>
              <w:jc w:val="center"/>
              <w:rPr>
                <w:rFonts w:eastAsia="Times New Roman" w:cs="Times New Roman"/>
                <w:bCs/>
                <w:noProof/>
                <w:szCs w:val="18"/>
              </w:rPr>
            </w:pPr>
            <w:r>
              <w:rPr>
                <w:noProof/>
              </w:rPr>
              <w:t>Măsură conexă (reformă sau investiții)</w:t>
            </w:r>
          </w:p>
        </w:tc>
        <w:tc>
          <w:tcPr>
            <w:tcW w:w="1122" w:type="dxa"/>
            <w:vMerge w:val="restart"/>
            <w:shd w:val="clear" w:color="auto" w:fill="BDD7EE"/>
            <w:vAlign w:val="center"/>
            <w:hideMark/>
          </w:tcPr>
          <w:p w14:paraId="6B59226C" w14:textId="67A4FD98" w:rsidR="00C45D59" w:rsidRDefault="009B0962" w:rsidP="004048D3">
            <w:pPr>
              <w:pStyle w:val="P68B1DB1-Normal10"/>
              <w:spacing w:after="0" w:line="240" w:lineRule="auto"/>
              <w:jc w:val="center"/>
              <w:rPr>
                <w:rFonts w:eastAsia="Times New Roman" w:cs="Times New Roman"/>
                <w:bCs/>
                <w:noProof/>
                <w:szCs w:val="18"/>
              </w:rPr>
            </w:pPr>
            <w:r>
              <w:rPr>
                <w:noProof/>
              </w:rPr>
              <w:t>Etapă/</w:t>
            </w:r>
            <w:r w:rsidR="004048D3">
              <w:rPr>
                <w:noProof/>
              </w:rPr>
              <w:t xml:space="preserve"> </w:t>
            </w:r>
            <w:r>
              <w:rPr>
                <w:noProof/>
              </w:rPr>
              <w:t>Obiectiv</w:t>
            </w:r>
          </w:p>
        </w:tc>
        <w:tc>
          <w:tcPr>
            <w:tcW w:w="1448" w:type="dxa"/>
            <w:vMerge w:val="restart"/>
            <w:shd w:val="clear" w:color="auto" w:fill="BDD7EE"/>
            <w:vAlign w:val="center"/>
            <w:hideMark/>
          </w:tcPr>
          <w:p w14:paraId="558A7AF9" w14:textId="6110A6EE" w:rsidR="00C45D59" w:rsidRDefault="004048D3" w:rsidP="004048D3">
            <w:pPr>
              <w:pStyle w:val="P68B1DB1-Normal10"/>
              <w:spacing w:after="0" w:line="240" w:lineRule="auto"/>
              <w:jc w:val="center"/>
              <w:rPr>
                <w:rFonts w:eastAsia="Times New Roman" w:cs="Times New Roman"/>
                <w:bCs/>
                <w:noProof/>
                <w:szCs w:val="18"/>
              </w:rPr>
            </w:pPr>
            <w:r>
              <w:rPr>
                <w:noProof/>
              </w:rPr>
              <w:t>Denumire</w:t>
            </w:r>
          </w:p>
        </w:tc>
        <w:tc>
          <w:tcPr>
            <w:tcW w:w="1912" w:type="dxa"/>
            <w:vMerge w:val="restart"/>
            <w:shd w:val="clear" w:color="auto" w:fill="BDD7EE"/>
            <w:vAlign w:val="center"/>
            <w:hideMark/>
          </w:tcPr>
          <w:p w14:paraId="3C9C9878" w14:textId="77777777" w:rsidR="00C45D59" w:rsidRDefault="009B0962" w:rsidP="004048D3">
            <w:pPr>
              <w:pStyle w:val="P68B1DB1-Normal18"/>
              <w:spacing w:after="0" w:line="240" w:lineRule="auto"/>
              <w:jc w:val="center"/>
              <w:rPr>
                <w:rFonts w:ascii="Times New Roman" w:eastAsia="Times New Roman" w:hAnsi="Times New Roman" w:cs="Times New Roman"/>
                <w:bCs/>
                <w:noProof/>
                <w:szCs w:val="18"/>
              </w:rPr>
            </w:pPr>
            <w:r>
              <w:rPr>
                <w:rFonts w:ascii="Times New Roman" w:hAnsi="Times New Roman"/>
                <w:noProof/>
              </w:rPr>
              <w:t xml:space="preserve">Indicatori calitativi </w:t>
            </w:r>
            <w:r>
              <w:rPr>
                <w:rFonts w:ascii="Times New Roman" w:hAnsi="Times New Roman" w:cs="Times New Roman"/>
                <w:noProof/>
                <w:szCs w:val="18"/>
              </w:rPr>
              <w:br/>
            </w:r>
            <w:r>
              <w:rPr>
                <w:rFonts w:ascii="Times New Roman" w:hAnsi="Times New Roman"/>
                <w:noProof/>
              </w:rPr>
              <w:t xml:space="preserve"> (pentru jaloane)</w:t>
            </w:r>
          </w:p>
        </w:tc>
        <w:tc>
          <w:tcPr>
            <w:tcW w:w="2635" w:type="dxa"/>
            <w:gridSpan w:val="3"/>
            <w:shd w:val="clear" w:color="auto" w:fill="BDD7EE"/>
            <w:vAlign w:val="center"/>
            <w:hideMark/>
          </w:tcPr>
          <w:p w14:paraId="5E9210A7" w14:textId="77777777" w:rsidR="00C45D59" w:rsidRDefault="009B0962" w:rsidP="004048D3">
            <w:pPr>
              <w:pStyle w:val="P68B1DB1-Normal10"/>
              <w:spacing w:after="0" w:line="240" w:lineRule="auto"/>
              <w:jc w:val="center"/>
              <w:rPr>
                <w:rFonts w:eastAsia="Times New Roman" w:cs="Times New Roman"/>
                <w:bCs/>
                <w:noProof/>
                <w:szCs w:val="18"/>
              </w:rPr>
            </w:pPr>
            <w:r>
              <w:rPr>
                <w:noProof/>
              </w:rPr>
              <w:t>Indicatori cantitativi (pentru ținte)</w:t>
            </w:r>
          </w:p>
        </w:tc>
        <w:tc>
          <w:tcPr>
            <w:tcW w:w="1449" w:type="dxa"/>
            <w:gridSpan w:val="2"/>
            <w:shd w:val="clear" w:color="auto" w:fill="BDD7EE"/>
            <w:vAlign w:val="center"/>
            <w:hideMark/>
          </w:tcPr>
          <w:p w14:paraId="2495C770" w14:textId="77777777" w:rsidR="00C45D59" w:rsidRDefault="009B0962" w:rsidP="004048D3">
            <w:pPr>
              <w:pStyle w:val="P68B1DB1-Normal10"/>
              <w:spacing w:after="0" w:line="240" w:lineRule="auto"/>
              <w:jc w:val="center"/>
              <w:rPr>
                <w:rFonts w:eastAsia="Times New Roman" w:cs="Times New Roman"/>
                <w:bCs/>
                <w:noProof/>
                <w:szCs w:val="18"/>
              </w:rPr>
            </w:pPr>
            <w:r>
              <w:rPr>
                <w:noProof/>
              </w:rPr>
              <w:t xml:space="preserve">Calendar orientativ pentru finalizare </w:t>
            </w:r>
          </w:p>
        </w:tc>
        <w:tc>
          <w:tcPr>
            <w:tcW w:w="3507" w:type="dxa"/>
            <w:vMerge w:val="restart"/>
            <w:shd w:val="clear" w:color="auto" w:fill="BDD7EE"/>
            <w:vAlign w:val="center"/>
            <w:hideMark/>
          </w:tcPr>
          <w:p w14:paraId="2110D554" w14:textId="77777777" w:rsidR="00C45D59" w:rsidRDefault="009B0962" w:rsidP="004048D3">
            <w:pPr>
              <w:pStyle w:val="P68B1DB1-Normal10"/>
              <w:spacing w:after="0" w:line="240" w:lineRule="auto"/>
              <w:jc w:val="center"/>
              <w:rPr>
                <w:rFonts w:eastAsia="Times New Roman" w:cs="Times New Roman"/>
                <w:bCs/>
                <w:noProof/>
                <w:szCs w:val="18"/>
              </w:rPr>
            </w:pPr>
            <w:r>
              <w:rPr>
                <w:noProof/>
              </w:rPr>
              <w:t>Descrierea fiecărui jalon și a fiecărei ținte</w:t>
            </w:r>
          </w:p>
        </w:tc>
      </w:tr>
      <w:tr w:rsidR="00C45D59" w14:paraId="28920086" w14:textId="77777777" w:rsidTr="004048D3">
        <w:trPr>
          <w:trHeight w:val="462"/>
          <w:tblHeader/>
        </w:trPr>
        <w:tc>
          <w:tcPr>
            <w:tcW w:w="778" w:type="dxa"/>
            <w:vMerge/>
            <w:vAlign w:val="center"/>
            <w:hideMark/>
          </w:tcPr>
          <w:p w14:paraId="035D1C31" w14:textId="77777777" w:rsidR="00C45D59" w:rsidRDefault="00C45D59" w:rsidP="004048D3">
            <w:pPr>
              <w:spacing w:after="0" w:line="240" w:lineRule="auto"/>
              <w:rPr>
                <w:rFonts w:ascii="Times New Roman" w:eastAsia="Times New Roman" w:hAnsi="Times New Roman" w:cs="Times New Roman"/>
                <w:b/>
                <w:noProof/>
                <w:sz w:val="18"/>
                <w:szCs w:val="18"/>
              </w:rPr>
            </w:pPr>
          </w:p>
        </w:tc>
        <w:tc>
          <w:tcPr>
            <w:tcW w:w="1936" w:type="dxa"/>
            <w:vMerge/>
            <w:vAlign w:val="center"/>
            <w:hideMark/>
          </w:tcPr>
          <w:p w14:paraId="260F25BF" w14:textId="77777777" w:rsidR="00C45D59" w:rsidRDefault="00C45D59" w:rsidP="004048D3">
            <w:pPr>
              <w:spacing w:after="0" w:line="240" w:lineRule="auto"/>
              <w:rPr>
                <w:rFonts w:ascii="Times New Roman" w:eastAsia="Times New Roman" w:hAnsi="Times New Roman" w:cs="Times New Roman"/>
                <w:b/>
                <w:noProof/>
                <w:sz w:val="18"/>
                <w:szCs w:val="18"/>
              </w:rPr>
            </w:pPr>
          </w:p>
        </w:tc>
        <w:tc>
          <w:tcPr>
            <w:tcW w:w="1122" w:type="dxa"/>
            <w:vMerge/>
            <w:vAlign w:val="center"/>
            <w:hideMark/>
          </w:tcPr>
          <w:p w14:paraId="2E27CEBA" w14:textId="77777777" w:rsidR="00C45D59" w:rsidRDefault="00C45D59" w:rsidP="004048D3">
            <w:pPr>
              <w:spacing w:after="0" w:line="240" w:lineRule="auto"/>
              <w:rPr>
                <w:rFonts w:ascii="Times New Roman" w:eastAsia="Times New Roman" w:hAnsi="Times New Roman" w:cs="Times New Roman"/>
                <w:b/>
                <w:noProof/>
                <w:sz w:val="18"/>
                <w:szCs w:val="18"/>
              </w:rPr>
            </w:pPr>
          </w:p>
        </w:tc>
        <w:tc>
          <w:tcPr>
            <w:tcW w:w="1448" w:type="dxa"/>
            <w:vMerge/>
            <w:vAlign w:val="center"/>
            <w:hideMark/>
          </w:tcPr>
          <w:p w14:paraId="48329434" w14:textId="77777777" w:rsidR="00C45D59" w:rsidRDefault="00C45D59" w:rsidP="004048D3">
            <w:pPr>
              <w:spacing w:after="0" w:line="240" w:lineRule="auto"/>
              <w:rPr>
                <w:rFonts w:ascii="Times New Roman" w:eastAsia="Times New Roman" w:hAnsi="Times New Roman" w:cs="Times New Roman"/>
                <w:b/>
                <w:noProof/>
                <w:sz w:val="18"/>
                <w:szCs w:val="18"/>
              </w:rPr>
            </w:pPr>
          </w:p>
        </w:tc>
        <w:tc>
          <w:tcPr>
            <w:tcW w:w="1912" w:type="dxa"/>
            <w:vMerge/>
            <w:vAlign w:val="center"/>
            <w:hideMark/>
          </w:tcPr>
          <w:p w14:paraId="576C788A" w14:textId="77777777" w:rsidR="00C45D59" w:rsidRDefault="00C45D59" w:rsidP="004048D3">
            <w:pPr>
              <w:spacing w:after="0" w:line="240" w:lineRule="auto"/>
              <w:rPr>
                <w:rFonts w:ascii="Times New Roman" w:eastAsia="Times New Roman" w:hAnsi="Times New Roman" w:cs="Times New Roman"/>
                <w:b/>
                <w:noProof/>
                <w:sz w:val="18"/>
                <w:szCs w:val="18"/>
              </w:rPr>
            </w:pPr>
          </w:p>
        </w:tc>
        <w:tc>
          <w:tcPr>
            <w:tcW w:w="1041" w:type="dxa"/>
            <w:shd w:val="clear" w:color="auto" w:fill="BDD7EE"/>
            <w:vAlign w:val="center"/>
            <w:hideMark/>
          </w:tcPr>
          <w:p w14:paraId="77592451" w14:textId="77777777" w:rsidR="00C45D59" w:rsidRDefault="009B0962" w:rsidP="004048D3">
            <w:pPr>
              <w:pStyle w:val="P68B1DB1-Normal10"/>
              <w:spacing w:after="0" w:line="240" w:lineRule="auto"/>
              <w:jc w:val="center"/>
              <w:rPr>
                <w:rFonts w:eastAsia="Times New Roman" w:cs="Times New Roman"/>
                <w:bCs/>
                <w:noProof/>
                <w:szCs w:val="18"/>
              </w:rPr>
            </w:pPr>
            <w:r>
              <w:rPr>
                <w:noProof/>
              </w:rPr>
              <w:t>Unitatea de măsură</w:t>
            </w:r>
          </w:p>
        </w:tc>
        <w:tc>
          <w:tcPr>
            <w:tcW w:w="891" w:type="dxa"/>
            <w:shd w:val="clear" w:color="auto" w:fill="BDD7EE"/>
            <w:vAlign w:val="center"/>
            <w:hideMark/>
          </w:tcPr>
          <w:p w14:paraId="31D31DA1" w14:textId="77777777" w:rsidR="00C45D59" w:rsidRDefault="009B0962" w:rsidP="004048D3">
            <w:pPr>
              <w:pStyle w:val="P68B1DB1-Normal10"/>
              <w:spacing w:after="0" w:line="240" w:lineRule="auto"/>
              <w:jc w:val="center"/>
              <w:rPr>
                <w:rFonts w:eastAsia="Times New Roman" w:cs="Times New Roman"/>
                <w:bCs/>
                <w:noProof/>
                <w:szCs w:val="18"/>
              </w:rPr>
            </w:pPr>
            <w:r>
              <w:rPr>
                <w:noProof/>
              </w:rPr>
              <w:t xml:space="preserve">Situația de referință </w:t>
            </w:r>
          </w:p>
        </w:tc>
        <w:tc>
          <w:tcPr>
            <w:tcW w:w="703" w:type="dxa"/>
            <w:shd w:val="clear" w:color="auto" w:fill="BDD7EE"/>
            <w:vAlign w:val="center"/>
            <w:hideMark/>
          </w:tcPr>
          <w:p w14:paraId="0B247A0A" w14:textId="77777777" w:rsidR="00C45D59" w:rsidRDefault="009B0962" w:rsidP="004048D3">
            <w:pPr>
              <w:pStyle w:val="P68B1DB1-Normal10"/>
              <w:spacing w:after="0" w:line="240" w:lineRule="auto"/>
              <w:jc w:val="center"/>
              <w:rPr>
                <w:rFonts w:eastAsia="Times New Roman" w:cs="Times New Roman"/>
                <w:bCs/>
                <w:noProof/>
                <w:szCs w:val="18"/>
              </w:rPr>
            </w:pPr>
            <w:r>
              <w:rPr>
                <w:noProof/>
              </w:rPr>
              <w:t xml:space="preserve">Obiectiv </w:t>
            </w:r>
          </w:p>
        </w:tc>
        <w:tc>
          <w:tcPr>
            <w:tcW w:w="838" w:type="dxa"/>
            <w:shd w:val="clear" w:color="auto" w:fill="BDD7EE"/>
            <w:vAlign w:val="center"/>
            <w:hideMark/>
          </w:tcPr>
          <w:p w14:paraId="116A8F3A" w14:textId="77777777" w:rsidR="00C45D59" w:rsidRDefault="009B0962" w:rsidP="004048D3">
            <w:pPr>
              <w:pStyle w:val="P68B1DB1-Normal10"/>
              <w:spacing w:after="0" w:line="240" w:lineRule="auto"/>
              <w:jc w:val="center"/>
              <w:rPr>
                <w:rFonts w:eastAsia="Times New Roman" w:cs="Times New Roman"/>
                <w:bCs/>
                <w:noProof/>
                <w:szCs w:val="18"/>
              </w:rPr>
            </w:pPr>
            <w:r>
              <w:rPr>
                <w:noProof/>
              </w:rPr>
              <w:t>Trimestru</w:t>
            </w:r>
          </w:p>
        </w:tc>
        <w:tc>
          <w:tcPr>
            <w:tcW w:w="611" w:type="dxa"/>
            <w:shd w:val="clear" w:color="auto" w:fill="BDD7EE"/>
            <w:vAlign w:val="center"/>
            <w:hideMark/>
          </w:tcPr>
          <w:p w14:paraId="40056363" w14:textId="77777777" w:rsidR="00C45D59" w:rsidRDefault="009B0962" w:rsidP="004048D3">
            <w:pPr>
              <w:pStyle w:val="P68B1DB1-Normal10"/>
              <w:spacing w:after="0" w:line="240" w:lineRule="auto"/>
              <w:jc w:val="center"/>
              <w:rPr>
                <w:rFonts w:eastAsia="Times New Roman" w:cs="Times New Roman"/>
                <w:bCs/>
                <w:noProof/>
                <w:szCs w:val="18"/>
              </w:rPr>
            </w:pPr>
            <w:r>
              <w:rPr>
                <w:noProof/>
              </w:rPr>
              <w:t>Anul</w:t>
            </w:r>
          </w:p>
        </w:tc>
        <w:tc>
          <w:tcPr>
            <w:tcW w:w="3507" w:type="dxa"/>
            <w:vMerge/>
            <w:vAlign w:val="center"/>
            <w:hideMark/>
          </w:tcPr>
          <w:p w14:paraId="29C29319" w14:textId="77777777" w:rsidR="00C45D59" w:rsidRDefault="00C45D59" w:rsidP="004048D3">
            <w:pPr>
              <w:spacing w:after="0" w:line="240" w:lineRule="auto"/>
              <w:rPr>
                <w:rFonts w:ascii="Times New Roman" w:eastAsia="Times New Roman" w:hAnsi="Times New Roman" w:cs="Times New Roman"/>
                <w:b/>
                <w:noProof/>
                <w:sz w:val="18"/>
                <w:szCs w:val="18"/>
              </w:rPr>
            </w:pPr>
          </w:p>
        </w:tc>
      </w:tr>
      <w:tr w:rsidR="00C45D59" w14:paraId="4B223485" w14:textId="77777777" w:rsidTr="004048D3">
        <w:trPr>
          <w:trHeight w:val="313"/>
        </w:trPr>
        <w:tc>
          <w:tcPr>
            <w:tcW w:w="778" w:type="dxa"/>
            <w:shd w:val="clear" w:color="auto" w:fill="C6EFCE"/>
            <w:noWrap/>
          </w:tcPr>
          <w:p w14:paraId="042AD160" w14:textId="77777777" w:rsidR="00C45D59" w:rsidRDefault="009B0962" w:rsidP="004048D3">
            <w:pPr>
              <w:pStyle w:val="P68B1DB1-Normal12"/>
              <w:spacing w:after="0" w:line="240" w:lineRule="auto"/>
              <w:rPr>
                <w:rFonts w:eastAsia="Times New Roman"/>
                <w:noProof/>
              </w:rPr>
            </w:pPr>
            <w:r>
              <w:rPr>
                <w:noProof/>
              </w:rPr>
              <w:t>100</w:t>
            </w:r>
          </w:p>
        </w:tc>
        <w:tc>
          <w:tcPr>
            <w:tcW w:w="1936" w:type="dxa"/>
            <w:shd w:val="clear" w:color="auto" w:fill="C6EFCE"/>
            <w:noWrap/>
          </w:tcPr>
          <w:p w14:paraId="79AF084B" w14:textId="77777777" w:rsidR="00C45D59" w:rsidRDefault="009B0962" w:rsidP="004048D3">
            <w:pPr>
              <w:pStyle w:val="P68B1DB1-Normal12"/>
              <w:spacing w:after="0" w:line="240" w:lineRule="auto"/>
              <w:rPr>
                <w:noProof/>
              </w:rPr>
            </w:pPr>
            <w:r>
              <w:rPr>
                <w:noProof/>
              </w:rPr>
              <w:t>6-2.2. Modernizare – 16779_Interoperabilitate și dezvoltarea serviciilor web</w:t>
            </w:r>
          </w:p>
        </w:tc>
        <w:tc>
          <w:tcPr>
            <w:tcW w:w="1122" w:type="dxa"/>
            <w:shd w:val="clear" w:color="auto" w:fill="C6EFCE"/>
            <w:noWrap/>
          </w:tcPr>
          <w:p w14:paraId="4ADE1CD5" w14:textId="77777777" w:rsidR="00C45D59" w:rsidRDefault="009B0962" w:rsidP="004048D3">
            <w:pPr>
              <w:pStyle w:val="P68B1DB1-Normal12"/>
              <w:spacing w:after="0" w:line="240" w:lineRule="auto"/>
              <w:rPr>
                <w:rFonts w:eastAsia="Times New Roman"/>
                <w:noProof/>
              </w:rPr>
            </w:pPr>
            <w:r>
              <w:rPr>
                <w:noProof/>
              </w:rPr>
              <w:t>Etapă</w:t>
            </w:r>
          </w:p>
        </w:tc>
        <w:tc>
          <w:tcPr>
            <w:tcW w:w="1448" w:type="dxa"/>
            <w:shd w:val="clear" w:color="auto" w:fill="C6EFCE"/>
            <w:noWrap/>
          </w:tcPr>
          <w:p w14:paraId="4604ED52" w14:textId="77777777" w:rsidR="00C45D59" w:rsidRDefault="009B0962" w:rsidP="004048D3">
            <w:pPr>
              <w:pStyle w:val="P68B1DB1-Normal12"/>
              <w:spacing w:after="0" w:line="240" w:lineRule="auto"/>
              <w:rPr>
                <w:rFonts w:eastAsia="Times New Roman"/>
                <w:noProof/>
              </w:rPr>
            </w:pPr>
            <w:r>
              <w:rPr>
                <w:noProof/>
              </w:rPr>
              <w:t>Atribuirea contractului pentru proiectul de interoperabilitate și de dezvoltare a serviciilor web</w:t>
            </w:r>
          </w:p>
        </w:tc>
        <w:tc>
          <w:tcPr>
            <w:tcW w:w="1912" w:type="dxa"/>
            <w:shd w:val="clear" w:color="auto" w:fill="C6EFCE"/>
            <w:noWrap/>
          </w:tcPr>
          <w:p w14:paraId="461149BE" w14:textId="77777777" w:rsidR="00C45D59" w:rsidRDefault="009B0962" w:rsidP="004048D3">
            <w:pPr>
              <w:pStyle w:val="P68B1DB1-Normal12"/>
              <w:spacing w:after="0" w:line="240" w:lineRule="auto"/>
              <w:rPr>
                <w:rFonts w:eastAsia="Times New Roman"/>
                <w:noProof/>
              </w:rPr>
            </w:pPr>
            <w:r>
              <w:rPr>
                <w:noProof/>
              </w:rPr>
              <w:t>Notificarea atribuirii contractului</w:t>
            </w:r>
          </w:p>
        </w:tc>
        <w:tc>
          <w:tcPr>
            <w:tcW w:w="1041" w:type="dxa"/>
            <w:shd w:val="clear" w:color="auto" w:fill="C6EFCE"/>
            <w:noWrap/>
          </w:tcPr>
          <w:p w14:paraId="2046C788" w14:textId="77777777" w:rsidR="00C45D59" w:rsidRDefault="00C45D59" w:rsidP="004048D3">
            <w:pPr>
              <w:spacing w:after="0" w:line="240" w:lineRule="auto"/>
              <w:rPr>
                <w:rFonts w:ascii="Times New Roman" w:eastAsia="Times New Roman" w:hAnsi="Times New Roman" w:cs="Times New Roman"/>
                <w:noProof/>
                <w:color w:val="006100"/>
                <w:sz w:val="18"/>
                <w:szCs w:val="18"/>
              </w:rPr>
            </w:pPr>
          </w:p>
        </w:tc>
        <w:tc>
          <w:tcPr>
            <w:tcW w:w="891" w:type="dxa"/>
            <w:shd w:val="clear" w:color="auto" w:fill="C6EFCE"/>
            <w:noWrap/>
          </w:tcPr>
          <w:p w14:paraId="56616726" w14:textId="77777777" w:rsidR="00C45D59" w:rsidRDefault="00C45D59" w:rsidP="004048D3">
            <w:pPr>
              <w:spacing w:after="0" w:line="240" w:lineRule="auto"/>
              <w:rPr>
                <w:rFonts w:ascii="Times New Roman" w:eastAsia="Times New Roman" w:hAnsi="Times New Roman" w:cs="Times New Roman"/>
                <w:noProof/>
                <w:color w:val="006100"/>
                <w:sz w:val="18"/>
                <w:szCs w:val="18"/>
              </w:rPr>
            </w:pPr>
          </w:p>
        </w:tc>
        <w:tc>
          <w:tcPr>
            <w:tcW w:w="703" w:type="dxa"/>
            <w:shd w:val="clear" w:color="auto" w:fill="C6EFCE"/>
            <w:noWrap/>
          </w:tcPr>
          <w:p w14:paraId="71BF063A" w14:textId="77777777" w:rsidR="00C45D59" w:rsidRDefault="00C45D59" w:rsidP="004048D3">
            <w:pPr>
              <w:spacing w:after="0" w:line="240" w:lineRule="auto"/>
              <w:rPr>
                <w:rFonts w:ascii="Times New Roman" w:eastAsia="Times New Roman" w:hAnsi="Times New Roman" w:cs="Times New Roman"/>
                <w:noProof/>
                <w:color w:val="006100"/>
                <w:sz w:val="18"/>
                <w:szCs w:val="18"/>
              </w:rPr>
            </w:pPr>
          </w:p>
        </w:tc>
        <w:tc>
          <w:tcPr>
            <w:tcW w:w="838" w:type="dxa"/>
            <w:shd w:val="clear" w:color="auto" w:fill="C6EFCE"/>
            <w:noWrap/>
          </w:tcPr>
          <w:p w14:paraId="485ECEB7" w14:textId="77777777" w:rsidR="00C45D59" w:rsidRDefault="009B0962" w:rsidP="004048D3">
            <w:pPr>
              <w:pStyle w:val="P68B1DB1-Normal12"/>
              <w:spacing w:after="0" w:line="240" w:lineRule="auto"/>
              <w:rPr>
                <w:rFonts w:eastAsia="Times New Roman"/>
                <w:noProof/>
              </w:rPr>
            </w:pPr>
            <w:r>
              <w:rPr>
                <w:noProof/>
              </w:rPr>
              <w:t>Î4</w:t>
            </w:r>
          </w:p>
        </w:tc>
        <w:tc>
          <w:tcPr>
            <w:tcW w:w="611" w:type="dxa"/>
            <w:shd w:val="clear" w:color="auto" w:fill="C6EFCE"/>
            <w:noWrap/>
          </w:tcPr>
          <w:p w14:paraId="782D0ED4" w14:textId="77777777" w:rsidR="00C45D59" w:rsidRDefault="009B0962" w:rsidP="004048D3">
            <w:pPr>
              <w:pStyle w:val="P68B1DB1-Normal12"/>
              <w:spacing w:after="0" w:line="240" w:lineRule="auto"/>
              <w:rPr>
                <w:rFonts w:eastAsia="Times New Roman"/>
                <w:noProof/>
              </w:rPr>
            </w:pPr>
            <w:r>
              <w:rPr>
                <w:noProof/>
              </w:rPr>
              <w:t>2022</w:t>
            </w:r>
          </w:p>
        </w:tc>
        <w:tc>
          <w:tcPr>
            <w:tcW w:w="3507" w:type="dxa"/>
            <w:shd w:val="clear" w:color="auto" w:fill="C6EFCE"/>
            <w:noWrap/>
          </w:tcPr>
          <w:p w14:paraId="739EDEBD" w14:textId="77777777" w:rsidR="00C45D59" w:rsidRDefault="009B0962" w:rsidP="004048D3">
            <w:pPr>
              <w:pStyle w:val="P68B1DB1-Normal12"/>
              <w:spacing w:after="0" w:line="240" w:lineRule="auto"/>
              <w:rPr>
                <w:rFonts w:eastAsia="Times New Roman"/>
                <w:noProof/>
              </w:rPr>
            </w:pPr>
            <w:r>
              <w:rPr>
                <w:noProof/>
              </w:rPr>
              <w:t xml:space="preserve">Atribuirea contractului pentru proiectul de interoperabilitate și de dezvoltare a serviciilor web. </w:t>
            </w:r>
          </w:p>
          <w:p w14:paraId="30D3DF17" w14:textId="77777777" w:rsidR="00C45D59" w:rsidRDefault="009B0962" w:rsidP="004048D3">
            <w:pPr>
              <w:pStyle w:val="P68B1DB1-Normal12"/>
              <w:spacing w:after="0" w:line="240" w:lineRule="auto"/>
              <w:rPr>
                <w:rFonts w:eastAsia="Times New Roman"/>
                <w:noProof/>
              </w:rPr>
            </w:pPr>
            <w:r>
              <w:rPr>
                <w:noProof/>
              </w:rPr>
              <w:t>Ministerul/Secretariatul General al Sistemelor Informatice pentru Sectorul Public/Societatea Informațională SA examinează toate propunerile depuse și confirmă dacă cererile răspund în mod corespunzător solicitărilor RFP. La selectarea contractantului corespunzător, ministerul procedează la atribuirea contractului, care definește obligațiile, rolurile și responsabilitățile ambelor părți participante.</w:t>
            </w:r>
          </w:p>
        </w:tc>
      </w:tr>
      <w:tr w:rsidR="00C45D59" w14:paraId="5626FBBE" w14:textId="77777777" w:rsidTr="004048D3">
        <w:trPr>
          <w:trHeight w:val="313"/>
        </w:trPr>
        <w:tc>
          <w:tcPr>
            <w:tcW w:w="778" w:type="dxa"/>
            <w:shd w:val="clear" w:color="auto" w:fill="C6EFCE"/>
            <w:noWrap/>
          </w:tcPr>
          <w:p w14:paraId="7A45B0DF" w14:textId="77777777" w:rsidR="00C45D59" w:rsidRDefault="009B0962" w:rsidP="004048D3">
            <w:pPr>
              <w:pStyle w:val="P68B1DB1-Normal12"/>
              <w:spacing w:after="0" w:line="240" w:lineRule="auto"/>
              <w:rPr>
                <w:rFonts w:eastAsia="Times New Roman"/>
                <w:noProof/>
              </w:rPr>
            </w:pPr>
            <w:r>
              <w:rPr>
                <w:noProof/>
              </w:rPr>
              <w:t>101</w:t>
            </w:r>
          </w:p>
        </w:tc>
        <w:tc>
          <w:tcPr>
            <w:tcW w:w="1936" w:type="dxa"/>
            <w:shd w:val="clear" w:color="auto" w:fill="C6EFCE"/>
            <w:noWrap/>
          </w:tcPr>
          <w:p w14:paraId="5E9F640E" w14:textId="77777777" w:rsidR="00C45D59" w:rsidRDefault="009B0962" w:rsidP="004048D3">
            <w:pPr>
              <w:pStyle w:val="P68B1DB1-Normal12"/>
              <w:spacing w:after="0" w:line="240" w:lineRule="auto"/>
              <w:rPr>
                <w:rFonts w:eastAsia="Times New Roman"/>
                <w:noProof/>
              </w:rPr>
            </w:pPr>
            <w:r>
              <w:rPr>
                <w:noProof/>
              </w:rPr>
              <w:t>6-2.2. Modernizare – 16810_CRM pentru administrația publică</w:t>
            </w:r>
          </w:p>
        </w:tc>
        <w:tc>
          <w:tcPr>
            <w:tcW w:w="1122" w:type="dxa"/>
            <w:shd w:val="clear" w:color="auto" w:fill="C6EFCE"/>
            <w:noWrap/>
          </w:tcPr>
          <w:p w14:paraId="23CE4F78" w14:textId="77777777" w:rsidR="00C45D59" w:rsidRDefault="009B0962" w:rsidP="004048D3">
            <w:pPr>
              <w:pStyle w:val="P68B1DB1-Normal12"/>
              <w:spacing w:after="0" w:line="240" w:lineRule="auto"/>
              <w:rPr>
                <w:rFonts w:eastAsia="Times New Roman"/>
                <w:noProof/>
              </w:rPr>
            </w:pPr>
            <w:r>
              <w:rPr>
                <w:noProof/>
              </w:rPr>
              <w:t>Etapă</w:t>
            </w:r>
          </w:p>
        </w:tc>
        <w:tc>
          <w:tcPr>
            <w:tcW w:w="1448" w:type="dxa"/>
            <w:shd w:val="clear" w:color="auto" w:fill="C6EFCE"/>
            <w:noWrap/>
          </w:tcPr>
          <w:p w14:paraId="3CCB7507" w14:textId="77777777" w:rsidR="00C45D59" w:rsidRDefault="009B0962" w:rsidP="004048D3">
            <w:pPr>
              <w:pStyle w:val="P68B1DB1-Normal12"/>
              <w:spacing w:after="0" w:line="240" w:lineRule="auto"/>
              <w:rPr>
                <w:rFonts w:eastAsia="Times New Roman"/>
                <w:noProof/>
              </w:rPr>
            </w:pPr>
            <w:r>
              <w:rPr>
                <w:noProof/>
              </w:rPr>
              <w:t xml:space="preserve">Atribuirea contractelor pentru CRM pentru administrația publică </w:t>
            </w:r>
          </w:p>
        </w:tc>
        <w:tc>
          <w:tcPr>
            <w:tcW w:w="1912" w:type="dxa"/>
            <w:shd w:val="clear" w:color="auto" w:fill="C6EFCE"/>
            <w:noWrap/>
          </w:tcPr>
          <w:p w14:paraId="64555D7D" w14:textId="77777777" w:rsidR="00C45D59" w:rsidRDefault="009B0962" w:rsidP="004048D3">
            <w:pPr>
              <w:pStyle w:val="P68B1DB1-Normal12"/>
              <w:spacing w:after="0" w:line="240" w:lineRule="auto"/>
              <w:rPr>
                <w:rFonts w:eastAsia="Times New Roman"/>
                <w:noProof/>
              </w:rPr>
            </w:pPr>
            <w:r>
              <w:rPr>
                <w:noProof/>
              </w:rPr>
              <w:t>Notificarea atribuirii contractului</w:t>
            </w:r>
          </w:p>
        </w:tc>
        <w:tc>
          <w:tcPr>
            <w:tcW w:w="1041" w:type="dxa"/>
            <w:shd w:val="clear" w:color="auto" w:fill="C6EFCE"/>
            <w:noWrap/>
          </w:tcPr>
          <w:p w14:paraId="39F07D58" w14:textId="77777777" w:rsidR="00C45D59" w:rsidRDefault="00C45D59" w:rsidP="004048D3">
            <w:pPr>
              <w:spacing w:after="0" w:line="240" w:lineRule="auto"/>
              <w:rPr>
                <w:rFonts w:ascii="Times New Roman" w:eastAsia="Times New Roman" w:hAnsi="Times New Roman" w:cs="Times New Roman"/>
                <w:noProof/>
                <w:color w:val="006100"/>
                <w:sz w:val="18"/>
                <w:szCs w:val="18"/>
              </w:rPr>
            </w:pPr>
          </w:p>
        </w:tc>
        <w:tc>
          <w:tcPr>
            <w:tcW w:w="891" w:type="dxa"/>
            <w:shd w:val="clear" w:color="auto" w:fill="C6EFCE"/>
            <w:noWrap/>
          </w:tcPr>
          <w:p w14:paraId="5A057940" w14:textId="77777777" w:rsidR="00C45D59" w:rsidRDefault="00C45D59" w:rsidP="004048D3">
            <w:pPr>
              <w:spacing w:after="0" w:line="240" w:lineRule="auto"/>
              <w:rPr>
                <w:rFonts w:ascii="Times New Roman" w:eastAsia="Times New Roman" w:hAnsi="Times New Roman" w:cs="Times New Roman"/>
                <w:noProof/>
                <w:color w:val="006100"/>
                <w:sz w:val="18"/>
                <w:szCs w:val="18"/>
              </w:rPr>
            </w:pPr>
          </w:p>
        </w:tc>
        <w:tc>
          <w:tcPr>
            <w:tcW w:w="703" w:type="dxa"/>
            <w:shd w:val="clear" w:color="auto" w:fill="C6EFCE"/>
            <w:noWrap/>
          </w:tcPr>
          <w:p w14:paraId="1F0975C0" w14:textId="77777777" w:rsidR="00C45D59" w:rsidRDefault="00C45D59" w:rsidP="004048D3">
            <w:pPr>
              <w:spacing w:after="0" w:line="240" w:lineRule="auto"/>
              <w:rPr>
                <w:rFonts w:ascii="Times New Roman" w:eastAsia="Times New Roman" w:hAnsi="Times New Roman" w:cs="Times New Roman"/>
                <w:noProof/>
                <w:color w:val="006100"/>
                <w:sz w:val="18"/>
                <w:szCs w:val="18"/>
              </w:rPr>
            </w:pPr>
          </w:p>
        </w:tc>
        <w:tc>
          <w:tcPr>
            <w:tcW w:w="838" w:type="dxa"/>
            <w:shd w:val="clear" w:color="auto" w:fill="C6EFCE"/>
            <w:noWrap/>
          </w:tcPr>
          <w:p w14:paraId="48F716FF" w14:textId="77777777" w:rsidR="00C45D59" w:rsidRDefault="009B0962" w:rsidP="004048D3">
            <w:pPr>
              <w:pStyle w:val="P68B1DB1-Normal12"/>
              <w:spacing w:after="0" w:line="240" w:lineRule="auto"/>
              <w:rPr>
                <w:rFonts w:eastAsia="Times New Roman"/>
                <w:noProof/>
              </w:rPr>
            </w:pPr>
            <w:r>
              <w:rPr>
                <w:noProof/>
              </w:rPr>
              <w:t>Î4</w:t>
            </w:r>
          </w:p>
        </w:tc>
        <w:tc>
          <w:tcPr>
            <w:tcW w:w="611" w:type="dxa"/>
            <w:shd w:val="clear" w:color="auto" w:fill="C6EFCE"/>
            <w:noWrap/>
          </w:tcPr>
          <w:p w14:paraId="4A3A2315" w14:textId="77777777" w:rsidR="00C45D59" w:rsidRDefault="009B0962" w:rsidP="004048D3">
            <w:pPr>
              <w:pStyle w:val="P68B1DB1-Normal12"/>
              <w:spacing w:after="0" w:line="240" w:lineRule="auto"/>
              <w:rPr>
                <w:rFonts w:eastAsia="Times New Roman"/>
                <w:noProof/>
              </w:rPr>
            </w:pPr>
            <w:r>
              <w:rPr>
                <w:noProof/>
              </w:rPr>
              <w:t>2022</w:t>
            </w:r>
          </w:p>
        </w:tc>
        <w:tc>
          <w:tcPr>
            <w:tcW w:w="3507" w:type="dxa"/>
            <w:shd w:val="clear" w:color="auto" w:fill="C6EFCE"/>
            <w:noWrap/>
          </w:tcPr>
          <w:p w14:paraId="3360AC6E" w14:textId="77777777" w:rsidR="00C45D59" w:rsidRDefault="009B0962" w:rsidP="004048D3">
            <w:pPr>
              <w:pStyle w:val="P68B1DB1-Normal12"/>
              <w:spacing w:after="0" w:line="240" w:lineRule="auto"/>
              <w:rPr>
                <w:rFonts w:eastAsia="Times New Roman"/>
                <w:noProof/>
              </w:rPr>
            </w:pPr>
            <w:r>
              <w:rPr>
                <w:noProof/>
              </w:rPr>
              <w:t xml:space="preserve">Atribuirea contractului pentru CRM pentru administrația publică. Ministerul/Secretariatul General al Sistemelor Informatice pentru Sectorul Public/Societatea Informațională SA examinează toate propunerile depuse și confirmă dacă cererile răspund în mod corespunzător solicitărilor RFP. </w:t>
            </w:r>
          </w:p>
          <w:p w14:paraId="1EC3BC99" w14:textId="77777777" w:rsidR="00C45D59" w:rsidRDefault="009B0962" w:rsidP="004048D3">
            <w:pPr>
              <w:pStyle w:val="P68B1DB1-Normal12"/>
              <w:spacing w:after="0" w:line="240" w:lineRule="auto"/>
              <w:rPr>
                <w:rFonts w:eastAsia="Times New Roman"/>
                <w:noProof/>
              </w:rPr>
            </w:pPr>
            <w:r>
              <w:rPr>
                <w:noProof/>
              </w:rPr>
              <w:t>La selectarea partenerului extern adecvat, ministerul atribuie un contract care definește obligațiile, rolurile și responsabilitățile ambelor părți participante.</w:t>
            </w:r>
          </w:p>
        </w:tc>
      </w:tr>
      <w:tr w:rsidR="00C45D59" w14:paraId="2C71BB0A" w14:textId="77777777" w:rsidTr="004048D3">
        <w:trPr>
          <w:trHeight w:val="313"/>
        </w:trPr>
        <w:tc>
          <w:tcPr>
            <w:tcW w:w="778" w:type="dxa"/>
            <w:shd w:val="clear" w:color="auto" w:fill="C6EFCE"/>
            <w:noWrap/>
          </w:tcPr>
          <w:p w14:paraId="309490C6" w14:textId="77777777" w:rsidR="00C45D59" w:rsidRDefault="009B0962" w:rsidP="004048D3">
            <w:pPr>
              <w:pStyle w:val="P68B1DB1-Normal12"/>
              <w:spacing w:after="0" w:line="240" w:lineRule="auto"/>
              <w:rPr>
                <w:rFonts w:eastAsia="Times New Roman"/>
                <w:noProof/>
              </w:rPr>
            </w:pPr>
            <w:r>
              <w:rPr>
                <w:noProof/>
              </w:rPr>
              <w:t>102</w:t>
            </w:r>
          </w:p>
        </w:tc>
        <w:tc>
          <w:tcPr>
            <w:tcW w:w="1936" w:type="dxa"/>
            <w:shd w:val="clear" w:color="auto" w:fill="C6EFCE"/>
            <w:noWrap/>
          </w:tcPr>
          <w:p w14:paraId="4E82D338" w14:textId="77777777" w:rsidR="00C45D59" w:rsidRDefault="009B0962" w:rsidP="004048D3">
            <w:pPr>
              <w:pStyle w:val="P68B1DB1-Normal12"/>
              <w:spacing w:after="0" w:line="240" w:lineRule="auto"/>
              <w:rPr>
                <w:rFonts w:eastAsia="Times New Roman"/>
                <w:noProof/>
              </w:rPr>
            </w:pPr>
            <w:r>
              <w:rPr>
                <w:noProof/>
              </w:rPr>
              <w:t>6-2.2. Modernizare – 16780_Modernizarea ghișeelor unice ale administrației publice</w:t>
            </w:r>
          </w:p>
        </w:tc>
        <w:tc>
          <w:tcPr>
            <w:tcW w:w="1122" w:type="dxa"/>
            <w:shd w:val="clear" w:color="auto" w:fill="C6EFCE"/>
            <w:noWrap/>
          </w:tcPr>
          <w:p w14:paraId="0BEDFCA4" w14:textId="77777777" w:rsidR="00C45D59" w:rsidRDefault="009B0962" w:rsidP="004048D3">
            <w:pPr>
              <w:pStyle w:val="P68B1DB1-Normal12"/>
              <w:spacing w:after="0" w:line="240" w:lineRule="auto"/>
              <w:rPr>
                <w:rFonts w:eastAsia="Times New Roman"/>
                <w:noProof/>
              </w:rPr>
            </w:pPr>
            <w:r>
              <w:rPr>
                <w:noProof/>
              </w:rPr>
              <w:t>Etapă</w:t>
            </w:r>
          </w:p>
        </w:tc>
        <w:tc>
          <w:tcPr>
            <w:tcW w:w="1448" w:type="dxa"/>
            <w:shd w:val="clear" w:color="auto" w:fill="C6EFCE"/>
            <w:noWrap/>
          </w:tcPr>
          <w:p w14:paraId="4401C544" w14:textId="77777777" w:rsidR="00C45D59" w:rsidRDefault="009B0962" w:rsidP="004048D3">
            <w:pPr>
              <w:pStyle w:val="P68B1DB1-Normal12"/>
              <w:spacing w:after="0" w:line="240" w:lineRule="auto"/>
              <w:rPr>
                <w:rFonts w:eastAsia="Times New Roman"/>
                <w:noProof/>
              </w:rPr>
            </w:pPr>
            <w:r>
              <w:rPr>
                <w:noProof/>
              </w:rPr>
              <w:t>Atribuirea contractului pentru modernizarea în continuare a ghișeelor unice ale administrației publice</w:t>
            </w:r>
          </w:p>
        </w:tc>
        <w:tc>
          <w:tcPr>
            <w:tcW w:w="1912" w:type="dxa"/>
            <w:shd w:val="clear" w:color="auto" w:fill="C6EFCE"/>
            <w:noWrap/>
          </w:tcPr>
          <w:p w14:paraId="12F9A98F" w14:textId="77777777" w:rsidR="00C45D59" w:rsidRDefault="009B0962" w:rsidP="004048D3">
            <w:pPr>
              <w:pStyle w:val="P68B1DB1-Normal12"/>
              <w:spacing w:after="0" w:line="240" w:lineRule="auto"/>
              <w:rPr>
                <w:rFonts w:eastAsia="Times New Roman"/>
                <w:noProof/>
              </w:rPr>
            </w:pPr>
            <w:r>
              <w:rPr>
                <w:noProof/>
              </w:rPr>
              <w:t>Notificarea atribuirii contractului</w:t>
            </w:r>
          </w:p>
        </w:tc>
        <w:tc>
          <w:tcPr>
            <w:tcW w:w="1041" w:type="dxa"/>
            <w:shd w:val="clear" w:color="auto" w:fill="C6EFCE"/>
            <w:noWrap/>
          </w:tcPr>
          <w:p w14:paraId="0EEA7CFD" w14:textId="77777777" w:rsidR="00C45D59" w:rsidRDefault="00C45D59" w:rsidP="004048D3">
            <w:pPr>
              <w:spacing w:after="0" w:line="240" w:lineRule="auto"/>
              <w:rPr>
                <w:rFonts w:ascii="Times New Roman" w:eastAsia="Times New Roman" w:hAnsi="Times New Roman" w:cs="Times New Roman"/>
                <w:noProof/>
                <w:color w:val="006100"/>
                <w:sz w:val="18"/>
                <w:szCs w:val="18"/>
              </w:rPr>
            </w:pPr>
          </w:p>
        </w:tc>
        <w:tc>
          <w:tcPr>
            <w:tcW w:w="891" w:type="dxa"/>
            <w:shd w:val="clear" w:color="auto" w:fill="C6EFCE"/>
            <w:noWrap/>
          </w:tcPr>
          <w:p w14:paraId="54C9A590" w14:textId="77777777" w:rsidR="00C45D59" w:rsidRDefault="00C45D59" w:rsidP="004048D3">
            <w:pPr>
              <w:spacing w:after="0" w:line="240" w:lineRule="auto"/>
              <w:rPr>
                <w:rFonts w:ascii="Times New Roman" w:eastAsia="Times New Roman" w:hAnsi="Times New Roman" w:cs="Times New Roman"/>
                <w:noProof/>
                <w:color w:val="006100"/>
                <w:sz w:val="18"/>
                <w:szCs w:val="18"/>
              </w:rPr>
            </w:pPr>
          </w:p>
        </w:tc>
        <w:tc>
          <w:tcPr>
            <w:tcW w:w="703" w:type="dxa"/>
            <w:shd w:val="clear" w:color="auto" w:fill="C6EFCE"/>
            <w:noWrap/>
          </w:tcPr>
          <w:p w14:paraId="56E1733B" w14:textId="77777777" w:rsidR="00C45D59" w:rsidRDefault="00C45D59" w:rsidP="004048D3">
            <w:pPr>
              <w:spacing w:after="0" w:line="240" w:lineRule="auto"/>
              <w:rPr>
                <w:rFonts w:ascii="Times New Roman" w:eastAsia="Times New Roman" w:hAnsi="Times New Roman" w:cs="Times New Roman"/>
                <w:noProof/>
                <w:color w:val="006100"/>
                <w:sz w:val="18"/>
                <w:szCs w:val="18"/>
              </w:rPr>
            </w:pPr>
          </w:p>
        </w:tc>
        <w:tc>
          <w:tcPr>
            <w:tcW w:w="838" w:type="dxa"/>
            <w:shd w:val="clear" w:color="auto" w:fill="C6EFCE"/>
            <w:noWrap/>
          </w:tcPr>
          <w:p w14:paraId="220E8A2F" w14:textId="77777777" w:rsidR="00C45D59" w:rsidRDefault="009B0962" w:rsidP="004048D3">
            <w:pPr>
              <w:pStyle w:val="P68B1DB1-Normal12"/>
              <w:spacing w:after="0" w:line="240" w:lineRule="auto"/>
              <w:rPr>
                <w:rFonts w:eastAsia="Times New Roman"/>
                <w:noProof/>
              </w:rPr>
            </w:pPr>
            <w:r>
              <w:rPr>
                <w:noProof/>
              </w:rPr>
              <w:t>Î4</w:t>
            </w:r>
          </w:p>
        </w:tc>
        <w:tc>
          <w:tcPr>
            <w:tcW w:w="611" w:type="dxa"/>
            <w:shd w:val="clear" w:color="auto" w:fill="C6EFCE"/>
            <w:noWrap/>
          </w:tcPr>
          <w:p w14:paraId="22D7E832" w14:textId="77777777" w:rsidR="00C45D59" w:rsidRDefault="009B0962" w:rsidP="004048D3">
            <w:pPr>
              <w:pStyle w:val="P68B1DB1-Normal12"/>
              <w:spacing w:after="0" w:line="240" w:lineRule="auto"/>
              <w:rPr>
                <w:rFonts w:eastAsia="Times New Roman"/>
                <w:noProof/>
              </w:rPr>
            </w:pPr>
            <w:r>
              <w:rPr>
                <w:noProof/>
              </w:rPr>
              <w:t>2022</w:t>
            </w:r>
          </w:p>
        </w:tc>
        <w:tc>
          <w:tcPr>
            <w:tcW w:w="3507" w:type="dxa"/>
            <w:shd w:val="clear" w:color="auto" w:fill="C6EFCE"/>
            <w:noWrap/>
          </w:tcPr>
          <w:p w14:paraId="4FF385B4" w14:textId="77777777" w:rsidR="00C45D59" w:rsidRDefault="009B0962" w:rsidP="004048D3">
            <w:pPr>
              <w:pStyle w:val="P68B1DB1-Normal12"/>
              <w:spacing w:after="0" w:line="240" w:lineRule="auto"/>
              <w:rPr>
                <w:rFonts w:eastAsia="Times New Roman"/>
                <w:noProof/>
              </w:rPr>
            </w:pPr>
            <w:r>
              <w:rPr>
                <w:noProof/>
              </w:rPr>
              <w:t xml:space="preserve">Atribuirea contractului pentru modernizarea ghișeelor unice ale administrației publice. </w:t>
            </w:r>
          </w:p>
          <w:p w14:paraId="4C5D256E" w14:textId="77777777" w:rsidR="00C45D59" w:rsidRDefault="009B0962" w:rsidP="004048D3">
            <w:pPr>
              <w:pStyle w:val="P68B1DB1-Normal12"/>
              <w:spacing w:after="0" w:line="240" w:lineRule="auto"/>
              <w:rPr>
                <w:rFonts w:eastAsia="Times New Roman"/>
                <w:noProof/>
              </w:rPr>
            </w:pPr>
            <w:r>
              <w:rPr>
                <w:noProof/>
              </w:rPr>
              <w:t>Ministerul/Secretariatul General al Sistemelor Informatice pentru Sectorul Public/Societatea Informațională SA se asigură că toate propunerile depuse sunt examinate și confirmă dacă cererile răspund în mod corespunzător solicitărilor RFP. La selectarea partenerului extern adecvat, ministerul atribuie un contract care definește obligațiile, rolurile și responsabilitățile ambelor părți participante.</w:t>
            </w:r>
          </w:p>
        </w:tc>
      </w:tr>
      <w:tr w:rsidR="00C45D59" w14:paraId="58F050FA" w14:textId="77777777" w:rsidTr="004048D3">
        <w:trPr>
          <w:trHeight w:val="313"/>
        </w:trPr>
        <w:tc>
          <w:tcPr>
            <w:tcW w:w="778" w:type="dxa"/>
            <w:shd w:val="clear" w:color="auto" w:fill="C6EFCE"/>
            <w:noWrap/>
          </w:tcPr>
          <w:p w14:paraId="22212C73" w14:textId="77777777" w:rsidR="00C45D59" w:rsidRDefault="009B0962" w:rsidP="004048D3">
            <w:pPr>
              <w:pStyle w:val="P68B1DB1-Normal12"/>
              <w:spacing w:after="0" w:line="240" w:lineRule="auto"/>
              <w:rPr>
                <w:rFonts w:eastAsia="Times New Roman"/>
                <w:noProof/>
              </w:rPr>
            </w:pPr>
            <w:r>
              <w:rPr>
                <w:noProof/>
              </w:rPr>
              <w:t>103</w:t>
            </w:r>
          </w:p>
        </w:tc>
        <w:tc>
          <w:tcPr>
            <w:tcW w:w="1936" w:type="dxa"/>
            <w:shd w:val="clear" w:color="auto" w:fill="C6EFCE"/>
            <w:noWrap/>
          </w:tcPr>
          <w:p w14:paraId="6DB30BFF" w14:textId="77777777" w:rsidR="00C45D59" w:rsidRDefault="009B0962" w:rsidP="004048D3">
            <w:pPr>
              <w:pStyle w:val="P68B1DB1-Normal12"/>
              <w:spacing w:after="0" w:line="240" w:lineRule="auto"/>
              <w:rPr>
                <w:rFonts w:eastAsia="Times New Roman"/>
                <w:noProof/>
              </w:rPr>
            </w:pPr>
            <w:r>
              <w:rPr>
                <w:noProof/>
              </w:rPr>
              <w:t>6-2.2. Modernizare – 16736_Noul sistem de achiziții publice</w:t>
            </w:r>
          </w:p>
        </w:tc>
        <w:tc>
          <w:tcPr>
            <w:tcW w:w="1122" w:type="dxa"/>
            <w:shd w:val="clear" w:color="auto" w:fill="C6EFCE"/>
            <w:noWrap/>
          </w:tcPr>
          <w:p w14:paraId="08E015C6" w14:textId="77777777" w:rsidR="00C45D59" w:rsidRDefault="009B0962" w:rsidP="004048D3">
            <w:pPr>
              <w:pStyle w:val="P68B1DB1-Normal12"/>
              <w:spacing w:after="0" w:line="240" w:lineRule="auto"/>
              <w:rPr>
                <w:rFonts w:eastAsia="Times New Roman"/>
                <w:noProof/>
              </w:rPr>
            </w:pPr>
            <w:r>
              <w:rPr>
                <w:noProof/>
              </w:rPr>
              <w:t>Etapă</w:t>
            </w:r>
          </w:p>
        </w:tc>
        <w:tc>
          <w:tcPr>
            <w:tcW w:w="1448" w:type="dxa"/>
            <w:shd w:val="clear" w:color="auto" w:fill="C6EFCE"/>
            <w:noWrap/>
          </w:tcPr>
          <w:p w14:paraId="17B00235" w14:textId="77777777" w:rsidR="00C45D59" w:rsidRDefault="009B0962" w:rsidP="004048D3">
            <w:pPr>
              <w:pStyle w:val="P68B1DB1-Normal12"/>
              <w:spacing w:after="0" w:line="240" w:lineRule="auto"/>
              <w:rPr>
                <w:rFonts w:eastAsia="Times New Roman"/>
                <w:noProof/>
              </w:rPr>
            </w:pPr>
            <w:r>
              <w:rPr>
                <w:noProof/>
              </w:rPr>
              <w:t>Atribuirea contractelor pentru noul sistem de achiziții publice</w:t>
            </w:r>
          </w:p>
        </w:tc>
        <w:tc>
          <w:tcPr>
            <w:tcW w:w="1912" w:type="dxa"/>
            <w:shd w:val="clear" w:color="auto" w:fill="C6EFCE"/>
            <w:noWrap/>
          </w:tcPr>
          <w:p w14:paraId="56516459" w14:textId="77777777" w:rsidR="00C45D59" w:rsidRDefault="009B0962" w:rsidP="004048D3">
            <w:pPr>
              <w:pStyle w:val="P68B1DB1-Normal12"/>
              <w:spacing w:after="0" w:line="240" w:lineRule="auto"/>
              <w:rPr>
                <w:rFonts w:eastAsia="Times New Roman"/>
                <w:noProof/>
              </w:rPr>
            </w:pPr>
            <w:r>
              <w:rPr>
                <w:noProof/>
              </w:rPr>
              <w:t>Notificarea atribuirii contractului</w:t>
            </w:r>
          </w:p>
        </w:tc>
        <w:tc>
          <w:tcPr>
            <w:tcW w:w="1041" w:type="dxa"/>
            <w:shd w:val="clear" w:color="auto" w:fill="C6EFCE"/>
            <w:noWrap/>
          </w:tcPr>
          <w:p w14:paraId="0B8393E9" w14:textId="77777777" w:rsidR="00C45D59" w:rsidRDefault="00C45D59" w:rsidP="004048D3">
            <w:pPr>
              <w:spacing w:after="0" w:line="240" w:lineRule="auto"/>
              <w:rPr>
                <w:rFonts w:ascii="Times New Roman" w:eastAsia="Times New Roman" w:hAnsi="Times New Roman" w:cs="Times New Roman"/>
                <w:noProof/>
                <w:color w:val="006100"/>
                <w:sz w:val="18"/>
                <w:szCs w:val="18"/>
              </w:rPr>
            </w:pPr>
          </w:p>
        </w:tc>
        <w:tc>
          <w:tcPr>
            <w:tcW w:w="891" w:type="dxa"/>
            <w:shd w:val="clear" w:color="auto" w:fill="C6EFCE"/>
            <w:noWrap/>
          </w:tcPr>
          <w:p w14:paraId="51CE027F" w14:textId="77777777" w:rsidR="00C45D59" w:rsidRDefault="00C45D59" w:rsidP="004048D3">
            <w:pPr>
              <w:spacing w:after="0" w:line="240" w:lineRule="auto"/>
              <w:rPr>
                <w:rFonts w:ascii="Times New Roman" w:eastAsia="Times New Roman" w:hAnsi="Times New Roman" w:cs="Times New Roman"/>
                <w:noProof/>
                <w:color w:val="006100"/>
                <w:sz w:val="18"/>
                <w:szCs w:val="18"/>
              </w:rPr>
            </w:pPr>
          </w:p>
        </w:tc>
        <w:tc>
          <w:tcPr>
            <w:tcW w:w="703" w:type="dxa"/>
            <w:shd w:val="clear" w:color="auto" w:fill="C6EFCE"/>
            <w:noWrap/>
          </w:tcPr>
          <w:p w14:paraId="6742AC75" w14:textId="77777777" w:rsidR="00C45D59" w:rsidRDefault="00C45D59" w:rsidP="004048D3">
            <w:pPr>
              <w:spacing w:after="0" w:line="240" w:lineRule="auto"/>
              <w:rPr>
                <w:rFonts w:ascii="Times New Roman" w:eastAsia="Times New Roman" w:hAnsi="Times New Roman" w:cs="Times New Roman"/>
                <w:noProof/>
                <w:color w:val="006100"/>
                <w:sz w:val="18"/>
                <w:szCs w:val="18"/>
              </w:rPr>
            </w:pPr>
          </w:p>
        </w:tc>
        <w:tc>
          <w:tcPr>
            <w:tcW w:w="838" w:type="dxa"/>
            <w:shd w:val="clear" w:color="auto" w:fill="C6EFCE"/>
            <w:noWrap/>
          </w:tcPr>
          <w:p w14:paraId="03DEFB0B" w14:textId="77777777" w:rsidR="00C45D59" w:rsidRDefault="009B0962" w:rsidP="004048D3">
            <w:pPr>
              <w:pStyle w:val="P68B1DB1-Normal12"/>
              <w:spacing w:after="0" w:line="240" w:lineRule="auto"/>
              <w:rPr>
                <w:rFonts w:eastAsia="Times New Roman"/>
                <w:noProof/>
              </w:rPr>
            </w:pPr>
            <w:r>
              <w:rPr>
                <w:noProof/>
              </w:rPr>
              <w:t>Î4</w:t>
            </w:r>
          </w:p>
        </w:tc>
        <w:tc>
          <w:tcPr>
            <w:tcW w:w="611" w:type="dxa"/>
            <w:shd w:val="clear" w:color="auto" w:fill="C6EFCE"/>
            <w:noWrap/>
          </w:tcPr>
          <w:p w14:paraId="1C51961C" w14:textId="77777777" w:rsidR="00C45D59" w:rsidRDefault="009B0962" w:rsidP="004048D3">
            <w:pPr>
              <w:pStyle w:val="P68B1DB1-Normal12"/>
              <w:spacing w:after="0" w:line="240" w:lineRule="auto"/>
              <w:rPr>
                <w:rFonts w:eastAsia="Times New Roman"/>
                <w:noProof/>
              </w:rPr>
            </w:pPr>
            <w:r>
              <w:rPr>
                <w:noProof/>
              </w:rPr>
              <w:t>2022</w:t>
            </w:r>
          </w:p>
        </w:tc>
        <w:tc>
          <w:tcPr>
            <w:tcW w:w="3507" w:type="dxa"/>
            <w:shd w:val="clear" w:color="auto" w:fill="C6EFCE"/>
            <w:noWrap/>
          </w:tcPr>
          <w:p w14:paraId="00F88419" w14:textId="77777777" w:rsidR="00C45D59" w:rsidRDefault="009B0962" w:rsidP="004048D3">
            <w:pPr>
              <w:pStyle w:val="P68B1DB1-Normal12"/>
              <w:spacing w:after="0" w:line="240" w:lineRule="auto"/>
              <w:rPr>
                <w:noProof/>
              </w:rPr>
            </w:pPr>
            <w:r>
              <w:rPr>
                <w:noProof/>
              </w:rPr>
              <w:t>Atribuirea contractului pentru noul sistem de achiziții publice al proiectului. Ministerul/Secretariatul General al Sistemelor Informatice pentru Sectorul Public/Societatea Informațională SA examinează toate propunerile depuse și confirmă dacă cererile răspund în mod corespunzător solicitărilor RfP. La selectarea contractantului corespunzător, organismul responsabil procedează la atribuirea contractului, care definește obligațiile, rolurile și responsabilitățile ambelor părți participante.</w:t>
            </w:r>
          </w:p>
        </w:tc>
      </w:tr>
      <w:tr w:rsidR="00C45D59" w14:paraId="78E8E8CF" w14:textId="77777777" w:rsidTr="004048D3">
        <w:trPr>
          <w:trHeight w:val="313"/>
        </w:trPr>
        <w:tc>
          <w:tcPr>
            <w:tcW w:w="778" w:type="dxa"/>
            <w:shd w:val="clear" w:color="auto" w:fill="C6EFCE"/>
            <w:noWrap/>
          </w:tcPr>
          <w:p w14:paraId="165F72DF" w14:textId="77777777" w:rsidR="00C45D59" w:rsidRDefault="009B0962" w:rsidP="004048D3">
            <w:pPr>
              <w:pStyle w:val="P68B1DB1-Normal12"/>
              <w:spacing w:after="0" w:line="240" w:lineRule="auto"/>
              <w:rPr>
                <w:rFonts w:eastAsia="Times New Roman"/>
                <w:noProof/>
              </w:rPr>
            </w:pPr>
            <w:r>
              <w:rPr>
                <w:noProof/>
              </w:rPr>
              <w:t>104</w:t>
            </w:r>
          </w:p>
        </w:tc>
        <w:tc>
          <w:tcPr>
            <w:tcW w:w="1936" w:type="dxa"/>
            <w:shd w:val="clear" w:color="auto" w:fill="C6EFCE"/>
            <w:noWrap/>
          </w:tcPr>
          <w:p w14:paraId="66C6911A" w14:textId="77777777" w:rsidR="00C45D59" w:rsidRDefault="009B0962" w:rsidP="004048D3">
            <w:pPr>
              <w:pStyle w:val="P68B1DB1-Normal12"/>
              <w:spacing w:after="0" w:line="240" w:lineRule="auto"/>
              <w:rPr>
                <w:rFonts w:eastAsia="Times New Roman"/>
                <w:noProof/>
              </w:rPr>
            </w:pPr>
            <w:r>
              <w:rPr>
                <w:noProof/>
              </w:rPr>
              <w:t>6-2.2. Modernizare – 16823_Strategia și politicile de securitate cibernetică pentru sectorul public &amp; servicii de securitate avansate pentru infrastructurile critice naționale</w:t>
            </w:r>
          </w:p>
        </w:tc>
        <w:tc>
          <w:tcPr>
            <w:tcW w:w="1122" w:type="dxa"/>
            <w:shd w:val="clear" w:color="auto" w:fill="C6EFCE"/>
            <w:noWrap/>
          </w:tcPr>
          <w:p w14:paraId="6AB98635" w14:textId="77777777" w:rsidR="00C45D59" w:rsidRDefault="009B0962" w:rsidP="004048D3">
            <w:pPr>
              <w:pStyle w:val="P68B1DB1-Normal12"/>
              <w:spacing w:after="0" w:line="240" w:lineRule="auto"/>
              <w:rPr>
                <w:rFonts w:eastAsia="Times New Roman"/>
                <w:noProof/>
              </w:rPr>
            </w:pPr>
            <w:r>
              <w:rPr>
                <w:noProof/>
              </w:rPr>
              <w:t>Etapă</w:t>
            </w:r>
          </w:p>
        </w:tc>
        <w:tc>
          <w:tcPr>
            <w:tcW w:w="1448" w:type="dxa"/>
            <w:shd w:val="clear" w:color="auto" w:fill="C6EFCE"/>
            <w:noWrap/>
          </w:tcPr>
          <w:p w14:paraId="6A5E9171" w14:textId="77777777" w:rsidR="00C45D59" w:rsidRDefault="009B0962" w:rsidP="004048D3">
            <w:pPr>
              <w:pStyle w:val="P68B1DB1-Normal12"/>
              <w:spacing w:after="0" w:line="240" w:lineRule="auto"/>
              <w:rPr>
                <w:rFonts w:eastAsia="Times New Roman"/>
                <w:noProof/>
              </w:rPr>
            </w:pPr>
            <w:r>
              <w:rPr>
                <w:noProof/>
              </w:rPr>
              <w:t>Atribuirea contractelor pentru strategia de securitate cibernetică</w:t>
            </w:r>
          </w:p>
        </w:tc>
        <w:tc>
          <w:tcPr>
            <w:tcW w:w="1912" w:type="dxa"/>
            <w:shd w:val="clear" w:color="auto" w:fill="C6EFCE"/>
            <w:noWrap/>
          </w:tcPr>
          <w:p w14:paraId="48FE955C" w14:textId="77777777" w:rsidR="00C45D59" w:rsidRDefault="009B0962" w:rsidP="004048D3">
            <w:pPr>
              <w:pStyle w:val="P68B1DB1-Normal12"/>
              <w:spacing w:after="0" w:line="240" w:lineRule="auto"/>
              <w:rPr>
                <w:rFonts w:eastAsia="Times New Roman"/>
                <w:noProof/>
              </w:rPr>
            </w:pPr>
            <w:r>
              <w:rPr>
                <w:noProof/>
              </w:rPr>
              <w:t>Notificarea atribuirii contractului</w:t>
            </w:r>
          </w:p>
        </w:tc>
        <w:tc>
          <w:tcPr>
            <w:tcW w:w="1041" w:type="dxa"/>
            <w:shd w:val="clear" w:color="auto" w:fill="C6EFCE"/>
            <w:noWrap/>
          </w:tcPr>
          <w:p w14:paraId="69B4C72E" w14:textId="77777777" w:rsidR="00C45D59" w:rsidRDefault="00C45D59" w:rsidP="004048D3">
            <w:pPr>
              <w:spacing w:after="0" w:line="240" w:lineRule="auto"/>
              <w:rPr>
                <w:rFonts w:ascii="Times New Roman" w:eastAsia="Times New Roman" w:hAnsi="Times New Roman" w:cs="Times New Roman"/>
                <w:noProof/>
                <w:color w:val="006100"/>
                <w:sz w:val="18"/>
                <w:szCs w:val="18"/>
              </w:rPr>
            </w:pPr>
          </w:p>
        </w:tc>
        <w:tc>
          <w:tcPr>
            <w:tcW w:w="891" w:type="dxa"/>
            <w:shd w:val="clear" w:color="auto" w:fill="C6EFCE"/>
            <w:noWrap/>
          </w:tcPr>
          <w:p w14:paraId="574A2AF8" w14:textId="77777777" w:rsidR="00C45D59" w:rsidRDefault="00C45D59" w:rsidP="004048D3">
            <w:pPr>
              <w:spacing w:after="0" w:line="240" w:lineRule="auto"/>
              <w:rPr>
                <w:rFonts w:ascii="Times New Roman" w:eastAsia="Times New Roman" w:hAnsi="Times New Roman" w:cs="Times New Roman"/>
                <w:noProof/>
                <w:color w:val="006100"/>
                <w:sz w:val="18"/>
                <w:szCs w:val="18"/>
              </w:rPr>
            </w:pPr>
          </w:p>
        </w:tc>
        <w:tc>
          <w:tcPr>
            <w:tcW w:w="703" w:type="dxa"/>
            <w:shd w:val="clear" w:color="auto" w:fill="C6EFCE"/>
            <w:noWrap/>
          </w:tcPr>
          <w:p w14:paraId="535F3E37" w14:textId="77777777" w:rsidR="00C45D59" w:rsidRDefault="00C45D59" w:rsidP="004048D3">
            <w:pPr>
              <w:spacing w:after="0" w:line="240" w:lineRule="auto"/>
              <w:rPr>
                <w:rFonts w:ascii="Times New Roman" w:eastAsia="Times New Roman" w:hAnsi="Times New Roman" w:cs="Times New Roman"/>
                <w:noProof/>
                <w:color w:val="006100"/>
                <w:sz w:val="18"/>
                <w:szCs w:val="18"/>
              </w:rPr>
            </w:pPr>
          </w:p>
        </w:tc>
        <w:tc>
          <w:tcPr>
            <w:tcW w:w="838" w:type="dxa"/>
            <w:shd w:val="clear" w:color="auto" w:fill="C6EFCE"/>
            <w:noWrap/>
          </w:tcPr>
          <w:p w14:paraId="07E2A0D2" w14:textId="77777777" w:rsidR="00C45D59" w:rsidRDefault="009B0962" w:rsidP="004048D3">
            <w:pPr>
              <w:pStyle w:val="P68B1DB1-Normal12"/>
              <w:spacing w:after="0" w:line="240" w:lineRule="auto"/>
              <w:rPr>
                <w:rFonts w:eastAsia="Times New Roman"/>
                <w:noProof/>
              </w:rPr>
            </w:pPr>
            <w:r>
              <w:rPr>
                <w:noProof/>
              </w:rPr>
              <w:t>Î4</w:t>
            </w:r>
          </w:p>
        </w:tc>
        <w:tc>
          <w:tcPr>
            <w:tcW w:w="611" w:type="dxa"/>
            <w:shd w:val="clear" w:color="auto" w:fill="C6EFCE"/>
            <w:noWrap/>
          </w:tcPr>
          <w:p w14:paraId="1C404DCA" w14:textId="77777777" w:rsidR="00C45D59" w:rsidRDefault="009B0962" w:rsidP="004048D3">
            <w:pPr>
              <w:pStyle w:val="P68B1DB1-Normal12"/>
              <w:spacing w:after="0" w:line="240" w:lineRule="auto"/>
              <w:rPr>
                <w:rFonts w:eastAsia="Times New Roman"/>
                <w:noProof/>
              </w:rPr>
            </w:pPr>
            <w:r>
              <w:rPr>
                <w:noProof/>
              </w:rPr>
              <w:t>2022</w:t>
            </w:r>
          </w:p>
        </w:tc>
        <w:tc>
          <w:tcPr>
            <w:tcW w:w="3507" w:type="dxa"/>
            <w:shd w:val="clear" w:color="auto" w:fill="C6EFCE"/>
            <w:noWrap/>
          </w:tcPr>
          <w:p w14:paraId="69F50C62" w14:textId="77777777" w:rsidR="00C45D59" w:rsidRDefault="009B0962" w:rsidP="004048D3">
            <w:pPr>
              <w:pStyle w:val="P68B1DB1-Normal12"/>
              <w:spacing w:after="0" w:line="240" w:lineRule="auto"/>
              <w:rPr>
                <w:rFonts w:eastAsia="Times New Roman"/>
                <w:noProof/>
              </w:rPr>
            </w:pPr>
            <w:r>
              <w:rPr>
                <w:noProof/>
              </w:rPr>
              <w:t>Atribuirea contractului pentru strategia și politicile de securitate cibernetică ale proiectului pentru sectorul public &amp; servicii avansate de securitate pentru infrastructurile critice naționale. La selectarea consultantului extern corespunzător, ministerul procedează la atribuirea unui contract care definește obligațiile, rolurile și responsabilitățile ambelor părți participante.</w:t>
            </w:r>
          </w:p>
        </w:tc>
      </w:tr>
      <w:tr w:rsidR="00C45D59" w14:paraId="680E52C5" w14:textId="77777777" w:rsidTr="004048D3">
        <w:trPr>
          <w:trHeight w:val="313"/>
        </w:trPr>
        <w:tc>
          <w:tcPr>
            <w:tcW w:w="778" w:type="dxa"/>
            <w:shd w:val="clear" w:color="auto" w:fill="C6EFCE"/>
            <w:noWrap/>
          </w:tcPr>
          <w:p w14:paraId="1A384BE8" w14:textId="77777777" w:rsidR="00C45D59" w:rsidRDefault="009B0962" w:rsidP="004048D3">
            <w:pPr>
              <w:pStyle w:val="P68B1DB1-Normal12"/>
              <w:spacing w:after="0" w:line="240" w:lineRule="auto"/>
              <w:rPr>
                <w:rFonts w:eastAsia="Times New Roman"/>
                <w:noProof/>
              </w:rPr>
            </w:pPr>
            <w:r>
              <w:rPr>
                <w:noProof/>
              </w:rPr>
              <w:t>105</w:t>
            </w:r>
          </w:p>
        </w:tc>
        <w:tc>
          <w:tcPr>
            <w:tcW w:w="1936" w:type="dxa"/>
            <w:shd w:val="clear" w:color="auto" w:fill="C6EFCE"/>
            <w:noWrap/>
          </w:tcPr>
          <w:p w14:paraId="7CC4BCBF" w14:textId="77777777" w:rsidR="00C45D59" w:rsidRDefault="009B0962" w:rsidP="004048D3">
            <w:pPr>
              <w:pStyle w:val="P68B1DB1-Normal12"/>
              <w:spacing w:after="0" w:line="240" w:lineRule="auto"/>
              <w:rPr>
                <w:rFonts w:eastAsia="Times New Roman"/>
                <w:noProof/>
              </w:rPr>
            </w:pPr>
            <w:r>
              <w:rPr>
                <w:noProof/>
              </w:rPr>
              <w:t>6-2.2. Modernizare – 16826_Programe de actualizare a competențelor digitale pentru recruți</w:t>
            </w:r>
          </w:p>
        </w:tc>
        <w:tc>
          <w:tcPr>
            <w:tcW w:w="1122" w:type="dxa"/>
            <w:shd w:val="clear" w:color="auto" w:fill="C6EFCE"/>
            <w:noWrap/>
          </w:tcPr>
          <w:p w14:paraId="2289F7CE" w14:textId="77777777" w:rsidR="00C45D59" w:rsidRDefault="009B0962" w:rsidP="004048D3">
            <w:pPr>
              <w:pStyle w:val="P68B1DB1-Normal12"/>
              <w:spacing w:after="0" w:line="240" w:lineRule="auto"/>
              <w:rPr>
                <w:rFonts w:eastAsia="Times New Roman"/>
                <w:noProof/>
              </w:rPr>
            </w:pPr>
            <w:r>
              <w:rPr>
                <w:noProof/>
              </w:rPr>
              <w:t>Etapă</w:t>
            </w:r>
          </w:p>
        </w:tc>
        <w:tc>
          <w:tcPr>
            <w:tcW w:w="1448" w:type="dxa"/>
            <w:shd w:val="clear" w:color="auto" w:fill="C6EFCE"/>
            <w:noWrap/>
          </w:tcPr>
          <w:p w14:paraId="21F45C99" w14:textId="77777777" w:rsidR="00C45D59" w:rsidRDefault="009B0962" w:rsidP="004048D3">
            <w:pPr>
              <w:pStyle w:val="P68B1DB1-Normal12"/>
              <w:spacing w:after="0" w:line="240" w:lineRule="auto"/>
              <w:rPr>
                <w:rFonts w:eastAsia="Times New Roman"/>
                <w:noProof/>
              </w:rPr>
            </w:pPr>
            <w:r>
              <w:rPr>
                <w:noProof/>
              </w:rPr>
              <w:t>Atribuirea contractelor pentru programe de actualizare a competențelor digitale pentru recruți</w:t>
            </w:r>
          </w:p>
        </w:tc>
        <w:tc>
          <w:tcPr>
            <w:tcW w:w="1912" w:type="dxa"/>
            <w:shd w:val="clear" w:color="auto" w:fill="C6EFCE"/>
            <w:noWrap/>
          </w:tcPr>
          <w:p w14:paraId="36912D5A" w14:textId="77777777" w:rsidR="00C45D59" w:rsidRDefault="009B0962" w:rsidP="004048D3">
            <w:pPr>
              <w:pStyle w:val="P68B1DB1-Normal12"/>
              <w:spacing w:after="0" w:line="240" w:lineRule="auto"/>
              <w:rPr>
                <w:rFonts w:eastAsia="Times New Roman"/>
                <w:noProof/>
              </w:rPr>
            </w:pPr>
            <w:r>
              <w:rPr>
                <w:noProof/>
              </w:rPr>
              <w:t>Notificarea atribuirii contractului</w:t>
            </w:r>
          </w:p>
        </w:tc>
        <w:tc>
          <w:tcPr>
            <w:tcW w:w="1041" w:type="dxa"/>
            <w:shd w:val="clear" w:color="auto" w:fill="C6EFCE"/>
            <w:noWrap/>
          </w:tcPr>
          <w:p w14:paraId="7A85B261" w14:textId="77777777" w:rsidR="00C45D59" w:rsidRDefault="00C45D59" w:rsidP="004048D3">
            <w:pPr>
              <w:spacing w:after="0" w:line="240" w:lineRule="auto"/>
              <w:rPr>
                <w:rFonts w:ascii="Times New Roman" w:eastAsia="Times New Roman" w:hAnsi="Times New Roman" w:cs="Times New Roman"/>
                <w:noProof/>
                <w:color w:val="006100"/>
                <w:sz w:val="18"/>
                <w:szCs w:val="18"/>
              </w:rPr>
            </w:pPr>
          </w:p>
        </w:tc>
        <w:tc>
          <w:tcPr>
            <w:tcW w:w="891" w:type="dxa"/>
            <w:shd w:val="clear" w:color="auto" w:fill="C6EFCE"/>
            <w:noWrap/>
          </w:tcPr>
          <w:p w14:paraId="76192786" w14:textId="77777777" w:rsidR="00C45D59" w:rsidRDefault="00C45D59" w:rsidP="004048D3">
            <w:pPr>
              <w:spacing w:after="0" w:line="240" w:lineRule="auto"/>
              <w:rPr>
                <w:rFonts w:ascii="Times New Roman" w:eastAsia="Times New Roman" w:hAnsi="Times New Roman" w:cs="Times New Roman"/>
                <w:noProof/>
                <w:color w:val="006100"/>
                <w:sz w:val="18"/>
                <w:szCs w:val="18"/>
              </w:rPr>
            </w:pPr>
          </w:p>
        </w:tc>
        <w:tc>
          <w:tcPr>
            <w:tcW w:w="703" w:type="dxa"/>
            <w:shd w:val="clear" w:color="auto" w:fill="C6EFCE"/>
            <w:noWrap/>
          </w:tcPr>
          <w:p w14:paraId="3E0E3C49" w14:textId="77777777" w:rsidR="00C45D59" w:rsidRDefault="00C45D59" w:rsidP="004048D3">
            <w:pPr>
              <w:spacing w:after="0" w:line="240" w:lineRule="auto"/>
              <w:rPr>
                <w:rFonts w:ascii="Times New Roman" w:eastAsia="Times New Roman" w:hAnsi="Times New Roman" w:cs="Times New Roman"/>
                <w:noProof/>
                <w:color w:val="006100"/>
                <w:sz w:val="18"/>
                <w:szCs w:val="18"/>
              </w:rPr>
            </w:pPr>
          </w:p>
        </w:tc>
        <w:tc>
          <w:tcPr>
            <w:tcW w:w="838" w:type="dxa"/>
            <w:shd w:val="clear" w:color="auto" w:fill="C6EFCE"/>
            <w:noWrap/>
          </w:tcPr>
          <w:p w14:paraId="432B990E" w14:textId="77777777" w:rsidR="00C45D59" w:rsidRDefault="009B0962" w:rsidP="004048D3">
            <w:pPr>
              <w:pStyle w:val="P68B1DB1-Normal12"/>
              <w:spacing w:after="0" w:line="240" w:lineRule="auto"/>
              <w:rPr>
                <w:rFonts w:eastAsia="Times New Roman"/>
                <w:noProof/>
              </w:rPr>
            </w:pPr>
            <w:r>
              <w:rPr>
                <w:noProof/>
              </w:rPr>
              <w:t>Î4</w:t>
            </w:r>
          </w:p>
        </w:tc>
        <w:tc>
          <w:tcPr>
            <w:tcW w:w="611" w:type="dxa"/>
            <w:shd w:val="clear" w:color="auto" w:fill="C6EFCE"/>
            <w:noWrap/>
          </w:tcPr>
          <w:p w14:paraId="7A9B946F" w14:textId="77777777" w:rsidR="00C45D59" w:rsidRDefault="009B0962" w:rsidP="004048D3">
            <w:pPr>
              <w:pStyle w:val="P68B1DB1-Normal12"/>
              <w:spacing w:after="0" w:line="240" w:lineRule="auto"/>
              <w:rPr>
                <w:rFonts w:eastAsia="Times New Roman"/>
                <w:noProof/>
              </w:rPr>
            </w:pPr>
            <w:r>
              <w:rPr>
                <w:noProof/>
              </w:rPr>
              <w:t>2022</w:t>
            </w:r>
          </w:p>
        </w:tc>
        <w:tc>
          <w:tcPr>
            <w:tcW w:w="3507" w:type="dxa"/>
            <w:shd w:val="clear" w:color="auto" w:fill="C6EFCE"/>
            <w:noWrap/>
          </w:tcPr>
          <w:p w14:paraId="3D9A6B2C" w14:textId="77777777" w:rsidR="00C45D59" w:rsidRDefault="009B0962" w:rsidP="004048D3">
            <w:pPr>
              <w:pStyle w:val="P68B1DB1-Normal12"/>
              <w:spacing w:after="0" w:line="240" w:lineRule="auto"/>
              <w:rPr>
                <w:rFonts w:eastAsia="Times New Roman"/>
                <w:noProof/>
              </w:rPr>
            </w:pPr>
            <w:r>
              <w:rPr>
                <w:noProof/>
              </w:rPr>
              <w:t>Atribuirea contractului pentru programele de actualizare a competențelor digitale pentru recruți. Ministerul examinează toate propunerile depuse și confirmă dacă cererile răspund în mod corespunzător solicitărilor RFP. La selectarea partenerului extern adecvat, ministerul atribuie un contract care definește obligațiile, rolurile și responsabilitățile ambelor părți participante.</w:t>
            </w:r>
          </w:p>
        </w:tc>
      </w:tr>
      <w:tr w:rsidR="00C45D59" w14:paraId="42242F57" w14:textId="77777777" w:rsidTr="004048D3">
        <w:trPr>
          <w:trHeight w:val="313"/>
        </w:trPr>
        <w:tc>
          <w:tcPr>
            <w:tcW w:w="778" w:type="dxa"/>
            <w:shd w:val="clear" w:color="auto" w:fill="C6EFCE"/>
            <w:noWrap/>
          </w:tcPr>
          <w:p w14:paraId="088A3CF7" w14:textId="77777777" w:rsidR="00C45D59" w:rsidRDefault="009B0962" w:rsidP="004048D3">
            <w:pPr>
              <w:pStyle w:val="P68B1DB1-Normal12"/>
              <w:spacing w:after="0" w:line="240" w:lineRule="auto"/>
              <w:rPr>
                <w:rFonts w:eastAsia="Times New Roman"/>
                <w:noProof/>
              </w:rPr>
            </w:pPr>
            <w:r>
              <w:rPr>
                <w:noProof/>
              </w:rPr>
              <w:t>106</w:t>
            </w:r>
          </w:p>
        </w:tc>
        <w:tc>
          <w:tcPr>
            <w:tcW w:w="1936" w:type="dxa"/>
            <w:shd w:val="clear" w:color="auto" w:fill="C6EFCE"/>
            <w:noWrap/>
          </w:tcPr>
          <w:p w14:paraId="3A518AB3" w14:textId="77777777" w:rsidR="00C45D59" w:rsidRDefault="009B0962" w:rsidP="004048D3">
            <w:pPr>
              <w:pStyle w:val="P68B1DB1-Normal12"/>
              <w:spacing w:after="0" w:line="240" w:lineRule="auto"/>
              <w:rPr>
                <w:rFonts w:eastAsia="Times New Roman"/>
                <w:noProof/>
              </w:rPr>
            </w:pPr>
            <w:r>
              <w:rPr>
                <w:noProof/>
              </w:rPr>
              <w:t>6-2.2. Modernizare – 16742_Transformarea digitală a Ministerului Afacerilor Externe</w:t>
            </w:r>
          </w:p>
        </w:tc>
        <w:tc>
          <w:tcPr>
            <w:tcW w:w="1122" w:type="dxa"/>
            <w:shd w:val="clear" w:color="auto" w:fill="C6EFCE"/>
            <w:noWrap/>
          </w:tcPr>
          <w:p w14:paraId="6542CCFE" w14:textId="77777777" w:rsidR="00C45D59" w:rsidRDefault="009B0962" w:rsidP="004048D3">
            <w:pPr>
              <w:pStyle w:val="P68B1DB1-Normal12"/>
              <w:spacing w:after="0" w:line="240" w:lineRule="auto"/>
              <w:rPr>
                <w:rFonts w:eastAsia="Times New Roman"/>
                <w:noProof/>
              </w:rPr>
            </w:pPr>
            <w:r>
              <w:rPr>
                <w:noProof/>
              </w:rPr>
              <w:t>Etapă</w:t>
            </w:r>
          </w:p>
        </w:tc>
        <w:tc>
          <w:tcPr>
            <w:tcW w:w="1448" w:type="dxa"/>
            <w:shd w:val="clear" w:color="auto" w:fill="C6EFCE"/>
            <w:noWrap/>
          </w:tcPr>
          <w:p w14:paraId="4EBF0F8E" w14:textId="77777777" w:rsidR="00C45D59" w:rsidRDefault="009B0962" w:rsidP="004048D3">
            <w:pPr>
              <w:pStyle w:val="P68B1DB1-Normal12"/>
              <w:spacing w:after="0" w:line="240" w:lineRule="auto"/>
              <w:rPr>
                <w:rFonts w:eastAsia="Times New Roman"/>
                <w:noProof/>
              </w:rPr>
            </w:pPr>
            <w:r>
              <w:rPr>
                <w:noProof/>
              </w:rPr>
              <w:t>Atribuirea contractului pentru transformarea digitală a Ministerului Afacerilor Externe</w:t>
            </w:r>
          </w:p>
        </w:tc>
        <w:tc>
          <w:tcPr>
            <w:tcW w:w="1912" w:type="dxa"/>
            <w:shd w:val="clear" w:color="auto" w:fill="C6EFCE"/>
            <w:noWrap/>
          </w:tcPr>
          <w:p w14:paraId="12C487EA" w14:textId="77777777" w:rsidR="00C45D59" w:rsidRDefault="009B0962" w:rsidP="004048D3">
            <w:pPr>
              <w:pStyle w:val="P68B1DB1-Normal12"/>
              <w:spacing w:after="0" w:line="240" w:lineRule="auto"/>
              <w:rPr>
                <w:rFonts w:eastAsia="Times New Roman"/>
                <w:noProof/>
              </w:rPr>
            </w:pPr>
            <w:r>
              <w:rPr>
                <w:noProof/>
              </w:rPr>
              <w:t>Notificarea atribuirii contractului</w:t>
            </w:r>
          </w:p>
        </w:tc>
        <w:tc>
          <w:tcPr>
            <w:tcW w:w="1041" w:type="dxa"/>
            <w:shd w:val="clear" w:color="auto" w:fill="C6EFCE"/>
            <w:noWrap/>
          </w:tcPr>
          <w:p w14:paraId="189EE0DF" w14:textId="77777777" w:rsidR="00C45D59" w:rsidRDefault="00C45D59" w:rsidP="004048D3">
            <w:pPr>
              <w:spacing w:after="0" w:line="240" w:lineRule="auto"/>
              <w:rPr>
                <w:rFonts w:ascii="Times New Roman" w:eastAsia="Times New Roman" w:hAnsi="Times New Roman" w:cs="Times New Roman"/>
                <w:noProof/>
                <w:color w:val="006100"/>
                <w:sz w:val="18"/>
                <w:szCs w:val="18"/>
              </w:rPr>
            </w:pPr>
          </w:p>
        </w:tc>
        <w:tc>
          <w:tcPr>
            <w:tcW w:w="891" w:type="dxa"/>
            <w:shd w:val="clear" w:color="auto" w:fill="C6EFCE"/>
            <w:noWrap/>
          </w:tcPr>
          <w:p w14:paraId="22257BB8" w14:textId="77777777" w:rsidR="00C45D59" w:rsidRDefault="00C45D59" w:rsidP="004048D3">
            <w:pPr>
              <w:spacing w:after="0" w:line="240" w:lineRule="auto"/>
              <w:rPr>
                <w:rFonts w:ascii="Times New Roman" w:eastAsia="Times New Roman" w:hAnsi="Times New Roman" w:cs="Times New Roman"/>
                <w:noProof/>
                <w:color w:val="006100"/>
                <w:sz w:val="18"/>
                <w:szCs w:val="18"/>
              </w:rPr>
            </w:pPr>
          </w:p>
        </w:tc>
        <w:tc>
          <w:tcPr>
            <w:tcW w:w="703" w:type="dxa"/>
            <w:shd w:val="clear" w:color="auto" w:fill="C6EFCE"/>
            <w:noWrap/>
          </w:tcPr>
          <w:p w14:paraId="1307F7DF" w14:textId="77777777" w:rsidR="00C45D59" w:rsidRDefault="00C45D59" w:rsidP="004048D3">
            <w:pPr>
              <w:spacing w:after="0" w:line="240" w:lineRule="auto"/>
              <w:rPr>
                <w:rFonts w:ascii="Times New Roman" w:eastAsia="Times New Roman" w:hAnsi="Times New Roman" w:cs="Times New Roman"/>
                <w:noProof/>
                <w:color w:val="006100"/>
                <w:sz w:val="18"/>
                <w:szCs w:val="18"/>
              </w:rPr>
            </w:pPr>
          </w:p>
        </w:tc>
        <w:tc>
          <w:tcPr>
            <w:tcW w:w="838" w:type="dxa"/>
            <w:shd w:val="clear" w:color="auto" w:fill="C6EFCE"/>
            <w:noWrap/>
          </w:tcPr>
          <w:p w14:paraId="33BCD811" w14:textId="77777777" w:rsidR="00C45D59" w:rsidRDefault="009B0962" w:rsidP="004048D3">
            <w:pPr>
              <w:pStyle w:val="P68B1DB1-Normal12"/>
              <w:spacing w:after="0" w:line="240" w:lineRule="auto"/>
              <w:rPr>
                <w:rFonts w:eastAsia="Times New Roman"/>
                <w:noProof/>
              </w:rPr>
            </w:pPr>
            <w:r>
              <w:rPr>
                <w:noProof/>
              </w:rPr>
              <w:t>Î4</w:t>
            </w:r>
          </w:p>
        </w:tc>
        <w:tc>
          <w:tcPr>
            <w:tcW w:w="611" w:type="dxa"/>
            <w:shd w:val="clear" w:color="auto" w:fill="C6EFCE"/>
            <w:noWrap/>
          </w:tcPr>
          <w:p w14:paraId="6EB9C489" w14:textId="77777777" w:rsidR="00C45D59" w:rsidRDefault="009B0962" w:rsidP="004048D3">
            <w:pPr>
              <w:pStyle w:val="P68B1DB1-Normal12"/>
              <w:spacing w:after="0" w:line="240" w:lineRule="auto"/>
              <w:rPr>
                <w:rFonts w:eastAsia="Times New Roman"/>
                <w:noProof/>
              </w:rPr>
            </w:pPr>
            <w:r>
              <w:rPr>
                <w:noProof/>
              </w:rPr>
              <w:t>2022</w:t>
            </w:r>
          </w:p>
        </w:tc>
        <w:tc>
          <w:tcPr>
            <w:tcW w:w="3507" w:type="dxa"/>
            <w:shd w:val="clear" w:color="auto" w:fill="C6EFCE"/>
            <w:noWrap/>
          </w:tcPr>
          <w:p w14:paraId="67B5BD18" w14:textId="77777777" w:rsidR="00C45D59" w:rsidRDefault="009B0962" w:rsidP="004048D3">
            <w:pPr>
              <w:pStyle w:val="P68B1DB1-Normal12"/>
              <w:spacing w:after="0" w:line="240" w:lineRule="auto"/>
              <w:rPr>
                <w:rFonts w:eastAsia="Times New Roman"/>
                <w:noProof/>
              </w:rPr>
            </w:pPr>
            <w:r>
              <w:rPr>
                <w:noProof/>
              </w:rPr>
              <w:t>Atribuirea contractului pentru transformarea digitală al Ministerului Afacerilor Externe. Ministerul examinează toate propunerile depuse și confirmă dacă cererile răspund în mod corespunzător solicitărilor RFP. La selectarea partenerului extern adecvat, ministerul atribuie un contract care definește obligațiile, rolurile și responsabilitățile ambelor părți participante.</w:t>
            </w:r>
          </w:p>
        </w:tc>
      </w:tr>
      <w:tr w:rsidR="00C45D59" w14:paraId="08FFFC19" w14:textId="77777777" w:rsidTr="004048D3">
        <w:trPr>
          <w:trHeight w:val="313"/>
        </w:trPr>
        <w:tc>
          <w:tcPr>
            <w:tcW w:w="778" w:type="dxa"/>
            <w:shd w:val="clear" w:color="auto" w:fill="C6EFCE"/>
            <w:noWrap/>
          </w:tcPr>
          <w:p w14:paraId="0138EC7C" w14:textId="77777777" w:rsidR="00C45D59" w:rsidRDefault="009B0962" w:rsidP="004048D3">
            <w:pPr>
              <w:pStyle w:val="P68B1DB1-Normal12"/>
              <w:spacing w:after="0" w:line="240" w:lineRule="auto"/>
              <w:rPr>
                <w:rFonts w:eastAsia="Times New Roman"/>
                <w:noProof/>
              </w:rPr>
            </w:pPr>
            <w:r>
              <w:rPr>
                <w:noProof/>
              </w:rPr>
              <w:t>107</w:t>
            </w:r>
          </w:p>
        </w:tc>
        <w:tc>
          <w:tcPr>
            <w:tcW w:w="1936" w:type="dxa"/>
            <w:shd w:val="clear" w:color="auto" w:fill="C6EFCE"/>
            <w:noWrap/>
          </w:tcPr>
          <w:p w14:paraId="7FD4F648" w14:textId="7F73D71F" w:rsidR="00C45D59" w:rsidRDefault="009B0962" w:rsidP="004048D3">
            <w:pPr>
              <w:pStyle w:val="P68B1DB1-Normal12"/>
              <w:spacing w:after="0" w:line="240" w:lineRule="auto"/>
              <w:rPr>
                <w:rFonts w:eastAsia="Times New Roman"/>
                <w:noProof/>
              </w:rPr>
            </w:pPr>
            <w:r>
              <w:rPr>
                <w:noProof/>
              </w:rPr>
              <w:t>6-2.2. Modernizare – 16824_E-Registries</w:t>
            </w:r>
          </w:p>
        </w:tc>
        <w:tc>
          <w:tcPr>
            <w:tcW w:w="1122" w:type="dxa"/>
            <w:shd w:val="clear" w:color="auto" w:fill="C6EFCE"/>
            <w:noWrap/>
          </w:tcPr>
          <w:p w14:paraId="27F932ED" w14:textId="77777777" w:rsidR="00C45D59" w:rsidRDefault="009B0962" w:rsidP="004048D3">
            <w:pPr>
              <w:pStyle w:val="P68B1DB1-Normal12"/>
              <w:spacing w:after="0" w:line="240" w:lineRule="auto"/>
              <w:rPr>
                <w:rFonts w:eastAsia="Times New Roman"/>
                <w:noProof/>
              </w:rPr>
            </w:pPr>
            <w:r>
              <w:rPr>
                <w:noProof/>
              </w:rPr>
              <w:t>Etapă</w:t>
            </w:r>
          </w:p>
        </w:tc>
        <w:tc>
          <w:tcPr>
            <w:tcW w:w="1448" w:type="dxa"/>
            <w:shd w:val="clear" w:color="auto" w:fill="C6EFCE"/>
            <w:noWrap/>
          </w:tcPr>
          <w:p w14:paraId="1E237C66" w14:textId="77777777" w:rsidR="00C45D59" w:rsidRDefault="009B0962" w:rsidP="004048D3">
            <w:pPr>
              <w:pStyle w:val="P68B1DB1-Normal12"/>
              <w:spacing w:after="0" w:line="240" w:lineRule="auto"/>
              <w:rPr>
                <w:rFonts w:eastAsia="Times New Roman"/>
                <w:noProof/>
              </w:rPr>
            </w:pPr>
            <w:r>
              <w:rPr>
                <w:noProof/>
              </w:rPr>
              <w:t>Atribuirea contractelor pentru registrele electronice</w:t>
            </w:r>
          </w:p>
        </w:tc>
        <w:tc>
          <w:tcPr>
            <w:tcW w:w="1912" w:type="dxa"/>
            <w:shd w:val="clear" w:color="auto" w:fill="C6EFCE"/>
            <w:noWrap/>
          </w:tcPr>
          <w:p w14:paraId="526827C6" w14:textId="77777777" w:rsidR="00C45D59" w:rsidRDefault="009B0962" w:rsidP="004048D3">
            <w:pPr>
              <w:pStyle w:val="P68B1DB1-Normal12"/>
              <w:spacing w:after="0" w:line="240" w:lineRule="auto"/>
              <w:rPr>
                <w:rFonts w:eastAsia="Times New Roman"/>
                <w:noProof/>
              </w:rPr>
            </w:pPr>
            <w:r>
              <w:rPr>
                <w:noProof/>
              </w:rPr>
              <w:t>Notificarea atribuirii contractului</w:t>
            </w:r>
          </w:p>
        </w:tc>
        <w:tc>
          <w:tcPr>
            <w:tcW w:w="1041" w:type="dxa"/>
            <w:shd w:val="clear" w:color="auto" w:fill="C6EFCE"/>
            <w:noWrap/>
          </w:tcPr>
          <w:p w14:paraId="00CAC527" w14:textId="77777777" w:rsidR="00C45D59" w:rsidRDefault="00C45D59" w:rsidP="004048D3">
            <w:pPr>
              <w:spacing w:after="0" w:line="240" w:lineRule="auto"/>
              <w:rPr>
                <w:rFonts w:ascii="Times New Roman" w:eastAsia="Times New Roman" w:hAnsi="Times New Roman" w:cs="Times New Roman"/>
                <w:noProof/>
                <w:color w:val="006100"/>
                <w:sz w:val="18"/>
                <w:szCs w:val="18"/>
              </w:rPr>
            </w:pPr>
          </w:p>
        </w:tc>
        <w:tc>
          <w:tcPr>
            <w:tcW w:w="891" w:type="dxa"/>
            <w:shd w:val="clear" w:color="auto" w:fill="C6EFCE"/>
            <w:noWrap/>
          </w:tcPr>
          <w:p w14:paraId="7DFA240F" w14:textId="77777777" w:rsidR="00C45D59" w:rsidRDefault="00C45D59" w:rsidP="004048D3">
            <w:pPr>
              <w:spacing w:after="0" w:line="240" w:lineRule="auto"/>
              <w:rPr>
                <w:rFonts w:ascii="Times New Roman" w:eastAsia="Times New Roman" w:hAnsi="Times New Roman" w:cs="Times New Roman"/>
                <w:noProof/>
                <w:color w:val="006100"/>
                <w:sz w:val="18"/>
                <w:szCs w:val="18"/>
              </w:rPr>
            </w:pPr>
          </w:p>
        </w:tc>
        <w:tc>
          <w:tcPr>
            <w:tcW w:w="703" w:type="dxa"/>
            <w:shd w:val="clear" w:color="auto" w:fill="C6EFCE"/>
            <w:noWrap/>
          </w:tcPr>
          <w:p w14:paraId="00464AD1" w14:textId="77777777" w:rsidR="00C45D59" w:rsidRDefault="00C45D59" w:rsidP="004048D3">
            <w:pPr>
              <w:spacing w:after="0" w:line="240" w:lineRule="auto"/>
              <w:rPr>
                <w:rFonts w:ascii="Times New Roman" w:eastAsia="Times New Roman" w:hAnsi="Times New Roman" w:cs="Times New Roman"/>
                <w:noProof/>
                <w:color w:val="006100"/>
                <w:sz w:val="18"/>
                <w:szCs w:val="18"/>
              </w:rPr>
            </w:pPr>
          </w:p>
        </w:tc>
        <w:tc>
          <w:tcPr>
            <w:tcW w:w="838" w:type="dxa"/>
            <w:shd w:val="clear" w:color="auto" w:fill="C6EFCE"/>
            <w:noWrap/>
          </w:tcPr>
          <w:p w14:paraId="23B0DA37" w14:textId="77777777" w:rsidR="00C45D59" w:rsidRDefault="009B0962" w:rsidP="004048D3">
            <w:pPr>
              <w:pStyle w:val="P68B1DB1-Normal12"/>
              <w:spacing w:after="0" w:line="240" w:lineRule="auto"/>
              <w:rPr>
                <w:rFonts w:eastAsia="Times New Roman"/>
                <w:noProof/>
              </w:rPr>
            </w:pPr>
            <w:r>
              <w:rPr>
                <w:noProof/>
              </w:rPr>
              <w:t>Î4</w:t>
            </w:r>
          </w:p>
        </w:tc>
        <w:tc>
          <w:tcPr>
            <w:tcW w:w="611" w:type="dxa"/>
            <w:shd w:val="clear" w:color="auto" w:fill="C6EFCE"/>
            <w:noWrap/>
          </w:tcPr>
          <w:p w14:paraId="52B042DA" w14:textId="77777777" w:rsidR="00C45D59" w:rsidRDefault="009B0962" w:rsidP="004048D3">
            <w:pPr>
              <w:pStyle w:val="P68B1DB1-Normal12"/>
              <w:spacing w:after="0" w:line="240" w:lineRule="auto"/>
              <w:rPr>
                <w:rFonts w:eastAsia="Times New Roman"/>
                <w:noProof/>
              </w:rPr>
            </w:pPr>
            <w:r>
              <w:rPr>
                <w:noProof/>
              </w:rPr>
              <w:t>2022</w:t>
            </w:r>
          </w:p>
        </w:tc>
        <w:tc>
          <w:tcPr>
            <w:tcW w:w="3507" w:type="dxa"/>
            <w:shd w:val="clear" w:color="auto" w:fill="C6EFCE"/>
            <w:noWrap/>
          </w:tcPr>
          <w:p w14:paraId="4F018960" w14:textId="77777777" w:rsidR="00C45D59" w:rsidRDefault="009B0962" w:rsidP="004048D3">
            <w:pPr>
              <w:pStyle w:val="P68B1DB1-Normal12"/>
              <w:spacing w:after="0" w:line="240" w:lineRule="auto"/>
              <w:rPr>
                <w:rFonts w:eastAsia="Times New Roman"/>
                <w:noProof/>
              </w:rPr>
            </w:pPr>
            <w:r>
              <w:rPr>
                <w:noProof/>
              </w:rPr>
              <w:t>Atribuirea contractului pentru proiectul E-Registries. Ministerul/Secretariatul General al Sistemelor Informatice pentru Sectorul Public/Societatea Informațională SA examinează toate propunerile depuse și confirmă dacă cererile răspund în mod corespunzător solicitărilor RFP. La selectarea partenerului extern adecvat, ministerul atribuie un contract care definește obligațiile, rolurile și responsabilitățile ambelor părți participante.</w:t>
            </w:r>
          </w:p>
        </w:tc>
      </w:tr>
      <w:tr w:rsidR="00C45D59" w14:paraId="3B2ABF57" w14:textId="77777777" w:rsidTr="004048D3">
        <w:trPr>
          <w:trHeight w:val="313"/>
        </w:trPr>
        <w:tc>
          <w:tcPr>
            <w:tcW w:w="778" w:type="dxa"/>
            <w:shd w:val="clear" w:color="auto" w:fill="C6EFCE"/>
            <w:noWrap/>
          </w:tcPr>
          <w:p w14:paraId="5F7704DA" w14:textId="77777777" w:rsidR="00C45D59" w:rsidRDefault="009B0962" w:rsidP="004048D3">
            <w:pPr>
              <w:pStyle w:val="P68B1DB1-Normal12"/>
              <w:spacing w:after="0" w:line="240" w:lineRule="auto"/>
              <w:rPr>
                <w:rFonts w:eastAsia="Times New Roman"/>
                <w:noProof/>
              </w:rPr>
            </w:pPr>
            <w:r>
              <w:rPr>
                <w:noProof/>
              </w:rPr>
              <w:t>108</w:t>
            </w:r>
          </w:p>
        </w:tc>
        <w:tc>
          <w:tcPr>
            <w:tcW w:w="1936" w:type="dxa"/>
            <w:shd w:val="clear" w:color="auto" w:fill="C6EFCE"/>
            <w:noWrap/>
          </w:tcPr>
          <w:p w14:paraId="7401FAC1" w14:textId="77777777" w:rsidR="00C45D59" w:rsidRDefault="009B0962" w:rsidP="004048D3">
            <w:pPr>
              <w:pStyle w:val="P68B1DB1-Normal12"/>
              <w:spacing w:after="0" w:line="240" w:lineRule="auto"/>
              <w:rPr>
                <w:noProof/>
              </w:rPr>
            </w:pPr>
            <w:r>
              <w:rPr>
                <w:noProof/>
              </w:rPr>
              <w:t>6-2.2. Modernizare – 16779_ Servicii web și Centrul de interoperabilitate de nouă generație (KED)</w:t>
            </w:r>
          </w:p>
        </w:tc>
        <w:tc>
          <w:tcPr>
            <w:tcW w:w="1122" w:type="dxa"/>
            <w:shd w:val="clear" w:color="auto" w:fill="C6EFCE"/>
            <w:noWrap/>
          </w:tcPr>
          <w:p w14:paraId="0AFDBCF8" w14:textId="77777777" w:rsidR="00C45D59" w:rsidRDefault="009B0962" w:rsidP="004048D3">
            <w:pPr>
              <w:pStyle w:val="P68B1DB1-Normal12"/>
              <w:spacing w:after="0" w:line="240" w:lineRule="auto"/>
              <w:rPr>
                <w:rFonts w:eastAsia="Times New Roman"/>
                <w:noProof/>
              </w:rPr>
            </w:pPr>
            <w:r>
              <w:rPr>
                <w:noProof/>
              </w:rPr>
              <w:t>Etapă</w:t>
            </w:r>
          </w:p>
        </w:tc>
        <w:tc>
          <w:tcPr>
            <w:tcW w:w="1448" w:type="dxa"/>
            <w:shd w:val="clear" w:color="auto" w:fill="C6EFCE"/>
            <w:noWrap/>
          </w:tcPr>
          <w:p w14:paraId="43473D80" w14:textId="77777777" w:rsidR="00C45D59" w:rsidRDefault="009B0962" w:rsidP="004048D3">
            <w:pPr>
              <w:pStyle w:val="P68B1DB1-Normal12"/>
              <w:spacing w:after="0" w:line="240" w:lineRule="auto"/>
              <w:rPr>
                <w:rFonts w:eastAsia="Times New Roman"/>
                <w:noProof/>
              </w:rPr>
            </w:pPr>
            <w:r>
              <w:rPr>
                <w:noProof/>
              </w:rPr>
              <w:t>Furnizarea de servicii web și Centrul de interoperabilitate de nouă generație (KED)</w:t>
            </w:r>
          </w:p>
        </w:tc>
        <w:tc>
          <w:tcPr>
            <w:tcW w:w="1912" w:type="dxa"/>
            <w:shd w:val="clear" w:color="auto" w:fill="C6EFCE"/>
            <w:noWrap/>
          </w:tcPr>
          <w:p w14:paraId="1F0F3550" w14:textId="77777777" w:rsidR="00C45D59" w:rsidRDefault="009B0962" w:rsidP="004048D3">
            <w:pPr>
              <w:pStyle w:val="P68B1DB1-Normal12"/>
              <w:spacing w:after="0" w:line="240" w:lineRule="auto"/>
              <w:rPr>
                <w:rFonts w:eastAsia="Times New Roman"/>
                <w:noProof/>
              </w:rPr>
            </w:pPr>
            <w:r>
              <w:rPr>
                <w:noProof/>
              </w:rPr>
              <w:t xml:space="preserve">Furnizarea de servicii web și Centrul de interoperabilitate de nouă generație (KED) </w:t>
            </w:r>
          </w:p>
        </w:tc>
        <w:tc>
          <w:tcPr>
            <w:tcW w:w="1041" w:type="dxa"/>
            <w:shd w:val="clear" w:color="auto" w:fill="C6EFCE"/>
            <w:noWrap/>
          </w:tcPr>
          <w:p w14:paraId="257D016D" w14:textId="77777777" w:rsidR="00C45D59" w:rsidRDefault="00C45D59" w:rsidP="004048D3">
            <w:pPr>
              <w:spacing w:after="0" w:line="240" w:lineRule="auto"/>
              <w:rPr>
                <w:rFonts w:ascii="Times New Roman" w:eastAsia="Times New Roman" w:hAnsi="Times New Roman" w:cs="Times New Roman"/>
                <w:noProof/>
                <w:color w:val="006100"/>
                <w:sz w:val="18"/>
                <w:szCs w:val="18"/>
              </w:rPr>
            </w:pPr>
          </w:p>
        </w:tc>
        <w:tc>
          <w:tcPr>
            <w:tcW w:w="891" w:type="dxa"/>
            <w:shd w:val="clear" w:color="auto" w:fill="C6EFCE"/>
            <w:noWrap/>
          </w:tcPr>
          <w:p w14:paraId="47AC7163" w14:textId="77777777" w:rsidR="00C45D59" w:rsidRDefault="00C45D59" w:rsidP="004048D3">
            <w:pPr>
              <w:spacing w:after="0" w:line="240" w:lineRule="auto"/>
              <w:rPr>
                <w:rFonts w:ascii="Times New Roman" w:eastAsia="Times New Roman" w:hAnsi="Times New Roman" w:cs="Times New Roman"/>
                <w:noProof/>
                <w:color w:val="006100"/>
                <w:sz w:val="18"/>
                <w:szCs w:val="18"/>
              </w:rPr>
            </w:pPr>
          </w:p>
        </w:tc>
        <w:tc>
          <w:tcPr>
            <w:tcW w:w="703" w:type="dxa"/>
            <w:shd w:val="clear" w:color="auto" w:fill="C6EFCE"/>
            <w:noWrap/>
          </w:tcPr>
          <w:p w14:paraId="3D86C50C" w14:textId="77777777" w:rsidR="00C45D59" w:rsidRDefault="00C45D59" w:rsidP="004048D3">
            <w:pPr>
              <w:spacing w:after="0" w:line="240" w:lineRule="auto"/>
              <w:rPr>
                <w:rFonts w:ascii="Times New Roman" w:eastAsia="Times New Roman" w:hAnsi="Times New Roman" w:cs="Times New Roman"/>
                <w:noProof/>
                <w:color w:val="006100"/>
                <w:sz w:val="18"/>
                <w:szCs w:val="18"/>
              </w:rPr>
            </w:pPr>
          </w:p>
        </w:tc>
        <w:tc>
          <w:tcPr>
            <w:tcW w:w="838" w:type="dxa"/>
            <w:shd w:val="clear" w:color="auto" w:fill="C6EFCE"/>
            <w:noWrap/>
          </w:tcPr>
          <w:p w14:paraId="76422E47" w14:textId="77777777" w:rsidR="00C45D59" w:rsidRDefault="009B0962" w:rsidP="004048D3">
            <w:pPr>
              <w:pStyle w:val="P68B1DB1-Normal12"/>
              <w:spacing w:after="0" w:line="240" w:lineRule="auto"/>
              <w:rPr>
                <w:rFonts w:eastAsia="Times New Roman"/>
                <w:noProof/>
              </w:rPr>
            </w:pPr>
            <w:r>
              <w:rPr>
                <w:noProof/>
              </w:rPr>
              <w:t>Î4</w:t>
            </w:r>
          </w:p>
        </w:tc>
        <w:tc>
          <w:tcPr>
            <w:tcW w:w="611" w:type="dxa"/>
            <w:shd w:val="clear" w:color="auto" w:fill="C6EFCE"/>
            <w:noWrap/>
          </w:tcPr>
          <w:p w14:paraId="63F66096" w14:textId="77777777" w:rsidR="00C45D59" w:rsidRDefault="009B0962" w:rsidP="004048D3">
            <w:pPr>
              <w:pStyle w:val="P68B1DB1-Normal12"/>
              <w:spacing w:after="0" w:line="240" w:lineRule="auto"/>
              <w:rPr>
                <w:rFonts w:eastAsia="Times New Roman"/>
                <w:noProof/>
              </w:rPr>
            </w:pPr>
            <w:r>
              <w:rPr>
                <w:noProof/>
              </w:rPr>
              <w:t>2025</w:t>
            </w:r>
          </w:p>
        </w:tc>
        <w:tc>
          <w:tcPr>
            <w:tcW w:w="3507" w:type="dxa"/>
            <w:shd w:val="clear" w:color="auto" w:fill="C6EFCE"/>
            <w:noWrap/>
          </w:tcPr>
          <w:p w14:paraId="7DE45200" w14:textId="77777777" w:rsidR="00C45D59" w:rsidRDefault="009B0962" w:rsidP="004048D3">
            <w:pPr>
              <w:pStyle w:val="P68B1DB1-Normal12"/>
              <w:spacing w:after="0" w:line="240" w:lineRule="auto"/>
              <w:rPr>
                <w:noProof/>
              </w:rPr>
            </w:pPr>
            <w:r>
              <w:rPr>
                <w:noProof/>
              </w:rPr>
              <w:t xml:space="preserve">Furnizarea Centrului de interoperabilitate de nouă generație (KED) și a serviciilor web. </w:t>
            </w:r>
          </w:p>
        </w:tc>
      </w:tr>
      <w:tr w:rsidR="00C45D59" w14:paraId="21266F5D" w14:textId="77777777" w:rsidTr="004048D3">
        <w:trPr>
          <w:trHeight w:val="313"/>
        </w:trPr>
        <w:tc>
          <w:tcPr>
            <w:tcW w:w="778" w:type="dxa"/>
            <w:shd w:val="clear" w:color="auto" w:fill="C6EFCE"/>
            <w:noWrap/>
          </w:tcPr>
          <w:p w14:paraId="71FB3176" w14:textId="77777777" w:rsidR="00C45D59" w:rsidRDefault="009B0962" w:rsidP="004048D3">
            <w:pPr>
              <w:pStyle w:val="P68B1DB1-Normal12"/>
              <w:spacing w:after="0" w:line="240" w:lineRule="auto"/>
              <w:rPr>
                <w:rFonts w:eastAsia="Times New Roman"/>
                <w:noProof/>
              </w:rPr>
            </w:pPr>
            <w:r>
              <w:rPr>
                <w:noProof/>
              </w:rPr>
              <w:t>109</w:t>
            </w:r>
          </w:p>
        </w:tc>
        <w:tc>
          <w:tcPr>
            <w:tcW w:w="1936" w:type="dxa"/>
            <w:shd w:val="clear" w:color="auto" w:fill="C6EFCE"/>
            <w:noWrap/>
          </w:tcPr>
          <w:p w14:paraId="4CA5794C" w14:textId="77777777" w:rsidR="00C45D59" w:rsidRDefault="009B0962" w:rsidP="004048D3">
            <w:pPr>
              <w:pStyle w:val="P68B1DB1-Normal12"/>
              <w:spacing w:after="0" w:line="240" w:lineRule="auto"/>
              <w:rPr>
                <w:rFonts w:eastAsia="Times New Roman"/>
                <w:noProof/>
              </w:rPr>
            </w:pPr>
            <w:r>
              <w:rPr>
                <w:noProof/>
              </w:rPr>
              <w:t>6-2.2. Modernizare – 16810_CRM pentru administrația publică</w:t>
            </w:r>
          </w:p>
        </w:tc>
        <w:tc>
          <w:tcPr>
            <w:tcW w:w="1122" w:type="dxa"/>
            <w:shd w:val="clear" w:color="auto" w:fill="C6EFCE"/>
            <w:noWrap/>
          </w:tcPr>
          <w:p w14:paraId="032B3526" w14:textId="77777777" w:rsidR="00C45D59" w:rsidRDefault="009B0962" w:rsidP="004048D3">
            <w:pPr>
              <w:pStyle w:val="P68B1DB1-Normal12"/>
              <w:spacing w:after="0" w:line="240" w:lineRule="auto"/>
              <w:rPr>
                <w:rFonts w:eastAsia="Times New Roman"/>
                <w:noProof/>
              </w:rPr>
            </w:pPr>
            <w:r>
              <w:rPr>
                <w:noProof/>
              </w:rPr>
              <w:t>Etapă</w:t>
            </w:r>
          </w:p>
        </w:tc>
        <w:tc>
          <w:tcPr>
            <w:tcW w:w="1448" w:type="dxa"/>
            <w:shd w:val="clear" w:color="auto" w:fill="C6EFCE"/>
            <w:noWrap/>
          </w:tcPr>
          <w:p w14:paraId="2BA2B2CC" w14:textId="77777777" w:rsidR="00C45D59" w:rsidRDefault="009B0962" w:rsidP="004048D3">
            <w:pPr>
              <w:pStyle w:val="P68B1DB1-Normal12"/>
              <w:spacing w:after="0" w:line="240" w:lineRule="auto"/>
              <w:rPr>
                <w:rFonts w:eastAsia="Times New Roman"/>
                <w:noProof/>
              </w:rPr>
            </w:pPr>
            <w:r>
              <w:rPr>
                <w:noProof/>
              </w:rPr>
              <w:t xml:space="preserve">Sistemul de gestionare a relațiilor cu clienții pentru administrația publică și Gov.gr – mesager </w:t>
            </w:r>
          </w:p>
        </w:tc>
        <w:tc>
          <w:tcPr>
            <w:tcW w:w="1912" w:type="dxa"/>
            <w:shd w:val="clear" w:color="auto" w:fill="C6EFCE"/>
            <w:noWrap/>
          </w:tcPr>
          <w:p w14:paraId="1BB1F43C" w14:textId="77777777" w:rsidR="00C45D59" w:rsidRDefault="009B0962" w:rsidP="004048D3">
            <w:pPr>
              <w:pStyle w:val="P68B1DB1-Normal12"/>
              <w:spacing w:after="0" w:line="240" w:lineRule="auto"/>
              <w:rPr>
                <w:rFonts w:eastAsia="Times New Roman"/>
                <w:noProof/>
              </w:rPr>
            </w:pPr>
            <w:r>
              <w:rPr>
                <w:noProof/>
              </w:rPr>
              <w:t>Livrarea sistemului CRM și a Gov. gr – messenger</w:t>
            </w:r>
          </w:p>
        </w:tc>
        <w:tc>
          <w:tcPr>
            <w:tcW w:w="1041" w:type="dxa"/>
            <w:shd w:val="clear" w:color="auto" w:fill="C6EFCE"/>
            <w:noWrap/>
          </w:tcPr>
          <w:p w14:paraId="14F36E27" w14:textId="77777777" w:rsidR="00C45D59" w:rsidRDefault="00C45D59" w:rsidP="004048D3">
            <w:pPr>
              <w:spacing w:after="0" w:line="240" w:lineRule="auto"/>
              <w:rPr>
                <w:rFonts w:ascii="Times New Roman" w:eastAsia="Times New Roman" w:hAnsi="Times New Roman" w:cs="Times New Roman"/>
                <w:noProof/>
                <w:color w:val="006100"/>
                <w:sz w:val="18"/>
                <w:szCs w:val="18"/>
              </w:rPr>
            </w:pPr>
          </w:p>
        </w:tc>
        <w:tc>
          <w:tcPr>
            <w:tcW w:w="891" w:type="dxa"/>
            <w:shd w:val="clear" w:color="auto" w:fill="C6EFCE"/>
            <w:noWrap/>
          </w:tcPr>
          <w:p w14:paraId="59D5852A" w14:textId="77777777" w:rsidR="00C45D59" w:rsidRDefault="00C45D59" w:rsidP="004048D3">
            <w:pPr>
              <w:spacing w:after="0" w:line="240" w:lineRule="auto"/>
              <w:rPr>
                <w:rFonts w:ascii="Times New Roman" w:eastAsia="Times New Roman" w:hAnsi="Times New Roman" w:cs="Times New Roman"/>
                <w:noProof/>
                <w:color w:val="006100"/>
                <w:sz w:val="18"/>
                <w:szCs w:val="18"/>
              </w:rPr>
            </w:pPr>
          </w:p>
        </w:tc>
        <w:tc>
          <w:tcPr>
            <w:tcW w:w="703" w:type="dxa"/>
            <w:shd w:val="clear" w:color="auto" w:fill="C6EFCE"/>
            <w:noWrap/>
          </w:tcPr>
          <w:p w14:paraId="6F628288" w14:textId="77777777" w:rsidR="00C45D59" w:rsidRDefault="00C45D59" w:rsidP="004048D3">
            <w:pPr>
              <w:spacing w:after="0" w:line="240" w:lineRule="auto"/>
              <w:rPr>
                <w:rFonts w:ascii="Times New Roman" w:eastAsia="Times New Roman" w:hAnsi="Times New Roman" w:cs="Times New Roman"/>
                <w:noProof/>
                <w:color w:val="006100"/>
                <w:sz w:val="18"/>
                <w:szCs w:val="18"/>
              </w:rPr>
            </w:pPr>
          </w:p>
        </w:tc>
        <w:tc>
          <w:tcPr>
            <w:tcW w:w="838" w:type="dxa"/>
            <w:shd w:val="clear" w:color="auto" w:fill="C6EFCE"/>
            <w:noWrap/>
          </w:tcPr>
          <w:p w14:paraId="31369949" w14:textId="77777777" w:rsidR="00C45D59" w:rsidRDefault="009B0962" w:rsidP="004048D3">
            <w:pPr>
              <w:pStyle w:val="P68B1DB1-Normal12"/>
              <w:spacing w:after="0" w:line="240" w:lineRule="auto"/>
              <w:rPr>
                <w:rFonts w:eastAsia="Times New Roman"/>
                <w:noProof/>
              </w:rPr>
            </w:pPr>
            <w:r>
              <w:rPr>
                <w:noProof/>
              </w:rPr>
              <w:t>Î2</w:t>
            </w:r>
          </w:p>
        </w:tc>
        <w:tc>
          <w:tcPr>
            <w:tcW w:w="611" w:type="dxa"/>
            <w:shd w:val="clear" w:color="auto" w:fill="C6EFCE"/>
            <w:noWrap/>
          </w:tcPr>
          <w:p w14:paraId="16A3655B" w14:textId="77777777" w:rsidR="00C45D59" w:rsidRDefault="009B0962" w:rsidP="004048D3">
            <w:pPr>
              <w:pStyle w:val="P68B1DB1-Normal12"/>
              <w:spacing w:after="0" w:line="240" w:lineRule="auto"/>
              <w:rPr>
                <w:rFonts w:eastAsia="Times New Roman"/>
                <w:noProof/>
              </w:rPr>
            </w:pPr>
            <w:r>
              <w:rPr>
                <w:noProof/>
              </w:rPr>
              <w:t>2025</w:t>
            </w:r>
          </w:p>
        </w:tc>
        <w:tc>
          <w:tcPr>
            <w:tcW w:w="3507" w:type="dxa"/>
            <w:shd w:val="clear" w:color="auto" w:fill="C6EFCE"/>
            <w:noWrap/>
          </w:tcPr>
          <w:p w14:paraId="157413C0" w14:textId="77777777" w:rsidR="00C45D59" w:rsidRDefault="009B0962" w:rsidP="004048D3">
            <w:pPr>
              <w:pStyle w:val="P68B1DB1-Normal12"/>
              <w:spacing w:after="0" w:line="240" w:lineRule="auto"/>
              <w:rPr>
                <w:noProof/>
              </w:rPr>
            </w:pPr>
            <w:r>
              <w:rPr>
                <w:noProof/>
              </w:rPr>
              <w:t>Jalonul necesită realizarea următoarelor obiective: a) un sistem de gestionare a relațiilor cu clienții pentru administrația publică, care să permită gestionarea interacțiunilor administrației publice cu cetățenii și întreprinderile și b) un sistem integrat de comunicare electronică între sistemele și serviciile din sectorul public și cetățenii greci (Gov. gr – messenger).</w:t>
            </w:r>
          </w:p>
        </w:tc>
      </w:tr>
      <w:tr w:rsidR="00C45D59" w14:paraId="521C610A" w14:textId="77777777" w:rsidTr="004048D3">
        <w:trPr>
          <w:trHeight w:val="313"/>
        </w:trPr>
        <w:tc>
          <w:tcPr>
            <w:tcW w:w="778" w:type="dxa"/>
            <w:shd w:val="clear" w:color="auto" w:fill="C6EFCE"/>
            <w:noWrap/>
          </w:tcPr>
          <w:p w14:paraId="5A8B089E" w14:textId="77777777" w:rsidR="00C45D59" w:rsidRDefault="009B0962" w:rsidP="004048D3">
            <w:pPr>
              <w:pStyle w:val="P68B1DB1-Normal12"/>
              <w:spacing w:after="0" w:line="240" w:lineRule="auto"/>
              <w:rPr>
                <w:noProof/>
              </w:rPr>
            </w:pPr>
            <w:r>
              <w:rPr>
                <w:noProof/>
              </w:rPr>
              <w:t>110a</w:t>
            </w:r>
          </w:p>
        </w:tc>
        <w:tc>
          <w:tcPr>
            <w:tcW w:w="1936" w:type="dxa"/>
            <w:shd w:val="clear" w:color="auto" w:fill="C6EFCE"/>
            <w:noWrap/>
          </w:tcPr>
          <w:p w14:paraId="22D67A54" w14:textId="77777777" w:rsidR="00C45D59" w:rsidRDefault="009B0962" w:rsidP="004048D3">
            <w:pPr>
              <w:pStyle w:val="P68B1DB1-Normal12"/>
              <w:spacing w:after="0" w:line="240" w:lineRule="auto"/>
              <w:rPr>
                <w:rFonts w:eastAsia="Times New Roman"/>
                <w:noProof/>
              </w:rPr>
            </w:pPr>
            <w:r>
              <w:rPr>
                <w:noProof/>
              </w:rPr>
              <w:t>6-2.2. Modernizare – 16780_Modernizarea ghișeelor unice ale administrației publice</w:t>
            </w:r>
          </w:p>
        </w:tc>
        <w:tc>
          <w:tcPr>
            <w:tcW w:w="1122" w:type="dxa"/>
            <w:shd w:val="clear" w:color="auto" w:fill="C6EFCE"/>
            <w:noWrap/>
          </w:tcPr>
          <w:p w14:paraId="191FB5B2" w14:textId="77777777" w:rsidR="00C45D59" w:rsidRDefault="009B0962" w:rsidP="004048D3">
            <w:pPr>
              <w:pStyle w:val="P68B1DB1-Normal12"/>
              <w:spacing w:after="0" w:line="240" w:lineRule="auto"/>
              <w:rPr>
                <w:rFonts w:eastAsia="Times New Roman"/>
                <w:noProof/>
              </w:rPr>
            </w:pPr>
            <w:r>
              <w:rPr>
                <w:noProof/>
              </w:rPr>
              <w:t>Etapă</w:t>
            </w:r>
          </w:p>
        </w:tc>
        <w:tc>
          <w:tcPr>
            <w:tcW w:w="1448" w:type="dxa"/>
            <w:shd w:val="clear" w:color="auto" w:fill="C6EFCE"/>
            <w:noWrap/>
          </w:tcPr>
          <w:p w14:paraId="708A2495" w14:textId="5A31BAA6" w:rsidR="00C45D59" w:rsidRDefault="009B0962" w:rsidP="004048D3">
            <w:pPr>
              <w:pStyle w:val="P68B1DB1-Normal12"/>
              <w:spacing w:after="0" w:line="240" w:lineRule="auto"/>
              <w:rPr>
                <w:rFonts w:eastAsia="Times New Roman"/>
                <w:noProof/>
              </w:rPr>
            </w:pPr>
            <w:r>
              <w:rPr>
                <w:noProof/>
              </w:rPr>
              <w:t xml:space="preserve">Realizarea proiectului de modernizare a ghișeelor unice </w:t>
            </w:r>
          </w:p>
        </w:tc>
        <w:tc>
          <w:tcPr>
            <w:tcW w:w="1912" w:type="dxa"/>
            <w:shd w:val="clear" w:color="auto" w:fill="C6EFCE"/>
            <w:noWrap/>
          </w:tcPr>
          <w:p w14:paraId="7EAA6DCC" w14:textId="77777777" w:rsidR="00C45D59" w:rsidRDefault="009B0962" w:rsidP="004048D3">
            <w:pPr>
              <w:pStyle w:val="P68B1DB1-Normal12"/>
              <w:spacing w:after="0" w:line="240" w:lineRule="auto"/>
              <w:rPr>
                <w:rFonts w:eastAsia="Times New Roman"/>
                <w:noProof/>
              </w:rPr>
            </w:pPr>
            <w:r>
              <w:rPr>
                <w:noProof/>
              </w:rPr>
              <w:t>Furnizarea de echipamente pentru modernizarea ghișeelor unice ale administrației publice</w:t>
            </w:r>
          </w:p>
        </w:tc>
        <w:tc>
          <w:tcPr>
            <w:tcW w:w="1041" w:type="dxa"/>
            <w:shd w:val="clear" w:color="auto" w:fill="C6EFCE"/>
            <w:noWrap/>
          </w:tcPr>
          <w:p w14:paraId="6B432D1C" w14:textId="77777777" w:rsidR="00C45D59" w:rsidRDefault="00C45D59" w:rsidP="004048D3">
            <w:pPr>
              <w:spacing w:after="0" w:line="240" w:lineRule="auto"/>
              <w:rPr>
                <w:rFonts w:ascii="Times New Roman" w:eastAsia="Times New Roman" w:hAnsi="Times New Roman" w:cs="Times New Roman"/>
                <w:noProof/>
                <w:color w:val="006100"/>
                <w:sz w:val="18"/>
                <w:szCs w:val="18"/>
              </w:rPr>
            </w:pPr>
          </w:p>
        </w:tc>
        <w:tc>
          <w:tcPr>
            <w:tcW w:w="891" w:type="dxa"/>
            <w:shd w:val="clear" w:color="auto" w:fill="C6EFCE"/>
            <w:noWrap/>
          </w:tcPr>
          <w:p w14:paraId="0B266AB6" w14:textId="77777777" w:rsidR="00C45D59" w:rsidRDefault="00C45D59" w:rsidP="004048D3">
            <w:pPr>
              <w:spacing w:after="0" w:line="240" w:lineRule="auto"/>
              <w:rPr>
                <w:rFonts w:ascii="Times New Roman" w:eastAsia="Times New Roman" w:hAnsi="Times New Roman" w:cs="Times New Roman"/>
                <w:noProof/>
                <w:color w:val="006100"/>
                <w:sz w:val="18"/>
                <w:szCs w:val="18"/>
              </w:rPr>
            </w:pPr>
          </w:p>
        </w:tc>
        <w:tc>
          <w:tcPr>
            <w:tcW w:w="703" w:type="dxa"/>
            <w:shd w:val="clear" w:color="auto" w:fill="C6EFCE"/>
            <w:noWrap/>
          </w:tcPr>
          <w:p w14:paraId="5BD86C02" w14:textId="77777777" w:rsidR="00C45D59" w:rsidRDefault="00C45D59" w:rsidP="004048D3">
            <w:pPr>
              <w:spacing w:after="0" w:line="240" w:lineRule="auto"/>
              <w:rPr>
                <w:rFonts w:ascii="Times New Roman" w:eastAsia="Times New Roman" w:hAnsi="Times New Roman" w:cs="Times New Roman"/>
                <w:noProof/>
                <w:color w:val="006100"/>
                <w:sz w:val="18"/>
                <w:szCs w:val="18"/>
              </w:rPr>
            </w:pPr>
          </w:p>
        </w:tc>
        <w:tc>
          <w:tcPr>
            <w:tcW w:w="838" w:type="dxa"/>
            <w:shd w:val="clear" w:color="auto" w:fill="C6EFCE"/>
            <w:noWrap/>
          </w:tcPr>
          <w:p w14:paraId="18B462CB" w14:textId="77777777" w:rsidR="00C45D59" w:rsidRDefault="009B0962" w:rsidP="004048D3">
            <w:pPr>
              <w:pStyle w:val="P68B1DB1-Normal12"/>
              <w:spacing w:after="0" w:line="240" w:lineRule="auto"/>
              <w:rPr>
                <w:rFonts w:eastAsia="Times New Roman"/>
                <w:noProof/>
              </w:rPr>
            </w:pPr>
            <w:r>
              <w:rPr>
                <w:noProof/>
              </w:rPr>
              <w:t>Î4</w:t>
            </w:r>
          </w:p>
        </w:tc>
        <w:tc>
          <w:tcPr>
            <w:tcW w:w="611" w:type="dxa"/>
            <w:shd w:val="clear" w:color="auto" w:fill="C6EFCE"/>
            <w:noWrap/>
          </w:tcPr>
          <w:p w14:paraId="5B3EC5F5" w14:textId="77777777" w:rsidR="00C45D59" w:rsidRDefault="009B0962" w:rsidP="004048D3">
            <w:pPr>
              <w:pStyle w:val="P68B1DB1-Normal12"/>
              <w:spacing w:after="0" w:line="240" w:lineRule="auto"/>
              <w:rPr>
                <w:rFonts w:eastAsia="Times New Roman"/>
                <w:noProof/>
              </w:rPr>
            </w:pPr>
            <w:r>
              <w:rPr>
                <w:noProof/>
              </w:rPr>
              <w:t>2024</w:t>
            </w:r>
          </w:p>
        </w:tc>
        <w:tc>
          <w:tcPr>
            <w:tcW w:w="3507" w:type="dxa"/>
            <w:shd w:val="clear" w:color="auto" w:fill="C6EFCE"/>
            <w:noWrap/>
          </w:tcPr>
          <w:p w14:paraId="123D3B66" w14:textId="62B98B55" w:rsidR="00C45D59" w:rsidRDefault="009B0962" w:rsidP="004048D3">
            <w:pPr>
              <w:pStyle w:val="P68B1DB1-Normal12"/>
              <w:spacing w:after="0" w:line="240" w:lineRule="auto"/>
              <w:rPr>
                <w:noProof/>
              </w:rPr>
            </w:pPr>
            <w:r>
              <w:rPr>
                <w:noProof/>
              </w:rPr>
              <w:t xml:space="preserve">Livrarea a (i) 6 325 calculatoare/imprimante/tablete, (ii) 145 sisteme pentru gestionarea cozilor de așteptare și notificare, (iii) 730 terminale de feedback. </w:t>
            </w:r>
          </w:p>
        </w:tc>
      </w:tr>
      <w:tr w:rsidR="00C45D59" w14:paraId="6E315F35" w14:textId="77777777" w:rsidTr="004048D3">
        <w:trPr>
          <w:trHeight w:val="300"/>
        </w:trPr>
        <w:tc>
          <w:tcPr>
            <w:tcW w:w="778" w:type="dxa"/>
            <w:shd w:val="clear" w:color="auto" w:fill="C6EFCE"/>
            <w:noWrap/>
          </w:tcPr>
          <w:p w14:paraId="25C3A430" w14:textId="77777777" w:rsidR="00C45D59" w:rsidRDefault="009B0962" w:rsidP="004048D3">
            <w:pPr>
              <w:pStyle w:val="P68B1DB1-Normal12"/>
              <w:spacing w:line="240" w:lineRule="auto"/>
              <w:rPr>
                <w:noProof/>
              </w:rPr>
            </w:pPr>
            <w:r>
              <w:rPr>
                <w:noProof/>
              </w:rPr>
              <w:t>110b</w:t>
            </w:r>
          </w:p>
        </w:tc>
        <w:tc>
          <w:tcPr>
            <w:tcW w:w="1936" w:type="dxa"/>
            <w:shd w:val="clear" w:color="auto" w:fill="C6EFCE"/>
            <w:noWrap/>
          </w:tcPr>
          <w:p w14:paraId="5D7E79F6" w14:textId="77777777" w:rsidR="00C45D59" w:rsidRDefault="009B0962" w:rsidP="004048D3">
            <w:pPr>
              <w:pStyle w:val="P68B1DB1-Normal12"/>
              <w:spacing w:after="0" w:line="240" w:lineRule="auto"/>
              <w:rPr>
                <w:rFonts w:eastAsia="Times New Roman"/>
                <w:noProof/>
              </w:rPr>
            </w:pPr>
            <w:r>
              <w:rPr>
                <w:noProof/>
              </w:rPr>
              <w:t>6-2.2. Modernizare – 16780_Modernizarea ghișeelor unice ale administrației publice</w:t>
            </w:r>
          </w:p>
        </w:tc>
        <w:tc>
          <w:tcPr>
            <w:tcW w:w="1122" w:type="dxa"/>
            <w:shd w:val="clear" w:color="auto" w:fill="C6EFCE"/>
            <w:noWrap/>
          </w:tcPr>
          <w:p w14:paraId="5819B8DE" w14:textId="77777777" w:rsidR="00C45D59" w:rsidRDefault="009B0962" w:rsidP="004048D3">
            <w:pPr>
              <w:pStyle w:val="P68B1DB1-Normal12"/>
              <w:spacing w:line="240" w:lineRule="auto"/>
              <w:rPr>
                <w:noProof/>
              </w:rPr>
            </w:pPr>
            <w:r>
              <w:rPr>
                <w:noProof/>
              </w:rPr>
              <w:t>Etapă</w:t>
            </w:r>
          </w:p>
        </w:tc>
        <w:tc>
          <w:tcPr>
            <w:tcW w:w="1448" w:type="dxa"/>
            <w:shd w:val="clear" w:color="auto" w:fill="C6EFCE"/>
            <w:noWrap/>
          </w:tcPr>
          <w:p w14:paraId="6DD60911" w14:textId="77777777" w:rsidR="00C45D59" w:rsidRDefault="009B0962" w:rsidP="004048D3">
            <w:pPr>
              <w:pStyle w:val="P68B1DB1-Normal12"/>
              <w:spacing w:line="240" w:lineRule="auto"/>
              <w:rPr>
                <w:noProof/>
              </w:rPr>
            </w:pPr>
            <w:r>
              <w:rPr>
                <w:noProof/>
              </w:rPr>
              <w:t>Renovarea ghișeelor unice ale administrației publice</w:t>
            </w:r>
          </w:p>
        </w:tc>
        <w:tc>
          <w:tcPr>
            <w:tcW w:w="1912" w:type="dxa"/>
            <w:shd w:val="clear" w:color="auto" w:fill="C6EFCE"/>
            <w:noWrap/>
          </w:tcPr>
          <w:p w14:paraId="4726CB02" w14:textId="77777777" w:rsidR="00C45D59" w:rsidRDefault="009B0962" w:rsidP="004048D3">
            <w:pPr>
              <w:pStyle w:val="P68B1DB1-Normal12"/>
              <w:spacing w:line="240" w:lineRule="auto"/>
              <w:rPr>
                <w:noProof/>
              </w:rPr>
            </w:pPr>
            <w:r>
              <w:rPr>
                <w:noProof/>
              </w:rPr>
              <w:t>Renovarea ghișeelor unice ale administrației publice</w:t>
            </w:r>
          </w:p>
        </w:tc>
        <w:tc>
          <w:tcPr>
            <w:tcW w:w="1041" w:type="dxa"/>
            <w:shd w:val="clear" w:color="auto" w:fill="C6EFCE"/>
            <w:noWrap/>
          </w:tcPr>
          <w:p w14:paraId="3646F30E" w14:textId="77777777" w:rsidR="00C45D59" w:rsidRDefault="00C45D59" w:rsidP="004048D3">
            <w:pPr>
              <w:spacing w:line="240" w:lineRule="auto"/>
              <w:rPr>
                <w:rFonts w:ascii="Times New Roman" w:eastAsia="Times New Roman" w:hAnsi="Times New Roman" w:cs="Times New Roman"/>
                <w:noProof/>
                <w:color w:val="006100"/>
                <w:sz w:val="18"/>
                <w:szCs w:val="18"/>
              </w:rPr>
            </w:pPr>
          </w:p>
        </w:tc>
        <w:tc>
          <w:tcPr>
            <w:tcW w:w="891" w:type="dxa"/>
            <w:shd w:val="clear" w:color="auto" w:fill="C6EFCE"/>
            <w:noWrap/>
          </w:tcPr>
          <w:p w14:paraId="5AE72611" w14:textId="77777777" w:rsidR="00C45D59" w:rsidRDefault="00C45D59" w:rsidP="004048D3">
            <w:pPr>
              <w:spacing w:line="240" w:lineRule="auto"/>
              <w:rPr>
                <w:rFonts w:ascii="Times New Roman" w:eastAsia="Times New Roman" w:hAnsi="Times New Roman" w:cs="Times New Roman"/>
                <w:noProof/>
                <w:color w:val="006100"/>
                <w:sz w:val="18"/>
                <w:szCs w:val="18"/>
              </w:rPr>
            </w:pPr>
          </w:p>
        </w:tc>
        <w:tc>
          <w:tcPr>
            <w:tcW w:w="703" w:type="dxa"/>
            <w:shd w:val="clear" w:color="auto" w:fill="C6EFCE"/>
            <w:noWrap/>
          </w:tcPr>
          <w:p w14:paraId="70AC4D0A" w14:textId="77777777" w:rsidR="00C45D59" w:rsidRDefault="00C45D59" w:rsidP="004048D3">
            <w:pPr>
              <w:spacing w:line="240" w:lineRule="auto"/>
              <w:rPr>
                <w:rFonts w:ascii="Times New Roman" w:eastAsia="Times New Roman" w:hAnsi="Times New Roman" w:cs="Times New Roman"/>
                <w:noProof/>
                <w:color w:val="006100"/>
                <w:sz w:val="18"/>
                <w:szCs w:val="18"/>
              </w:rPr>
            </w:pPr>
          </w:p>
        </w:tc>
        <w:tc>
          <w:tcPr>
            <w:tcW w:w="838" w:type="dxa"/>
            <w:shd w:val="clear" w:color="auto" w:fill="C6EFCE"/>
            <w:noWrap/>
          </w:tcPr>
          <w:p w14:paraId="1D1463EF" w14:textId="77777777" w:rsidR="00C45D59" w:rsidRDefault="009B0962" w:rsidP="004048D3">
            <w:pPr>
              <w:pStyle w:val="P68B1DB1-Normal12"/>
              <w:spacing w:line="240" w:lineRule="auto"/>
              <w:rPr>
                <w:noProof/>
              </w:rPr>
            </w:pPr>
            <w:r>
              <w:rPr>
                <w:noProof/>
              </w:rPr>
              <w:t>Î4</w:t>
            </w:r>
          </w:p>
        </w:tc>
        <w:tc>
          <w:tcPr>
            <w:tcW w:w="611" w:type="dxa"/>
            <w:shd w:val="clear" w:color="auto" w:fill="C6EFCE"/>
            <w:noWrap/>
          </w:tcPr>
          <w:p w14:paraId="324A7F7F" w14:textId="77777777" w:rsidR="00C45D59" w:rsidRDefault="009B0962" w:rsidP="004048D3">
            <w:pPr>
              <w:pStyle w:val="P68B1DB1-Normal12"/>
              <w:spacing w:line="240" w:lineRule="auto"/>
              <w:rPr>
                <w:noProof/>
              </w:rPr>
            </w:pPr>
            <w:r>
              <w:rPr>
                <w:noProof/>
              </w:rPr>
              <w:t>2025</w:t>
            </w:r>
          </w:p>
        </w:tc>
        <w:tc>
          <w:tcPr>
            <w:tcW w:w="3507" w:type="dxa"/>
            <w:shd w:val="clear" w:color="auto" w:fill="C6EFCE"/>
            <w:noWrap/>
          </w:tcPr>
          <w:p w14:paraId="6F0A0366" w14:textId="77777777" w:rsidR="00C45D59" w:rsidRDefault="009B0962" w:rsidP="004048D3">
            <w:pPr>
              <w:pStyle w:val="P68B1DB1-Normal12"/>
              <w:spacing w:line="240" w:lineRule="auto"/>
              <w:rPr>
                <w:noProof/>
              </w:rPr>
            </w:pPr>
            <w:r>
              <w:rPr>
                <w:noProof/>
              </w:rPr>
              <w:t>Renovarea a 360 de ghișee unice ale administrației publice.</w:t>
            </w:r>
          </w:p>
        </w:tc>
      </w:tr>
      <w:tr w:rsidR="00C45D59" w14:paraId="2D040CB6" w14:textId="77777777" w:rsidTr="004048D3">
        <w:trPr>
          <w:trHeight w:val="313"/>
        </w:trPr>
        <w:tc>
          <w:tcPr>
            <w:tcW w:w="778" w:type="dxa"/>
            <w:shd w:val="clear" w:color="auto" w:fill="C6EFCE"/>
            <w:noWrap/>
          </w:tcPr>
          <w:p w14:paraId="771E5788" w14:textId="77777777" w:rsidR="00C45D59" w:rsidRDefault="009B0962" w:rsidP="004048D3">
            <w:pPr>
              <w:pStyle w:val="P68B1DB1-Normal12"/>
              <w:spacing w:after="0" w:line="240" w:lineRule="auto"/>
              <w:rPr>
                <w:rFonts w:eastAsia="Times New Roman"/>
                <w:noProof/>
              </w:rPr>
            </w:pPr>
            <w:r>
              <w:rPr>
                <w:noProof/>
              </w:rPr>
              <w:t>112</w:t>
            </w:r>
          </w:p>
        </w:tc>
        <w:tc>
          <w:tcPr>
            <w:tcW w:w="1936" w:type="dxa"/>
            <w:shd w:val="clear" w:color="auto" w:fill="C6EFCE"/>
            <w:noWrap/>
          </w:tcPr>
          <w:p w14:paraId="6210F02B" w14:textId="77777777" w:rsidR="00C45D59" w:rsidRDefault="009B0962" w:rsidP="004048D3">
            <w:pPr>
              <w:pStyle w:val="P68B1DB1-Normal12"/>
              <w:spacing w:after="0" w:line="240" w:lineRule="auto"/>
              <w:rPr>
                <w:rFonts w:eastAsia="Times New Roman"/>
                <w:noProof/>
              </w:rPr>
            </w:pPr>
            <w:r>
              <w:rPr>
                <w:noProof/>
              </w:rPr>
              <w:t>6-2.2. Modernizare – 16823_Strategia de securitate cibernetică și Centrul național de operațiuni de securitate</w:t>
            </w:r>
          </w:p>
        </w:tc>
        <w:tc>
          <w:tcPr>
            <w:tcW w:w="1122" w:type="dxa"/>
            <w:shd w:val="clear" w:color="auto" w:fill="C6EFCE"/>
            <w:noWrap/>
          </w:tcPr>
          <w:p w14:paraId="3EDA93E3" w14:textId="77777777" w:rsidR="00C45D59" w:rsidRDefault="009B0962" w:rsidP="004048D3">
            <w:pPr>
              <w:pStyle w:val="P68B1DB1-Normal12"/>
              <w:spacing w:after="0" w:line="240" w:lineRule="auto"/>
              <w:rPr>
                <w:rFonts w:eastAsia="Times New Roman"/>
                <w:noProof/>
              </w:rPr>
            </w:pPr>
            <w:r>
              <w:rPr>
                <w:noProof/>
              </w:rPr>
              <w:t>Etapă</w:t>
            </w:r>
          </w:p>
        </w:tc>
        <w:tc>
          <w:tcPr>
            <w:tcW w:w="1448" w:type="dxa"/>
            <w:shd w:val="clear" w:color="auto" w:fill="C6EFCE"/>
            <w:noWrap/>
          </w:tcPr>
          <w:p w14:paraId="62684561" w14:textId="77777777" w:rsidR="00C45D59" w:rsidRDefault="009B0962" w:rsidP="004048D3">
            <w:pPr>
              <w:pStyle w:val="P68B1DB1-Normal12"/>
              <w:spacing w:after="0" w:line="240" w:lineRule="auto"/>
              <w:rPr>
                <w:noProof/>
              </w:rPr>
            </w:pPr>
            <w:r>
              <w:rPr>
                <w:noProof/>
              </w:rPr>
              <w:t xml:space="preserve">Punerea în aplicare a strategiei de securitate cibernetică și a Centrului național de operațiuni de securitate </w:t>
            </w:r>
          </w:p>
        </w:tc>
        <w:tc>
          <w:tcPr>
            <w:tcW w:w="1912" w:type="dxa"/>
            <w:shd w:val="clear" w:color="auto" w:fill="C6EFCE"/>
            <w:noWrap/>
          </w:tcPr>
          <w:p w14:paraId="553A72E1" w14:textId="6100345F" w:rsidR="00C45D59" w:rsidRDefault="009B0962" w:rsidP="004048D3">
            <w:pPr>
              <w:pStyle w:val="P68B1DB1-Normal12"/>
              <w:spacing w:after="0" w:line="240" w:lineRule="auto"/>
              <w:rPr>
                <w:noProof/>
              </w:rPr>
            </w:pPr>
            <w:r>
              <w:rPr>
                <w:noProof/>
              </w:rPr>
              <w:t>Punerea în aplicare a Strategiei de securitate cibernetică și a Centrului național de operațiuni de securitate</w:t>
            </w:r>
          </w:p>
        </w:tc>
        <w:tc>
          <w:tcPr>
            <w:tcW w:w="1041" w:type="dxa"/>
            <w:shd w:val="clear" w:color="auto" w:fill="C6EFCE"/>
            <w:noWrap/>
          </w:tcPr>
          <w:p w14:paraId="3E55F702" w14:textId="77777777" w:rsidR="00C45D59" w:rsidRDefault="00C45D59" w:rsidP="004048D3">
            <w:pPr>
              <w:spacing w:after="0" w:line="240" w:lineRule="auto"/>
              <w:rPr>
                <w:rFonts w:ascii="Times New Roman" w:eastAsia="Times New Roman" w:hAnsi="Times New Roman" w:cs="Times New Roman"/>
                <w:noProof/>
                <w:color w:val="006100"/>
                <w:sz w:val="18"/>
                <w:szCs w:val="18"/>
              </w:rPr>
            </w:pPr>
          </w:p>
        </w:tc>
        <w:tc>
          <w:tcPr>
            <w:tcW w:w="891" w:type="dxa"/>
            <w:shd w:val="clear" w:color="auto" w:fill="C6EFCE"/>
            <w:noWrap/>
          </w:tcPr>
          <w:p w14:paraId="02F1D655" w14:textId="77777777" w:rsidR="00C45D59" w:rsidRDefault="00C45D59" w:rsidP="004048D3">
            <w:pPr>
              <w:spacing w:after="0" w:line="240" w:lineRule="auto"/>
              <w:rPr>
                <w:rFonts w:ascii="Times New Roman" w:eastAsia="Times New Roman" w:hAnsi="Times New Roman" w:cs="Times New Roman"/>
                <w:noProof/>
                <w:color w:val="006100"/>
                <w:sz w:val="18"/>
                <w:szCs w:val="18"/>
              </w:rPr>
            </w:pPr>
          </w:p>
        </w:tc>
        <w:tc>
          <w:tcPr>
            <w:tcW w:w="703" w:type="dxa"/>
            <w:shd w:val="clear" w:color="auto" w:fill="C6EFCE"/>
            <w:noWrap/>
          </w:tcPr>
          <w:p w14:paraId="12B81CC0" w14:textId="77777777" w:rsidR="00C45D59" w:rsidRDefault="00C45D59" w:rsidP="004048D3">
            <w:pPr>
              <w:spacing w:after="0" w:line="240" w:lineRule="auto"/>
              <w:rPr>
                <w:rFonts w:ascii="Times New Roman" w:eastAsia="Times New Roman" w:hAnsi="Times New Roman" w:cs="Times New Roman"/>
                <w:noProof/>
                <w:color w:val="006100"/>
                <w:sz w:val="18"/>
                <w:szCs w:val="18"/>
              </w:rPr>
            </w:pPr>
          </w:p>
        </w:tc>
        <w:tc>
          <w:tcPr>
            <w:tcW w:w="838" w:type="dxa"/>
            <w:shd w:val="clear" w:color="auto" w:fill="C6EFCE"/>
            <w:noWrap/>
          </w:tcPr>
          <w:p w14:paraId="3C33A920" w14:textId="77777777" w:rsidR="00C45D59" w:rsidRDefault="009B0962" w:rsidP="004048D3">
            <w:pPr>
              <w:pStyle w:val="P68B1DB1-Normal12"/>
              <w:spacing w:after="0" w:line="240" w:lineRule="auto"/>
              <w:rPr>
                <w:rFonts w:eastAsia="Times New Roman"/>
                <w:noProof/>
              </w:rPr>
            </w:pPr>
            <w:r>
              <w:rPr>
                <w:noProof/>
              </w:rPr>
              <w:t>Î4</w:t>
            </w:r>
          </w:p>
        </w:tc>
        <w:tc>
          <w:tcPr>
            <w:tcW w:w="611" w:type="dxa"/>
            <w:shd w:val="clear" w:color="auto" w:fill="C6EFCE"/>
            <w:noWrap/>
          </w:tcPr>
          <w:p w14:paraId="24EC0406" w14:textId="77777777" w:rsidR="00C45D59" w:rsidRDefault="009B0962" w:rsidP="004048D3">
            <w:pPr>
              <w:pStyle w:val="P68B1DB1-Normal12"/>
              <w:spacing w:after="0" w:line="240" w:lineRule="auto"/>
              <w:rPr>
                <w:rFonts w:eastAsia="Times New Roman"/>
                <w:noProof/>
              </w:rPr>
            </w:pPr>
            <w:r>
              <w:rPr>
                <w:noProof/>
              </w:rPr>
              <w:t>2024</w:t>
            </w:r>
          </w:p>
        </w:tc>
        <w:tc>
          <w:tcPr>
            <w:tcW w:w="3507" w:type="dxa"/>
            <w:shd w:val="clear" w:color="auto" w:fill="C6EFCE"/>
            <w:noWrap/>
          </w:tcPr>
          <w:p w14:paraId="0D631407" w14:textId="77777777" w:rsidR="00C45D59" w:rsidRDefault="009B0962" w:rsidP="004048D3">
            <w:pPr>
              <w:pStyle w:val="P68B1DB1-Normal12"/>
              <w:spacing w:after="0" w:line="240" w:lineRule="auto"/>
              <w:rPr>
                <w:noProof/>
              </w:rPr>
            </w:pPr>
            <w:r>
              <w:rPr>
                <w:noProof/>
              </w:rPr>
              <w:t>Punerea în aplicare a i) Strategiei de securitate cibernetică ii) Centrului național de operațiuni de securitate (SOC)</w:t>
            </w:r>
          </w:p>
        </w:tc>
      </w:tr>
      <w:tr w:rsidR="00C45D59" w14:paraId="70BF36BD" w14:textId="77777777" w:rsidTr="004048D3">
        <w:trPr>
          <w:trHeight w:val="313"/>
        </w:trPr>
        <w:tc>
          <w:tcPr>
            <w:tcW w:w="778" w:type="dxa"/>
            <w:shd w:val="clear" w:color="auto" w:fill="C6EFCE"/>
            <w:noWrap/>
          </w:tcPr>
          <w:p w14:paraId="0F68767D" w14:textId="77777777" w:rsidR="00C45D59" w:rsidRDefault="009B0962" w:rsidP="004048D3">
            <w:pPr>
              <w:pStyle w:val="P68B1DB1-Normal12"/>
              <w:spacing w:after="0" w:line="240" w:lineRule="auto"/>
              <w:rPr>
                <w:rFonts w:eastAsia="Times New Roman"/>
                <w:noProof/>
              </w:rPr>
            </w:pPr>
            <w:r>
              <w:rPr>
                <w:noProof/>
              </w:rPr>
              <w:t>113</w:t>
            </w:r>
          </w:p>
        </w:tc>
        <w:tc>
          <w:tcPr>
            <w:tcW w:w="1936" w:type="dxa"/>
            <w:shd w:val="clear" w:color="auto" w:fill="C6EFCE"/>
            <w:noWrap/>
          </w:tcPr>
          <w:p w14:paraId="3596611E" w14:textId="77777777" w:rsidR="00C45D59" w:rsidRDefault="009B0962" w:rsidP="004048D3">
            <w:pPr>
              <w:pStyle w:val="P68B1DB1-Normal12"/>
              <w:spacing w:after="0" w:line="240" w:lineRule="auto"/>
              <w:rPr>
                <w:rFonts w:eastAsia="Times New Roman"/>
                <w:noProof/>
              </w:rPr>
            </w:pPr>
            <w:r>
              <w:rPr>
                <w:noProof/>
              </w:rPr>
              <w:t>6-2.2. Modernizare – 16738_Sistemul central de gestionare a documentelor</w:t>
            </w:r>
          </w:p>
        </w:tc>
        <w:tc>
          <w:tcPr>
            <w:tcW w:w="1122" w:type="dxa"/>
            <w:shd w:val="clear" w:color="auto" w:fill="C6EFCE"/>
            <w:noWrap/>
          </w:tcPr>
          <w:p w14:paraId="65188F37" w14:textId="77777777" w:rsidR="00C45D59" w:rsidRDefault="009B0962" w:rsidP="004048D3">
            <w:pPr>
              <w:pStyle w:val="P68B1DB1-Normal12"/>
              <w:spacing w:after="0" w:line="240" w:lineRule="auto"/>
              <w:rPr>
                <w:rFonts w:eastAsia="Times New Roman"/>
                <w:noProof/>
              </w:rPr>
            </w:pPr>
            <w:r>
              <w:rPr>
                <w:noProof/>
              </w:rPr>
              <w:t>Etapă</w:t>
            </w:r>
          </w:p>
        </w:tc>
        <w:tc>
          <w:tcPr>
            <w:tcW w:w="1448" w:type="dxa"/>
            <w:shd w:val="clear" w:color="auto" w:fill="C6EFCE"/>
            <w:noWrap/>
          </w:tcPr>
          <w:p w14:paraId="7A3B3095" w14:textId="77777777" w:rsidR="00C45D59" w:rsidRDefault="009B0962" w:rsidP="004048D3">
            <w:pPr>
              <w:pStyle w:val="P68B1DB1-Normal12"/>
              <w:spacing w:after="0" w:line="240" w:lineRule="auto"/>
              <w:rPr>
                <w:rFonts w:eastAsia="Times New Roman"/>
                <w:noProof/>
              </w:rPr>
            </w:pPr>
            <w:r>
              <w:rPr>
                <w:noProof/>
              </w:rPr>
              <w:t xml:space="preserve">Finalizarea proiectului privind sistemul central de gestionare a documentelor </w:t>
            </w:r>
          </w:p>
        </w:tc>
        <w:tc>
          <w:tcPr>
            <w:tcW w:w="1912" w:type="dxa"/>
            <w:shd w:val="clear" w:color="auto" w:fill="C6EFCE"/>
            <w:noWrap/>
          </w:tcPr>
          <w:p w14:paraId="4BC3AAC8" w14:textId="77777777" w:rsidR="00C45D59" w:rsidRDefault="009B0962" w:rsidP="004048D3">
            <w:pPr>
              <w:pStyle w:val="P68B1DB1-Normal12"/>
              <w:spacing w:after="0" w:line="240" w:lineRule="auto"/>
              <w:rPr>
                <w:rFonts w:eastAsia="Times New Roman"/>
                <w:noProof/>
              </w:rPr>
            </w:pPr>
            <w:r>
              <w:rPr>
                <w:noProof/>
              </w:rPr>
              <w:t>Raport final al Ministerului Guvernanței Digitale care documentează finalizarea sistemului central de gestionare a documentelor</w:t>
            </w:r>
          </w:p>
        </w:tc>
        <w:tc>
          <w:tcPr>
            <w:tcW w:w="1041" w:type="dxa"/>
            <w:shd w:val="clear" w:color="auto" w:fill="C6EFCE"/>
            <w:noWrap/>
          </w:tcPr>
          <w:p w14:paraId="2C7B8ECD" w14:textId="77777777" w:rsidR="00C45D59" w:rsidRDefault="00C45D59" w:rsidP="004048D3">
            <w:pPr>
              <w:spacing w:after="0" w:line="240" w:lineRule="auto"/>
              <w:rPr>
                <w:rFonts w:ascii="Times New Roman" w:eastAsia="Times New Roman" w:hAnsi="Times New Roman" w:cs="Times New Roman"/>
                <w:noProof/>
                <w:color w:val="006100"/>
                <w:sz w:val="18"/>
                <w:szCs w:val="18"/>
              </w:rPr>
            </w:pPr>
          </w:p>
        </w:tc>
        <w:tc>
          <w:tcPr>
            <w:tcW w:w="891" w:type="dxa"/>
            <w:shd w:val="clear" w:color="auto" w:fill="C6EFCE"/>
            <w:noWrap/>
          </w:tcPr>
          <w:p w14:paraId="1B2227A4" w14:textId="77777777" w:rsidR="00C45D59" w:rsidRDefault="00C45D59" w:rsidP="004048D3">
            <w:pPr>
              <w:spacing w:after="0" w:line="240" w:lineRule="auto"/>
              <w:rPr>
                <w:rFonts w:ascii="Times New Roman" w:eastAsia="Times New Roman" w:hAnsi="Times New Roman" w:cs="Times New Roman"/>
                <w:noProof/>
                <w:color w:val="006100"/>
                <w:sz w:val="18"/>
                <w:szCs w:val="18"/>
              </w:rPr>
            </w:pPr>
          </w:p>
        </w:tc>
        <w:tc>
          <w:tcPr>
            <w:tcW w:w="703" w:type="dxa"/>
            <w:shd w:val="clear" w:color="auto" w:fill="C6EFCE"/>
            <w:noWrap/>
          </w:tcPr>
          <w:p w14:paraId="085777E7" w14:textId="77777777" w:rsidR="00C45D59" w:rsidRDefault="00C45D59" w:rsidP="004048D3">
            <w:pPr>
              <w:spacing w:after="0" w:line="240" w:lineRule="auto"/>
              <w:rPr>
                <w:rFonts w:ascii="Times New Roman" w:eastAsia="Times New Roman" w:hAnsi="Times New Roman" w:cs="Times New Roman"/>
                <w:noProof/>
                <w:color w:val="006100"/>
                <w:sz w:val="18"/>
                <w:szCs w:val="18"/>
              </w:rPr>
            </w:pPr>
          </w:p>
        </w:tc>
        <w:tc>
          <w:tcPr>
            <w:tcW w:w="838" w:type="dxa"/>
            <w:shd w:val="clear" w:color="auto" w:fill="C6EFCE"/>
            <w:noWrap/>
          </w:tcPr>
          <w:p w14:paraId="1E9F8AAC" w14:textId="77777777" w:rsidR="00C45D59" w:rsidRDefault="009B0962" w:rsidP="004048D3">
            <w:pPr>
              <w:pStyle w:val="P68B1DB1-Normal12"/>
              <w:spacing w:after="0" w:line="240" w:lineRule="auto"/>
              <w:rPr>
                <w:rFonts w:eastAsia="Times New Roman"/>
                <w:noProof/>
              </w:rPr>
            </w:pPr>
            <w:r>
              <w:rPr>
                <w:noProof/>
              </w:rPr>
              <w:t>Î2</w:t>
            </w:r>
          </w:p>
        </w:tc>
        <w:tc>
          <w:tcPr>
            <w:tcW w:w="611" w:type="dxa"/>
            <w:shd w:val="clear" w:color="auto" w:fill="C6EFCE"/>
            <w:noWrap/>
          </w:tcPr>
          <w:p w14:paraId="6997B356" w14:textId="77777777" w:rsidR="00C45D59" w:rsidRDefault="009B0962" w:rsidP="004048D3">
            <w:pPr>
              <w:pStyle w:val="P68B1DB1-Normal12"/>
              <w:spacing w:after="0" w:line="240" w:lineRule="auto"/>
              <w:rPr>
                <w:rFonts w:eastAsia="Times New Roman"/>
                <w:noProof/>
              </w:rPr>
            </w:pPr>
            <w:r>
              <w:rPr>
                <w:noProof/>
              </w:rPr>
              <w:t>2024</w:t>
            </w:r>
          </w:p>
        </w:tc>
        <w:tc>
          <w:tcPr>
            <w:tcW w:w="3507" w:type="dxa"/>
            <w:shd w:val="clear" w:color="auto" w:fill="C6EFCE"/>
            <w:noWrap/>
          </w:tcPr>
          <w:p w14:paraId="7BC7D5B0" w14:textId="77777777" w:rsidR="00C45D59" w:rsidRDefault="009B0962" w:rsidP="004048D3">
            <w:pPr>
              <w:pStyle w:val="P68B1DB1-Normal12"/>
              <w:spacing w:after="0" w:line="240" w:lineRule="auto"/>
              <w:rPr>
                <w:noProof/>
              </w:rPr>
            </w:pPr>
            <w:r>
              <w:rPr>
                <w:noProof/>
              </w:rPr>
              <w:t xml:space="preserve">Sistemul central de gestionare a documentelor este operațional, inclusiv furnizarea de </w:t>
            </w:r>
          </w:p>
          <w:p w14:paraId="3C5DACE9" w14:textId="77777777" w:rsidR="00C45D59" w:rsidRDefault="009B0962" w:rsidP="004048D3">
            <w:pPr>
              <w:pStyle w:val="P68B1DB1-Normal12"/>
              <w:spacing w:after="0" w:line="240" w:lineRule="auto"/>
              <w:rPr>
                <w:rFonts w:eastAsia="Times New Roman"/>
                <w:noProof/>
              </w:rPr>
            </w:pPr>
            <w:r>
              <w:rPr>
                <w:noProof/>
              </w:rPr>
              <w:t>Au fost aprobate 20 000 de semnături digitale de la distanță, susținute de cereri și de un serviciu de asistență.</w:t>
            </w:r>
          </w:p>
        </w:tc>
      </w:tr>
      <w:tr w:rsidR="00C45D59" w14:paraId="718C8C14" w14:textId="77777777" w:rsidTr="004048D3">
        <w:trPr>
          <w:trHeight w:val="313"/>
        </w:trPr>
        <w:tc>
          <w:tcPr>
            <w:tcW w:w="778" w:type="dxa"/>
            <w:shd w:val="clear" w:color="auto" w:fill="C6EFCE"/>
            <w:noWrap/>
          </w:tcPr>
          <w:p w14:paraId="72A3F787" w14:textId="77777777" w:rsidR="00C45D59" w:rsidRDefault="009B0962" w:rsidP="004048D3">
            <w:pPr>
              <w:pStyle w:val="P68B1DB1-Normal12"/>
              <w:spacing w:after="0" w:line="240" w:lineRule="auto"/>
              <w:rPr>
                <w:rFonts w:eastAsia="Times New Roman"/>
                <w:noProof/>
              </w:rPr>
            </w:pPr>
            <w:r>
              <w:rPr>
                <w:noProof/>
              </w:rPr>
              <w:t>114</w:t>
            </w:r>
          </w:p>
        </w:tc>
        <w:tc>
          <w:tcPr>
            <w:tcW w:w="1936" w:type="dxa"/>
            <w:shd w:val="clear" w:color="auto" w:fill="C6EFCE"/>
            <w:noWrap/>
          </w:tcPr>
          <w:p w14:paraId="175BF473" w14:textId="77777777" w:rsidR="00C45D59" w:rsidRDefault="009B0962" w:rsidP="004048D3">
            <w:pPr>
              <w:pStyle w:val="P68B1DB1-Normal12"/>
              <w:spacing w:after="0" w:line="240" w:lineRule="auto"/>
              <w:rPr>
                <w:rFonts w:eastAsia="Times New Roman"/>
                <w:noProof/>
              </w:rPr>
            </w:pPr>
            <w:r>
              <w:rPr>
                <w:noProof/>
              </w:rPr>
              <w:t>6-2.2. Modernizare – 16742_Transformarea digitală a Ministerului Afacerilor Externe</w:t>
            </w:r>
          </w:p>
        </w:tc>
        <w:tc>
          <w:tcPr>
            <w:tcW w:w="1122" w:type="dxa"/>
            <w:shd w:val="clear" w:color="auto" w:fill="C6EFCE"/>
            <w:noWrap/>
          </w:tcPr>
          <w:p w14:paraId="3DBDA3BD" w14:textId="77777777" w:rsidR="00C45D59" w:rsidRDefault="009B0962" w:rsidP="004048D3">
            <w:pPr>
              <w:pStyle w:val="P68B1DB1-Normal12"/>
              <w:spacing w:after="0" w:line="240" w:lineRule="auto"/>
              <w:rPr>
                <w:rFonts w:eastAsia="Times New Roman"/>
                <w:noProof/>
              </w:rPr>
            </w:pPr>
            <w:r>
              <w:rPr>
                <w:noProof/>
              </w:rPr>
              <w:t>Etapă</w:t>
            </w:r>
          </w:p>
        </w:tc>
        <w:tc>
          <w:tcPr>
            <w:tcW w:w="1448" w:type="dxa"/>
            <w:shd w:val="clear" w:color="auto" w:fill="C6EFCE"/>
            <w:noWrap/>
          </w:tcPr>
          <w:p w14:paraId="2F3F59D6" w14:textId="77777777" w:rsidR="00C45D59" w:rsidRDefault="009B0962" w:rsidP="004048D3">
            <w:pPr>
              <w:pStyle w:val="P68B1DB1-Normal12"/>
              <w:spacing w:after="0" w:line="240" w:lineRule="auto"/>
              <w:rPr>
                <w:rFonts w:eastAsia="Times New Roman"/>
                <w:noProof/>
              </w:rPr>
            </w:pPr>
            <w:r>
              <w:rPr>
                <w:noProof/>
              </w:rPr>
              <w:t>Transformarea digitală a Ministerului Afacerilor Externe</w:t>
            </w:r>
          </w:p>
        </w:tc>
        <w:tc>
          <w:tcPr>
            <w:tcW w:w="1912" w:type="dxa"/>
            <w:shd w:val="clear" w:color="auto" w:fill="C6EFCE"/>
            <w:noWrap/>
          </w:tcPr>
          <w:p w14:paraId="2C6627DB" w14:textId="77777777" w:rsidR="00C45D59" w:rsidRDefault="009B0962" w:rsidP="004048D3">
            <w:pPr>
              <w:pStyle w:val="P68B1DB1-Normal12"/>
              <w:spacing w:after="0" w:line="240" w:lineRule="auto"/>
              <w:rPr>
                <w:rFonts w:eastAsia="Times New Roman"/>
                <w:noProof/>
              </w:rPr>
            </w:pPr>
            <w:r>
              <w:rPr>
                <w:noProof/>
              </w:rPr>
              <w:t>Realizarea subproiectelor proiectului „Digitalizarea Ministerului Afacerilor Externe”</w:t>
            </w:r>
          </w:p>
        </w:tc>
        <w:tc>
          <w:tcPr>
            <w:tcW w:w="1041" w:type="dxa"/>
            <w:shd w:val="clear" w:color="auto" w:fill="C6EFCE"/>
            <w:noWrap/>
          </w:tcPr>
          <w:p w14:paraId="6613D07A" w14:textId="77777777" w:rsidR="00C45D59" w:rsidRDefault="00C45D59" w:rsidP="004048D3">
            <w:pPr>
              <w:spacing w:after="0" w:line="240" w:lineRule="auto"/>
              <w:rPr>
                <w:rFonts w:ascii="Times New Roman" w:eastAsia="Times New Roman" w:hAnsi="Times New Roman" w:cs="Times New Roman"/>
                <w:noProof/>
                <w:color w:val="006100"/>
                <w:sz w:val="18"/>
                <w:szCs w:val="18"/>
              </w:rPr>
            </w:pPr>
          </w:p>
        </w:tc>
        <w:tc>
          <w:tcPr>
            <w:tcW w:w="891" w:type="dxa"/>
            <w:shd w:val="clear" w:color="auto" w:fill="C6EFCE"/>
            <w:noWrap/>
          </w:tcPr>
          <w:p w14:paraId="2131C2F2" w14:textId="77777777" w:rsidR="00C45D59" w:rsidRDefault="00C45D59" w:rsidP="004048D3">
            <w:pPr>
              <w:spacing w:after="0" w:line="240" w:lineRule="auto"/>
              <w:rPr>
                <w:rFonts w:ascii="Times New Roman" w:eastAsia="Times New Roman" w:hAnsi="Times New Roman" w:cs="Times New Roman"/>
                <w:noProof/>
                <w:color w:val="006100"/>
                <w:sz w:val="18"/>
                <w:szCs w:val="18"/>
              </w:rPr>
            </w:pPr>
          </w:p>
        </w:tc>
        <w:tc>
          <w:tcPr>
            <w:tcW w:w="703" w:type="dxa"/>
            <w:shd w:val="clear" w:color="auto" w:fill="C6EFCE"/>
            <w:noWrap/>
          </w:tcPr>
          <w:p w14:paraId="0D10839A" w14:textId="77777777" w:rsidR="00C45D59" w:rsidRDefault="00C45D59" w:rsidP="004048D3">
            <w:pPr>
              <w:spacing w:after="0" w:line="240" w:lineRule="auto"/>
              <w:rPr>
                <w:rFonts w:ascii="Times New Roman" w:eastAsia="Times New Roman" w:hAnsi="Times New Roman" w:cs="Times New Roman"/>
                <w:noProof/>
                <w:color w:val="006100"/>
                <w:sz w:val="18"/>
                <w:szCs w:val="18"/>
              </w:rPr>
            </w:pPr>
          </w:p>
        </w:tc>
        <w:tc>
          <w:tcPr>
            <w:tcW w:w="838" w:type="dxa"/>
            <w:shd w:val="clear" w:color="auto" w:fill="C6EFCE"/>
            <w:noWrap/>
          </w:tcPr>
          <w:p w14:paraId="4D955B93" w14:textId="77777777" w:rsidR="00C45D59" w:rsidRDefault="009B0962" w:rsidP="004048D3">
            <w:pPr>
              <w:pStyle w:val="P68B1DB1-Normal12"/>
              <w:spacing w:after="0" w:line="240" w:lineRule="auto"/>
              <w:rPr>
                <w:rFonts w:eastAsia="Times New Roman"/>
                <w:noProof/>
              </w:rPr>
            </w:pPr>
            <w:r>
              <w:rPr>
                <w:noProof/>
              </w:rPr>
              <w:t>Î2</w:t>
            </w:r>
          </w:p>
        </w:tc>
        <w:tc>
          <w:tcPr>
            <w:tcW w:w="611" w:type="dxa"/>
            <w:shd w:val="clear" w:color="auto" w:fill="C6EFCE"/>
            <w:noWrap/>
          </w:tcPr>
          <w:p w14:paraId="75E6EBD1" w14:textId="77777777" w:rsidR="00C45D59" w:rsidRDefault="009B0962" w:rsidP="004048D3">
            <w:pPr>
              <w:pStyle w:val="P68B1DB1-Normal12"/>
              <w:spacing w:after="0" w:line="240" w:lineRule="auto"/>
              <w:rPr>
                <w:rFonts w:eastAsia="Times New Roman"/>
                <w:noProof/>
              </w:rPr>
            </w:pPr>
            <w:r>
              <w:rPr>
                <w:noProof/>
              </w:rPr>
              <w:t>2025</w:t>
            </w:r>
          </w:p>
        </w:tc>
        <w:tc>
          <w:tcPr>
            <w:tcW w:w="3507" w:type="dxa"/>
            <w:shd w:val="clear" w:color="auto" w:fill="C6EFCE"/>
            <w:noWrap/>
          </w:tcPr>
          <w:p w14:paraId="36F1B3D4" w14:textId="24D53E51" w:rsidR="00C45D59" w:rsidRDefault="009B0962" w:rsidP="004048D3">
            <w:pPr>
              <w:pStyle w:val="P68B1DB1-Normal35"/>
              <w:spacing w:after="0" w:line="240" w:lineRule="auto"/>
              <w:rPr>
                <w:rFonts w:ascii="Times New Roman" w:eastAsia="Times New Roman" w:hAnsi="Times New Roman" w:cs="Times New Roman"/>
                <w:noProof/>
                <w:sz w:val="18"/>
                <w:szCs w:val="18"/>
              </w:rPr>
            </w:pPr>
            <w:r>
              <w:rPr>
                <w:rFonts w:ascii="Times New Roman" w:hAnsi="Times New Roman" w:cs="Times New Roman"/>
                <w:noProof/>
                <w:sz w:val="18"/>
                <w:szCs w:val="18"/>
              </w:rPr>
              <w:t xml:space="preserve">Furnizarea (1) sistemului de sprijin pentru planificarea strategică și operațională, (2) digitalizării a </w:t>
            </w:r>
            <w:r>
              <w:rPr>
                <w:rFonts w:ascii="Times New Roman" w:eastAsia="Times New Roman" w:hAnsi="Times New Roman" w:cs="Times New Roman"/>
                <w:noProof/>
                <w:sz w:val="20"/>
                <w:szCs w:val="20"/>
              </w:rPr>
              <w:t>31 269 486 de pagini ale</w:t>
            </w:r>
            <w:r>
              <w:rPr>
                <w:rFonts w:ascii="Times New Roman" w:hAnsi="Times New Roman" w:cs="Times New Roman"/>
                <w:noProof/>
                <w:sz w:val="18"/>
                <w:szCs w:val="18"/>
              </w:rPr>
              <w:t xml:space="preserve"> arhivelor diplomatice și istorice, (3) platformei globale a centrelor de informare digitală și (4) infrastructurii criptografice &amp; de telecomunicații.</w:t>
            </w:r>
          </w:p>
        </w:tc>
      </w:tr>
      <w:tr w:rsidR="00C45D59" w14:paraId="389C1642" w14:textId="77777777" w:rsidTr="004048D3">
        <w:trPr>
          <w:trHeight w:val="313"/>
        </w:trPr>
        <w:tc>
          <w:tcPr>
            <w:tcW w:w="778" w:type="dxa"/>
            <w:shd w:val="clear" w:color="auto" w:fill="C6EFCE"/>
            <w:noWrap/>
          </w:tcPr>
          <w:p w14:paraId="37E6C0B8" w14:textId="77777777" w:rsidR="00C45D59" w:rsidRDefault="009B0962" w:rsidP="004048D3">
            <w:pPr>
              <w:pStyle w:val="P68B1DB1-Normal12"/>
              <w:spacing w:after="0" w:line="240" w:lineRule="auto"/>
              <w:rPr>
                <w:rFonts w:eastAsia="Times New Roman"/>
                <w:noProof/>
              </w:rPr>
            </w:pPr>
            <w:r>
              <w:rPr>
                <w:noProof/>
              </w:rPr>
              <w:t>115</w:t>
            </w:r>
          </w:p>
        </w:tc>
        <w:tc>
          <w:tcPr>
            <w:tcW w:w="1936" w:type="dxa"/>
            <w:shd w:val="clear" w:color="auto" w:fill="C6EFCE"/>
            <w:noWrap/>
          </w:tcPr>
          <w:p w14:paraId="2A7C2A96" w14:textId="77777777" w:rsidR="00C45D59" w:rsidRDefault="009B0962" w:rsidP="004048D3">
            <w:pPr>
              <w:pStyle w:val="P68B1DB1-Normal12"/>
              <w:spacing w:after="0" w:line="240" w:lineRule="auto"/>
              <w:rPr>
                <w:rFonts w:eastAsia="Times New Roman"/>
                <w:noProof/>
              </w:rPr>
            </w:pPr>
            <w:r>
              <w:rPr>
                <w:noProof/>
              </w:rPr>
              <w:t>6-2.2. Modernizare – 16791_Transformarea digitală a Organizației Naționale de Turism din Grecia</w:t>
            </w:r>
          </w:p>
        </w:tc>
        <w:tc>
          <w:tcPr>
            <w:tcW w:w="1122" w:type="dxa"/>
            <w:shd w:val="clear" w:color="auto" w:fill="C6EFCE"/>
            <w:noWrap/>
          </w:tcPr>
          <w:p w14:paraId="787A8ADD" w14:textId="77777777" w:rsidR="00C45D59" w:rsidRDefault="009B0962" w:rsidP="004048D3">
            <w:pPr>
              <w:pStyle w:val="P68B1DB1-Normal12"/>
              <w:spacing w:after="0" w:line="240" w:lineRule="auto"/>
              <w:rPr>
                <w:rFonts w:eastAsia="Times New Roman"/>
                <w:noProof/>
              </w:rPr>
            </w:pPr>
            <w:r>
              <w:rPr>
                <w:noProof/>
              </w:rPr>
              <w:t>Etapă</w:t>
            </w:r>
          </w:p>
        </w:tc>
        <w:tc>
          <w:tcPr>
            <w:tcW w:w="1448" w:type="dxa"/>
            <w:shd w:val="clear" w:color="auto" w:fill="C6EFCE"/>
            <w:noWrap/>
          </w:tcPr>
          <w:p w14:paraId="102E4057" w14:textId="77777777" w:rsidR="00C45D59" w:rsidRDefault="009B0962" w:rsidP="004048D3">
            <w:pPr>
              <w:pStyle w:val="P68B1DB1-Normal12"/>
              <w:spacing w:after="0" w:line="240" w:lineRule="auto"/>
              <w:rPr>
                <w:rFonts w:eastAsia="Times New Roman"/>
                <w:noProof/>
              </w:rPr>
            </w:pPr>
            <w:r>
              <w:rPr>
                <w:noProof/>
              </w:rPr>
              <w:t xml:space="preserve">Digitalizarea Organizației Naționale de Turism din Grecia </w:t>
            </w:r>
          </w:p>
        </w:tc>
        <w:tc>
          <w:tcPr>
            <w:tcW w:w="1912" w:type="dxa"/>
            <w:shd w:val="clear" w:color="auto" w:fill="C6EFCE"/>
            <w:noWrap/>
          </w:tcPr>
          <w:p w14:paraId="59670D6A" w14:textId="77777777" w:rsidR="00C45D59" w:rsidRDefault="009B0962" w:rsidP="004048D3">
            <w:pPr>
              <w:pStyle w:val="P68B1DB1-Normal12"/>
              <w:spacing w:after="0" w:line="240" w:lineRule="auto"/>
              <w:rPr>
                <w:rFonts w:eastAsia="Times New Roman"/>
                <w:noProof/>
              </w:rPr>
            </w:pPr>
            <w:r>
              <w:rPr>
                <w:noProof/>
              </w:rPr>
              <w:t>Realizarea proiectului „Transformarea digitală a Organizației Naționale de Turism din Grecia”</w:t>
            </w:r>
          </w:p>
        </w:tc>
        <w:tc>
          <w:tcPr>
            <w:tcW w:w="1041" w:type="dxa"/>
            <w:shd w:val="clear" w:color="auto" w:fill="C6EFCE"/>
            <w:noWrap/>
          </w:tcPr>
          <w:p w14:paraId="617A841B" w14:textId="77777777" w:rsidR="00C45D59" w:rsidRDefault="00C45D59" w:rsidP="004048D3">
            <w:pPr>
              <w:spacing w:after="0" w:line="240" w:lineRule="auto"/>
              <w:rPr>
                <w:rFonts w:ascii="Times New Roman" w:eastAsia="Times New Roman" w:hAnsi="Times New Roman" w:cs="Times New Roman"/>
                <w:noProof/>
                <w:color w:val="006100"/>
                <w:sz w:val="18"/>
                <w:szCs w:val="18"/>
              </w:rPr>
            </w:pPr>
          </w:p>
        </w:tc>
        <w:tc>
          <w:tcPr>
            <w:tcW w:w="891" w:type="dxa"/>
            <w:shd w:val="clear" w:color="auto" w:fill="C6EFCE"/>
            <w:noWrap/>
          </w:tcPr>
          <w:p w14:paraId="342AEF87" w14:textId="77777777" w:rsidR="00C45D59" w:rsidRDefault="00C45D59" w:rsidP="004048D3">
            <w:pPr>
              <w:spacing w:after="0" w:line="240" w:lineRule="auto"/>
              <w:rPr>
                <w:rFonts w:ascii="Times New Roman" w:eastAsia="Times New Roman" w:hAnsi="Times New Roman" w:cs="Times New Roman"/>
                <w:noProof/>
                <w:color w:val="006100"/>
                <w:sz w:val="18"/>
                <w:szCs w:val="18"/>
              </w:rPr>
            </w:pPr>
          </w:p>
        </w:tc>
        <w:tc>
          <w:tcPr>
            <w:tcW w:w="703" w:type="dxa"/>
            <w:shd w:val="clear" w:color="auto" w:fill="C6EFCE"/>
            <w:noWrap/>
          </w:tcPr>
          <w:p w14:paraId="6E33E136" w14:textId="77777777" w:rsidR="00C45D59" w:rsidRDefault="00C45D59" w:rsidP="004048D3">
            <w:pPr>
              <w:spacing w:after="0" w:line="240" w:lineRule="auto"/>
              <w:rPr>
                <w:rFonts w:ascii="Times New Roman" w:eastAsia="Times New Roman" w:hAnsi="Times New Roman" w:cs="Times New Roman"/>
                <w:noProof/>
                <w:color w:val="006100"/>
                <w:sz w:val="18"/>
                <w:szCs w:val="18"/>
              </w:rPr>
            </w:pPr>
          </w:p>
        </w:tc>
        <w:tc>
          <w:tcPr>
            <w:tcW w:w="838" w:type="dxa"/>
            <w:shd w:val="clear" w:color="auto" w:fill="C6EFCE"/>
            <w:noWrap/>
          </w:tcPr>
          <w:p w14:paraId="5753C648" w14:textId="77777777" w:rsidR="00C45D59" w:rsidRDefault="009B0962" w:rsidP="004048D3">
            <w:pPr>
              <w:pStyle w:val="P68B1DB1-Normal12"/>
              <w:spacing w:after="0" w:line="240" w:lineRule="auto"/>
              <w:rPr>
                <w:rFonts w:eastAsia="Times New Roman"/>
                <w:noProof/>
              </w:rPr>
            </w:pPr>
            <w:r>
              <w:rPr>
                <w:noProof/>
              </w:rPr>
              <w:t>Î2</w:t>
            </w:r>
          </w:p>
        </w:tc>
        <w:tc>
          <w:tcPr>
            <w:tcW w:w="611" w:type="dxa"/>
            <w:shd w:val="clear" w:color="auto" w:fill="C6EFCE"/>
            <w:noWrap/>
          </w:tcPr>
          <w:p w14:paraId="43EAA720" w14:textId="77777777" w:rsidR="00C45D59" w:rsidRDefault="009B0962" w:rsidP="004048D3">
            <w:pPr>
              <w:pStyle w:val="P68B1DB1-Normal12"/>
              <w:spacing w:after="0" w:line="240" w:lineRule="auto"/>
              <w:rPr>
                <w:rFonts w:eastAsia="Times New Roman"/>
                <w:noProof/>
              </w:rPr>
            </w:pPr>
            <w:r>
              <w:rPr>
                <w:noProof/>
              </w:rPr>
              <w:t>2025</w:t>
            </w:r>
          </w:p>
        </w:tc>
        <w:tc>
          <w:tcPr>
            <w:tcW w:w="3507" w:type="dxa"/>
            <w:shd w:val="clear" w:color="auto" w:fill="C6EFCE"/>
            <w:noWrap/>
          </w:tcPr>
          <w:p w14:paraId="1C1A50D7" w14:textId="77777777" w:rsidR="00C45D59" w:rsidRDefault="009B0962" w:rsidP="004048D3">
            <w:pPr>
              <w:pStyle w:val="P68B1DB1-Normal12"/>
              <w:spacing w:after="0" w:line="240" w:lineRule="auto"/>
              <w:rPr>
                <w:rFonts w:eastAsia="Times New Roman"/>
                <w:noProof/>
              </w:rPr>
            </w:pPr>
            <w:r>
              <w:rPr>
                <w:noProof/>
              </w:rPr>
              <w:t>Crearea (1) unei hărți turistice digitale, (2) a unui depozit digital de bunuri culturale ale Greciei și (3) a unui nou sistem de informații turistice.</w:t>
            </w:r>
          </w:p>
        </w:tc>
      </w:tr>
      <w:tr w:rsidR="00C45D59" w14:paraId="2EEFC947" w14:textId="77777777" w:rsidTr="004048D3">
        <w:trPr>
          <w:trHeight w:val="313"/>
        </w:trPr>
        <w:tc>
          <w:tcPr>
            <w:tcW w:w="778" w:type="dxa"/>
            <w:shd w:val="clear" w:color="auto" w:fill="C6EFCE"/>
            <w:noWrap/>
          </w:tcPr>
          <w:p w14:paraId="570EA6C2" w14:textId="77777777" w:rsidR="00C45D59" w:rsidRDefault="009B0962" w:rsidP="004048D3">
            <w:pPr>
              <w:pStyle w:val="P68B1DB1-Normal12"/>
              <w:spacing w:after="0" w:line="240" w:lineRule="auto"/>
              <w:rPr>
                <w:rFonts w:eastAsia="Times New Roman"/>
                <w:noProof/>
              </w:rPr>
            </w:pPr>
            <w:r>
              <w:rPr>
                <w:noProof/>
              </w:rPr>
              <w:t>119</w:t>
            </w:r>
          </w:p>
        </w:tc>
        <w:tc>
          <w:tcPr>
            <w:tcW w:w="1936" w:type="dxa"/>
            <w:shd w:val="clear" w:color="auto" w:fill="C6EFCE"/>
            <w:noWrap/>
          </w:tcPr>
          <w:p w14:paraId="682056F0" w14:textId="77777777" w:rsidR="00C45D59" w:rsidRDefault="009B0962" w:rsidP="004048D3">
            <w:pPr>
              <w:pStyle w:val="P68B1DB1-Normal12"/>
              <w:spacing w:after="0" w:line="240" w:lineRule="auto"/>
              <w:rPr>
                <w:rFonts w:eastAsia="Times New Roman"/>
                <w:noProof/>
              </w:rPr>
            </w:pPr>
            <w:r>
              <w:rPr>
                <w:noProof/>
              </w:rPr>
              <w:t>6-2.2. Modernizare – 16736_Noul sistem de achiziții publice</w:t>
            </w:r>
          </w:p>
        </w:tc>
        <w:tc>
          <w:tcPr>
            <w:tcW w:w="1122" w:type="dxa"/>
            <w:shd w:val="clear" w:color="auto" w:fill="C6EFCE"/>
            <w:noWrap/>
          </w:tcPr>
          <w:p w14:paraId="3BB415B2" w14:textId="77777777" w:rsidR="00C45D59" w:rsidRDefault="009B0962" w:rsidP="004048D3">
            <w:pPr>
              <w:pStyle w:val="P68B1DB1-Normal12"/>
              <w:spacing w:after="0" w:line="240" w:lineRule="auto"/>
              <w:rPr>
                <w:rFonts w:eastAsia="Times New Roman"/>
                <w:noProof/>
              </w:rPr>
            </w:pPr>
            <w:r>
              <w:rPr>
                <w:noProof/>
              </w:rPr>
              <w:t>Etapă</w:t>
            </w:r>
          </w:p>
        </w:tc>
        <w:tc>
          <w:tcPr>
            <w:tcW w:w="1448" w:type="dxa"/>
            <w:shd w:val="clear" w:color="auto" w:fill="C6EFCE"/>
            <w:noWrap/>
          </w:tcPr>
          <w:p w14:paraId="06B125B5" w14:textId="77777777" w:rsidR="00C45D59" w:rsidRDefault="009B0962" w:rsidP="004048D3">
            <w:pPr>
              <w:pStyle w:val="P68B1DB1-Normal12"/>
              <w:spacing w:after="0" w:line="240" w:lineRule="auto"/>
              <w:rPr>
                <w:rFonts w:eastAsia="Times New Roman"/>
                <w:noProof/>
              </w:rPr>
            </w:pPr>
            <w:r>
              <w:rPr>
                <w:noProof/>
              </w:rPr>
              <w:t xml:space="preserve">Punerea în aplicare a noului sistem de achiziții publice </w:t>
            </w:r>
          </w:p>
        </w:tc>
        <w:tc>
          <w:tcPr>
            <w:tcW w:w="1912" w:type="dxa"/>
            <w:shd w:val="clear" w:color="auto" w:fill="C6EFCE"/>
            <w:noWrap/>
          </w:tcPr>
          <w:p w14:paraId="550054A3" w14:textId="77777777" w:rsidR="00C45D59" w:rsidRDefault="009B0962" w:rsidP="004048D3">
            <w:pPr>
              <w:pStyle w:val="P68B1DB1-Normal12"/>
              <w:spacing w:after="0" w:line="240" w:lineRule="auto"/>
              <w:rPr>
                <w:rFonts w:eastAsia="Times New Roman"/>
                <w:noProof/>
              </w:rPr>
            </w:pPr>
            <w:r>
              <w:rPr>
                <w:noProof/>
              </w:rPr>
              <w:t>Punerea în aplicare a „noului sistem de achiziții publice”</w:t>
            </w:r>
          </w:p>
        </w:tc>
        <w:tc>
          <w:tcPr>
            <w:tcW w:w="1041" w:type="dxa"/>
            <w:shd w:val="clear" w:color="auto" w:fill="C6EFCE"/>
            <w:noWrap/>
          </w:tcPr>
          <w:p w14:paraId="08BBE0C9" w14:textId="77777777" w:rsidR="00C45D59" w:rsidRDefault="00C45D59" w:rsidP="004048D3">
            <w:pPr>
              <w:spacing w:after="0" w:line="240" w:lineRule="auto"/>
              <w:rPr>
                <w:rFonts w:ascii="Times New Roman" w:eastAsia="Times New Roman" w:hAnsi="Times New Roman" w:cs="Times New Roman"/>
                <w:noProof/>
                <w:color w:val="006100"/>
                <w:sz w:val="18"/>
                <w:szCs w:val="18"/>
              </w:rPr>
            </w:pPr>
          </w:p>
        </w:tc>
        <w:tc>
          <w:tcPr>
            <w:tcW w:w="891" w:type="dxa"/>
            <w:shd w:val="clear" w:color="auto" w:fill="C6EFCE"/>
            <w:noWrap/>
          </w:tcPr>
          <w:p w14:paraId="2AAB4441" w14:textId="77777777" w:rsidR="00C45D59" w:rsidRDefault="00C45D59" w:rsidP="004048D3">
            <w:pPr>
              <w:spacing w:after="0" w:line="240" w:lineRule="auto"/>
              <w:rPr>
                <w:rFonts w:ascii="Times New Roman" w:eastAsia="Times New Roman" w:hAnsi="Times New Roman" w:cs="Times New Roman"/>
                <w:noProof/>
                <w:color w:val="006100"/>
                <w:sz w:val="18"/>
                <w:szCs w:val="18"/>
              </w:rPr>
            </w:pPr>
          </w:p>
        </w:tc>
        <w:tc>
          <w:tcPr>
            <w:tcW w:w="703" w:type="dxa"/>
            <w:shd w:val="clear" w:color="auto" w:fill="C6EFCE"/>
            <w:noWrap/>
          </w:tcPr>
          <w:p w14:paraId="07664529" w14:textId="77777777" w:rsidR="00C45D59" w:rsidRDefault="00C45D59" w:rsidP="004048D3">
            <w:pPr>
              <w:spacing w:after="0" w:line="240" w:lineRule="auto"/>
              <w:rPr>
                <w:rFonts w:ascii="Times New Roman" w:eastAsia="Times New Roman" w:hAnsi="Times New Roman" w:cs="Times New Roman"/>
                <w:noProof/>
                <w:color w:val="006100"/>
                <w:sz w:val="18"/>
                <w:szCs w:val="18"/>
              </w:rPr>
            </w:pPr>
          </w:p>
        </w:tc>
        <w:tc>
          <w:tcPr>
            <w:tcW w:w="838" w:type="dxa"/>
            <w:shd w:val="clear" w:color="auto" w:fill="C6EFCE"/>
            <w:noWrap/>
          </w:tcPr>
          <w:p w14:paraId="7977FDAC" w14:textId="77777777" w:rsidR="00C45D59" w:rsidRDefault="009B0962" w:rsidP="004048D3">
            <w:pPr>
              <w:pStyle w:val="P68B1DB1-Normal12"/>
              <w:spacing w:after="0" w:line="240" w:lineRule="auto"/>
              <w:rPr>
                <w:rFonts w:eastAsia="Times New Roman"/>
                <w:noProof/>
              </w:rPr>
            </w:pPr>
            <w:r>
              <w:rPr>
                <w:noProof/>
              </w:rPr>
              <w:t>Î4</w:t>
            </w:r>
          </w:p>
        </w:tc>
        <w:tc>
          <w:tcPr>
            <w:tcW w:w="611" w:type="dxa"/>
            <w:shd w:val="clear" w:color="auto" w:fill="C6EFCE"/>
            <w:noWrap/>
          </w:tcPr>
          <w:p w14:paraId="0B4BB024" w14:textId="77777777" w:rsidR="00C45D59" w:rsidRDefault="009B0962" w:rsidP="004048D3">
            <w:pPr>
              <w:pStyle w:val="P68B1DB1-Normal12"/>
              <w:spacing w:after="0" w:line="240" w:lineRule="auto"/>
              <w:rPr>
                <w:rFonts w:eastAsia="Times New Roman"/>
                <w:noProof/>
              </w:rPr>
            </w:pPr>
            <w:r>
              <w:rPr>
                <w:noProof/>
              </w:rPr>
              <w:t>2025</w:t>
            </w:r>
          </w:p>
        </w:tc>
        <w:tc>
          <w:tcPr>
            <w:tcW w:w="3507" w:type="dxa"/>
            <w:shd w:val="clear" w:color="auto" w:fill="C6EFCE"/>
            <w:noWrap/>
          </w:tcPr>
          <w:p w14:paraId="71B103E8" w14:textId="4E8990EB" w:rsidR="00C45D59" w:rsidRDefault="009B0962" w:rsidP="004048D3">
            <w:pPr>
              <w:pStyle w:val="P68B1DB1-Normal12"/>
              <w:spacing w:after="0" w:line="240" w:lineRule="auto"/>
              <w:rPr>
                <w:noProof/>
              </w:rPr>
            </w:pPr>
            <w:r>
              <w:rPr>
                <w:noProof/>
              </w:rPr>
              <w:t>Punerea în aplicare a noului sistem de achiziții publice pentru a institui un nou portal de achiziții publice electronice (ESIDIS), cu subsisteme modernizate, interoperabilitatea cu alte sisteme, noi elemente de securitate și instrumente de sprijin pentru operatorii economici și autoritățile contractante.</w:t>
            </w:r>
          </w:p>
        </w:tc>
      </w:tr>
      <w:tr w:rsidR="00C45D59" w14:paraId="6D512DCF" w14:textId="77777777" w:rsidTr="004048D3">
        <w:trPr>
          <w:trHeight w:val="313"/>
        </w:trPr>
        <w:tc>
          <w:tcPr>
            <w:tcW w:w="778" w:type="dxa"/>
            <w:shd w:val="clear" w:color="auto" w:fill="C6EFCE"/>
            <w:noWrap/>
          </w:tcPr>
          <w:p w14:paraId="40097525" w14:textId="77777777" w:rsidR="00C45D59" w:rsidRDefault="009B0962" w:rsidP="004048D3">
            <w:pPr>
              <w:pStyle w:val="P68B1DB1-Normal12"/>
              <w:spacing w:after="0" w:line="240" w:lineRule="auto"/>
              <w:rPr>
                <w:rFonts w:eastAsia="Times New Roman"/>
                <w:noProof/>
              </w:rPr>
            </w:pPr>
            <w:r>
              <w:rPr>
                <w:noProof/>
              </w:rPr>
              <w:t>120</w:t>
            </w:r>
          </w:p>
        </w:tc>
        <w:tc>
          <w:tcPr>
            <w:tcW w:w="1936" w:type="dxa"/>
            <w:shd w:val="clear" w:color="auto" w:fill="C6EFCE"/>
            <w:noWrap/>
          </w:tcPr>
          <w:p w14:paraId="45DFE9CD" w14:textId="1A10B394" w:rsidR="00C45D59" w:rsidRDefault="009B0962" w:rsidP="004048D3">
            <w:pPr>
              <w:pStyle w:val="P68B1DB1-Normal12"/>
              <w:spacing w:after="0" w:line="240" w:lineRule="auto"/>
              <w:rPr>
                <w:rFonts w:eastAsia="Times New Roman"/>
                <w:noProof/>
              </w:rPr>
            </w:pPr>
            <w:r>
              <w:rPr>
                <w:noProof/>
              </w:rPr>
              <w:t>6-2.2. Modernizare – 16824_E-Registries</w:t>
            </w:r>
          </w:p>
        </w:tc>
        <w:tc>
          <w:tcPr>
            <w:tcW w:w="1122" w:type="dxa"/>
            <w:shd w:val="clear" w:color="auto" w:fill="C6EFCE"/>
            <w:noWrap/>
          </w:tcPr>
          <w:p w14:paraId="3A1943C0" w14:textId="77777777" w:rsidR="00C45D59" w:rsidRDefault="009B0962" w:rsidP="004048D3">
            <w:pPr>
              <w:pStyle w:val="P68B1DB1-Normal12"/>
              <w:spacing w:after="0" w:line="240" w:lineRule="auto"/>
              <w:rPr>
                <w:rFonts w:eastAsia="Times New Roman"/>
                <w:noProof/>
              </w:rPr>
            </w:pPr>
            <w:r>
              <w:rPr>
                <w:noProof/>
              </w:rPr>
              <w:t>Etapă</w:t>
            </w:r>
          </w:p>
        </w:tc>
        <w:tc>
          <w:tcPr>
            <w:tcW w:w="1448" w:type="dxa"/>
            <w:shd w:val="clear" w:color="auto" w:fill="C6EFCE"/>
            <w:noWrap/>
          </w:tcPr>
          <w:p w14:paraId="7648F443" w14:textId="62E2BA79" w:rsidR="00C45D59" w:rsidRDefault="009B0962" w:rsidP="004048D3">
            <w:pPr>
              <w:pStyle w:val="P68B1DB1-Normal12"/>
              <w:spacing w:after="0" w:line="240" w:lineRule="auto"/>
              <w:rPr>
                <w:rFonts w:eastAsia="Times New Roman"/>
                <w:noProof/>
              </w:rPr>
            </w:pPr>
            <w:r>
              <w:rPr>
                <w:noProof/>
              </w:rPr>
              <w:t>Furnizarea de registre și/sau platforme electronice</w:t>
            </w:r>
          </w:p>
        </w:tc>
        <w:tc>
          <w:tcPr>
            <w:tcW w:w="1912" w:type="dxa"/>
            <w:shd w:val="clear" w:color="auto" w:fill="C6EFCE"/>
            <w:noWrap/>
          </w:tcPr>
          <w:p w14:paraId="67CFB489" w14:textId="4FAB0830" w:rsidR="00C45D59" w:rsidRDefault="009B0962" w:rsidP="004048D3">
            <w:pPr>
              <w:pStyle w:val="P68B1DB1-Normal12"/>
              <w:spacing w:after="0" w:line="240" w:lineRule="auto"/>
              <w:rPr>
                <w:noProof/>
              </w:rPr>
            </w:pPr>
            <w:r>
              <w:rPr>
                <w:noProof/>
              </w:rPr>
              <w:t>Furnizarea de registre și/sau platforme electronice</w:t>
            </w:r>
          </w:p>
        </w:tc>
        <w:tc>
          <w:tcPr>
            <w:tcW w:w="1041" w:type="dxa"/>
            <w:shd w:val="clear" w:color="auto" w:fill="C6EFCE"/>
            <w:noWrap/>
          </w:tcPr>
          <w:p w14:paraId="264DD1E6" w14:textId="77777777" w:rsidR="00C45D59" w:rsidRDefault="00C45D59" w:rsidP="004048D3">
            <w:pPr>
              <w:spacing w:after="0" w:line="240" w:lineRule="auto"/>
              <w:rPr>
                <w:rFonts w:ascii="Times New Roman" w:eastAsia="Times New Roman" w:hAnsi="Times New Roman" w:cs="Times New Roman"/>
                <w:noProof/>
                <w:color w:val="006100"/>
                <w:sz w:val="18"/>
                <w:szCs w:val="18"/>
              </w:rPr>
            </w:pPr>
          </w:p>
        </w:tc>
        <w:tc>
          <w:tcPr>
            <w:tcW w:w="891" w:type="dxa"/>
            <w:shd w:val="clear" w:color="auto" w:fill="C6EFCE"/>
            <w:noWrap/>
          </w:tcPr>
          <w:p w14:paraId="127A2E23" w14:textId="77777777" w:rsidR="00C45D59" w:rsidRDefault="00C45D59" w:rsidP="004048D3">
            <w:pPr>
              <w:spacing w:after="0" w:line="240" w:lineRule="auto"/>
              <w:rPr>
                <w:rFonts w:ascii="Times New Roman" w:eastAsia="Times New Roman" w:hAnsi="Times New Roman" w:cs="Times New Roman"/>
                <w:noProof/>
                <w:color w:val="006100"/>
                <w:sz w:val="18"/>
                <w:szCs w:val="18"/>
              </w:rPr>
            </w:pPr>
          </w:p>
        </w:tc>
        <w:tc>
          <w:tcPr>
            <w:tcW w:w="703" w:type="dxa"/>
            <w:shd w:val="clear" w:color="auto" w:fill="C6EFCE"/>
            <w:noWrap/>
          </w:tcPr>
          <w:p w14:paraId="7448B66D" w14:textId="77777777" w:rsidR="00C45D59" w:rsidRDefault="00C45D59" w:rsidP="004048D3">
            <w:pPr>
              <w:spacing w:after="0" w:line="240" w:lineRule="auto"/>
              <w:rPr>
                <w:rFonts w:ascii="Times New Roman" w:eastAsia="Times New Roman" w:hAnsi="Times New Roman" w:cs="Times New Roman"/>
                <w:noProof/>
                <w:color w:val="006100"/>
                <w:sz w:val="18"/>
                <w:szCs w:val="18"/>
              </w:rPr>
            </w:pPr>
          </w:p>
        </w:tc>
        <w:tc>
          <w:tcPr>
            <w:tcW w:w="838" w:type="dxa"/>
            <w:shd w:val="clear" w:color="auto" w:fill="C6EFCE"/>
            <w:noWrap/>
          </w:tcPr>
          <w:p w14:paraId="248B58E7" w14:textId="77777777" w:rsidR="00C45D59" w:rsidRDefault="009B0962" w:rsidP="004048D3">
            <w:pPr>
              <w:pStyle w:val="P68B1DB1-Normal12"/>
              <w:spacing w:after="0" w:line="240" w:lineRule="auto"/>
              <w:rPr>
                <w:rFonts w:eastAsia="Times New Roman"/>
                <w:noProof/>
              </w:rPr>
            </w:pPr>
            <w:r>
              <w:rPr>
                <w:noProof/>
              </w:rPr>
              <w:t>Î4</w:t>
            </w:r>
          </w:p>
        </w:tc>
        <w:tc>
          <w:tcPr>
            <w:tcW w:w="611" w:type="dxa"/>
            <w:shd w:val="clear" w:color="auto" w:fill="C6EFCE"/>
            <w:noWrap/>
          </w:tcPr>
          <w:p w14:paraId="10DE5F93" w14:textId="77777777" w:rsidR="00C45D59" w:rsidRDefault="009B0962" w:rsidP="004048D3">
            <w:pPr>
              <w:pStyle w:val="P68B1DB1-Normal12"/>
              <w:spacing w:after="0" w:line="240" w:lineRule="auto"/>
              <w:rPr>
                <w:rFonts w:eastAsia="Times New Roman"/>
                <w:noProof/>
              </w:rPr>
            </w:pPr>
            <w:r>
              <w:rPr>
                <w:noProof/>
              </w:rPr>
              <w:t>2025</w:t>
            </w:r>
          </w:p>
        </w:tc>
        <w:tc>
          <w:tcPr>
            <w:tcW w:w="3507" w:type="dxa"/>
            <w:shd w:val="clear" w:color="auto" w:fill="C6EFCE"/>
            <w:noWrap/>
          </w:tcPr>
          <w:p w14:paraId="3E055315" w14:textId="38FC7BFD" w:rsidR="00C45D59" w:rsidRDefault="009B0962" w:rsidP="004048D3">
            <w:pPr>
              <w:pStyle w:val="P68B1DB1-Normal12"/>
              <w:spacing w:after="0" w:line="240" w:lineRule="auto"/>
              <w:rPr>
                <w:rFonts w:eastAsia="Times New Roman"/>
                <w:noProof/>
              </w:rPr>
            </w:pPr>
            <w:r>
              <w:rPr>
                <w:noProof/>
              </w:rPr>
              <w:t>Livrarea registrelor electronice și/sau a platformelor în următoarele domenii: registrul cetățenilor, bunăstarea animalelor, infrastructura de electromobilitate și sănătatea și securitatea socială.</w:t>
            </w:r>
          </w:p>
        </w:tc>
      </w:tr>
    </w:tbl>
    <w:p w14:paraId="5E574E97" w14:textId="56E0D1C7" w:rsidR="00C45D59" w:rsidRDefault="004048D3">
      <w:pPr>
        <w:spacing w:before="120" w:after="120" w:line="240" w:lineRule="auto"/>
        <w:ind w:left="709"/>
        <w:rPr>
          <w:rFonts w:ascii="Times New Roman" w:hAnsi="Times New Roman" w:cs="Times New Roman"/>
          <w:noProof/>
          <w:sz w:val="24"/>
        </w:rPr>
      </w:pPr>
      <w:r>
        <w:rPr>
          <w:rFonts w:ascii="Times New Roman" w:hAnsi="Times New Roman" w:cs="Times New Roman"/>
          <w:noProof/>
          <w:sz w:val="24"/>
        </w:rPr>
        <w:br w:type="textWrapping" w:clear="all"/>
      </w:r>
    </w:p>
    <w:p w14:paraId="566EE260" w14:textId="77777777" w:rsidR="00C45D59" w:rsidRDefault="00C45D59">
      <w:pPr>
        <w:keepNext/>
        <w:keepLines/>
        <w:spacing w:before="40" w:after="0" w:line="240" w:lineRule="auto"/>
        <w:jc w:val="both"/>
        <w:outlineLvl w:val="4"/>
        <w:rPr>
          <w:rFonts w:ascii="Cambria" w:hAnsi="Cambria"/>
          <w:noProof/>
          <w:color w:val="365F91"/>
          <w:sz w:val="24"/>
        </w:rPr>
        <w:sectPr w:rsidR="00C45D59">
          <w:headerReference w:type="even" r:id="rId144"/>
          <w:headerReference w:type="default" r:id="rId145"/>
          <w:footerReference w:type="even" r:id="rId146"/>
          <w:footerReference w:type="default" r:id="rId147"/>
          <w:headerReference w:type="first" r:id="rId148"/>
          <w:footerReference w:type="first" r:id="rId149"/>
          <w:pgSz w:w="16839" w:h="11907" w:orient="landscape"/>
          <w:pgMar w:top="1134" w:right="1134" w:bottom="1134" w:left="1134" w:header="567" w:footer="567" w:gutter="0"/>
          <w:cols w:space="720"/>
          <w:docGrid w:linePitch="360"/>
        </w:sectPr>
      </w:pPr>
    </w:p>
    <w:p w14:paraId="76EF6FD0" w14:textId="77777777" w:rsidR="00C45D59" w:rsidRDefault="009B0962">
      <w:pPr>
        <w:pStyle w:val="P68B1DB1-Normal9"/>
        <w:keepNext/>
        <w:keepLines/>
        <w:spacing w:before="40" w:after="0" w:line="240" w:lineRule="auto"/>
        <w:jc w:val="both"/>
        <w:outlineLvl w:val="4"/>
        <w:rPr>
          <w:rFonts w:eastAsia="Times New Roman"/>
          <w:noProof/>
        </w:rPr>
      </w:pPr>
      <w:r>
        <w:rPr>
          <w:noProof/>
        </w:rPr>
        <w:t>Grupul 10: Inițiative legate de încorporarea noilor tehnologii în tranziția digitală și modernizarea administrației publice</w:t>
      </w:r>
    </w:p>
    <w:p w14:paraId="5AA170D4" w14:textId="77777777" w:rsidR="00C45D59" w:rsidRDefault="009B0962">
      <w:pPr>
        <w:pStyle w:val="P68B1DB1-Normal5"/>
        <w:numPr>
          <w:ilvl w:val="0"/>
          <w:numId w:val="41"/>
        </w:numPr>
        <w:spacing w:before="120" w:after="0" w:line="240" w:lineRule="auto"/>
        <w:jc w:val="both"/>
        <w:rPr>
          <w:rFonts w:cs="Times New Roman"/>
          <w:noProof/>
        </w:rPr>
      </w:pPr>
      <w:r>
        <w:rPr>
          <w:noProof/>
        </w:rPr>
        <w:t>Încorporarea de noi tehnologii și tendințe către serviciile avansate ale administrației publice, creșterea eficienței și a eficacității și reducerea costurilor de exploatare, modernizare și întreținere a sistemelor (ID: 16928)</w:t>
      </w:r>
    </w:p>
    <w:p w14:paraId="7E724F00" w14:textId="77777777" w:rsidR="00C45D59" w:rsidRDefault="009B0962">
      <w:pPr>
        <w:pStyle w:val="P68B1DB1-Normal5"/>
        <w:numPr>
          <w:ilvl w:val="0"/>
          <w:numId w:val="41"/>
        </w:numPr>
        <w:spacing w:before="120" w:after="0" w:line="240" w:lineRule="auto"/>
        <w:jc w:val="both"/>
        <w:rPr>
          <w:rFonts w:cs="Times New Roman"/>
          <w:noProof/>
        </w:rPr>
      </w:pPr>
      <w:r>
        <w:rPr>
          <w:noProof/>
        </w:rPr>
        <w:t>Orașe inteligente (ID: 16854)</w:t>
      </w:r>
    </w:p>
    <w:p w14:paraId="024DB8FA" w14:textId="77777777" w:rsidR="00C45D59" w:rsidRDefault="009B0962">
      <w:pPr>
        <w:pStyle w:val="P68B1DB1-Normal5"/>
        <w:numPr>
          <w:ilvl w:val="0"/>
          <w:numId w:val="41"/>
        </w:numPr>
        <w:spacing w:before="120" w:after="0" w:line="240" w:lineRule="auto"/>
        <w:jc w:val="both"/>
        <w:rPr>
          <w:rFonts w:cs="Times New Roman"/>
          <w:noProof/>
        </w:rPr>
      </w:pPr>
      <w:r>
        <w:rPr>
          <w:noProof/>
        </w:rPr>
        <w:t>Furnizarea infrastructurii și a serviciului de cloud computing central (ID: 16853)</w:t>
      </w:r>
    </w:p>
    <w:p w14:paraId="7ABDF99A" w14:textId="77777777" w:rsidR="00C45D59" w:rsidRDefault="009B0962">
      <w:pPr>
        <w:pStyle w:val="P68B1DB1-Normal5"/>
        <w:numPr>
          <w:ilvl w:val="0"/>
          <w:numId w:val="41"/>
        </w:numPr>
        <w:spacing w:before="120" w:after="0" w:line="240" w:lineRule="auto"/>
        <w:jc w:val="both"/>
        <w:rPr>
          <w:rFonts w:cs="Times New Roman"/>
          <w:noProof/>
        </w:rPr>
      </w:pPr>
      <w:r>
        <w:rPr>
          <w:noProof/>
        </w:rPr>
        <w:t>Modernizarea infrastructurii și a serviciilor de cloud computing ale infrastructurilor naționale de cercetare și tehnologie (GRNET) (ID: 16955)</w:t>
      </w:r>
    </w:p>
    <w:p w14:paraId="651D7E49" w14:textId="596C7D57" w:rsidR="00C45D59" w:rsidRDefault="009B0962">
      <w:pPr>
        <w:pStyle w:val="P68B1DB1-Normal5"/>
        <w:numPr>
          <w:ilvl w:val="0"/>
          <w:numId w:val="41"/>
        </w:numPr>
        <w:spacing w:before="120" w:after="0" w:line="240" w:lineRule="auto"/>
        <w:jc w:val="both"/>
        <w:rPr>
          <w:rFonts w:cs="Times New Roman"/>
          <w:noProof/>
        </w:rPr>
      </w:pPr>
      <w:r>
        <w:rPr>
          <w:noProof/>
        </w:rPr>
        <w:t>Extinderea Syzefxis II (ID: 16956)</w:t>
      </w:r>
    </w:p>
    <w:p w14:paraId="2733A7BC" w14:textId="15DAA0C6" w:rsidR="00C45D59" w:rsidRDefault="009B0962">
      <w:pPr>
        <w:pStyle w:val="P68B1DB1-Normal7"/>
        <w:numPr>
          <w:ilvl w:val="0"/>
          <w:numId w:val="41"/>
        </w:numPr>
        <w:spacing w:before="120" w:after="0" w:line="240" w:lineRule="auto"/>
        <w:jc w:val="both"/>
        <w:rPr>
          <w:noProof/>
        </w:rPr>
      </w:pPr>
      <w:r>
        <w:rPr>
          <w:noProof/>
        </w:rPr>
        <w:t>BI central – Analiza datelor (ID: 16842)</w:t>
      </w:r>
    </w:p>
    <w:p w14:paraId="5E906CCD" w14:textId="41A20D81" w:rsidR="00C45D59" w:rsidRDefault="009B0962">
      <w:pPr>
        <w:pStyle w:val="NormalWeb"/>
        <w:numPr>
          <w:ilvl w:val="0"/>
          <w:numId w:val="41"/>
        </w:numPr>
        <w:spacing w:before="120" w:after="0" w:line="240" w:lineRule="auto"/>
        <w:jc w:val="both"/>
        <w:rPr>
          <w:noProof/>
        </w:rPr>
      </w:pPr>
      <w:r>
        <w:rPr>
          <w:noProof/>
        </w:rPr>
        <w:t>Contribuția voluntară la întreprinderea comună EuroHPC (ID: 16859)</w:t>
      </w:r>
    </w:p>
    <w:tbl>
      <w:tblPr>
        <w:tblpPr w:leftFromText="180" w:rightFromText="180" w:vertAnchor="text" w:tblpXSpec="center" w:tblpY="1"/>
        <w:tblOverlap w:val="never"/>
        <w:tblW w:w="15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5"/>
        <w:gridCol w:w="2072"/>
        <w:gridCol w:w="1134"/>
        <w:gridCol w:w="1417"/>
        <w:gridCol w:w="1701"/>
        <w:gridCol w:w="1322"/>
        <w:gridCol w:w="1134"/>
        <w:gridCol w:w="993"/>
        <w:gridCol w:w="850"/>
        <w:gridCol w:w="992"/>
        <w:gridCol w:w="3398"/>
      </w:tblGrid>
      <w:tr w:rsidR="00C45D59" w14:paraId="0D70AE79" w14:textId="77777777" w:rsidTr="004048D3">
        <w:trPr>
          <w:trHeight w:val="939"/>
          <w:tblHeader/>
        </w:trPr>
        <w:tc>
          <w:tcPr>
            <w:tcW w:w="575" w:type="dxa"/>
            <w:vMerge w:val="restart"/>
            <w:shd w:val="clear" w:color="auto" w:fill="BDD7EE"/>
            <w:vAlign w:val="center"/>
            <w:hideMark/>
          </w:tcPr>
          <w:p w14:paraId="03B69245" w14:textId="02CD5657" w:rsidR="00C45D59" w:rsidRDefault="009B0962" w:rsidP="004048D3">
            <w:pPr>
              <w:pStyle w:val="P68B1DB1-Normal10"/>
              <w:spacing w:after="0" w:line="240" w:lineRule="auto"/>
              <w:jc w:val="center"/>
              <w:rPr>
                <w:rFonts w:eastAsia="Times New Roman" w:cs="Times New Roman"/>
                <w:bCs/>
                <w:noProof/>
                <w:szCs w:val="18"/>
              </w:rPr>
            </w:pPr>
            <w:r>
              <w:rPr>
                <w:noProof/>
              </w:rPr>
              <w:t>Nr</w:t>
            </w:r>
            <w:r w:rsidR="004048D3">
              <w:rPr>
                <w:noProof/>
              </w:rPr>
              <w:t>.</w:t>
            </w:r>
            <w:r>
              <w:rPr>
                <w:noProof/>
              </w:rPr>
              <w:t xml:space="preserve"> </w:t>
            </w:r>
            <w:r>
              <w:rPr>
                <w:noProof/>
              </w:rPr>
              <w:br/>
            </w:r>
            <w:r w:rsidR="004048D3">
              <w:rPr>
                <w:noProof/>
              </w:rPr>
              <w:t>crt</w:t>
            </w:r>
            <w:r>
              <w:rPr>
                <w:noProof/>
              </w:rPr>
              <w:t>.</w:t>
            </w:r>
          </w:p>
        </w:tc>
        <w:tc>
          <w:tcPr>
            <w:tcW w:w="2072" w:type="dxa"/>
            <w:vMerge w:val="restart"/>
            <w:shd w:val="clear" w:color="auto" w:fill="BDD7EE"/>
            <w:vAlign w:val="center"/>
            <w:hideMark/>
          </w:tcPr>
          <w:p w14:paraId="0E1612AC" w14:textId="77777777" w:rsidR="00C45D59" w:rsidRDefault="009B0962" w:rsidP="004048D3">
            <w:pPr>
              <w:pStyle w:val="P68B1DB1-Normal15"/>
              <w:spacing w:after="0" w:line="240" w:lineRule="auto"/>
              <w:jc w:val="center"/>
              <w:rPr>
                <w:noProof/>
              </w:rPr>
            </w:pPr>
            <w:r>
              <w:rPr>
                <w:noProof/>
              </w:rPr>
              <w:t xml:space="preserve">Măsură conexă </w:t>
            </w:r>
          </w:p>
          <w:p w14:paraId="7FD70D66" w14:textId="77777777" w:rsidR="00C45D59" w:rsidRDefault="009B0962" w:rsidP="004048D3">
            <w:pPr>
              <w:pStyle w:val="P68B1DB1-Normal15"/>
              <w:spacing w:after="0" w:line="240" w:lineRule="auto"/>
              <w:jc w:val="center"/>
              <w:rPr>
                <w:rFonts w:eastAsia="Times New Roman"/>
                <w:bCs/>
                <w:noProof/>
              </w:rPr>
            </w:pPr>
            <w:r>
              <w:rPr>
                <w:noProof/>
              </w:rPr>
              <w:t>(Reformă sau investiție)</w:t>
            </w:r>
          </w:p>
        </w:tc>
        <w:tc>
          <w:tcPr>
            <w:tcW w:w="1134" w:type="dxa"/>
            <w:vMerge w:val="restart"/>
            <w:shd w:val="clear" w:color="auto" w:fill="BDD7EE"/>
            <w:vAlign w:val="center"/>
            <w:hideMark/>
          </w:tcPr>
          <w:p w14:paraId="7829F5BE" w14:textId="1A75FF0E" w:rsidR="00C45D59" w:rsidRDefault="009B0962" w:rsidP="004048D3">
            <w:pPr>
              <w:pStyle w:val="P68B1DB1-Normal15"/>
              <w:spacing w:after="0" w:line="240" w:lineRule="auto"/>
              <w:jc w:val="center"/>
              <w:rPr>
                <w:rFonts w:eastAsia="Times New Roman"/>
                <w:bCs/>
                <w:noProof/>
              </w:rPr>
            </w:pPr>
            <w:r>
              <w:rPr>
                <w:noProof/>
              </w:rPr>
              <w:t>Etapă/</w:t>
            </w:r>
            <w:r w:rsidR="004048D3">
              <w:rPr>
                <w:noProof/>
              </w:rPr>
              <w:t xml:space="preserve"> </w:t>
            </w:r>
            <w:r>
              <w:rPr>
                <w:noProof/>
              </w:rPr>
              <w:t>Obiectiv</w:t>
            </w:r>
          </w:p>
        </w:tc>
        <w:tc>
          <w:tcPr>
            <w:tcW w:w="1417" w:type="dxa"/>
            <w:vMerge w:val="restart"/>
            <w:shd w:val="clear" w:color="auto" w:fill="BDD7EE"/>
            <w:vAlign w:val="center"/>
            <w:hideMark/>
          </w:tcPr>
          <w:p w14:paraId="7CC5653E" w14:textId="4C098469" w:rsidR="00C45D59" w:rsidRDefault="004048D3" w:rsidP="004048D3">
            <w:pPr>
              <w:pStyle w:val="P68B1DB1-Normal15"/>
              <w:spacing w:after="0" w:line="240" w:lineRule="auto"/>
              <w:jc w:val="center"/>
              <w:rPr>
                <w:rFonts w:eastAsia="Times New Roman"/>
                <w:bCs/>
                <w:noProof/>
              </w:rPr>
            </w:pPr>
            <w:r>
              <w:rPr>
                <w:noProof/>
              </w:rPr>
              <w:t>Denumire</w:t>
            </w:r>
          </w:p>
        </w:tc>
        <w:tc>
          <w:tcPr>
            <w:tcW w:w="1701" w:type="dxa"/>
            <w:vMerge w:val="restart"/>
            <w:shd w:val="clear" w:color="auto" w:fill="BDD7EE"/>
            <w:vAlign w:val="center"/>
            <w:hideMark/>
          </w:tcPr>
          <w:p w14:paraId="3BC9F907" w14:textId="77777777" w:rsidR="00C45D59" w:rsidRDefault="009B0962" w:rsidP="004048D3">
            <w:pPr>
              <w:pStyle w:val="P68B1DB1-Normal15"/>
              <w:spacing w:after="0" w:line="240" w:lineRule="auto"/>
              <w:jc w:val="center"/>
              <w:rPr>
                <w:rFonts w:eastAsia="Times New Roman"/>
                <w:bCs/>
                <w:noProof/>
              </w:rPr>
            </w:pPr>
            <w:r>
              <w:rPr>
                <w:noProof/>
              </w:rPr>
              <w:t>Indicatori calitativi (pentru obiectivele de etapă)</w:t>
            </w:r>
          </w:p>
        </w:tc>
        <w:tc>
          <w:tcPr>
            <w:tcW w:w="3449" w:type="dxa"/>
            <w:gridSpan w:val="3"/>
            <w:shd w:val="clear" w:color="auto" w:fill="BDD7EE"/>
            <w:vAlign w:val="center"/>
            <w:hideMark/>
          </w:tcPr>
          <w:p w14:paraId="4E6364F9" w14:textId="1A4DF2A8" w:rsidR="00C45D59" w:rsidRDefault="009B0962" w:rsidP="004048D3">
            <w:pPr>
              <w:pStyle w:val="P68B1DB1-Normal15"/>
              <w:spacing w:after="0" w:line="240" w:lineRule="auto"/>
              <w:jc w:val="center"/>
              <w:rPr>
                <w:rFonts w:eastAsia="Times New Roman"/>
                <w:bCs/>
                <w:noProof/>
              </w:rPr>
            </w:pPr>
            <w:r>
              <w:rPr>
                <w:noProof/>
              </w:rPr>
              <w:t>Indicatori cantitativi (pentru ținte)</w:t>
            </w:r>
          </w:p>
        </w:tc>
        <w:tc>
          <w:tcPr>
            <w:tcW w:w="1842" w:type="dxa"/>
            <w:gridSpan w:val="2"/>
            <w:shd w:val="clear" w:color="auto" w:fill="BDD7EE"/>
            <w:vAlign w:val="center"/>
            <w:hideMark/>
          </w:tcPr>
          <w:p w14:paraId="56257FB8" w14:textId="77777777" w:rsidR="00C45D59" w:rsidRDefault="009B0962" w:rsidP="004048D3">
            <w:pPr>
              <w:pStyle w:val="P68B1DB1-Normal15"/>
              <w:spacing w:after="0" w:line="240" w:lineRule="auto"/>
              <w:jc w:val="center"/>
              <w:rPr>
                <w:rFonts w:eastAsia="Times New Roman"/>
                <w:bCs/>
                <w:noProof/>
              </w:rPr>
            </w:pPr>
            <w:r>
              <w:rPr>
                <w:noProof/>
              </w:rPr>
              <w:t xml:space="preserve">Calendar orientativ pentru finalizare </w:t>
            </w:r>
          </w:p>
        </w:tc>
        <w:tc>
          <w:tcPr>
            <w:tcW w:w="3398" w:type="dxa"/>
            <w:vMerge w:val="restart"/>
            <w:shd w:val="clear" w:color="auto" w:fill="BDD7EE"/>
            <w:vAlign w:val="center"/>
            <w:hideMark/>
          </w:tcPr>
          <w:p w14:paraId="77A198D2" w14:textId="77777777" w:rsidR="00C45D59" w:rsidRDefault="009B0962" w:rsidP="004048D3">
            <w:pPr>
              <w:pStyle w:val="P68B1DB1-Normal15"/>
              <w:spacing w:after="0" w:line="240" w:lineRule="auto"/>
              <w:jc w:val="center"/>
              <w:rPr>
                <w:rFonts w:eastAsia="Times New Roman"/>
                <w:bCs/>
                <w:noProof/>
              </w:rPr>
            </w:pPr>
            <w:r>
              <w:rPr>
                <w:noProof/>
              </w:rPr>
              <w:t>Descrierea fiecărui jalon și a fiecărei ținte</w:t>
            </w:r>
          </w:p>
        </w:tc>
      </w:tr>
      <w:tr w:rsidR="00C45D59" w14:paraId="00FB30A9" w14:textId="77777777" w:rsidTr="004048D3">
        <w:trPr>
          <w:trHeight w:val="356"/>
          <w:tblHeader/>
        </w:trPr>
        <w:tc>
          <w:tcPr>
            <w:tcW w:w="575" w:type="dxa"/>
            <w:vMerge/>
            <w:vAlign w:val="center"/>
            <w:hideMark/>
          </w:tcPr>
          <w:p w14:paraId="36E206F0" w14:textId="77777777" w:rsidR="00C45D59" w:rsidRDefault="00C45D59" w:rsidP="004048D3">
            <w:pPr>
              <w:spacing w:after="0" w:line="240" w:lineRule="auto"/>
              <w:rPr>
                <w:rFonts w:ascii="Times New Roman" w:eastAsia="Times New Roman" w:hAnsi="Times New Roman" w:cs="Times New Roman"/>
                <w:b/>
                <w:noProof/>
                <w:sz w:val="18"/>
                <w:szCs w:val="18"/>
              </w:rPr>
            </w:pPr>
          </w:p>
        </w:tc>
        <w:tc>
          <w:tcPr>
            <w:tcW w:w="2072" w:type="dxa"/>
            <w:vMerge/>
            <w:vAlign w:val="center"/>
            <w:hideMark/>
          </w:tcPr>
          <w:p w14:paraId="1830FAC2" w14:textId="77777777" w:rsidR="00C45D59" w:rsidRDefault="00C45D59" w:rsidP="004048D3">
            <w:pPr>
              <w:spacing w:after="0" w:line="240" w:lineRule="auto"/>
              <w:rPr>
                <w:rFonts w:ascii="Times New Roman" w:eastAsia="Times New Roman" w:hAnsi="Times New Roman" w:cs="Times New Roman"/>
                <w:b/>
                <w:noProof/>
                <w:sz w:val="18"/>
                <w:szCs w:val="18"/>
              </w:rPr>
            </w:pPr>
          </w:p>
        </w:tc>
        <w:tc>
          <w:tcPr>
            <w:tcW w:w="1134" w:type="dxa"/>
            <w:vMerge/>
            <w:vAlign w:val="center"/>
            <w:hideMark/>
          </w:tcPr>
          <w:p w14:paraId="2A10A897" w14:textId="77777777" w:rsidR="00C45D59" w:rsidRDefault="00C45D59" w:rsidP="004048D3">
            <w:pPr>
              <w:spacing w:after="0" w:line="240" w:lineRule="auto"/>
              <w:rPr>
                <w:rFonts w:ascii="Times New Roman" w:eastAsia="Times New Roman" w:hAnsi="Times New Roman" w:cs="Times New Roman"/>
                <w:b/>
                <w:noProof/>
                <w:sz w:val="18"/>
                <w:szCs w:val="18"/>
              </w:rPr>
            </w:pPr>
          </w:p>
        </w:tc>
        <w:tc>
          <w:tcPr>
            <w:tcW w:w="1417" w:type="dxa"/>
            <w:vMerge/>
            <w:vAlign w:val="center"/>
            <w:hideMark/>
          </w:tcPr>
          <w:p w14:paraId="5C20609A" w14:textId="77777777" w:rsidR="00C45D59" w:rsidRDefault="00C45D59" w:rsidP="004048D3">
            <w:pPr>
              <w:spacing w:after="0" w:line="240" w:lineRule="auto"/>
              <w:rPr>
                <w:rFonts w:ascii="Times New Roman" w:eastAsia="Times New Roman" w:hAnsi="Times New Roman" w:cs="Times New Roman"/>
                <w:b/>
                <w:noProof/>
                <w:sz w:val="18"/>
                <w:szCs w:val="18"/>
              </w:rPr>
            </w:pPr>
          </w:p>
        </w:tc>
        <w:tc>
          <w:tcPr>
            <w:tcW w:w="1701" w:type="dxa"/>
            <w:vMerge/>
            <w:vAlign w:val="center"/>
            <w:hideMark/>
          </w:tcPr>
          <w:p w14:paraId="6126D32D" w14:textId="77777777" w:rsidR="00C45D59" w:rsidRDefault="00C45D59" w:rsidP="004048D3">
            <w:pPr>
              <w:spacing w:after="0" w:line="240" w:lineRule="auto"/>
              <w:rPr>
                <w:rFonts w:ascii="Times New Roman" w:eastAsia="Times New Roman" w:hAnsi="Times New Roman" w:cs="Times New Roman"/>
                <w:b/>
                <w:noProof/>
                <w:sz w:val="18"/>
                <w:szCs w:val="18"/>
              </w:rPr>
            </w:pPr>
          </w:p>
        </w:tc>
        <w:tc>
          <w:tcPr>
            <w:tcW w:w="1322" w:type="dxa"/>
            <w:shd w:val="clear" w:color="auto" w:fill="BDD7EE"/>
            <w:vAlign w:val="center"/>
            <w:hideMark/>
          </w:tcPr>
          <w:p w14:paraId="29806062" w14:textId="77777777" w:rsidR="00C45D59" w:rsidRDefault="009B0962" w:rsidP="004048D3">
            <w:pPr>
              <w:pStyle w:val="P68B1DB1-Normal15"/>
              <w:spacing w:after="0" w:line="240" w:lineRule="auto"/>
              <w:jc w:val="center"/>
              <w:rPr>
                <w:rFonts w:eastAsia="Times New Roman"/>
                <w:bCs/>
                <w:noProof/>
              </w:rPr>
            </w:pPr>
            <w:r>
              <w:rPr>
                <w:noProof/>
              </w:rPr>
              <w:t>Unitatea de măsură</w:t>
            </w:r>
          </w:p>
        </w:tc>
        <w:tc>
          <w:tcPr>
            <w:tcW w:w="1134" w:type="dxa"/>
            <w:shd w:val="clear" w:color="auto" w:fill="BDD7EE"/>
            <w:vAlign w:val="center"/>
            <w:hideMark/>
          </w:tcPr>
          <w:p w14:paraId="3CFE4CD2" w14:textId="77777777" w:rsidR="00C45D59" w:rsidRDefault="009B0962" w:rsidP="004048D3">
            <w:pPr>
              <w:pStyle w:val="P68B1DB1-Normal15"/>
              <w:spacing w:after="0" w:line="240" w:lineRule="auto"/>
              <w:jc w:val="center"/>
              <w:rPr>
                <w:rFonts w:eastAsia="Times New Roman"/>
                <w:bCs/>
                <w:noProof/>
              </w:rPr>
            </w:pPr>
            <w:r>
              <w:rPr>
                <w:noProof/>
              </w:rPr>
              <w:t xml:space="preserve">Situația de referință </w:t>
            </w:r>
          </w:p>
        </w:tc>
        <w:tc>
          <w:tcPr>
            <w:tcW w:w="993" w:type="dxa"/>
            <w:shd w:val="clear" w:color="auto" w:fill="BDD7EE"/>
            <w:vAlign w:val="center"/>
            <w:hideMark/>
          </w:tcPr>
          <w:p w14:paraId="02D5D721" w14:textId="77777777" w:rsidR="00C45D59" w:rsidRDefault="009B0962" w:rsidP="004048D3">
            <w:pPr>
              <w:pStyle w:val="P68B1DB1-Normal15"/>
              <w:spacing w:after="0" w:line="240" w:lineRule="auto"/>
              <w:jc w:val="center"/>
              <w:rPr>
                <w:rFonts w:eastAsia="Times New Roman"/>
                <w:bCs/>
                <w:noProof/>
              </w:rPr>
            </w:pPr>
            <w:r>
              <w:rPr>
                <w:noProof/>
              </w:rPr>
              <w:t xml:space="preserve">Obiectiv </w:t>
            </w:r>
          </w:p>
        </w:tc>
        <w:tc>
          <w:tcPr>
            <w:tcW w:w="850" w:type="dxa"/>
            <w:shd w:val="clear" w:color="auto" w:fill="BDD7EE"/>
            <w:vAlign w:val="center"/>
            <w:hideMark/>
          </w:tcPr>
          <w:p w14:paraId="60AAC15D" w14:textId="77777777" w:rsidR="00C45D59" w:rsidRDefault="009B0962" w:rsidP="004048D3">
            <w:pPr>
              <w:pStyle w:val="P68B1DB1-Normal15"/>
              <w:spacing w:after="0" w:line="240" w:lineRule="auto"/>
              <w:jc w:val="center"/>
              <w:rPr>
                <w:rFonts w:eastAsia="Times New Roman"/>
                <w:bCs/>
                <w:noProof/>
              </w:rPr>
            </w:pPr>
            <w:r>
              <w:rPr>
                <w:noProof/>
              </w:rPr>
              <w:t>Trimestru</w:t>
            </w:r>
          </w:p>
        </w:tc>
        <w:tc>
          <w:tcPr>
            <w:tcW w:w="992" w:type="dxa"/>
            <w:shd w:val="clear" w:color="auto" w:fill="BDD7EE"/>
            <w:vAlign w:val="center"/>
          </w:tcPr>
          <w:p w14:paraId="11C8E55B" w14:textId="77777777" w:rsidR="00C45D59" w:rsidRDefault="009B0962" w:rsidP="004048D3">
            <w:pPr>
              <w:pStyle w:val="P68B1DB1-Normal15"/>
              <w:spacing w:after="0" w:line="240" w:lineRule="auto"/>
              <w:jc w:val="center"/>
              <w:rPr>
                <w:rFonts w:eastAsia="Times New Roman"/>
                <w:bCs/>
                <w:noProof/>
              </w:rPr>
            </w:pPr>
            <w:r>
              <w:rPr>
                <w:noProof/>
              </w:rPr>
              <w:t>Anul</w:t>
            </w:r>
          </w:p>
        </w:tc>
        <w:tc>
          <w:tcPr>
            <w:tcW w:w="3398" w:type="dxa"/>
            <w:vMerge/>
            <w:vAlign w:val="center"/>
            <w:hideMark/>
          </w:tcPr>
          <w:p w14:paraId="631392FF" w14:textId="77777777" w:rsidR="00C45D59" w:rsidRDefault="00C45D59" w:rsidP="004048D3">
            <w:pPr>
              <w:spacing w:after="0" w:line="240" w:lineRule="auto"/>
              <w:ind w:right="690"/>
              <w:rPr>
                <w:rFonts w:ascii="Times New Roman" w:eastAsia="Times New Roman" w:hAnsi="Times New Roman" w:cs="Times New Roman"/>
                <w:b/>
                <w:noProof/>
                <w:sz w:val="18"/>
                <w:szCs w:val="18"/>
              </w:rPr>
            </w:pPr>
          </w:p>
        </w:tc>
      </w:tr>
      <w:tr w:rsidR="00C45D59" w14:paraId="0C11699B" w14:textId="77777777" w:rsidTr="004048D3">
        <w:trPr>
          <w:trHeight w:val="313"/>
        </w:trPr>
        <w:tc>
          <w:tcPr>
            <w:tcW w:w="575" w:type="dxa"/>
            <w:shd w:val="clear" w:color="auto" w:fill="C6EFCE"/>
            <w:noWrap/>
          </w:tcPr>
          <w:p w14:paraId="3F8665B6" w14:textId="77777777" w:rsidR="00C45D59" w:rsidRDefault="009B0962" w:rsidP="004048D3">
            <w:pPr>
              <w:pStyle w:val="P68B1DB1-Normal12"/>
              <w:spacing w:after="0" w:line="240" w:lineRule="auto"/>
              <w:rPr>
                <w:rFonts w:eastAsia="Times New Roman"/>
                <w:noProof/>
              </w:rPr>
            </w:pPr>
            <w:r>
              <w:rPr>
                <w:noProof/>
              </w:rPr>
              <w:t>121</w:t>
            </w:r>
          </w:p>
        </w:tc>
        <w:tc>
          <w:tcPr>
            <w:tcW w:w="2072" w:type="dxa"/>
            <w:shd w:val="clear" w:color="auto" w:fill="C6EFCE"/>
            <w:noWrap/>
          </w:tcPr>
          <w:p w14:paraId="21F8D84D" w14:textId="77777777" w:rsidR="00C45D59" w:rsidRDefault="009B0962" w:rsidP="004048D3">
            <w:pPr>
              <w:pStyle w:val="P68B1DB1-Normal12"/>
              <w:spacing w:after="0" w:line="240" w:lineRule="auto"/>
              <w:rPr>
                <w:rFonts w:eastAsia="Times New Roman"/>
                <w:noProof/>
              </w:rPr>
            </w:pPr>
            <w:r>
              <w:rPr>
                <w:noProof/>
              </w:rPr>
              <w:t>6-2.2. Modernizare – 16842_BI central – analiza datelor</w:t>
            </w:r>
          </w:p>
        </w:tc>
        <w:tc>
          <w:tcPr>
            <w:tcW w:w="1134" w:type="dxa"/>
            <w:shd w:val="clear" w:color="auto" w:fill="C6EFCE"/>
            <w:noWrap/>
          </w:tcPr>
          <w:p w14:paraId="628ED777" w14:textId="77777777" w:rsidR="00C45D59" w:rsidRDefault="009B0962" w:rsidP="004048D3">
            <w:pPr>
              <w:pStyle w:val="P68B1DB1-Normal12"/>
              <w:spacing w:after="0" w:line="240" w:lineRule="auto"/>
              <w:rPr>
                <w:rFonts w:eastAsia="Times New Roman"/>
                <w:noProof/>
              </w:rPr>
            </w:pPr>
            <w:r>
              <w:rPr>
                <w:noProof/>
              </w:rPr>
              <w:t>Etapă</w:t>
            </w:r>
          </w:p>
        </w:tc>
        <w:tc>
          <w:tcPr>
            <w:tcW w:w="1417" w:type="dxa"/>
            <w:shd w:val="clear" w:color="auto" w:fill="C6EFCE"/>
            <w:noWrap/>
          </w:tcPr>
          <w:p w14:paraId="1CECD3BD" w14:textId="77777777" w:rsidR="00C45D59" w:rsidRDefault="009B0962" w:rsidP="004048D3">
            <w:pPr>
              <w:pStyle w:val="P68B1DB1-Normal12"/>
              <w:spacing w:after="0" w:line="240" w:lineRule="auto"/>
              <w:rPr>
                <w:rFonts w:eastAsia="Times New Roman"/>
                <w:noProof/>
              </w:rPr>
            </w:pPr>
            <w:r>
              <w:rPr>
                <w:noProof/>
              </w:rPr>
              <w:t xml:space="preserve">Atribuirea contractului în cadrul Serviciului central de informații comerciale (BI) </w:t>
            </w:r>
          </w:p>
        </w:tc>
        <w:tc>
          <w:tcPr>
            <w:tcW w:w="1701" w:type="dxa"/>
            <w:shd w:val="clear" w:color="auto" w:fill="C6EFCE"/>
            <w:noWrap/>
          </w:tcPr>
          <w:p w14:paraId="4483B587" w14:textId="77777777" w:rsidR="00C45D59" w:rsidRDefault="009B0962" w:rsidP="004048D3">
            <w:pPr>
              <w:pStyle w:val="P68B1DB1-Normal12"/>
              <w:spacing w:after="0" w:line="240" w:lineRule="auto"/>
              <w:rPr>
                <w:rFonts w:eastAsia="Times New Roman"/>
                <w:noProof/>
              </w:rPr>
            </w:pPr>
            <w:r>
              <w:rPr>
                <w:noProof/>
              </w:rPr>
              <w:t>Notificarea atribuirii contractului</w:t>
            </w:r>
          </w:p>
        </w:tc>
        <w:tc>
          <w:tcPr>
            <w:tcW w:w="1322" w:type="dxa"/>
            <w:shd w:val="clear" w:color="auto" w:fill="C6EFCE"/>
            <w:noWrap/>
          </w:tcPr>
          <w:p w14:paraId="0BD7DAE8" w14:textId="77777777" w:rsidR="00C45D59" w:rsidRDefault="00C45D59" w:rsidP="004048D3">
            <w:pPr>
              <w:spacing w:after="0" w:line="240" w:lineRule="auto"/>
              <w:rPr>
                <w:rFonts w:ascii="Times New Roman" w:eastAsia="Times New Roman" w:hAnsi="Times New Roman" w:cs="Times New Roman"/>
                <w:noProof/>
                <w:color w:val="006100"/>
                <w:sz w:val="18"/>
                <w:szCs w:val="18"/>
              </w:rPr>
            </w:pPr>
          </w:p>
        </w:tc>
        <w:tc>
          <w:tcPr>
            <w:tcW w:w="1134" w:type="dxa"/>
            <w:shd w:val="clear" w:color="auto" w:fill="C6EFCE"/>
            <w:noWrap/>
          </w:tcPr>
          <w:p w14:paraId="72F5A81B" w14:textId="77777777" w:rsidR="00C45D59" w:rsidRDefault="00C45D59" w:rsidP="004048D3">
            <w:pPr>
              <w:spacing w:after="0" w:line="240" w:lineRule="auto"/>
              <w:rPr>
                <w:rFonts w:ascii="Times New Roman" w:eastAsia="Times New Roman" w:hAnsi="Times New Roman" w:cs="Times New Roman"/>
                <w:noProof/>
                <w:color w:val="006100"/>
                <w:sz w:val="18"/>
                <w:szCs w:val="18"/>
              </w:rPr>
            </w:pPr>
          </w:p>
        </w:tc>
        <w:tc>
          <w:tcPr>
            <w:tcW w:w="993" w:type="dxa"/>
            <w:shd w:val="clear" w:color="auto" w:fill="C6EFCE"/>
            <w:noWrap/>
          </w:tcPr>
          <w:p w14:paraId="553F0BFE" w14:textId="77777777" w:rsidR="00C45D59" w:rsidRDefault="00C45D59" w:rsidP="004048D3">
            <w:pPr>
              <w:spacing w:after="0" w:line="240" w:lineRule="auto"/>
              <w:rPr>
                <w:rFonts w:ascii="Times New Roman" w:eastAsia="Times New Roman" w:hAnsi="Times New Roman" w:cs="Times New Roman"/>
                <w:noProof/>
                <w:color w:val="006100"/>
                <w:sz w:val="18"/>
                <w:szCs w:val="18"/>
              </w:rPr>
            </w:pPr>
          </w:p>
        </w:tc>
        <w:tc>
          <w:tcPr>
            <w:tcW w:w="850" w:type="dxa"/>
            <w:shd w:val="clear" w:color="auto" w:fill="C6EFCE"/>
            <w:noWrap/>
          </w:tcPr>
          <w:p w14:paraId="6EBBF699" w14:textId="77777777" w:rsidR="00C45D59" w:rsidRDefault="009B0962" w:rsidP="004048D3">
            <w:pPr>
              <w:pStyle w:val="P68B1DB1-Normal12"/>
              <w:spacing w:after="0" w:line="240" w:lineRule="auto"/>
              <w:rPr>
                <w:rFonts w:eastAsia="Times New Roman"/>
                <w:noProof/>
              </w:rPr>
            </w:pPr>
            <w:r>
              <w:rPr>
                <w:noProof/>
              </w:rPr>
              <w:t>Î4</w:t>
            </w:r>
          </w:p>
        </w:tc>
        <w:tc>
          <w:tcPr>
            <w:tcW w:w="992" w:type="dxa"/>
            <w:shd w:val="clear" w:color="auto" w:fill="C6EFCE"/>
            <w:noWrap/>
          </w:tcPr>
          <w:p w14:paraId="3BF037EE" w14:textId="77777777" w:rsidR="00C45D59" w:rsidRDefault="009B0962" w:rsidP="004048D3">
            <w:pPr>
              <w:pStyle w:val="P68B1DB1-Normal12"/>
              <w:spacing w:after="0" w:line="240" w:lineRule="auto"/>
              <w:rPr>
                <w:rFonts w:eastAsia="Times New Roman"/>
                <w:noProof/>
              </w:rPr>
            </w:pPr>
            <w:r>
              <w:rPr>
                <w:noProof/>
              </w:rPr>
              <w:t>2022</w:t>
            </w:r>
          </w:p>
        </w:tc>
        <w:tc>
          <w:tcPr>
            <w:tcW w:w="3398" w:type="dxa"/>
            <w:shd w:val="clear" w:color="auto" w:fill="C6EFCE"/>
            <w:noWrap/>
          </w:tcPr>
          <w:p w14:paraId="099E721E" w14:textId="77777777" w:rsidR="00C45D59" w:rsidRDefault="009B0962" w:rsidP="004048D3">
            <w:pPr>
              <w:pStyle w:val="P68B1DB1-Normal12"/>
              <w:spacing w:after="0" w:line="240" w:lineRule="auto"/>
              <w:rPr>
                <w:rFonts w:eastAsia="Times New Roman"/>
                <w:noProof/>
              </w:rPr>
            </w:pPr>
            <w:r>
              <w:rPr>
                <w:noProof/>
              </w:rPr>
              <w:t>Ministerul Guvernanței Digitale atribuie contractul pentru BI central – Date. Analiză, care acoperă:</w:t>
            </w:r>
          </w:p>
          <w:p w14:paraId="1E8C9569" w14:textId="77777777" w:rsidR="00C45D59" w:rsidRDefault="009B0962" w:rsidP="004048D3">
            <w:pPr>
              <w:pStyle w:val="P68B1DB1-Normal16"/>
              <w:spacing w:after="0" w:line="240" w:lineRule="auto"/>
              <w:ind w:left="383" w:hanging="284"/>
              <w:rPr>
                <w:rFonts w:eastAsia="Times New Roman"/>
                <w:noProof/>
                <w:color w:val="006100"/>
              </w:rPr>
            </w:pPr>
            <w:r>
              <w:rPr>
                <w:noProof/>
                <w:color w:val="006100"/>
              </w:rPr>
              <w:t>a)</w:t>
            </w:r>
            <w:r>
              <w:rPr>
                <w:noProof/>
              </w:rPr>
              <w:t xml:space="preserve"> </w:t>
            </w:r>
            <w:r>
              <w:rPr>
                <w:noProof/>
                <w:color w:val="006100"/>
              </w:rPr>
              <w:t>Dezvoltarea și validarea unui cadru de guvernanță a datelor, dicționarul de date &amp; identificarea indicatorilor-cheie de performanță</w:t>
            </w:r>
          </w:p>
          <w:p w14:paraId="124C8C94" w14:textId="77777777" w:rsidR="00C45D59" w:rsidRDefault="009B0962" w:rsidP="004048D3">
            <w:pPr>
              <w:pStyle w:val="P68B1DB1-Normal16"/>
              <w:spacing w:after="0" w:line="240" w:lineRule="auto"/>
              <w:ind w:left="383" w:hanging="284"/>
              <w:rPr>
                <w:rFonts w:eastAsia="Times New Roman"/>
                <w:noProof/>
                <w:color w:val="006100"/>
              </w:rPr>
            </w:pPr>
            <w:r>
              <w:rPr>
                <w:noProof/>
                <w:color w:val="006100"/>
              </w:rPr>
              <w:t>b)</w:t>
            </w:r>
            <w:r>
              <w:rPr>
                <w:noProof/>
              </w:rPr>
              <w:t xml:space="preserve"> </w:t>
            </w:r>
            <w:r>
              <w:rPr>
                <w:noProof/>
                <w:color w:val="006100"/>
              </w:rPr>
              <w:t>Identificarea indicatorilor-cheie de performanță</w:t>
            </w:r>
          </w:p>
          <w:p w14:paraId="1DB9BC6B" w14:textId="77777777" w:rsidR="00C45D59" w:rsidRDefault="009B0962" w:rsidP="004048D3">
            <w:pPr>
              <w:pStyle w:val="P68B1DB1-Normal16"/>
              <w:spacing w:after="0" w:line="240" w:lineRule="auto"/>
              <w:ind w:left="383" w:hanging="284"/>
              <w:rPr>
                <w:rFonts w:eastAsia="Times New Roman"/>
                <w:noProof/>
                <w:color w:val="006100"/>
              </w:rPr>
            </w:pPr>
            <w:r>
              <w:rPr>
                <w:noProof/>
                <w:color w:val="006100"/>
              </w:rPr>
              <w:t>c)</w:t>
            </w:r>
            <w:r>
              <w:rPr>
                <w:noProof/>
              </w:rPr>
              <w:t xml:space="preserve"> </w:t>
            </w:r>
            <w:r>
              <w:rPr>
                <w:noProof/>
                <w:color w:val="006100"/>
              </w:rPr>
              <w:t>Dicționar de date</w:t>
            </w:r>
          </w:p>
          <w:p w14:paraId="797E269D" w14:textId="77777777" w:rsidR="00C45D59" w:rsidRDefault="009B0962" w:rsidP="004048D3">
            <w:pPr>
              <w:pStyle w:val="P68B1DB1-Normal16"/>
              <w:spacing w:after="0" w:line="240" w:lineRule="auto"/>
              <w:ind w:left="383" w:hanging="284"/>
              <w:rPr>
                <w:rFonts w:eastAsia="Times New Roman"/>
                <w:noProof/>
                <w:color w:val="006100"/>
              </w:rPr>
            </w:pPr>
            <w:r>
              <w:rPr>
                <w:noProof/>
                <w:color w:val="006100"/>
              </w:rPr>
              <w:t>d)</w:t>
            </w:r>
            <w:r>
              <w:rPr>
                <w:noProof/>
              </w:rPr>
              <w:t xml:space="preserve"> </w:t>
            </w:r>
            <w:r>
              <w:rPr>
                <w:noProof/>
                <w:color w:val="006100"/>
              </w:rPr>
              <w:t>Cadrul de guvernanță a datelor</w:t>
            </w:r>
          </w:p>
          <w:p w14:paraId="779C5BC1" w14:textId="77777777" w:rsidR="00C45D59" w:rsidRDefault="009B0962" w:rsidP="004048D3">
            <w:pPr>
              <w:pStyle w:val="P68B1DB1-Normal16"/>
              <w:spacing w:after="0" w:line="240" w:lineRule="auto"/>
              <w:ind w:left="383" w:hanging="284"/>
              <w:rPr>
                <w:rFonts w:eastAsia="Times New Roman"/>
                <w:noProof/>
                <w:color w:val="006100"/>
              </w:rPr>
            </w:pPr>
            <w:r>
              <w:rPr>
                <w:noProof/>
                <w:color w:val="006100"/>
              </w:rPr>
              <w:t>e)</w:t>
            </w:r>
            <w:r>
              <w:rPr>
                <w:noProof/>
              </w:rPr>
              <w:t xml:space="preserve"> </w:t>
            </w:r>
            <w:r>
              <w:rPr>
                <w:noProof/>
                <w:color w:val="006100"/>
              </w:rPr>
              <w:t>Proiectarea abordării arhitecturale &amp; a punctelor de integrare</w:t>
            </w:r>
          </w:p>
          <w:p w14:paraId="4478EBBB" w14:textId="77777777" w:rsidR="00C45D59" w:rsidRDefault="009B0962" w:rsidP="004048D3">
            <w:pPr>
              <w:pStyle w:val="P68B1DB1-Normal16"/>
              <w:spacing w:after="0" w:line="240" w:lineRule="auto"/>
              <w:ind w:left="383" w:hanging="284"/>
              <w:rPr>
                <w:rFonts w:eastAsia="Times New Roman"/>
                <w:noProof/>
                <w:color w:val="006100"/>
              </w:rPr>
            </w:pPr>
            <w:r>
              <w:rPr>
                <w:noProof/>
                <w:color w:val="006100"/>
              </w:rPr>
              <w:t>f)</w:t>
            </w:r>
            <w:r>
              <w:rPr>
                <w:noProof/>
              </w:rPr>
              <w:t xml:space="preserve"> </w:t>
            </w:r>
            <w:r>
              <w:rPr>
                <w:noProof/>
                <w:color w:val="006100"/>
              </w:rPr>
              <w:t>Configurația depozitului de date</w:t>
            </w:r>
          </w:p>
          <w:p w14:paraId="6DF83F12" w14:textId="77777777" w:rsidR="00C45D59" w:rsidRDefault="009B0962" w:rsidP="004048D3">
            <w:pPr>
              <w:pStyle w:val="P68B1DB1-Normal16"/>
              <w:spacing w:after="0" w:line="240" w:lineRule="auto"/>
              <w:ind w:left="383" w:hanging="284"/>
              <w:rPr>
                <w:rFonts w:eastAsia="Times New Roman"/>
                <w:noProof/>
                <w:color w:val="006100"/>
              </w:rPr>
            </w:pPr>
            <w:r>
              <w:rPr>
                <w:noProof/>
                <w:color w:val="006100"/>
              </w:rPr>
              <w:t>g)</w:t>
            </w:r>
            <w:r>
              <w:rPr>
                <w:noProof/>
              </w:rPr>
              <w:t xml:space="preserve"> </w:t>
            </w:r>
            <w:r>
              <w:rPr>
                <w:noProof/>
                <w:color w:val="006100"/>
              </w:rPr>
              <w:t>Integrarea cu sistemele informatice administrative</w:t>
            </w:r>
          </w:p>
          <w:p w14:paraId="67988315" w14:textId="77777777" w:rsidR="00C45D59" w:rsidRDefault="009B0962" w:rsidP="004048D3">
            <w:pPr>
              <w:pStyle w:val="P68B1DB1-Normal16"/>
              <w:spacing w:after="0" w:line="240" w:lineRule="auto"/>
              <w:ind w:left="383" w:hanging="284"/>
              <w:rPr>
                <w:rFonts w:eastAsia="Times New Roman"/>
                <w:noProof/>
                <w:color w:val="006100"/>
              </w:rPr>
            </w:pPr>
            <w:r>
              <w:rPr>
                <w:noProof/>
                <w:color w:val="006100"/>
              </w:rPr>
              <w:t>h)</w:t>
            </w:r>
            <w:r>
              <w:rPr>
                <w:noProof/>
              </w:rPr>
              <w:t xml:space="preserve"> </w:t>
            </w:r>
            <w:r>
              <w:rPr>
                <w:noProof/>
                <w:color w:val="006100"/>
              </w:rPr>
              <w:t>Elaborarea rapoartelor BI &amp; analiză</w:t>
            </w:r>
          </w:p>
          <w:p w14:paraId="60E9AC0C" w14:textId="77777777" w:rsidR="00C45D59" w:rsidRDefault="009B0962" w:rsidP="004048D3">
            <w:pPr>
              <w:pStyle w:val="P68B1DB1-Normal16"/>
              <w:spacing w:after="0" w:line="240" w:lineRule="auto"/>
              <w:ind w:left="383" w:hanging="284"/>
              <w:rPr>
                <w:rFonts w:eastAsia="Times New Roman"/>
                <w:noProof/>
                <w:color w:val="006100"/>
              </w:rPr>
            </w:pPr>
            <w:r>
              <w:rPr>
                <w:noProof/>
                <w:color w:val="006100"/>
              </w:rPr>
              <w:t>I)</w:t>
            </w:r>
            <w:r>
              <w:rPr>
                <w:noProof/>
              </w:rPr>
              <w:t xml:space="preserve"> </w:t>
            </w:r>
            <w:r>
              <w:rPr>
                <w:noProof/>
                <w:color w:val="006100"/>
              </w:rPr>
              <w:t>Sprijinirea operațiunilor ecosistemului BI pe o perioadă de 3 ani</w:t>
            </w:r>
          </w:p>
          <w:p w14:paraId="7F7A2604" w14:textId="77777777" w:rsidR="00C45D59" w:rsidRDefault="009B0962" w:rsidP="004048D3">
            <w:pPr>
              <w:pStyle w:val="P68B1DB1-Normal16"/>
              <w:spacing w:after="0" w:line="240" w:lineRule="auto"/>
              <w:ind w:left="383" w:hanging="284"/>
              <w:rPr>
                <w:rFonts w:eastAsia="Times New Roman"/>
                <w:noProof/>
                <w:color w:val="006100"/>
              </w:rPr>
            </w:pPr>
            <w:r>
              <w:rPr>
                <w:noProof/>
                <w:color w:val="006100"/>
              </w:rPr>
              <w:t>j)</w:t>
            </w:r>
            <w:r>
              <w:rPr>
                <w:noProof/>
              </w:rPr>
              <w:t xml:space="preserve"> </w:t>
            </w:r>
            <w:r>
              <w:rPr>
                <w:noProof/>
                <w:color w:val="006100"/>
              </w:rPr>
              <w:t>Taxe de licență pentru 200 de utilizatori cu privilegii super administrative și 200 TB de depozitare.</w:t>
            </w:r>
          </w:p>
        </w:tc>
      </w:tr>
      <w:tr w:rsidR="00C45D59" w14:paraId="1A7937ED" w14:textId="77777777" w:rsidTr="004048D3">
        <w:trPr>
          <w:trHeight w:val="313"/>
        </w:trPr>
        <w:tc>
          <w:tcPr>
            <w:tcW w:w="575" w:type="dxa"/>
            <w:shd w:val="clear" w:color="auto" w:fill="C6EFCE"/>
            <w:noWrap/>
          </w:tcPr>
          <w:p w14:paraId="130D266B" w14:textId="77777777" w:rsidR="00C45D59" w:rsidRDefault="009B0962" w:rsidP="004048D3">
            <w:pPr>
              <w:pStyle w:val="P68B1DB1-Normal12"/>
              <w:spacing w:after="0" w:line="240" w:lineRule="auto"/>
              <w:rPr>
                <w:rFonts w:eastAsia="Times New Roman"/>
                <w:noProof/>
              </w:rPr>
            </w:pPr>
            <w:r>
              <w:rPr>
                <w:noProof/>
              </w:rPr>
              <w:t>122</w:t>
            </w:r>
          </w:p>
        </w:tc>
        <w:tc>
          <w:tcPr>
            <w:tcW w:w="2072" w:type="dxa"/>
            <w:shd w:val="clear" w:color="auto" w:fill="C6EFCE"/>
            <w:noWrap/>
          </w:tcPr>
          <w:p w14:paraId="7A8798CE" w14:textId="77777777" w:rsidR="00C45D59" w:rsidRDefault="009B0962" w:rsidP="004048D3">
            <w:pPr>
              <w:pStyle w:val="P68B1DB1-Normal12"/>
              <w:spacing w:after="0" w:line="240" w:lineRule="auto"/>
              <w:rPr>
                <w:rFonts w:eastAsia="Times New Roman"/>
                <w:noProof/>
              </w:rPr>
            </w:pPr>
            <w:r>
              <w:rPr>
                <w:noProof/>
              </w:rPr>
              <w:t>6-2.2. Modernizare – 16853 Furnizarea infrastructurii și a serviciilor de cloud computing central</w:t>
            </w:r>
          </w:p>
        </w:tc>
        <w:tc>
          <w:tcPr>
            <w:tcW w:w="1134" w:type="dxa"/>
            <w:shd w:val="clear" w:color="auto" w:fill="C6EFCE"/>
            <w:noWrap/>
          </w:tcPr>
          <w:p w14:paraId="3EFE110B" w14:textId="77777777" w:rsidR="00C45D59" w:rsidRDefault="009B0962" w:rsidP="004048D3">
            <w:pPr>
              <w:pStyle w:val="P68B1DB1-Normal12"/>
              <w:spacing w:after="0" w:line="240" w:lineRule="auto"/>
              <w:rPr>
                <w:rFonts w:eastAsia="Times New Roman"/>
                <w:noProof/>
              </w:rPr>
            </w:pPr>
            <w:r>
              <w:rPr>
                <w:noProof/>
              </w:rPr>
              <w:t>Etapă</w:t>
            </w:r>
          </w:p>
        </w:tc>
        <w:tc>
          <w:tcPr>
            <w:tcW w:w="1417" w:type="dxa"/>
            <w:shd w:val="clear" w:color="auto" w:fill="C6EFCE"/>
            <w:noWrap/>
          </w:tcPr>
          <w:p w14:paraId="33E0B6BA" w14:textId="77777777" w:rsidR="00C45D59" w:rsidRDefault="009B0962" w:rsidP="004048D3">
            <w:pPr>
              <w:pStyle w:val="P68B1DB1-Normal12"/>
              <w:spacing w:after="0" w:line="240" w:lineRule="auto"/>
              <w:rPr>
                <w:rFonts w:eastAsia="Times New Roman"/>
                <w:noProof/>
              </w:rPr>
            </w:pPr>
            <w:r>
              <w:rPr>
                <w:noProof/>
              </w:rPr>
              <w:t>Finalizarea infrastructurii și a serviciului de cloud computing central</w:t>
            </w:r>
          </w:p>
        </w:tc>
        <w:tc>
          <w:tcPr>
            <w:tcW w:w="1701" w:type="dxa"/>
            <w:shd w:val="clear" w:color="auto" w:fill="C6EFCE"/>
            <w:noWrap/>
          </w:tcPr>
          <w:p w14:paraId="4ECECE58" w14:textId="77777777" w:rsidR="00C45D59" w:rsidRDefault="009B0962" w:rsidP="004048D3">
            <w:pPr>
              <w:pStyle w:val="P68B1DB1-Normal12"/>
              <w:spacing w:after="0" w:line="240" w:lineRule="auto"/>
              <w:rPr>
                <w:rFonts w:eastAsia="Times New Roman"/>
                <w:noProof/>
              </w:rPr>
            </w:pPr>
            <w:r>
              <w:rPr>
                <w:noProof/>
              </w:rPr>
              <w:t>Raport al Ministerului Guvernanței Digitale care documentează finalizarea instalării tuturor componentelor proiectului și a infrastructurii parametrise pentru proiectul central de infrastructură și servicii de cloud computing.</w:t>
            </w:r>
          </w:p>
        </w:tc>
        <w:tc>
          <w:tcPr>
            <w:tcW w:w="1322" w:type="dxa"/>
            <w:shd w:val="clear" w:color="auto" w:fill="C6EFCE"/>
            <w:noWrap/>
          </w:tcPr>
          <w:p w14:paraId="6ECED876" w14:textId="77777777" w:rsidR="00C45D59" w:rsidRDefault="00C45D59" w:rsidP="004048D3">
            <w:pPr>
              <w:spacing w:after="0" w:line="240" w:lineRule="auto"/>
              <w:rPr>
                <w:rFonts w:ascii="Times New Roman" w:eastAsia="Times New Roman" w:hAnsi="Times New Roman" w:cs="Times New Roman"/>
                <w:noProof/>
                <w:color w:val="006100"/>
                <w:sz w:val="18"/>
                <w:szCs w:val="18"/>
              </w:rPr>
            </w:pPr>
          </w:p>
        </w:tc>
        <w:tc>
          <w:tcPr>
            <w:tcW w:w="1134" w:type="dxa"/>
            <w:shd w:val="clear" w:color="auto" w:fill="C6EFCE"/>
            <w:noWrap/>
          </w:tcPr>
          <w:p w14:paraId="1053268C" w14:textId="77777777" w:rsidR="00C45D59" w:rsidRDefault="00C45D59" w:rsidP="004048D3">
            <w:pPr>
              <w:spacing w:after="0" w:line="240" w:lineRule="auto"/>
              <w:rPr>
                <w:rFonts w:ascii="Times New Roman" w:eastAsia="Times New Roman" w:hAnsi="Times New Roman" w:cs="Times New Roman"/>
                <w:noProof/>
                <w:color w:val="006100"/>
                <w:sz w:val="18"/>
                <w:szCs w:val="18"/>
              </w:rPr>
            </w:pPr>
          </w:p>
        </w:tc>
        <w:tc>
          <w:tcPr>
            <w:tcW w:w="993" w:type="dxa"/>
            <w:shd w:val="clear" w:color="auto" w:fill="C6EFCE"/>
            <w:noWrap/>
          </w:tcPr>
          <w:p w14:paraId="60FA901D" w14:textId="77777777" w:rsidR="00C45D59" w:rsidRDefault="00C45D59" w:rsidP="004048D3">
            <w:pPr>
              <w:spacing w:after="0" w:line="240" w:lineRule="auto"/>
              <w:rPr>
                <w:rFonts w:ascii="Times New Roman" w:eastAsia="Times New Roman" w:hAnsi="Times New Roman" w:cs="Times New Roman"/>
                <w:noProof/>
                <w:color w:val="006100"/>
                <w:sz w:val="18"/>
                <w:szCs w:val="18"/>
              </w:rPr>
            </w:pPr>
          </w:p>
        </w:tc>
        <w:tc>
          <w:tcPr>
            <w:tcW w:w="850" w:type="dxa"/>
            <w:shd w:val="clear" w:color="auto" w:fill="C6EFCE"/>
            <w:noWrap/>
          </w:tcPr>
          <w:p w14:paraId="07779EC7" w14:textId="77777777" w:rsidR="00C45D59" w:rsidRDefault="009B0962" w:rsidP="004048D3">
            <w:pPr>
              <w:pStyle w:val="P68B1DB1-Normal12"/>
              <w:spacing w:after="0" w:line="240" w:lineRule="auto"/>
              <w:rPr>
                <w:rFonts w:eastAsia="Times New Roman"/>
                <w:noProof/>
              </w:rPr>
            </w:pPr>
            <w:r>
              <w:rPr>
                <w:noProof/>
              </w:rPr>
              <w:t>Î2</w:t>
            </w:r>
          </w:p>
        </w:tc>
        <w:tc>
          <w:tcPr>
            <w:tcW w:w="992" w:type="dxa"/>
            <w:shd w:val="clear" w:color="auto" w:fill="C6EFCE"/>
            <w:noWrap/>
          </w:tcPr>
          <w:p w14:paraId="1312DD89" w14:textId="77777777" w:rsidR="00C45D59" w:rsidRDefault="009B0962" w:rsidP="004048D3">
            <w:pPr>
              <w:pStyle w:val="P68B1DB1-Normal12"/>
              <w:spacing w:after="0" w:line="240" w:lineRule="auto"/>
              <w:rPr>
                <w:rFonts w:eastAsia="Times New Roman"/>
                <w:noProof/>
              </w:rPr>
            </w:pPr>
            <w:r>
              <w:rPr>
                <w:noProof/>
              </w:rPr>
              <w:t>2024</w:t>
            </w:r>
          </w:p>
        </w:tc>
        <w:tc>
          <w:tcPr>
            <w:tcW w:w="3398" w:type="dxa"/>
            <w:shd w:val="clear" w:color="auto" w:fill="C6EFCE"/>
            <w:noWrap/>
          </w:tcPr>
          <w:p w14:paraId="55C98ECF" w14:textId="77777777" w:rsidR="00C45D59" w:rsidRDefault="009B0962" w:rsidP="004048D3">
            <w:pPr>
              <w:pStyle w:val="P68B1DB1-Normal12"/>
              <w:spacing w:after="0" w:line="240" w:lineRule="auto"/>
              <w:rPr>
                <w:rFonts w:eastAsia="Times New Roman"/>
                <w:noProof/>
              </w:rPr>
            </w:pPr>
            <w:r>
              <w:rPr>
                <w:noProof/>
              </w:rPr>
              <w:t>Începerea operațiunilor de înființare a tuturor componentelor proiectului și a infrastructurii parametrise pentru proiectul de infrastructură și servicii centrale de cloud computing. Introducerea și operaționalizarea proiectului central de infrastructură și servicii de cloud computing. Noua infrastructură instalată trebuie să includă mașini virtuale și rețele virtuale corespunzătoare (infrastructura ca serviciu), platforma ca serviciu, două rețele de calcul la margine, două interfețe speciale de fibră optică de mare viteză și servicii de formare și de asistență pentru întregul proiect.</w:t>
            </w:r>
          </w:p>
          <w:p w14:paraId="30788453" w14:textId="77777777" w:rsidR="00C45D59" w:rsidRDefault="009B0962" w:rsidP="004048D3">
            <w:pPr>
              <w:pStyle w:val="P68B1DB1-Normal12"/>
              <w:spacing w:after="0" w:line="240" w:lineRule="auto"/>
              <w:rPr>
                <w:rFonts w:eastAsia="Times New Roman"/>
                <w:noProof/>
              </w:rPr>
            </w:pPr>
            <w:r>
              <w:rPr>
                <w:noProof/>
              </w:rPr>
              <w:t>Centrele de date ale furnizorului de servicii cloud au obligația de a respecta „Codul european de conduită privind eficiența energetică a centrelor de date”.</w:t>
            </w:r>
          </w:p>
        </w:tc>
      </w:tr>
      <w:tr w:rsidR="00C45D59" w14:paraId="73B0A5F8" w14:textId="77777777" w:rsidTr="004048D3">
        <w:trPr>
          <w:trHeight w:val="313"/>
        </w:trPr>
        <w:tc>
          <w:tcPr>
            <w:tcW w:w="575" w:type="dxa"/>
            <w:shd w:val="clear" w:color="auto" w:fill="C6EFCE"/>
            <w:noWrap/>
          </w:tcPr>
          <w:p w14:paraId="3763356C" w14:textId="77777777" w:rsidR="00C45D59" w:rsidRDefault="009B0962" w:rsidP="004048D3">
            <w:pPr>
              <w:pStyle w:val="P68B1DB1-Normal12"/>
              <w:spacing w:after="0" w:line="240" w:lineRule="auto"/>
              <w:rPr>
                <w:rFonts w:eastAsia="Times New Roman"/>
                <w:noProof/>
              </w:rPr>
            </w:pPr>
            <w:r>
              <w:rPr>
                <w:noProof/>
              </w:rPr>
              <w:t>123</w:t>
            </w:r>
          </w:p>
        </w:tc>
        <w:tc>
          <w:tcPr>
            <w:tcW w:w="2072" w:type="dxa"/>
            <w:shd w:val="clear" w:color="auto" w:fill="C6EFCE"/>
            <w:noWrap/>
          </w:tcPr>
          <w:p w14:paraId="74053E28" w14:textId="77777777" w:rsidR="00C45D59" w:rsidRDefault="009B0962" w:rsidP="004048D3">
            <w:pPr>
              <w:pStyle w:val="P68B1DB1-Normal12"/>
              <w:spacing w:after="0" w:line="240" w:lineRule="auto"/>
              <w:rPr>
                <w:rFonts w:eastAsia="Times New Roman"/>
                <w:noProof/>
              </w:rPr>
            </w:pPr>
            <w:r>
              <w:rPr>
                <w:noProof/>
              </w:rPr>
              <w:t>6-2.2. Modernizare – 16854_Orașe inteligente</w:t>
            </w:r>
          </w:p>
        </w:tc>
        <w:tc>
          <w:tcPr>
            <w:tcW w:w="1134" w:type="dxa"/>
            <w:shd w:val="clear" w:color="auto" w:fill="C6EFCE"/>
            <w:noWrap/>
          </w:tcPr>
          <w:p w14:paraId="082E8124" w14:textId="77777777" w:rsidR="00C45D59" w:rsidRDefault="009B0962" w:rsidP="004048D3">
            <w:pPr>
              <w:pStyle w:val="P68B1DB1-Normal12"/>
              <w:spacing w:after="0" w:line="240" w:lineRule="auto"/>
              <w:rPr>
                <w:rFonts w:eastAsia="Times New Roman"/>
                <w:noProof/>
              </w:rPr>
            </w:pPr>
            <w:r>
              <w:rPr>
                <w:noProof/>
              </w:rPr>
              <w:t>Țintă</w:t>
            </w:r>
          </w:p>
        </w:tc>
        <w:tc>
          <w:tcPr>
            <w:tcW w:w="1417" w:type="dxa"/>
            <w:shd w:val="clear" w:color="auto" w:fill="C6EFCE"/>
            <w:noWrap/>
          </w:tcPr>
          <w:p w14:paraId="7B1CF83F" w14:textId="6023337B" w:rsidR="00C45D59" w:rsidRDefault="009B0962" w:rsidP="004048D3">
            <w:pPr>
              <w:pStyle w:val="P68B1DB1-Normal12"/>
              <w:spacing w:after="0" w:line="240" w:lineRule="auto"/>
              <w:rPr>
                <w:rFonts w:eastAsia="Times New Roman"/>
                <w:noProof/>
              </w:rPr>
            </w:pPr>
            <w:r>
              <w:rPr>
                <w:noProof/>
              </w:rPr>
              <w:t>Realizarea proiectelor de „orașe inteligente”</w:t>
            </w:r>
          </w:p>
        </w:tc>
        <w:tc>
          <w:tcPr>
            <w:tcW w:w="1701" w:type="dxa"/>
            <w:shd w:val="clear" w:color="auto" w:fill="C6EFCE"/>
            <w:noWrap/>
          </w:tcPr>
          <w:p w14:paraId="216C959B" w14:textId="77777777" w:rsidR="00C45D59" w:rsidRDefault="00C45D59" w:rsidP="004048D3">
            <w:pPr>
              <w:spacing w:after="0" w:line="240" w:lineRule="auto"/>
              <w:rPr>
                <w:rFonts w:ascii="Times New Roman" w:eastAsia="Times New Roman" w:hAnsi="Times New Roman" w:cs="Times New Roman"/>
                <w:noProof/>
                <w:color w:val="006100"/>
                <w:sz w:val="18"/>
                <w:szCs w:val="18"/>
              </w:rPr>
            </w:pPr>
          </w:p>
        </w:tc>
        <w:tc>
          <w:tcPr>
            <w:tcW w:w="1322" w:type="dxa"/>
            <w:shd w:val="clear" w:color="auto" w:fill="C6EFCE"/>
            <w:noWrap/>
          </w:tcPr>
          <w:p w14:paraId="5DB41394" w14:textId="0210E20A" w:rsidR="00C45D59" w:rsidRDefault="009B0962" w:rsidP="004048D3">
            <w:pPr>
              <w:pStyle w:val="P68B1DB1-Normal12"/>
              <w:spacing w:after="0" w:line="240" w:lineRule="auto"/>
              <w:rPr>
                <w:noProof/>
              </w:rPr>
            </w:pPr>
            <w:r>
              <w:rPr>
                <w:noProof/>
              </w:rPr>
              <w:t xml:space="preserve">Numărul de municipalități care dovedesc realizarea proiectelor de „orașe inteligente” </w:t>
            </w:r>
          </w:p>
        </w:tc>
        <w:tc>
          <w:tcPr>
            <w:tcW w:w="1134" w:type="dxa"/>
            <w:shd w:val="clear" w:color="auto" w:fill="C6EFCE"/>
            <w:noWrap/>
          </w:tcPr>
          <w:p w14:paraId="605FFE6A" w14:textId="77777777" w:rsidR="00C45D59" w:rsidRDefault="009B0962" w:rsidP="004048D3">
            <w:pPr>
              <w:pStyle w:val="P68B1DB1-Normal23"/>
              <w:spacing w:after="0" w:line="240" w:lineRule="auto"/>
              <w:rPr>
                <w:noProof/>
              </w:rPr>
            </w:pPr>
            <w:r>
              <w:rPr>
                <w:noProof/>
              </w:rPr>
              <w:t>0</w:t>
            </w:r>
          </w:p>
        </w:tc>
        <w:tc>
          <w:tcPr>
            <w:tcW w:w="993" w:type="dxa"/>
            <w:shd w:val="clear" w:color="auto" w:fill="C6EFCE"/>
            <w:noWrap/>
          </w:tcPr>
          <w:p w14:paraId="5DB006B1" w14:textId="77777777" w:rsidR="00C45D59" w:rsidRDefault="009B0962" w:rsidP="004048D3">
            <w:pPr>
              <w:pStyle w:val="P68B1DB1-Normal12"/>
              <w:spacing w:after="0" w:line="240" w:lineRule="auto"/>
              <w:rPr>
                <w:rFonts w:eastAsia="Times New Roman"/>
                <w:noProof/>
              </w:rPr>
            </w:pPr>
            <w:r>
              <w:rPr>
                <w:noProof/>
              </w:rPr>
              <w:t>11</w:t>
            </w:r>
          </w:p>
          <w:p w14:paraId="44FD9A81" w14:textId="77777777" w:rsidR="00C45D59" w:rsidRDefault="00C45D59" w:rsidP="004048D3">
            <w:pPr>
              <w:spacing w:after="0" w:line="240" w:lineRule="auto"/>
              <w:rPr>
                <w:rFonts w:ascii="Times New Roman" w:eastAsia="Times New Roman" w:hAnsi="Times New Roman" w:cs="Times New Roman"/>
                <w:noProof/>
                <w:color w:val="006100"/>
                <w:sz w:val="18"/>
                <w:szCs w:val="18"/>
              </w:rPr>
            </w:pPr>
          </w:p>
        </w:tc>
        <w:tc>
          <w:tcPr>
            <w:tcW w:w="850" w:type="dxa"/>
            <w:shd w:val="clear" w:color="auto" w:fill="C6EFCE"/>
            <w:noWrap/>
          </w:tcPr>
          <w:p w14:paraId="501D1769" w14:textId="77777777" w:rsidR="00C45D59" w:rsidRDefault="009B0962" w:rsidP="004048D3">
            <w:pPr>
              <w:pStyle w:val="P68B1DB1-Normal12"/>
              <w:spacing w:after="0" w:line="240" w:lineRule="auto"/>
              <w:rPr>
                <w:rFonts w:eastAsia="Times New Roman"/>
                <w:noProof/>
              </w:rPr>
            </w:pPr>
            <w:r>
              <w:rPr>
                <w:noProof/>
              </w:rPr>
              <w:t>Î4</w:t>
            </w:r>
          </w:p>
        </w:tc>
        <w:tc>
          <w:tcPr>
            <w:tcW w:w="992" w:type="dxa"/>
            <w:shd w:val="clear" w:color="auto" w:fill="C6EFCE"/>
            <w:noWrap/>
          </w:tcPr>
          <w:p w14:paraId="0717FB1A" w14:textId="77777777" w:rsidR="00C45D59" w:rsidRDefault="009B0962" w:rsidP="004048D3">
            <w:pPr>
              <w:pStyle w:val="P68B1DB1-Normal12"/>
              <w:spacing w:after="0" w:line="240" w:lineRule="auto"/>
              <w:rPr>
                <w:rFonts w:eastAsia="Times New Roman"/>
                <w:noProof/>
              </w:rPr>
            </w:pPr>
            <w:r>
              <w:rPr>
                <w:noProof/>
              </w:rPr>
              <w:t>2025</w:t>
            </w:r>
          </w:p>
        </w:tc>
        <w:tc>
          <w:tcPr>
            <w:tcW w:w="3398" w:type="dxa"/>
            <w:shd w:val="clear" w:color="auto" w:fill="C6EFCE"/>
            <w:noWrap/>
          </w:tcPr>
          <w:p w14:paraId="3E08D3C3" w14:textId="7552A3FC" w:rsidR="00C45D59" w:rsidRDefault="009B0962" w:rsidP="004048D3">
            <w:pPr>
              <w:pStyle w:val="P68B1DB1-Normal12"/>
              <w:spacing w:after="0" w:line="240" w:lineRule="auto"/>
              <w:rPr>
                <w:rFonts w:eastAsia="Times New Roman"/>
                <w:noProof/>
              </w:rPr>
            </w:pPr>
            <w:r>
              <w:rPr>
                <w:noProof/>
              </w:rPr>
              <w:t>Realizarea de proiecte de „orașe inteligente” de către 11 municipalități din Grecia</w:t>
            </w:r>
          </w:p>
        </w:tc>
      </w:tr>
      <w:tr w:rsidR="00C45D59" w14:paraId="244A57CC" w14:textId="77777777" w:rsidTr="004048D3">
        <w:trPr>
          <w:trHeight w:val="313"/>
        </w:trPr>
        <w:tc>
          <w:tcPr>
            <w:tcW w:w="575" w:type="dxa"/>
            <w:shd w:val="clear" w:color="auto" w:fill="C6EFCE"/>
            <w:noWrap/>
          </w:tcPr>
          <w:p w14:paraId="5ADC1BE5" w14:textId="77777777" w:rsidR="00C45D59" w:rsidRDefault="009B0962" w:rsidP="004048D3">
            <w:pPr>
              <w:pStyle w:val="P68B1DB1-Normal12"/>
              <w:spacing w:after="0" w:line="240" w:lineRule="auto"/>
              <w:rPr>
                <w:rFonts w:eastAsia="Times New Roman"/>
                <w:noProof/>
              </w:rPr>
            </w:pPr>
            <w:r>
              <w:rPr>
                <w:noProof/>
              </w:rPr>
              <w:t>124</w:t>
            </w:r>
          </w:p>
        </w:tc>
        <w:tc>
          <w:tcPr>
            <w:tcW w:w="2072" w:type="dxa"/>
            <w:shd w:val="clear" w:color="auto" w:fill="C6EFCE"/>
            <w:noWrap/>
          </w:tcPr>
          <w:p w14:paraId="49270352" w14:textId="77777777" w:rsidR="00C45D59" w:rsidRDefault="009B0962" w:rsidP="004048D3">
            <w:pPr>
              <w:pStyle w:val="P68B1DB1-Normal12"/>
              <w:spacing w:after="0" w:line="240" w:lineRule="auto"/>
              <w:rPr>
                <w:rFonts w:eastAsia="Times New Roman"/>
                <w:noProof/>
                <w:highlight w:val="yellow"/>
              </w:rPr>
            </w:pPr>
            <w:r>
              <w:rPr>
                <w:noProof/>
              </w:rPr>
              <w:t>6-2.2. Modernizare – 16928_Încorporarea de noi tehnologii și tendințe în direcția unor servicii avansate ale administrației publice, creșterea eficienței și a eficacității și reducerea costurilor de funcționare, modernizare și întreținere a sistemelor</w:t>
            </w:r>
          </w:p>
        </w:tc>
        <w:tc>
          <w:tcPr>
            <w:tcW w:w="1134" w:type="dxa"/>
            <w:shd w:val="clear" w:color="auto" w:fill="C6EFCE"/>
            <w:noWrap/>
          </w:tcPr>
          <w:p w14:paraId="78B7468A" w14:textId="77777777" w:rsidR="00C45D59" w:rsidRDefault="009B0962" w:rsidP="004048D3">
            <w:pPr>
              <w:pStyle w:val="P68B1DB1-Normal12"/>
              <w:spacing w:after="0" w:line="240" w:lineRule="auto"/>
              <w:rPr>
                <w:rFonts w:eastAsia="Times New Roman"/>
                <w:noProof/>
              </w:rPr>
            </w:pPr>
            <w:r>
              <w:rPr>
                <w:noProof/>
              </w:rPr>
              <w:t>Etapă</w:t>
            </w:r>
          </w:p>
          <w:p w14:paraId="2A1A0F99" w14:textId="77777777" w:rsidR="00C45D59" w:rsidRDefault="00C45D59" w:rsidP="004048D3">
            <w:pPr>
              <w:spacing w:after="0" w:line="240" w:lineRule="auto"/>
              <w:rPr>
                <w:rFonts w:ascii="Times New Roman" w:eastAsia="Times New Roman" w:hAnsi="Times New Roman" w:cs="Times New Roman"/>
                <w:noProof/>
                <w:color w:val="006100"/>
                <w:sz w:val="18"/>
                <w:szCs w:val="18"/>
              </w:rPr>
            </w:pPr>
          </w:p>
        </w:tc>
        <w:tc>
          <w:tcPr>
            <w:tcW w:w="1417" w:type="dxa"/>
            <w:shd w:val="clear" w:color="auto" w:fill="C6EFCE"/>
            <w:noWrap/>
          </w:tcPr>
          <w:p w14:paraId="44D536F9" w14:textId="3EF68478" w:rsidR="00C45D59" w:rsidRDefault="009B0962" w:rsidP="004048D3">
            <w:pPr>
              <w:pStyle w:val="P68B1DB1-Normal12"/>
              <w:spacing w:after="0" w:line="240" w:lineRule="auto"/>
              <w:rPr>
                <w:rFonts w:eastAsia="Times New Roman"/>
                <w:noProof/>
              </w:rPr>
            </w:pPr>
            <w:r>
              <w:rPr>
                <w:noProof/>
              </w:rPr>
              <w:t>Cadrul pentru încorporarea de noi tehnologii în administrația publică și o politică privind datele deschise și reutilizabile</w:t>
            </w:r>
          </w:p>
        </w:tc>
        <w:tc>
          <w:tcPr>
            <w:tcW w:w="1701" w:type="dxa"/>
            <w:shd w:val="clear" w:color="auto" w:fill="C6EFCE"/>
            <w:noWrap/>
          </w:tcPr>
          <w:p w14:paraId="42AAD8DB" w14:textId="52AF291B" w:rsidR="00C45D59" w:rsidRDefault="009B0962" w:rsidP="004048D3">
            <w:pPr>
              <w:pStyle w:val="P68B1DB1-Normal12"/>
              <w:spacing w:after="0" w:line="240" w:lineRule="auto"/>
              <w:rPr>
                <w:rFonts w:eastAsia="Times New Roman"/>
                <w:noProof/>
              </w:rPr>
            </w:pPr>
            <w:r>
              <w:rPr>
                <w:noProof/>
              </w:rPr>
              <w:t>Stabilirea unui cadru pentru încorporarea noilor tehnologii în administrația publică și adoptarea unei politici privind datele deschise și reutilizabile</w:t>
            </w:r>
          </w:p>
        </w:tc>
        <w:tc>
          <w:tcPr>
            <w:tcW w:w="1322" w:type="dxa"/>
            <w:shd w:val="clear" w:color="auto" w:fill="C6EFCE"/>
            <w:noWrap/>
          </w:tcPr>
          <w:p w14:paraId="2F4E20B4" w14:textId="77777777" w:rsidR="00C45D59" w:rsidRDefault="00C45D59" w:rsidP="004048D3">
            <w:pPr>
              <w:spacing w:after="0" w:line="240" w:lineRule="auto"/>
              <w:rPr>
                <w:rFonts w:ascii="Times New Roman" w:eastAsia="Times New Roman" w:hAnsi="Times New Roman" w:cs="Times New Roman"/>
                <w:noProof/>
                <w:color w:val="006100"/>
                <w:sz w:val="18"/>
                <w:szCs w:val="18"/>
              </w:rPr>
            </w:pPr>
          </w:p>
        </w:tc>
        <w:tc>
          <w:tcPr>
            <w:tcW w:w="1134" w:type="dxa"/>
            <w:shd w:val="clear" w:color="auto" w:fill="C6EFCE"/>
            <w:noWrap/>
          </w:tcPr>
          <w:p w14:paraId="63495661" w14:textId="77777777" w:rsidR="00C45D59" w:rsidRDefault="00C45D59" w:rsidP="004048D3">
            <w:pPr>
              <w:spacing w:after="0" w:line="240" w:lineRule="auto"/>
              <w:rPr>
                <w:rFonts w:ascii="Times New Roman" w:eastAsia="Times New Roman" w:hAnsi="Times New Roman" w:cs="Times New Roman"/>
                <w:noProof/>
                <w:color w:val="006100"/>
                <w:sz w:val="18"/>
                <w:szCs w:val="18"/>
              </w:rPr>
            </w:pPr>
          </w:p>
        </w:tc>
        <w:tc>
          <w:tcPr>
            <w:tcW w:w="993" w:type="dxa"/>
            <w:shd w:val="clear" w:color="auto" w:fill="C6EFCE"/>
            <w:noWrap/>
          </w:tcPr>
          <w:p w14:paraId="0F83C1E6" w14:textId="77777777" w:rsidR="00C45D59" w:rsidRDefault="00C45D59" w:rsidP="004048D3">
            <w:pPr>
              <w:spacing w:after="0" w:line="240" w:lineRule="auto"/>
              <w:rPr>
                <w:rFonts w:ascii="Times New Roman" w:eastAsia="Times New Roman" w:hAnsi="Times New Roman" w:cs="Times New Roman"/>
                <w:noProof/>
                <w:color w:val="006100"/>
                <w:sz w:val="18"/>
                <w:szCs w:val="18"/>
              </w:rPr>
            </w:pPr>
          </w:p>
        </w:tc>
        <w:tc>
          <w:tcPr>
            <w:tcW w:w="850" w:type="dxa"/>
            <w:shd w:val="clear" w:color="auto" w:fill="C6EFCE"/>
            <w:noWrap/>
          </w:tcPr>
          <w:p w14:paraId="4CB2554B" w14:textId="77777777" w:rsidR="00C45D59" w:rsidRDefault="009B0962" w:rsidP="004048D3">
            <w:pPr>
              <w:pStyle w:val="P68B1DB1-Normal12"/>
              <w:spacing w:after="0" w:line="240" w:lineRule="auto"/>
              <w:rPr>
                <w:rFonts w:eastAsia="Times New Roman"/>
                <w:noProof/>
              </w:rPr>
            </w:pPr>
            <w:r>
              <w:rPr>
                <w:noProof/>
              </w:rPr>
              <w:t>Î4</w:t>
            </w:r>
          </w:p>
        </w:tc>
        <w:tc>
          <w:tcPr>
            <w:tcW w:w="992" w:type="dxa"/>
            <w:shd w:val="clear" w:color="auto" w:fill="C6EFCE"/>
            <w:noWrap/>
          </w:tcPr>
          <w:p w14:paraId="707EF5AF" w14:textId="77777777" w:rsidR="00C45D59" w:rsidRDefault="009B0962" w:rsidP="004048D3">
            <w:pPr>
              <w:pStyle w:val="P68B1DB1-Normal12"/>
              <w:spacing w:after="0" w:line="240" w:lineRule="auto"/>
              <w:rPr>
                <w:rFonts w:eastAsia="Times New Roman"/>
                <w:noProof/>
              </w:rPr>
            </w:pPr>
            <w:r>
              <w:rPr>
                <w:noProof/>
              </w:rPr>
              <w:t>2025</w:t>
            </w:r>
          </w:p>
        </w:tc>
        <w:tc>
          <w:tcPr>
            <w:tcW w:w="3398" w:type="dxa"/>
            <w:shd w:val="clear" w:color="auto" w:fill="C6EFCE"/>
            <w:noWrap/>
          </w:tcPr>
          <w:p w14:paraId="51A439CD" w14:textId="37E435AA" w:rsidR="00C45D59" w:rsidRDefault="009B0962" w:rsidP="004048D3">
            <w:pPr>
              <w:pStyle w:val="P68B1DB1-Normal12"/>
              <w:spacing w:after="0" w:line="240" w:lineRule="auto"/>
              <w:rPr>
                <w:rFonts w:eastAsia="Times New Roman"/>
                <w:noProof/>
              </w:rPr>
            </w:pPr>
            <w:r>
              <w:rPr>
                <w:noProof/>
              </w:rPr>
              <w:t xml:space="preserve">Stabilirea unui cadru pentru introducerea de noi tehnologii și instrumente (cloud computing, informații comerciale, tehnologia registrelor distribuite – DLT) în administrația publică și adoptarea unei politici privind datele deschise și reutilizabile. </w:t>
            </w:r>
          </w:p>
        </w:tc>
      </w:tr>
      <w:tr w:rsidR="00C45D59" w14:paraId="19D628F3" w14:textId="77777777" w:rsidTr="004048D3">
        <w:trPr>
          <w:trHeight w:val="313"/>
        </w:trPr>
        <w:tc>
          <w:tcPr>
            <w:tcW w:w="575" w:type="dxa"/>
            <w:shd w:val="clear" w:color="auto" w:fill="C6EFCE"/>
            <w:noWrap/>
          </w:tcPr>
          <w:p w14:paraId="5316FD48" w14:textId="77777777" w:rsidR="00C45D59" w:rsidRDefault="009B0962" w:rsidP="004048D3">
            <w:pPr>
              <w:pStyle w:val="P68B1DB1-Normal12"/>
              <w:spacing w:after="0" w:line="240" w:lineRule="auto"/>
              <w:rPr>
                <w:rFonts w:eastAsia="Times New Roman"/>
                <w:noProof/>
              </w:rPr>
            </w:pPr>
            <w:r>
              <w:rPr>
                <w:noProof/>
              </w:rPr>
              <w:t>125</w:t>
            </w:r>
          </w:p>
        </w:tc>
        <w:tc>
          <w:tcPr>
            <w:tcW w:w="2072" w:type="dxa"/>
            <w:shd w:val="clear" w:color="auto" w:fill="C6EFCE"/>
            <w:noWrap/>
          </w:tcPr>
          <w:p w14:paraId="33FF9AA2" w14:textId="77777777" w:rsidR="00C45D59" w:rsidRDefault="009B0962" w:rsidP="004048D3">
            <w:pPr>
              <w:pStyle w:val="P68B1DB1-Normal12"/>
              <w:spacing w:after="0" w:line="240" w:lineRule="auto"/>
              <w:rPr>
                <w:rFonts w:eastAsia="Times New Roman"/>
                <w:noProof/>
              </w:rPr>
            </w:pPr>
            <w:r>
              <w:rPr>
                <w:noProof/>
              </w:rPr>
              <w:t>6-2.2. Modernizare – 16955_Modernizarea infrastructurii și a serviciilor de cloud computing ale infrastructurilor naționale de cercetare și tehnologie (GRNET)</w:t>
            </w:r>
          </w:p>
        </w:tc>
        <w:tc>
          <w:tcPr>
            <w:tcW w:w="1134" w:type="dxa"/>
            <w:shd w:val="clear" w:color="auto" w:fill="C6EFCE"/>
            <w:noWrap/>
          </w:tcPr>
          <w:p w14:paraId="6FDC0CC5" w14:textId="77777777" w:rsidR="00C45D59" w:rsidRDefault="009B0962" w:rsidP="004048D3">
            <w:pPr>
              <w:pStyle w:val="P68B1DB1-Normal12"/>
              <w:spacing w:after="0" w:line="240" w:lineRule="auto"/>
              <w:rPr>
                <w:rFonts w:eastAsia="Times New Roman"/>
                <w:noProof/>
              </w:rPr>
            </w:pPr>
            <w:r>
              <w:rPr>
                <w:noProof/>
              </w:rPr>
              <w:t>Etapă</w:t>
            </w:r>
          </w:p>
        </w:tc>
        <w:tc>
          <w:tcPr>
            <w:tcW w:w="1417" w:type="dxa"/>
            <w:shd w:val="clear" w:color="auto" w:fill="C6EFCE"/>
            <w:noWrap/>
          </w:tcPr>
          <w:p w14:paraId="67E2CC30" w14:textId="77777777" w:rsidR="00C45D59" w:rsidRDefault="009B0962" w:rsidP="004048D3">
            <w:pPr>
              <w:pStyle w:val="P68B1DB1-Normal12"/>
              <w:spacing w:after="0" w:line="240" w:lineRule="auto"/>
              <w:rPr>
                <w:rFonts w:eastAsia="Times New Roman"/>
                <w:noProof/>
              </w:rPr>
            </w:pPr>
            <w:r>
              <w:rPr>
                <w:noProof/>
              </w:rPr>
              <w:t xml:space="preserve">GRNET </w:t>
            </w:r>
          </w:p>
        </w:tc>
        <w:tc>
          <w:tcPr>
            <w:tcW w:w="1701" w:type="dxa"/>
            <w:shd w:val="clear" w:color="auto" w:fill="C6EFCE"/>
            <w:noWrap/>
          </w:tcPr>
          <w:p w14:paraId="02C03990" w14:textId="77777777" w:rsidR="00C45D59" w:rsidRDefault="009B0962" w:rsidP="004048D3">
            <w:pPr>
              <w:pStyle w:val="P68B1DB1-Normal12"/>
              <w:spacing w:after="0" w:line="240" w:lineRule="auto"/>
              <w:rPr>
                <w:rFonts w:eastAsia="Times New Roman"/>
                <w:noProof/>
              </w:rPr>
            </w:pPr>
            <w:r>
              <w:rPr>
                <w:noProof/>
              </w:rPr>
              <w:t>Realizarea modernizării infrastructurii și a serviciilor de cloud computing ale GRNET, execuția Daedalus faza A și un contract de închiriere pentru infrastructura de fibră optică</w:t>
            </w:r>
          </w:p>
        </w:tc>
        <w:tc>
          <w:tcPr>
            <w:tcW w:w="1322" w:type="dxa"/>
            <w:shd w:val="clear" w:color="auto" w:fill="C6EFCE"/>
            <w:noWrap/>
          </w:tcPr>
          <w:p w14:paraId="236D00E9" w14:textId="77777777" w:rsidR="00C45D59" w:rsidRDefault="00C45D59" w:rsidP="004048D3">
            <w:pPr>
              <w:spacing w:after="0" w:line="240" w:lineRule="auto"/>
              <w:rPr>
                <w:rFonts w:ascii="Times New Roman" w:eastAsia="Times New Roman" w:hAnsi="Times New Roman" w:cs="Times New Roman"/>
                <w:noProof/>
                <w:color w:val="006100"/>
                <w:sz w:val="18"/>
                <w:szCs w:val="18"/>
              </w:rPr>
            </w:pPr>
          </w:p>
        </w:tc>
        <w:tc>
          <w:tcPr>
            <w:tcW w:w="1134" w:type="dxa"/>
            <w:shd w:val="clear" w:color="auto" w:fill="C6EFCE"/>
            <w:noWrap/>
          </w:tcPr>
          <w:p w14:paraId="27C8BBF2" w14:textId="77777777" w:rsidR="00C45D59" w:rsidRDefault="00C45D59" w:rsidP="004048D3">
            <w:pPr>
              <w:spacing w:after="0" w:line="240" w:lineRule="auto"/>
              <w:rPr>
                <w:rFonts w:ascii="Times New Roman" w:eastAsia="Times New Roman" w:hAnsi="Times New Roman" w:cs="Times New Roman"/>
                <w:noProof/>
                <w:color w:val="006100"/>
                <w:sz w:val="18"/>
                <w:szCs w:val="18"/>
              </w:rPr>
            </w:pPr>
          </w:p>
        </w:tc>
        <w:tc>
          <w:tcPr>
            <w:tcW w:w="993" w:type="dxa"/>
            <w:shd w:val="clear" w:color="auto" w:fill="C6EFCE"/>
            <w:noWrap/>
          </w:tcPr>
          <w:p w14:paraId="5ADF0077" w14:textId="77777777" w:rsidR="00C45D59" w:rsidRDefault="00C45D59" w:rsidP="004048D3">
            <w:pPr>
              <w:spacing w:after="0" w:line="240" w:lineRule="auto"/>
              <w:rPr>
                <w:rFonts w:ascii="Times New Roman" w:eastAsia="Times New Roman" w:hAnsi="Times New Roman" w:cs="Times New Roman"/>
                <w:noProof/>
                <w:color w:val="006100"/>
                <w:sz w:val="18"/>
                <w:szCs w:val="18"/>
              </w:rPr>
            </w:pPr>
          </w:p>
        </w:tc>
        <w:tc>
          <w:tcPr>
            <w:tcW w:w="850" w:type="dxa"/>
            <w:shd w:val="clear" w:color="auto" w:fill="C6EFCE"/>
            <w:noWrap/>
          </w:tcPr>
          <w:p w14:paraId="3821AEFF" w14:textId="77777777" w:rsidR="00C45D59" w:rsidRDefault="009B0962" w:rsidP="004048D3">
            <w:pPr>
              <w:pStyle w:val="P68B1DB1-Normal12"/>
              <w:spacing w:after="0" w:line="240" w:lineRule="auto"/>
              <w:rPr>
                <w:rFonts w:eastAsia="Times New Roman"/>
                <w:noProof/>
              </w:rPr>
            </w:pPr>
            <w:r>
              <w:rPr>
                <w:noProof/>
              </w:rPr>
              <w:t>Î4</w:t>
            </w:r>
          </w:p>
        </w:tc>
        <w:tc>
          <w:tcPr>
            <w:tcW w:w="992" w:type="dxa"/>
            <w:shd w:val="clear" w:color="auto" w:fill="C6EFCE"/>
            <w:noWrap/>
          </w:tcPr>
          <w:p w14:paraId="7F433756" w14:textId="77777777" w:rsidR="00C45D59" w:rsidRDefault="009B0962" w:rsidP="004048D3">
            <w:pPr>
              <w:pStyle w:val="P68B1DB1-Normal12"/>
              <w:spacing w:after="0" w:line="240" w:lineRule="auto"/>
              <w:rPr>
                <w:rFonts w:eastAsia="Times New Roman"/>
                <w:noProof/>
              </w:rPr>
            </w:pPr>
            <w:r>
              <w:rPr>
                <w:noProof/>
              </w:rPr>
              <w:t>2025</w:t>
            </w:r>
          </w:p>
        </w:tc>
        <w:tc>
          <w:tcPr>
            <w:tcW w:w="3398" w:type="dxa"/>
            <w:shd w:val="clear" w:color="auto" w:fill="C6EFCE"/>
            <w:noWrap/>
          </w:tcPr>
          <w:p w14:paraId="50AEE21E" w14:textId="77777777" w:rsidR="00C45D59" w:rsidRDefault="009B0962" w:rsidP="004048D3">
            <w:pPr>
              <w:pStyle w:val="P68B1DB1-Normal12"/>
              <w:spacing w:after="0" w:line="240" w:lineRule="auto"/>
              <w:rPr>
                <w:rFonts w:eastAsia="Times New Roman"/>
                <w:noProof/>
              </w:rPr>
            </w:pPr>
            <w:r>
              <w:rPr>
                <w:noProof/>
              </w:rPr>
              <w:t>Modernizarea infrastructurii și a serviciilor de cloud computing ale infrastructurilor naționale de cercetare și tehnologie (GRNET).</w:t>
            </w:r>
          </w:p>
          <w:p w14:paraId="602566BF" w14:textId="77777777" w:rsidR="00C45D59" w:rsidRDefault="00C45D59" w:rsidP="004048D3">
            <w:pPr>
              <w:spacing w:after="0" w:line="240" w:lineRule="auto"/>
              <w:rPr>
                <w:rFonts w:ascii="Times New Roman" w:eastAsia="Times New Roman" w:hAnsi="Times New Roman" w:cs="Times New Roman"/>
                <w:noProof/>
                <w:color w:val="006100"/>
                <w:sz w:val="18"/>
                <w:szCs w:val="18"/>
              </w:rPr>
            </w:pPr>
          </w:p>
          <w:p w14:paraId="15E3A307" w14:textId="77777777" w:rsidR="00C45D59" w:rsidRDefault="009B0962" w:rsidP="004048D3">
            <w:pPr>
              <w:pStyle w:val="P68B1DB1-Normal12"/>
              <w:spacing w:after="0" w:line="240" w:lineRule="auto"/>
              <w:rPr>
                <w:noProof/>
              </w:rPr>
            </w:pPr>
            <w:r>
              <w:rPr>
                <w:noProof/>
              </w:rPr>
              <w:t xml:space="preserve">Executarea „Etapei A – Implementarea supercalculatorului Daedalus”, astfel cum se prevede în contractul relevant. </w:t>
            </w:r>
          </w:p>
          <w:p w14:paraId="58F1FDC3" w14:textId="77777777" w:rsidR="00C45D59" w:rsidRDefault="009B0962" w:rsidP="004048D3">
            <w:pPr>
              <w:pStyle w:val="P68B1DB1-Normal12"/>
              <w:spacing w:after="0" w:line="240" w:lineRule="auto"/>
              <w:rPr>
                <w:noProof/>
              </w:rPr>
            </w:pPr>
            <w:r>
              <w:rPr>
                <w:noProof/>
              </w:rPr>
              <w:t>Înființarea unui centru de date care să sprijine noul supercalculator, instalarea, configurarea și operarea pilot a software-ului.</w:t>
            </w:r>
          </w:p>
          <w:p w14:paraId="56A100D9" w14:textId="77777777" w:rsidR="00C45D59" w:rsidRDefault="00C45D59" w:rsidP="004048D3">
            <w:pPr>
              <w:spacing w:after="0" w:line="240" w:lineRule="auto"/>
              <w:rPr>
                <w:rFonts w:ascii="Times New Roman" w:eastAsia="Times New Roman" w:hAnsi="Times New Roman" w:cs="Times New Roman"/>
                <w:noProof/>
                <w:color w:val="006100"/>
                <w:sz w:val="18"/>
                <w:szCs w:val="18"/>
              </w:rPr>
            </w:pPr>
          </w:p>
          <w:p w14:paraId="79AA6AF5" w14:textId="77777777" w:rsidR="00C45D59" w:rsidRDefault="009B0962" w:rsidP="004048D3">
            <w:pPr>
              <w:pStyle w:val="P68B1DB1-Normal23"/>
              <w:spacing w:after="0" w:line="240" w:lineRule="auto"/>
              <w:rPr>
                <w:noProof/>
              </w:rPr>
            </w:pPr>
            <w:r>
              <w:rPr>
                <w:noProof/>
              </w:rPr>
              <w:t>Semnarea unui contract de închiriere pentru infrastructura de fibră optică.</w:t>
            </w:r>
          </w:p>
        </w:tc>
      </w:tr>
      <w:tr w:rsidR="00C45D59" w14:paraId="75485DBD" w14:textId="77777777" w:rsidTr="004048D3">
        <w:trPr>
          <w:trHeight w:val="313"/>
        </w:trPr>
        <w:tc>
          <w:tcPr>
            <w:tcW w:w="575" w:type="dxa"/>
            <w:shd w:val="clear" w:color="auto" w:fill="C6EFCE"/>
            <w:noWrap/>
          </w:tcPr>
          <w:p w14:paraId="47EDB424" w14:textId="77777777" w:rsidR="00C45D59" w:rsidRDefault="009B0962" w:rsidP="004048D3">
            <w:pPr>
              <w:pStyle w:val="P68B1DB1-Normal12"/>
              <w:spacing w:after="0" w:line="240" w:lineRule="auto"/>
              <w:rPr>
                <w:noProof/>
              </w:rPr>
            </w:pPr>
            <w:r>
              <w:rPr>
                <w:noProof/>
              </w:rPr>
              <w:t>125a</w:t>
            </w:r>
          </w:p>
        </w:tc>
        <w:tc>
          <w:tcPr>
            <w:tcW w:w="2072" w:type="dxa"/>
            <w:shd w:val="clear" w:color="auto" w:fill="C6EFCE"/>
            <w:noWrap/>
          </w:tcPr>
          <w:p w14:paraId="052495F5" w14:textId="77777777" w:rsidR="00C45D59" w:rsidRDefault="009B0962" w:rsidP="004048D3">
            <w:pPr>
              <w:pStyle w:val="P68B1DB1-Normal12"/>
              <w:spacing w:after="0" w:line="240" w:lineRule="auto"/>
              <w:rPr>
                <w:noProof/>
              </w:rPr>
            </w:pPr>
            <w:r>
              <w:rPr>
                <w:noProof/>
              </w:rPr>
              <w:t>6-2.2. Modernizare – 16955_Modernizarea infrastructurii și a serviciilor de cloud computing ale infrastructurilor naționale de cercetare și tehnologie (GRNET)</w:t>
            </w:r>
          </w:p>
        </w:tc>
        <w:tc>
          <w:tcPr>
            <w:tcW w:w="1134" w:type="dxa"/>
            <w:shd w:val="clear" w:color="auto" w:fill="C6EFCE"/>
            <w:noWrap/>
          </w:tcPr>
          <w:p w14:paraId="6799996A" w14:textId="77777777" w:rsidR="00C45D59" w:rsidRDefault="009B0962" w:rsidP="004048D3">
            <w:pPr>
              <w:pStyle w:val="P68B1DB1-Normal12"/>
              <w:spacing w:after="0" w:line="240" w:lineRule="auto"/>
              <w:rPr>
                <w:noProof/>
              </w:rPr>
            </w:pPr>
            <w:r>
              <w:rPr>
                <w:noProof/>
              </w:rPr>
              <w:t>Etapă</w:t>
            </w:r>
          </w:p>
        </w:tc>
        <w:tc>
          <w:tcPr>
            <w:tcW w:w="1417" w:type="dxa"/>
            <w:shd w:val="clear" w:color="auto" w:fill="C6EFCE"/>
            <w:noWrap/>
          </w:tcPr>
          <w:p w14:paraId="0A9F674E" w14:textId="77777777" w:rsidR="00C45D59" w:rsidRDefault="009B0962" w:rsidP="004048D3">
            <w:pPr>
              <w:pStyle w:val="P68B1DB1-Normal12"/>
              <w:spacing w:after="0" w:line="240" w:lineRule="auto"/>
              <w:rPr>
                <w:noProof/>
              </w:rPr>
            </w:pPr>
            <w:r>
              <w:rPr>
                <w:noProof/>
              </w:rPr>
              <w:t>Extinderea GRNET</w:t>
            </w:r>
          </w:p>
        </w:tc>
        <w:tc>
          <w:tcPr>
            <w:tcW w:w="1701" w:type="dxa"/>
            <w:shd w:val="clear" w:color="auto" w:fill="C6EFCE"/>
            <w:noWrap/>
          </w:tcPr>
          <w:p w14:paraId="204ACF1D" w14:textId="268B3199" w:rsidR="00C45D59" w:rsidRDefault="009B0962" w:rsidP="004048D3">
            <w:pPr>
              <w:pStyle w:val="P68B1DB1-Normal12"/>
              <w:spacing w:after="0" w:line="240" w:lineRule="auto"/>
              <w:rPr>
                <w:noProof/>
              </w:rPr>
            </w:pPr>
            <w:r>
              <w:rPr>
                <w:noProof/>
              </w:rPr>
              <w:t xml:space="preserve">Livrarea sau livrarea și instalarea echipamentelor de rețea ale GRNET </w:t>
            </w:r>
          </w:p>
        </w:tc>
        <w:tc>
          <w:tcPr>
            <w:tcW w:w="1322" w:type="dxa"/>
            <w:shd w:val="clear" w:color="auto" w:fill="C6EFCE"/>
            <w:noWrap/>
          </w:tcPr>
          <w:p w14:paraId="70F852B7" w14:textId="77777777" w:rsidR="00C45D59" w:rsidRDefault="00C45D59" w:rsidP="004048D3">
            <w:pPr>
              <w:spacing w:after="0" w:line="240" w:lineRule="auto"/>
              <w:rPr>
                <w:rFonts w:ascii="Times New Roman" w:eastAsia="Times New Roman" w:hAnsi="Times New Roman" w:cs="Times New Roman"/>
                <w:noProof/>
                <w:color w:val="006100"/>
                <w:sz w:val="18"/>
                <w:szCs w:val="18"/>
              </w:rPr>
            </w:pPr>
          </w:p>
        </w:tc>
        <w:tc>
          <w:tcPr>
            <w:tcW w:w="1134" w:type="dxa"/>
            <w:shd w:val="clear" w:color="auto" w:fill="C6EFCE"/>
            <w:noWrap/>
          </w:tcPr>
          <w:p w14:paraId="018A25C1" w14:textId="77777777" w:rsidR="00C45D59" w:rsidRDefault="00C45D59" w:rsidP="004048D3">
            <w:pPr>
              <w:spacing w:after="0" w:line="240" w:lineRule="auto"/>
              <w:rPr>
                <w:rFonts w:ascii="Times New Roman" w:eastAsia="Times New Roman" w:hAnsi="Times New Roman" w:cs="Times New Roman"/>
                <w:noProof/>
                <w:color w:val="006100"/>
                <w:sz w:val="18"/>
                <w:szCs w:val="18"/>
              </w:rPr>
            </w:pPr>
          </w:p>
        </w:tc>
        <w:tc>
          <w:tcPr>
            <w:tcW w:w="993" w:type="dxa"/>
            <w:shd w:val="clear" w:color="auto" w:fill="C6EFCE"/>
            <w:noWrap/>
          </w:tcPr>
          <w:p w14:paraId="2BD7068D" w14:textId="77777777" w:rsidR="00C45D59" w:rsidRDefault="00C45D59" w:rsidP="004048D3">
            <w:pPr>
              <w:spacing w:after="0" w:line="240" w:lineRule="auto"/>
              <w:rPr>
                <w:rFonts w:ascii="Times New Roman" w:eastAsia="Times New Roman" w:hAnsi="Times New Roman" w:cs="Times New Roman"/>
                <w:noProof/>
                <w:color w:val="006100"/>
                <w:sz w:val="18"/>
                <w:szCs w:val="18"/>
              </w:rPr>
            </w:pPr>
          </w:p>
        </w:tc>
        <w:tc>
          <w:tcPr>
            <w:tcW w:w="850" w:type="dxa"/>
            <w:shd w:val="clear" w:color="auto" w:fill="C6EFCE"/>
            <w:noWrap/>
          </w:tcPr>
          <w:p w14:paraId="732313DB" w14:textId="77777777" w:rsidR="00C45D59" w:rsidRDefault="009B0962" w:rsidP="004048D3">
            <w:pPr>
              <w:pStyle w:val="P68B1DB1-Normal12"/>
              <w:spacing w:after="0" w:line="240" w:lineRule="auto"/>
              <w:rPr>
                <w:noProof/>
              </w:rPr>
            </w:pPr>
            <w:r>
              <w:rPr>
                <w:noProof/>
              </w:rPr>
              <w:t>Î4</w:t>
            </w:r>
          </w:p>
        </w:tc>
        <w:tc>
          <w:tcPr>
            <w:tcW w:w="992" w:type="dxa"/>
            <w:shd w:val="clear" w:color="auto" w:fill="C6EFCE"/>
            <w:noWrap/>
          </w:tcPr>
          <w:p w14:paraId="23BDAC96" w14:textId="77777777" w:rsidR="00C45D59" w:rsidRDefault="009B0962" w:rsidP="004048D3">
            <w:pPr>
              <w:pStyle w:val="P68B1DB1-Normal12"/>
              <w:spacing w:after="0" w:line="240" w:lineRule="auto"/>
              <w:rPr>
                <w:noProof/>
              </w:rPr>
            </w:pPr>
            <w:r>
              <w:rPr>
                <w:noProof/>
              </w:rPr>
              <w:t>2025</w:t>
            </w:r>
          </w:p>
        </w:tc>
        <w:tc>
          <w:tcPr>
            <w:tcW w:w="3398" w:type="dxa"/>
            <w:shd w:val="clear" w:color="auto" w:fill="C6EFCE"/>
            <w:noWrap/>
          </w:tcPr>
          <w:p w14:paraId="7B6BE54B" w14:textId="43309263" w:rsidR="00C45D59" w:rsidRDefault="009B0962" w:rsidP="004048D3">
            <w:pPr>
              <w:pStyle w:val="P68B1DB1-Normal12"/>
              <w:spacing w:after="0" w:line="240" w:lineRule="auto"/>
              <w:rPr>
                <w:noProof/>
              </w:rPr>
            </w:pPr>
            <w:r>
              <w:rPr>
                <w:noProof/>
              </w:rPr>
              <w:t>Livrarea și instalarea echipamentelor de rețea ale GRNET pentru 120 locații și livrarea echipamentelor de rețea ale GRNET în alte 110 locații.</w:t>
            </w:r>
          </w:p>
        </w:tc>
      </w:tr>
      <w:tr w:rsidR="00C45D59" w14:paraId="624ECD6C" w14:textId="77777777" w:rsidTr="004048D3">
        <w:trPr>
          <w:trHeight w:val="313"/>
        </w:trPr>
        <w:tc>
          <w:tcPr>
            <w:tcW w:w="575" w:type="dxa"/>
            <w:shd w:val="clear" w:color="auto" w:fill="C6EFCE"/>
            <w:noWrap/>
          </w:tcPr>
          <w:p w14:paraId="74410049" w14:textId="77777777" w:rsidR="00C45D59" w:rsidRDefault="009B0962" w:rsidP="004048D3">
            <w:pPr>
              <w:pStyle w:val="P68B1DB1-Normal12"/>
              <w:spacing w:after="0" w:line="240" w:lineRule="auto"/>
              <w:rPr>
                <w:rFonts w:eastAsia="Times New Roman"/>
                <w:noProof/>
              </w:rPr>
            </w:pPr>
            <w:r>
              <w:rPr>
                <w:noProof/>
              </w:rPr>
              <w:t>127</w:t>
            </w:r>
          </w:p>
        </w:tc>
        <w:tc>
          <w:tcPr>
            <w:tcW w:w="2072" w:type="dxa"/>
            <w:shd w:val="clear" w:color="auto" w:fill="C6EFCE"/>
            <w:noWrap/>
          </w:tcPr>
          <w:p w14:paraId="7CB4EE9F" w14:textId="3211591C" w:rsidR="00C45D59" w:rsidRDefault="009B0962" w:rsidP="004048D3">
            <w:pPr>
              <w:pStyle w:val="P68B1DB1-Normal12"/>
              <w:spacing w:after="0" w:line="240" w:lineRule="auto"/>
              <w:rPr>
                <w:rFonts w:eastAsia="Times New Roman"/>
                <w:noProof/>
              </w:rPr>
            </w:pPr>
            <w:r>
              <w:rPr>
                <w:noProof/>
              </w:rPr>
              <w:t>6-2.2. Modernizare – 16956_Extinderea Syzefxis II</w:t>
            </w:r>
          </w:p>
        </w:tc>
        <w:tc>
          <w:tcPr>
            <w:tcW w:w="1134" w:type="dxa"/>
            <w:shd w:val="clear" w:color="auto" w:fill="C6EFCE"/>
            <w:noWrap/>
          </w:tcPr>
          <w:p w14:paraId="44333E93" w14:textId="77777777" w:rsidR="00C45D59" w:rsidRDefault="009B0962" w:rsidP="004048D3">
            <w:pPr>
              <w:pStyle w:val="P68B1DB1-Normal12"/>
              <w:spacing w:after="0" w:line="240" w:lineRule="auto"/>
              <w:rPr>
                <w:rFonts w:eastAsia="Times New Roman"/>
                <w:noProof/>
              </w:rPr>
            </w:pPr>
            <w:r>
              <w:rPr>
                <w:noProof/>
              </w:rPr>
              <w:t>Etapă</w:t>
            </w:r>
          </w:p>
        </w:tc>
        <w:tc>
          <w:tcPr>
            <w:tcW w:w="1417" w:type="dxa"/>
            <w:shd w:val="clear" w:color="auto" w:fill="C6EFCE"/>
            <w:noWrap/>
          </w:tcPr>
          <w:p w14:paraId="7CF46E22" w14:textId="5E944D3A" w:rsidR="00C45D59" w:rsidRDefault="009B0962" w:rsidP="004048D3">
            <w:pPr>
              <w:pStyle w:val="P68B1DB1-Normal12"/>
              <w:spacing w:after="0" w:line="240" w:lineRule="auto"/>
              <w:rPr>
                <w:rFonts w:eastAsia="Times New Roman"/>
                <w:noProof/>
              </w:rPr>
            </w:pPr>
            <w:r>
              <w:rPr>
                <w:noProof/>
              </w:rPr>
              <w:t>SYZEFXIS II</w:t>
            </w:r>
          </w:p>
        </w:tc>
        <w:tc>
          <w:tcPr>
            <w:tcW w:w="1701" w:type="dxa"/>
            <w:shd w:val="clear" w:color="auto" w:fill="C6EFCE"/>
            <w:noWrap/>
          </w:tcPr>
          <w:p w14:paraId="4831FB4C" w14:textId="7A63A3E7" w:rsidR="00C45D59" w:rsidRDefault="009B0962" w:rsidP="004048D3">
            <w:pPr>
              <w:pStyle w:val="P68B1DB1-Normal12"/>
              <w:spacing w:after="0" w:line="240" w:lineRule="auto"/>
              <w:rPr>
                <w:rFonts w:eastAsia="Times New Roman"/>
                <w:noProof/>
              </w:rPr>
            </w:pPr>
            <w:r>
              <w:rPr>
                <w:noProof/>
              </w:rPr>
              <w:t>Modernizarea SYZEFXIS II</w:t>
            </w:r>
          </w:p>
        </w:tc>
        <w:tc>
          <w:tcPr>
            <w:tcW w:w="1322" w:type="dxa"/>
            <w:shd w:val="clear" w:color="auto" w:fill="C6EFCE"/>
            <w:noWrap/>
          </w:tcPr>
          <w:p w14:paraId="408270A5" w14:textId="77777777" w:rsidR="00C45D59" w:rsidRDefault="00C45D59" w:rsidP="004048D3">
            <w:pPr>
              <w:spacing w:after="0" w:line="240" w:lineRule="auto"/>
              <w:rPr>
                <w:rFonts w:ascii="Times New Roman" w:eastAsia="Times New Roman" w:hAnsi="Times New Roman" w:cs="Times New Roman"/>
                <w:noProof/>
                <w:color w:val="006100"/>
                <w:sz w:val="18"/>
                <w:szCs w:val="18"/>
              </w:rPr>
            </w:pPr>
          </w:p>
        </w:tc>
        <w:tc>
          <w:tcPr>
            <w:tcW w:w="1134" w:type="dxa"/>
            <w:shd w:val="clear" w:color="auto" w:fill="C6EFCE"/>
            <w:noWrap/>
          </w:tcPr>
          <w:p w14:paraId="67284234" w14:textId="77777777" w:rsidR="00C45D59" w:rsidRDefault="00C45D59" w:rsidP="004048D3">
            <w:pPr>
              <w:spacing w:after="0" w:line="240" w:lineRule="auto"/>
              <w:rPr>
                <w:rFonts w:ascii="Times New Roman" w:eastAsia="Times New Roman" w:hAnsi="Times New Roman" w:cs="Times New Roman"/>
                <w:noProof/>
                <w:color w:val="006100"/>
                <w:sz w:val="18"/>
                <w:szCs w:val="18"/>
              </w:rPr>
            </w:pPr>
          </w:p>
        </w:tc>
        <w:tc>
          <w:tcPr>
            <w:tcW w:w="993" w:type="dxa"/>
            <w:shd w:val="clear" w:color="auto" w:fill="C6EFCE"/>
            <w:noWrap/>
          </w:tcPr>
          <w:p w14:paraId="0E80C40C" w14:textId="77777777" w:rsidR="00C45D59" w:rsidRDefault="00C45D59" w:rsidP="004048D3">
            <w:pPr>
              <w:spacing w:after="0" w:line="240" w:lineRule="auto"/>
              <w:rPr>
                <w:rFonts w:ascii="Times New Roman" w:eastAsia="Times New Roman" w:hAnsi="Times New Roman" w:cs="Times New Roman"/>
                <w:noProof/>
                <w:color w:val="006100"/>
                <w:sz w:val="18"/>
                <w:szCs w:val="18"/>
              </w:rPr>
            </w:pPr>
          </w:p>
        </w:tc>
        <w:tc>
          <w:tcPr>
            <w:tcW w:w="850" w:type="dxa"/>
            <w:shd w:val="clear" w:color="auto" w:fill="C6EFCE"/>
            <w:noWrap/>
          </w:tcPr>
          <w:p w14:paraId="7CEDBD33" w14:textId="77777777" w:rsidR="00C45D59" w:rsidRDefault="009B0962" w:rsidP="004048D3">
            <w:pPr>
              <w:pStyle w:val="P68B1DB1-Normal12"/>
              <w:spacing w:after="0" w:line="240" w:lineRule="auto"/>
              <w:rPr>
                <w:rFonts w:eastAsia="Times New Roman"/>
                <w:noProof/>
              </w:rPr>
            </w:pPr>
            <w:r>
              <w:rPr>
                <w:noProof/>
              </w:rPr>
              <w:t>Î4</w:t>
            </w:r>
          </w:p>
        </w:tc>
        <w:tc>
          <w:tcPr>
            <w:tcW w:w="992" w:type="dxa"/>
            <w:shd w:val="clear" w:color="auto" w:fill="C6EFCE"/>
            <w:noWrap/>
          </w:tcPr>
          <w:p w14:paraId="47803A40" w14:textId="77777777" w:rsidR="00C45D59" w:rsidRDefault="009B0962" w:rsidP="004048D3">
            <w:pPr>
              <w:pStyle w:val="P68B1DB1-Normal12"/>
              <w:spacing w:after="0" w:line="240" w:lineRule="auto"/>
              <w:rPr>
                <w:rFonts w:eastAsia="Times New Roman"/>
                <w:noProof/>
              </w:rPr>
            </w:pPr>
            <w:r>
              <w:rPr>
                <w:noProof/>
              </w:rPr>
              <w:t>2025</w:t>
            </w:r>
          </w:p>
        </w:tc>
        <w:tc>
          <w:tcPr>
            <w:tcW w:w="3398" w:type="dxa"/>
            <w:shd w:val="clear" w:color="auto" w:fill="C6EFCE"/>
            <w:noWrap/>
          </w:tcPr>
          <w:p w14:paraId="78C3F681" w14:textId="77777777" w:rsidR="00C45D59" w:rsidRDefault="009B0962" w:rsidP="004048D3">
            <w:pPr>
              <w:pStyle w:val="P68B1DB1-Normal12"/>
              <w:spacing w:after="0" w:line="240" w:lineRule="auto"/>
              <w:rPr>
                <w:noProof/>
              </w:rPr>
            </w:pPr>
            <w:r>
              <w:rPr>
                <w:noProof/>
              </w:rPr>
              <w:t xml:space="preserve">Livrarea </w:t>
            </w:r>
          </w:p>
          <w:p w14:paraId="71CCF4A0" w14:textId="77777777" w:rsidR="00C45D59" w:rsidRDefault="009B0962" w:rsidP="004048D3">
            <w:pPr>
              <w:pStyle w:val="P68B1DB1-Normal12"/>
              <w:spacing w:after="0" w:line="240" w:lineRule="auto"/>
              <w:rPr>
                <w:rFonts w:eastAsia="Times New Roman"/>
                <w:noProof/>
              </w:rPr>
            </w:pPr>
            <w:r>
              <w:rPr>
                <w:noProof/>
              </w:rPr>
              <w:t>— Un sistem digital pentru colectarea de date din sondaje la fața locului pentru implementarea SYZEFXIS II</w:t>
            </w:r>
          </w:p>
          <w:p w14:paraId="5ED18EDB" w14:textId="77777777" w:rsidR="00C45D59" w:rsidRDefault="009B0962" w:rsidP="004048D3">
            <w:pPr>
              <w:pStyle w:val="P68B1DB1-Normal12"/>
              <w:spacing w:after="0" w:line="240" w:lineRule="auto"/>
              <w:rPr>
                <w:rFonts w:eastAsia="Times New Roman"/>
                <w:noProof/>
              </w:rPr>
            </w:pPr>
            <w:r>
              <w:rPr>
                <w:noProof/>
              </w:rPr>
              <w:t>Servicii de control al calității și de monitorizare pentru instalarea sistemelor de cabluri ale rețelelor naționale de telecomunicații</w:t>
            </w:r>
          </w:p>
          <w:p w14:paraId="28624FEF" w14:textId="45FEF4E2" w:rsidR="00C45D59" w:rsidRDefault="009B0962" w:rsidP="004048D3">
            <w:pPr>
              <w:pStyle w:val="P68B1DB1-Normal12"/>
              <w:spacing w:after="0" w:line="240" w:lineRule="auto"/>
              <w:rPr>
                <w:rFonts w:eastAsia="Times New Roman"/>
                <w:noProof/>
              </w:rPr>
            </w:pPr>
            <w:r>
              <w:rPr>
                <w:noProof/>
              </w:rPr>
              <w:t>— Echipamente neîntreruptibile de alimentare cu energie electrică în cadrul entităților SYZEFXIS II</w:t>
            </w:r>
          </w:p>
          <w:p w14:paraId="5EA15EA3" w14:textId="77777777" w:rsidR="00C45D59" w:rsidRDefault="009B0962" w:rsidP="004048D3">
            <w:pPr>
              <w:pStyle w:val="P68B1DB1-Normal12"/>
              <w:spacing w:after="0" w:line="240" w:lineRule="auto"/>
              <w:rPr>
                <w:rFonts w:eastAsia="Times New Roman"/>
                <w:noProof/>
              </w:rPr>
            </w:pPr>
            <w:r>
              <w:rPr>
                <w:noProof/>
              </w:rPr>
              <w:t>Un sistem de management al securității informațiilor pentru rețeaua din sectorul public</w:t>
            </w:r>
          </w:p>
          <w:p w14:paraId="58F8F7FF" w14:textId="7E69EB16" w:rsidR="00C45D59" w:rsidRDefault="009B0962" w:rsidP="004048D3">
            <w:pPr>
              <w:pStyle w:val="P68B1DB1-Normal12"/>
              <w:spacing w:after="0" w:line="240" w:lineRule="auto"/>
              <w:rPr>
                <w:rFonts w:eastAsia="Times New Roman"/>
                <w:noProof/>
              </w:rPr>
            </w:pPr>
            <w:r>
              <w:rPr>
                <w:noProof/>
              </w:rPr>
              <w:t>— Instalarea infrastructurii de rețea în Rețeaua școlilor panelenice.</w:t>
            </w:r>
          </w:p>
        </w:tc>
      </w:tr>
      <w:tr w:rsidR="00C45D59" w14:paraId="7D9387BA" w14:textId="77777777" w:rsidTr="004048D3">
        <w:trPr>
          <w:trHeight w:val="313"/>
        </w:trPr>
        <w:tc>
          <w:tcPr>
            <w:tcW w:w="575" w:type="dxa"/>
            <w:shd w:val="clear" w:color="auto" w:fill="C6EFCE"/>
            <w:noWrap/>
          </w:tcPr>
          <w:p w14:paraId="78DFB9F7" w14:textId="77777777" w:rsidR="00C45D59" w:rsidRDefault="009B0962" w:rsidP="004048D3">
            <w:pPr>
              <w:pStyle w:val="P68B1DB1-Normal12"/>
              <w:spacing w:after="0" w:line="240" w:lineRule="auto"/>
              <w:rPr>
                <w:rFonts w:eastAsia="Times New Roman"/>
                <w:noProof/>
              </w:rPr>
            </w:pPr>
            <w:r>
              <w:rPr>
                <w:noProof/>
              </w:rPr>
              <w:t>129</w:t>
            </w:r>
          </w:p>
        </w:tc>
        <w:tc>
          <w:tcPr>
            <w:tcW w:w="2072" w:type="dxa"/>
            <w:shd w:val="clear" w:color="auto" w:fill="C6EFCE"/>
            <w:noWrap/>
          </w:tcPr>
          <w:p w14:paraId="39EE4380" w14:textId="77777777" w:rsidR="00C45D59" w:rsidRDefault="009B0962" w:rsidP="004048D3">
            <w:pPr>
              <w:pStyle w:val="P68B1DB1-Normal12"/>
              <w:spacing w:after="0" w:line="240" w:lineRule="auto"/>
              <w:rPr>
                <w:rFonts w:eastAsia="Times New Roman"/>
                <w:noProof/>
              </w:rPr>
            </w:pPr>
            <w:r>
              <w:rPr>
                <w:noProof/>
              </w:rPr>
              <w:t>6-2.2. Modernizare – 16842_BI central – analiza datelor</w:t>
            </w:r>
          </w:p>
        </w:tc>
        <w:tc>
          <w:tcPr>
            <w:tcW w:w="1134" w:type="dxa"/>
            <w:shd w:val="clear" w:color="auto" w:fill="C6EFCE"/>
            <w:noWrap/>
          </w:tcPr>
          <w:p w14:paraId="04A04844" w14:textId="77777777" w:rsidR="00C45D59" w:rsidRDefault="009B0962" w:rsidP="004048D3">
            <w:pPr>
              <w:pStyle w:val="P68B1DB1-Normal12"/>
              <w:spacing w:after="0" w:line="240" w:lineRule="auto"/>
              <w:rPr>
                <w:rFonts w:eastAsia="Times New Roman"/>
                <w:noProof/>
              </w:rPr>
            </w:pPr>
            <w:r>
              <w:rPr>
                <w:noProof/>
              </w:rPr>
              <w:t>Etapă</w:t>
            </w:r>
          </w:p>
        </w:tc>
        <w:tc>
          <w:tcPr>
            <w:tcW w:w="1417" w:type="dxa"/>
            <w:shd w:val="clear" w:color="auto" w:fill="C6EFCE"/>
            <w:noWrap/>
          </w:tcPr>
          <w:p w14:paraId="1401061D" w14:textId="77777777" w:rsidR="00C45D59" w:rsidRDefault="009B0962" w:rsidP="004048D3">
            <w:pPr>
              <w:pStyle w:val="P68B1DB1-Normal12"/>
              <w:spacing w:after="0" w:line="240" w:lineRule="auto"/>
              <w:rPr>
                <w:rFonts w:eastAsia="Times New Roman"/>
                <w:noProof/>
              </w:rPr>
            </w:pPr>
            <w:r>
              <w:rPr>
                <w:noProof/>
              </w:rPr>
              <w:t>Furnizarea BI central</w:t>
            </w:r>
          </w:p>
        </w:tc>
        <w:tc>
          <w:tcPr>
            <w:tcW w:w="1701" w:type="dxa"/>
            <w:shd w:val="clear" w:color="auto" w:fill="C6EFCE"/>
            <w:noWrap/>
          </w:tcPr>
          <w:p w14:paraId="06543CDD" w14:textId="77777777" w:rsidR="00C45D59" w:rsidRDefault="009B0962" w:rsidP="004048D3">
            <w:pPr>
              <w:pStyle w:val="P68B1DB1-Normal12"/>
              <w:spacing w:after="0" w:line="240" w:lineRule="auto"/>
              <w:rPr>
                <w:rFonts w:eastAsia="Times New Roman"/>
                <w:noProof/>
              </w:rPr>
            </w:pPr>
            <w:r>
              <w:rPr>
                <w:noProof/>
              </w:rPr>
              <w:t xml:space="preserve">Realizarea proiectului BI central. </w:t>
            </w:r>
          </w:p>
        </w:tc>
        <w:tc>
          <w:tcPr>
            <w:tcW w:w="1322" w:type="dxa"/>
            <w:shd w:val="clear" w:color="auto" w:fill="C6EFCE"/>
            <w:noWrap/>
          </w:tcPr>
          <w:p w14:paraId="68AF91D8" w14:textId="77777777" w:rsidR="00C45D59" w:rsidRDefault="00C45D59" w:rsidP="004048D3">
            <w:pPr>
              <w:spacing w:after="0" w:line="240" w:lineRule="auto"/>
              <w:rPr>
                <w:rFonts w:ascii="Times New Roman" w:eastAsia="Times New Roman" w:hAnsi="Times New Roman" w:cs="Times New Roman"/>
                <w:noProof/>
                <w:color w:val="006100"/>
                <w:sz w:val="18"/>
                <w:szCs w:val="18"/>
              </w:rPr>
            </w:pPr>
          </w:p>
        </w:tc>
        <w:tc>
          <w:tcPr>
            <w:tcW w:w="1134" w:type="dxa"/>
            <w:shd w:val="clear" w:color="auto" w:fill="C6EFCE"/>
            <w:noWrap/>
          </w:tcPr>
          <w:p w14:paraId="327B0813" w14:textId="77777777" w:rsidR="00C45D59" w:rsidRDefault="00C45D59" w:rsidP="004048D3">
            <w:pPr>
              <w:spacing w:after="0" w:line="240" w:lineRule="auto"/>
              <w:rPr>
                <w:rFonts w:ascii="Times New Roman" w:eastAsia="Times New Roman" w:hAnsi="Times New Roman" w:cs="Times New Roman"/>
                <w:noProof/>
                <w:color w:val="006100"/>
                <w:sz w:val="18"/>
                <w:szCs w:val="18"/>
              </w:rPr>
            </w:pPr>
          </w:p>
        </w:tc>
        <w:tc>
          <w:tcPr>
            <w:tcW w:w="993" w:type="dxa"/>
            <w:shd w:val="clear" w:color="auto" w:fill="C6EFCE"/>
            <w:noWrap/>
          </w:tcPr>
          <w:p w14:paraId="34F19D5D" w14:textId="77777777" w:rsidR="00C45D59" w:rsidRDefault="00C45D59" w:rsidP="004048D3">
            <w:pPr>
              <w:spacing w:after="0" w:line="240" w:lineRule="auto"/>
              <w:rPr>
                <w:rFonts w:ascii="Times New Roman" w:eastAsia="Times New Roman" w:hAnsi="Times New Roman" w:cs="Times New Roman"/>
                <w:noProof/>
                <w:color w:val="006100"/>
                <w:sz w:val="18"/>
                <w:szCs w:val="18"/>
              </w:rPr>
            </w:pPr>
          </w:p>
        </w:tc>
        <w:tc>
          <w:tcPr>
            <w:tcW w:w="850" w:type="dxa"/>
            <w:shd w:val="clear" w:color="auto" w:fill="C6EFCE"/>
            <w:noWrap/>
          </w:tcPr>
          <w:p w14:paraId="342ED82B" w14:textId="77777777" w:rsidR="00C45D59" w:rsidRDefault="009B0962" w:rsidP="004048D3">
            <w:pPr>
              <w:pStyle w:val="P68B1DB1-Normal12"/>
              <w:spacing w:after="0" w:line="240" w:lineRule="auto"/>
              <w:rPr>
                <w:rFonts w:eastAsia="Times New Roman"/>
                <w:noProof/>
              </w:rPr>
            </w:pPr>
            <w:r>
              <w:rPr>
                <w:noProof/>
              </w:rPr>
              <w:t>Î4</w:t>
            </w:r>
          </w:p>
        </w:tc>
        <w:tc>
          <w:tcPr>
            <w:tcW w:w="992" w:type="dxa"/>
            <w:shd w:val="clear" w:color="auto" w:fill="C6EFCE"/>
            <w:noWrap/>
          </w:tcPr>
          <w:p w14:paraId="0427CC3B" w14:textId="77777777" w:rsidR="00C45D59" w:rsidRDefault="009B0962" w:rsidP="004048D3">
            <w:pPr>
              <w:pStyle w:val="P68B1DB1-Normal12"/>
              <w:spacing w:after="0" w:line="240" w:lineRule="auto"/>
              <w:rPr>
                <w:rFonts w:eastAsia="Times New Roman"/>
                <w:noProof/>
              </w:rPr>
            </w:pPr>
            <w:r>
              <w:rPr>
                <w:noProof/>
              </w:rPr>
              <w:t>2025</w:t>
            </w:r>
          </w:p>
        </w:tc>
        <w:tc>
          <w:tcPr>
            <w:tcW w:w="3398" w:type="dxa"/>
            <w:shd w:val="clear" w:color="auto" w:fill="C6EFCE"/>
            <w:noWrap/>
          </w:tcPr>
          <w:p w14:paraId="05D2A869" w14:textId="7D8F39DA" w:rsidR="00C45D59" w:rsidRDefault="009B0962" w:rsidP="004048D3">
            <w:pPr>
              <w:pStyle w:val="P68B1DB1-Normal12"/>
              <w:spacing w:after="0" w:line="240" w:lineRule="auto"/>
              <w:rPr>
                <w:rFonts w:eastAsia="Times New Roman"/>
                <w:noProof/>
              </w:rPr>
            </w:pPr>
            <w:r>
              <w:rPr>
                <w:noProof/>
              </w:rPr>
              <w:t xml:space="preserve">Punerea în aplicare a proiectului BI central – analiza datelor, evidențiată de lansarea soluției de informații comerciale a Tabloului de bord național; </w:t>
            </w:r>
          </w:p>
        </w:tc>
      </w:tr>
      <w:tr w:rsidR="00C45D59" w14:paraId="30D2DCD1" w14:textId="77777777" w:rsidTr="004048D3">
        <w:trPr>
          <w:trHeight w:val="313"/>
        </w:trPr>
        <w:tc>
          <w:tcPr>
            <w:tcW w:w="575" w:type="dxa"/>
            <w:shd w:val="clear" w:color="auto" w:fill="C6EFCE"/>
            <w:noWrap/>
          </w:tcPr>
          <w:p w14:paraId="5FD64C14" w14:textId="4DCD28A1" w:rsidR="00C45D59" w:rsidRDefault="009B0962" w:rsidP="004048D3">
            <w:pPr>
              <w:pStyle w:val="P68B1DB1-Normal12"/>
              <w:spacing w:line="240" w:lineRule="auto"/>
              <w:rPr>
                <w:noProof/>
              </w:rPr>
            </w:pPr>
            <w:r>
              <w:rPr>
                <w:noProof/>
              </w:rPr>
              <w:t>400</w:t>
            </w:r>
          </w:p>
        </w:tc>
        <w:tc>
          <w:tcPr>
            <w:tcW w:w="2072" w:type="dxa"/>
            <w:shd w:val="clear" w:color="auto" w:fill="C6EFCE"/>
            <w:noWrap/>
          </w:tcPr>
          <w:p w14:paraId="6D477F6E" w14:textId="32C036E8" w:rsidR="00C45D59" w:rsidRDefault="009B0962" w:rsidP="004048D3">
            <w:pPr>
              <w:pStyle w:val="P68B1DB1-Normal12"/>
              <w:spacing w:line="240" w:lineRule="auto"/>
              <w:rPr>
                <w:noProof/>
              </w:rPr>
            </w:pPr>
            <w:r>
              <w:rPr>
                <w:noProof/>
              </w:rPr>
              <w:t>6-2.2. Modernizare – 16859_Contribuție voluntară la întreprinderea comună EuroHPC</w:t>
            </w:r>
          </w:p>
        </w:tc>
        <w:tc>
          <w:tcPr>
            <w:tcW w:w="1134" w:type="dxa"/>
            <w:shd w:val="clear" w:color="auto" w:fill="C6EFCE"/>
            <w:noWrap/>
          </w:tcPr>
          <w:p w14:paraId="11844DD5" w14:textId="00C70557" w:rsidR="00C45D59" w:rsidRDefault="009B0962" w:rsidP="004048D3">
            <w:pPr>
              <w:pStyle w:val="P68B1DB1-Normal12"/>
              <w:spacing w:line="240" w:lineRule="auto"/>
              <w:rPr>
                <w:noProof/>
              </w:rPr>
            </w:pPr>
            <w:r>
              <w:rPr>
                <w:noProof/>
              </w:rPr>
              <w:t>Etapă</w:t>
            </w:r>
          </w:p>
        </w:tc>
        <w:tc>
          <w:tcPr>
            <w:tcW w:w="1417" w:type="dxa"/>
            <w:shd w:val="clear" w:color="auto" w:fill="C6EFCE"/>
            <w:noWrap/>
          </w:tcPr>
          <w:p w14:paraId="4EED5D16" w14:textId="7395249C" w:rsidR="00C45D59" w:rsidRDefault="009B0962" w:rsidP="004048D3">
            <w:pPr>
              <w:pStyle w:val="P68B1DB1-Normal23"/>
              <w:spacing w:after="0" w:line="240" w:lineRule="auto"/>
              <w:rPr>
                <w:noProof/>
              </w:rPr>
            </w:pPr>
            <w:r>
              <w:rPr>
                <w:noProof/>
              </w:rPr>
              <w:t>Semnarea acordului de contribuție dintre Grecia și întreprinderea comună EuroHPC și plata contribuției voluntare către întreprinderea comună EuroHPC</w:t>
            </w:r>
          </w:p>
        </w:tc>
        <w:tc>
          <w:tcPr>
            <w:tcW w:w="1701" w:type="dxa"/>
            <w:shd w:val="clear" w:color="auto" w:fill="C6EFCE"/>
            <w:noWrap/>
          </w:tcPr>
          <w:p w14:paraId="4D7354E7" w14:textId="0BD6767B" w:rsidR="00C45D59" w:rsidRDefault="009B0962" w:rsidP="004048D3">
            <w:pPr>
              <w:pStyle w:val="P68B1DB1-Normal23"/>
              <w:spacing w:after="0" w:line="240" w:lineRule="auto"/>
              <w:rPr>
                <w:noProof/>
              </w:rPr>
            </w:pPr>
            <w:r>
              <w:rPr>
                <w:noProof/>
              </w:rPr>
              <w:t>Semnarea acordului de contribuție</w:t>
            </w:r>
          </w:p>
        </w:tc>
        <w:tc>
          <w:tcPr>
            <w:tcW w:w="1322" w:type="dxa"/>
            <w:shd w:val="clear" w:color="auto" w:fill="C6EFCE"/>
            <w:noWrap/>
          </w:tcPr>
          <w:p w14:paraId="4ABDD142" w14:textId="0338E827" w:rsidR="00C45D59" w:rsidRDefault="00C45D59" w:rsidP="004048D3">
            <w:pPr>
              <w:spacing w:line="240" w:lineRule="auto"/>
              <w:rPr>
                <w:rFonts w:ascii="Times New Roman" w:eastAsia="Times New Roman" w:hAnsi="Times New Roman" w:cs="Times New Roman"/>
                <w:noProof/>
                <w:color w:val="006100"/>
                <w:sz w:val="18"/>
                <w:szCs w:val="18"/>
              </w:rPr>
            </w:pPr>
          </w:p>
        </w:tc>
        <w:tc>
          <w:tcPr>
            <w:tcW w:w="1134" w:type="dxa"/>
            <w:shd w:val="clear" w:color="auto" w:fill="C6EFCE"/>
            <w:noWrap/>
          </w:tcPr>
          <w:p w14:paraId="58222747" w14:textId="281B9922" w:rsidR="00C45D59" w:rsidRDefault="00C45D59" w:rsidP="004048D3">
            <w:pPr>
              <w:spacing w:line="240" w:lineRule="auto"/>
              <w:rPr>
                <w:rFonts w:ascii="Times New Roman" w:eastAsia="Times New Roman" w:hAnsi="Times New Roman" w:cs="Times New Roman"/>
                <w:noProof/>
                <w:color w:val="006100"/>
                <w:sz w:val="18"/>
                <w:szCs w:val="18"/>
              </w:rPr>
            </w:pPr>
          </w:p>
        </w:tc>
        <w:tc>
          <w:tcPr>
            <w:tcW w:w="993" w:type="dxa"/>
            <w:shd w:val="clear" w:color="auto" w:fill="C6EFCE"/>
            <w:noWrap/>
          </w:tcPr>
          <w:p w14:paraId="47A9FA40" w14:textId="7BC7F217" w:rsidR="00C45D59" w:rsidRDefault="00C45D59" w:rsidP="004048D3">
            <w:pPr>
              <w:spacing w:line="240" w:lineRule="auto"/>
              <w:rPr>
                <w:rFonts w:ascii="Times New Roman" w:eastAsia="Times New Roman" w:hAnsi="Times New Roman" w:cs="Times New Roman"/>
                <w:noProof/>
                <w:color w:val="006100"/>
                <w:sz w:val="18"/>
                <w:szCs w:val="18"/>
              </w:rPr>
            </w:pPr>
          </w:p>
        </w:tc>
        <w:tc>
          <w:tcPr>
            <w:tcW w:w="850" w:type="dxa"/>
            <w:shd w:val="clear" w:color="auto" w:fill="C6EFCE"/>
            <w:noWrap/>
          </w:tcPr>
          <w:p w14:paraId="1D5CCD59" w14:textId="47492AFE" w:rsidR="00C45D59" w:rsidRDefault="009B0962" w:rsidP="004048D3">
            <w:pPr>
              <w:pStyle w:val="P68B1DB1-Normal12"/>
              <w:spacing w:line="240" w:lineRule="auto"/>
              <w:rPr>
                <w:noProof/>
              </w:rPr>
            </w:pPr>
            <w:r>
              <w:rPr>
                <w:noProof/>
              </w:rPr>
              <w:t>Î2</w:t>
            </w:r>
          </w:p>
        </w:tc>
        <w:tc>
          <w:tcPr>
            <w:tcW w:w="992" w:type="dxa"/>
            <w:shd w:val="clear" w:color="auto" w:fill="C6EFCE"/>
            <w:noWrap/>
          </w:tcPr>
          <w:p w14:paraId="366D889D" w14:textId="3A15D4E7" w:rsidR="00C45D59" w:rsidRDefault="009B0962" w:rsidP="004048D3">
            <w:pPr>
              <w:pStyle w:val="P68B1DB1-Normal12"/>
              <w:spacing w:line="240" w:lineRule="auto"/>
              <w:rPr>
                <w:noProof/>
              </w:rPr>
            </w:pPr>
            <w:r>
              <w:rPr>
                <w:noProof/>
              </w:rPr>
              <w:t>2026</w:t>
            </w:r>
          </w:p>
        </w:tc>
        <w:tc>
          <w:tcPr>
            <w:tcW w:w="3398" w:type="dxa"/>
            <w:shd w:val="clear" w:color="auto" w:fill="C6EFCE"/>
            <w:noWrap/>
          </w:tcPr>
          <w:p w14:paraId="0AAEB1F6" w14:textId="3D8C0FD2" w:rsidR="00C45D59" w:rsidRDefault="009B0962" w:rsidP="004048D3">
            <w:pPr>
              <w:pStyle w:val="P68B1DB1-Normal23"/>
              <w:spacing w:after="0" w:line="240" w:lineRule="auto"/>
              <w:rPr>
                <w:noProof/>
              </w:rPr>
            </w:pPr>
            <w:r>
              <w:rPr>
                <w:noProof/>
              </w:rPr>
              <w:t>Semnarea acordului de contribuție dintre Grecia și întreprinderea comună pentru calculul european de înaltă performanță (întreprinderea comună EuroHPC).</w:t>
            </w:r>
          </w:p>
          <w:p w14:paraId="7C8278F7" w14:textId="77777777" w:rsidR="00C45D59" w:rsidRDefault="00C45D59" w:rsidP="004048D3">
            <w:pPr>
              <w:spacing w:after="0" w:line="240" w:lineRule="auto"/>
              <w:rPr>
                <w:rFonts w:ascii="Times New Roman" w:eastAsia="Times New Roman" w:hAnsi="Times New Roman" w:cs="Times New Roman"/>
                <w:noProof/>
                <w:color w:val="006100"/>
                <w:sz w:val="18"/>
                <w:szCs w:val="18"/>
              </w:rPr>
            </w:pPr>
          </w:p>
          <w:p w14:paraId="7CC8A8C6" w14:textId="0FEFC5C3" w:rsidR="00C45D59" w:rsidRDefault="009B0962" w:rsidP="004048D3">
            <w:pPr>
              <w:pStyle w:val="P68B1DB1-Normal23"/>
              <w:spacing w:after="80" w:line="240" w:lineRule="auto"/>
              <w:rPr>
                <w:noProof/>
              </w:rPr>
            </w:pPr>
            <w:r>
              <w:rPr>
                <w:noProof/>
              </w:rPr>
              <w:t xml:space="preserve">Acordul de contribuție respectiv include: </w:t>
            </w:r>
          </w:p>
          <w:p w14:paraId="0CC5E627" w14:textId="0C581603" w:rsidR="00C45D59" w:rsidRDefault="009B0962" w:rsidP="004048D3">
            <w:pPr>
              <w:spacing w:after="80" w:line="240" w:lineRule="auto"/>
              <w:rPr>
                <w:rFonts w:ascii="Times New Roman" w:eastAsia="Times New Roman" w:hAnsi="Times New Roman" w:cs="Times New Roman"/>
                <w:noProof/>
                <w:color w:val="006100"/>
                <w:sz w:val="18"/>
                <w:szCs w:val="18"/>
              </w:rPr>
            </w:pPr>
            <w:r>
              <w:rPr>
                <w:rFonts w:ascii="Times New Roman" w:eastAsia="Times New Roman" w:hAnsi="Times New Roman" w:cs="Times New Roman"/>
                <w:noProof/>
                <w:color w:val="006100"/>
                <w:sz w:val="18"/>
                <w:szCs w:val="18"/>
              </w:rPr>
              <w:t>— Indicarea activităților care urmează să fie finanțate prin contribuția voluntară, și anume sprijinul financiar acordat unei gigafabrici de IA și/sau</w:t>
            </w:r>
            <w:r>
              <w:rPr>
                <w:noProof/>
              </w:rPr>
              <w:t xml:space="preserve"> </w:t>
            </w:r>
            <w:r>
              <w:rPr>
                <w:rFonts w:ascii="Times New Roman" w:eastAsia="Times New Roman" w:hAnsi="Times New Roman" w:cs="Times New Roman"/>
                <w:noProof/>
                <w:color w:val="006100"/>
                <w:sz w:val="18"/>
                <w:szCs w:val="18"/>
              </w:rPr>
              <w:t>altor inițiative EuroHPC, cum ar fi fabricile de IA, supercalculatoarele sau calculatoarele cuantice, sau altor investiții în IA, tehnologia cuantică sau HPC legate de obiectivele întreprinderii comune EuroHPC;</w:t>
            </w:r>
          </w:p>
          <w:p w14:paraId="047EA60E" w14:textId="2E8B999C" w:rsidR="00C45D59" w:rsidRDefault="009B0962" w:rsidP="004048D3">
            <w:pPr>
              <w:pStyle w:val="P68B1DB1-Normal23"/>
              <w:spacing w:after="80" w:line="240" w:lineRule="auto"/>
              <w:rPr>
                <w:noProof/>
              </w:rPr>
            </w:pPr>
            <w:r>
              <w:rPr>
                <w:noProof/>
              </w:rPr>
              <w:t xml:space="preserve">— Cerința ca respectiva contribuție voluntară să fie utilizată în conformitate cu principiul de „a nu prejudicia în mod semnificativ”, astfel cum este prevăzut în Orientările tehnice 2021/C58/01; </w:t>
            </w:r>
          </w:p>
          <w:p w14:paraId="1D5C4CE1" w14:textId="07F78808" w:rsidR="00C45D59" w:rsidRDefault="009B0962" w:rsidP="004048D3">
            <w:pPr>
              <w:pStyle w:val="P68B1DB1-Normal23"/>
              <w:spacing w:after="80" w:line="240" w:lineRule="auto"/>
              <w:rPr>
                <w:noProof/>
              </w:rPr>
            </w:pPr>
            <w:r>
              <w:rPr>
                <w:noProof/>
              </w:rPr>
              <w:t xml:space="preserve">— Cuantumul exact al contribuției voluntare din fondurile MRR; </w:t>
            </w:r>
          </w:p>
          <w:p w14:paraId="2626147C" w14:textId="157BB667" w:rsidR="00C45D59" w:rsidRDefault="009B0962" w:rsidP="004048D3">
            <w:pPr>
              <w:pStyle w:val="P68B1DB1-Normal23"/>
              <w:spacing w:after="80" w:line="240" w:lineRule="auto"/>
              <w:rPr>
                <w:noProof/>
              </w:rPr>
            </w:pPr>
            <w:r>
              <w:rPr>
                <w:noProof/>
              </w:rPr>
              <w:t>— Cerința ca sumele neutilizate care fac obiectul acordului să fie utilizate de întreprinderea comună EuroHPC pentru a sprijini aceleași obiective de politică în beneficiul statului membru în cauză și să nu fie transferate înapoi statului membru.</w:t>
            </w:r>
          </w:p>
          <w:p w14:paraId="68FEB822" w14:textId="70662069" w:rsidR="00C45D59" w:rsidRDefault="009B0962" w:rsidP="004048D3">
            <w:pPr>
              <w:pStyle w:val="P68B1DB1-Normal23"/>
              <w:spacing w:after="0" w:line="240" w:lineRule="auto"/>
              <w:rPr>
                <w:noProof/>
              </w:rPr>
            </w:pPr>
            <w:r>
              <w:rPr>
                <w:noProof/>
              </w:rPr>
              <w:t>Grecia transferă 350 000 000 EUR către întreprinderea comună EuroHPC.</w:t>
            </w:r>
          </w:p>
        </w:tc>
      </w:tr>
    </w:tbl>
    <w:p w14:paraId="1FCAE4A1" w14:textId="242986EA" w:rsidR="00C45D59" w:rsidRDefault="004048D3">
      <w:pPr>
        <w:spacing w:before="120" w:after="120" w:line="240" w:lineRule="auto"/>
        <w:rPr>
          <w:rFonts w:ascii="Times New Roman" w:hAnsi="Times New Roman" w:cs="Times New Roman"/>
          <w:noProof/>
          <w:sz w:val="24"/>
        </w:rPr>
        <w:sectPr w:rsidR="00C45D59">
          <w:headerReference w:type="even" r:id="rId150"/>
          <w:headerReference w:type="default" r:id="rId151"/>
          <w:footerReference w:type="even" r:id="rId152"/>
          <w:footerReference w:type="default" r:id="rId153"/>
          <w:headerReference w:type="first" r:id="rId154"/>
          <w:footerReference w:type="first" r:id="rId155"/>
          <w:pgSz w:w="16839" w:h="11907" w:orient="landscape"/>
          <w:pgMar w:top="1134" w:right="1134" w:bottom="1134" w:left="1134" w:header="567" w:footer="567" w:gutter="0"/>
          <w:cols w:space="720"/>
          <w:docGrid w:linePitch="360"/>
        </w:sectPr>
      </w:pPr>
      <w:r>
        <w:rPr>
          <w:rFonts w:ascii="Times New Roman" w:hAnsi="Times New Roman" w:cs="Times New Roman"/>
          <w:noProof/>
          <w:sz w:val="24"/>
        </w:rPr>
        <w:br w:type="textWrapping" w:clear="all"/>
      </w:r>
    </w:p>
    <w:p w14:paraId="45B1CA48" w14:textId="77777777" w:rsidR="00C45D59" w:rsidRDefault="009B0962">
      <w:pPr>
        <w:pStyle w:val="P68B1DB1-Normal17"/>
        <w:spacing w:before="120" w:after="120" w:line="240" w:lineRule="auto"/>
        <w:ind w:firstLine="6"/>
        <w:jc w:val="both"/>
        <w:outlineLvl w:val="3"/>
        <w:rPr>
          <w:rFonts w:cs="Times New Roman"/>
          <w:bCs/>
          <w:noProof/>
        </w:rPr>
      </w:pPr>
      <w:r>
        <w:rPr>
          <w:noProof/>
        </w:rPr>
        <w:t>G. COMPONENTA 2.3: DIGITALIZAREA ÎNTREPRINDERILOR</w:t>
      </w:r>
    </w:p>
    <w:p w14:paraId="50AA052C" w14:textId="77777777" w:rsidR="00C45D59" w:rsidRDefault="009B0962">
      <w:pPr>
        <w:pStyle w:val="P68B1DB1-Normal5"/>
        <w:spacing w:before="120" w:after="120" w:line="240" w:lineRule="auto"/>
        <w:jc w:val="both"/>
        <w:rPr>
          <w:rFonts w:cs="Times New Roman"/>
          <w:noProof/>
        </w:rPr>
      </w:pPr>
      <w:r>
        <w:rPr>
          <w:noProof/>
        </w:rPr>
        <w:t xml:space="preserve">Această componentă </w:t>
      </w:r>
      <w:r>
        <w:rPr>
          <w:noProof/>
          <w:color w:val="000000" w:themeColor="text1"/>
          <w:szCs w:val="24"/>
        </w:rPr>
        <w:t xml:space="preserve">a redresării și rezilienței </w:t>
      </w:r>
      <w:r>
        <w:rPr>
          <w:noProof/>
        </w:rPr>
        <w:t xml:space="preserve">Greciei se referă la furnizarea de capital întreprinderilor mici și mijlocii din Grecia pentru a finanța investițiile în tehnologii digitale și achiziționarea de servicii conexe. Scopul său este de a aborda nivelurile actuale scăzute de maturitate digitală în rândul acestora, inclusiv din cauza competențelor digitale scăzute, promovând în același timp productivitatea și dezvoltarea întreprinderilor inovatoare. În același timp, se preconizează că aceasta va ajuta aceste întreprinderi să se adapteze la noile provocări și să profite de tendințele emergente ale întreprinderilor. În special, componenta prevede instituirea unei piețe digitale unice, la care să aibă acces atât furnizorii acestor produse, cât și furnizorii acestor servicii. Promovarea utilizării plăților și vânzărilor electronice, modernizarea caselor de marcat și a ecosistemului POS, precum și </w:t>
      </w:r>
      <w:r>
        <w:rPr>
          <w:noProof/>
          <w:szCs w:val="24"/>
        </w:rPr>
        <w:t>dezvoltarea</w:t>
      </w:r>
      <w:r>
        <w:rPr>
          <w:noProof/>
        </w:rPr>
        <w:t xml:space="preserve"> de </w:t>
      </w:r>
      <w:r>
        <w:rPr>
          <w:noProof/>
          <w:szCs w:val="24"/>
        </w:rPr>
        <w:t>produse de date industriale sunt obiective-cheie ale acestei componente.</w:t>
      </w:r>
      <w:r>
        <w:rPr>
          <w:noProof/>
        </w:rPr>
        <w:t xml:space="preserve"> În plus, componenta urmărește, de asemenea, să contribuie la crearea unui ecosistem de afaceri digital favorabil transformării digitale a întreprinderilor mici și mijlocii. Se are în vedere, de asemenea, un mecanism central de sprijin pentru întreprinderile mici și mijlocii, care să faciliteze furnizarea de programe de formare și de sensibilizare, astfel încât acestea să poată valorifica la maximum instrumentele și serviciile oferite prin intermediul pieței digitale. </w:t>
      </w:r>
    </w:p>
    <w:p w14:paraId="25953ABC" w14:textId="77777777" w:rsidR="00C45D59" w:rsidRDefault="009B0962">
      <w:pPr>
        <w:pStyle w:val="P68B1DB1-Normal5"/>
        <w:spacing w:before="120" w:after="120" w:line="240" w:lineRule="auto"/>
        <w:jc w:val="both"/>
        <w:rPr>
          <w:rFonts w:cs="Times New Roman"/>
          <w:noProof/>
          <w:szCs w:val="24"/>
        </w:rPr>
      </w:pPr>
      <w:r>
        <w:rPr>
          <w:noProof/>
        </w:rPr>
        <w:t>Se preconizează că măsurile vor răspunde tranziției digitale și provocărilor generate de aceasta, deoarece se preconizează că vor contribui la adoptarea tehnologiilor digitale și la perfecționarea digitală a întreprinderilor mici și mijlocii din Grecia. În plus, se preconizează, de asemenea, că măsurile vor facilita creșterea inteligentă și durabilă prin stimularea în continuare a investițiilor private, contribuind astfel la punerea în aplicare a Recomandării specifice fiecărei țări privind investițiile publice și private (RST 3 2020). Se preconizează că nicio măsură din cadrul acestei componente nu prejudiciază în mod semnificativ obiectivele de mediu în sensul articolului 17 din Regulamentul (UE) 2020/852, ținând seama de descrierea măsurilor și a etapelor de atenuare prevăzute în planul de redresare și reziliență în conformitate cu Orientările tehnice privind aplicarea principiului de „a nu prejudicia în mod semnificativ” (2021/C58/01).</w:t>
      </w:r>
    </w:p>
    <w:p w14:paraId="68FAF84A" w14:textId="77777777" w:rsidR="00C45D59" w:rsidRDefault="009B0962">
      <w:pPr>
        <w:pStyle w:val="P68B1DB1-Normal6"/>
        <w:spacing w:before="120" w:after="120" w:line="240" w:lineRule="auto"/>
        <w:jc w:val="both"/>
        <w:rPr>
          <w:rFonts w:cs="Times New Roman"/>
          <w:i/>
          <w:noProof/>
          <w:color w:val="4F81BD"/>
        </w:rPr>
      </w:pPr>
      <w:r>
        <w:rPr>
          <w:noProof/>
        </w:rPr>
        <w:t>G.1. Descrierea reformelor și a investițiilor pentru sprijinul financiar nerambursabil</w:t>
      </w:r>
    </w:p>
    <w:p w14:paraId="7F141F59" w14:textId="77777777" w:rsidR="00C45D59" w:rsidRDefault="009B0962">
      <w:pPr>
        <w:pStyle w:val="P68B1DB1-Normal5"/>
        <w:spacing w:before="120" w:after="120" w:line="240" w:lineRule="auto"/>
        <w:jc w:val="both"/>
        <w:rPr>
          <w:rFonts w:cs="Times New Roman"/>
          <w:noProof/>
        </w:rPr>
      </w:pPr>
      <w:r>
        <w:rPr>
          <w:b/>
          <w:noProof/>
        </w:rPr>
        <w:t>Reformă:</w:t>
      </w:r>
      <w:r>
        <w:rPr>
          <w:noProof/>
        </w:rPr>
        <w:t xml:space="preserve"> Crearea unui ecosistem de afaceri digital pentru facilitarea transformării digitale a IMM-urilor (măsura ID 16973)</w:t>
      </w:r>
    </w:p>
    <w:p w14:paraId="42038BD3" w14:textId="006E7BE5" w:rsidR="00C45D59" w:rsidRDefault="009B0962">
      <w:pPr>
        <w:pStyle w:val="P68B1DB1-Normal7"/>
        <w:spacing w:before="120" w:after="120" w:line="240" w:lineRule="auto"/>
        <w:jc w:val="both"/>
        <w:rPr>
          <w:rFonts w:cs="Times New Roman"/>
          <w:noProof/>
        </w:rPr>
      </w:pPr>
      <w:r>
        <w:rPr>
          <w:noProof/>
        </w:rPr>
        <w:t xml:space="preserve">Obiectivul reformei este de a crea un ecosistem de afaceri digital pentru transformarea digitală a IMM-urilor. Reforma constă în introducerea unui cadru pentru: (a) crearea unei piețe digitale pentru furnizarea și achiziționarea de servicii și instrumente digitale și (b) înființarea fabricii de IA „Pharos”. </w:t>
      </w:r>
    </w:p>
    <w:p w14:paraId="1D17E61C" w14:textId="77777777" w:rsidR="00C45D59" w:rsidRDefault="009B0962">
      <w:pPr>
        <w:pStyle w:val="P68B1DB1-Normal7"/>
        <w:spacing w:before="120" w:after="120" w:line="240" w:lineRule="auto"/>
        <w:jc w:val="both"/>
        <w:rPr>
          <w:rFonts w:cs="Times New Roman"/>
          <w:noProof/>
        </w:rPr>
      </w:pPr>
      <w:r>
        <w:rPr>
          <w:b/>
          <w:noProof/>
        </w:rPr>
        <w:t>Investiții:</w:t>
      </w:r>
      <w:r>
        <w:rPr>
          <w:noProof/>
        </w:rPr>
        <w:t xml:space="preserve"> Transformarea digitală a IMM-urilor (măsura ID 16706)</w:t>
      </w:r>
    </w:p>
    <w:p w14:paraId="38E38C73" w14:textId="77777777" w:rsidR="00C45D59" w:rsidRDefault="009B0962">
      <w:pPr>
        <w:pStyle w:val="P68B1DB1-Normal7"/>
        <w:spacing w:before="120" w:after="120" w:line="240" w:lineRule="auto"/>
        <w:jc w:val="both"/>
        <w:rPr>
          <w:rFonts w:cs="Times New Roman"/>
          <w:noProof/>
        </w:rPr>
      </w:pPr>
      <w:r>
        <w:rPr>
          <w:noProof/>
        </w:rPr>
        <w:t xml:space="preserve">Obiectivul investiției este transformarea digitală a IMM-urilor din Grecia. Investiția constă în livrarea și achiziționarea de produse digitale de către IMM-urile elene. </w:t>
      </w:r>
    </w:p>
    <w:p w14:paraId="0C8FEE2C" w14:textId="77777777" w:rsidR="00C45D59" w:rsidRDefault="00C45D59">
      <w:pPr>
        <w:spacing w:before="120" w:after="120" w:line="240" w:lineRule="auto"/>
        <w:ind w:left="709"/>
        <w:jc w:val="both"/>
        <w:rPr>
          <w:rFonts w:ascii="Times New Roman" w:hAnsi="Times New Roman" w:cs="Times New Roman"/>
          <w:noProof/>
          <w:sz w:val="24"/>
        </w:rPr>
        <w:sectPr w:rsidR="00C45D59">
          <w:headerReference w:type="even" r:id="rId156"/>
          <w:headerReference w:type="default" r:id="rId157"/>
          <w:footerReference w:type="even" r:id="rId158"/>
          <w:footerReference w:type="default" r:id="rId159"/>
          <w:headerReference w:type="first" r:id="rId160"/>
          <w:footerReference w:type="first" r:id="rId161"/>
          <w:pgSz w:w="11906" w:h="16838"/>
          <w:pgMar w:top="1134" w:right="1134" w:bottom="1134" w:left="1134" w:header="567" w:footer="567" w:gutter="0"/>
          <w:cols w:space="708"/>
          <w:docGrid w:linePitch="360"/>
        </w:sectPr>
      </w:pPr>
    </w:p>
    <w:p w14:paraId="08B0D206" w14:textId="77777777" w:rsidR="00C45D59" w:rsidRDefault="009B0962">
      <w:pPr>
        <w:pStyle w:val="P68B1DB1-Normal6"/>
        <w:spacing w:before="120" w:after="120" w:line="240" w:lineRule="auto"/>
        <w:jc w:val="both"/>
        <w:rPr>
          <w:noProof/>
        </w:rPr>
      </w:pPr>
      <w:r>
        <w:rPr>
          <w:noProof/>
        </w:rPr>
        <w:t>G.2. Jaloane, ținte, indicatori și calendarul de monitorizare și implementare aplicabile sprijinului financiar nerambursabil</w:t>
      </w:r>
    </w:p>
    <w:p w14:paraId="0275E0F6" w14:textId="77777777" w:rsidR="00C45D59" w:rsidRDefault="009B0962">
      <w:pPr>
        <w:pStyle w:val="P68B1DB1-Normal9"/>
        <w:keepNext/>
        <w:keepLines/>
        <w:spacing w:before="40" w:after="0" w:line="240" w:lineRule="auto"/>
        <w:jc w:val="both"/>
        <w:outlineLvl w:val="4"/>
        <w:rPr>
          <w:noProof/>
        </w:rPr>
      </w:pPr>
      <w:r>
        <w:rPr>
          <w:noProof/>
        </w:rPr>
        <w:t>Principala investiție 4: Transformarea digitală a IMM-urilor</w:t>
      </w:r>
    </w:p>
    <w:tbl>
      <w:tblPr>
        <w:tblW w:w="147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8"/>
        <w:gridCol w:w="2086"/>
        <w:gridCol w:w="1111"/>
        <w:gridCol w:w="1350"/>
        <w:gridCol w:w="1639"/>
        <w:gridCol w:w="932"/>
        <w:gridCol w:w="929"/>
        <w:gridCol w:w="841"/>
        <w:gridCol w:w="994"/>
        <w:gridCol w:w="729"/>
        <w:gridCol w:w="3488"/>
      </w:tblGrid>
      <w:tr w:rsidR="00C45D59" w14:paraId="26722EEB" w14:textId="77777777">
        <w:trPr>
          <w:trHeight w:val="300"/>
          <w:tblHeader/>
          <w:jc w:val="center"/>
        </w:trPr>
        <w:tc>
          <w:tcPr>
            <w:tcW w:w="708" w:type="dxa"/>
            <w:vMerge w:val="restart"/>
            <w:shd w:val="clear" w:color="auto" w:fill="BDD7EE"/>
            <w:vAlign w:val="center"/>
            <w:hideMark/>
          </w:tcPr>
          <w:p w14:paraId="7F43FA5B" w14:textId="2332912D" w:rsidR="00C45D59" w:rsidRDefault="009B0962">
            <w:pPr>
              <w:pStyle w:val="P68B1DB1-Normal36"/>
              <w:spacing w:after="0" w:line="240" w:lineRule="auto"/>
              <w:jc w:val="center"/>
              <w:rPr>
                <w:rFonts w:ascii="Times New Roman" w:eastAsia="Times New Roman" w:hAnsi="Times New Roman" w:cs="Times New Roman"/>
                <w:b/>
                <w:bCs/>
                <w:noProof/>
                <w:szCs w:val="18"/>
              </w:rPr>
            </w:pPr>
            <w:r>
              <w:rPr>
                <w:rFonts w:ascii="Times New Roman" w:hAnsi="Times New Roman" w:cs="Times New Roman"/>
                <w:noProof/>
                <w:color w:val="006100"/>
                <w:szCs w:val="18"/>
              </w:rPr>
              <w:t xml:space="preserve"> </w:t>
            </w:r>
            <w:r>
              <w:rPr>
                <w:rFonts w:ascii="Times New Roman" w:hAnsi="Times New Roman"/>
                <w:b/>
                <w:noProof/>
              </w:rPr>
              <w:t>Nr</w:t>
            </w:r>
            <w:r w:rsidR="004048D3">
              <w:rPr>
                <w:rFonts w:ascii="Times New Roman" w:hAnsi="Times New Roman"/>
                <w:b/>
                <w:noProof/>
              </w:rPr>
              <w:t>.</w:t>
            </w:r>
            <w:r>
              <w:rPr>
                <w:rFonts w:ascii="Times New Roman" w:hAnsi="Times New Roman"/>
                <w:b/>
                <w:noProof/>
              </w:rPr>
              <w:t xml:space="preserve"> </w:t>
            </w:r>
            <w:r>
              <w:rPr>
                <w:rFonts w:ascii="Times New Roman" w:hAnsi="Times New Roman"/>
                <w:b/>
                <w:noProof/>
              </w:rPr>
              <w:br/>
            </w:r>
            <w:r w:rsidR="004048D3">
              <w:rPr>
                <w:rFonts w:ascii="Times New Roman" w:hAnsi="Times New Roman"/>
                <w:b/>
                <w:noProof/>
              </w:rPr>
              <w:t>crt</w:t>
            </w:r>
            <w:r>
              <w:rPr>
                <w:rFonts w:ascii="Times New Roman" w:hAnsi="Times New Roman"/>
                <w:b/>
                <w:noProof/>
              </w:rPr>
              <w:t>.</w:t>
            </w:r>
          </w:p>
        </w:tc>
        <w:tc>
          <w:tcPr>
            <w:tcW w:w="2160" w:type="dxa"/>
            <w:vMerge w:val="restart"/>
            <w:shd w:val="clear" w:color="auto" w:fill="BDD7EE"/>
            <w:vAlign w:val="center"/>
            <w:hideMark/>
          </w:tcPr>
          <w:p w14:paraId="6DE86FB7" w14:textId="77777777" w:rsidR="00C45D59" w:rsidRDefault="009B0962">
            <w:pPr>
              <w:pStyle w:val="P68B1DB1-Normal10"/>
              <w:spacing w:after="0" w:line="240" w:lineRule="auto"/>
              <w:jc w:val="center"/>
              <w:rPr>
                <w:rFonts w:eastAsia="Times New Roman" w:cs="Times New Roman"/>
                <w:bCs/>
                <w:noProof/>
                <w:szCs w:val="18"/>
              </w:rPr>
            </w:pPr>
            <w:r>
              <w:rPr>
                <w:noProof/>
              </w:rPr>
              <w:t>Măsură conexă (reformă sau investiții)</w:t>
            </w:r>
          </w:p>
        </w:tc>
        <w:tc>
          <w:tcPr>
            <w:tcW w:w="1146" w:type="dxa"/>
            <w:vMerge w:val="restart"/>
            <w:shd w:val="clear" w:color="auto" w:fill="BDD7EE"/>
            <w:vAlign w:val="center"/>
            <w:hideMark/>
          </w:tcPr>
          <w:p w14:paraId="0912BD97" w14:textId="65F831DA" w:rsidR="00C45D59" w:rsidRDefault="009B0962">
            <w:pPr>
              <w:pStyle w:val="P68B1DB1-Normal10"/>
              <w:spacing w:after="0" w:line="240" w:lineRule="auto"/>
              <w:jc w:val="center"/>
              <w:rPr>
                <w:rFonts w:eastAsia="Times New Roman" w:cs="Times New Roman"/>
                <w:bCs/>
                <w:noProof/>
                <w:szCs w:val="18"/>
              </w:rPr>
            </w:pPr>
            <w:r>
              <w:rPr>
                <w:noProof/>
              </w:rPr>
              <w:t>Etapă/</w:t>
            </w:r>
            <w:r w:rsidR="004048D3">
              <w:rPr>
                <w:noProof/>
              </w:rPr>
              <w:t xml:space="preserve"> </w:t>
            </w:r>
            <w:r>
              <w:rPr>
                <w:noProof/>
              </w:rPr>
              <w:t>Obiectiv</w:t>
            </w:r>
          </w:p>
        </w:tc>
        <w:tc>
          <w:tcPr>
            <w:tcW w:w="1395" w:type="dxa"/>
            <w:vMerge w:val="restart"/>
            <w:shd w:val="clear" w:color="auto" w:fill="BDD7EE"/>
            <w:vAlign w:val="center"/>
            <w:hideMark/>
          </w:tcPr>
          <w:p w14:paraId="2EFFF1F2" w14:textId="3E29A903" w:rsidR="00C45D59" w:rsidRDefault="004048D3">
            <w:pPr>
              <w:pStyle w:val="P68B1DB1-Normal10"/>
              <w:spacing w:after="0" w:line="240" w:lineRule="auto"/>
              <w:jc w:val="center"/>
              <w:rPr>
                <w:rFonts w:eastAsia="Times New Roman" w:cs="Times New Roman"/>
                <w:bCs/>
                <w:noProof/>
                <w:szCs w:val="18"/>
              </w:rPr>
            </w:pPr>
            <w:r>
              <w:rPr>
                <w:noProof/>
              </w:rPr>
              <w:t>Denumire</w:t>
            </w:r>
          </w:p>
        </w:tc>
        <w:tc>
          <w:tcPr>
            <w:tcW w:w="1380" w:type="dxa"/>
            <w:vMerge w:val="restart"/>
            <w:shd w:val="clear" w:color="auto" w:fill="BDD7EE"/>
            <w:vAlign w:val="center"/>
            <w:hideMark/>
          </w:tcPr>
          <w:p w14:paraId="2BF18B36" w14:textId="77777777" w:rsidR="00C45D59" w:rsidRDefault="009B0962">
            <w:pPr>
              <w:pStyle w:val="P68B1DB1-Normal10"/>
              <w:spacing w:after="0" w:line="240" w:lineRule="auto"/>
              <w:jc w:val="center"/>
              <w:rPr>
                <w:rFonts w:eastAsia="Times New Roman" w:cs="Times New Roman"/>
                <w:bCs/>
                <w:noProof/>
                <w:szCs w:val="18"/>
              </w:rPr>
            </w:pPr>
            <w:r>
              <w:rPr>
                <w:noProof/>
              </w:rPr>
              <w:t>Indicatori calitativi (pentru obiectivele de etapă)</w:t>
            </w:r>
          </w:p>
        </w:tc>
        <w:tc>
          <w:tcPr>
            <w:tcW w:w="2607" w:type="dxa"/>
            <w:gridSpan w:val="3"/>
            <w:shd w:val="clear" w:color="auto" w:fill="BDD7EE"/>
            <w:vAlign w:val="center"/>
            <w:hideMark/>
          </w:tcPr>
          <w:p w14:paraId="6C76563B" w14:textId="77777777" w:rsidR="00C45D59" w:rsidRDefault="009B0962">
            <w:pPr>
              <w:pStyle w:val="P68B1DB1-Normal10"/>
              <w:spacing w:after="0" w:line="240" w:lineRule="auto"/>
              <w:jc w:val="center"/>
              <w:rPr>
                <w:rFonts w:eastAsia="Times New Roman" w:cs="Times New Roman"/>
                <w:bCs/>
                <w:noProof/>
                <w:szCs w:val="18"/>
              </w:rPr>
            </w:pPr>
            <w:r>
              <w:rPr>
                <w:noProof/>
              </w:rPr>
              <w:t>Indicatori cantitativi (pentru ținte)</w:t>
            </w:r>
          </w:p>
        </w:tc>
        <w:tc>
          <w:tcPr>
            <w:tcW w:w="1774" w:type="dxa"/>
            <w:gridSpan w:val="2"/>
            <w:shd w:val="clear" w:color="auto" w:fill="BDD7EE"/>
            <w:vAlign w:val="center"/>
            <w:hideMark/>
          </w:tcPr>
          <w:p w14:paraId="12D6F771" w14:textId="77777777" w:rsidR="00C45D59" w:rsidRDefault="009B0962">
            <w:pPr>
              <w:pStyle w:val="P68B1DB1-Normal10"/>
              <w:spacing w:after="0" w:line="240" w:lineRule="auto"/>
              <w:jc w:val="center"/>
              <w:rPr>
                <w:rFonts w:eastAsia="Times New Roman" w:cs="Times New Roman"/>
                <w:bCs/>
                <w:noProof/>
                <w:szCs w:val="18"/>
              </w:rPr>
            </w:pPr>
            <w:r>
              <w:rPr>
                <w:noProof/>
              </w:rPr>
              <w:t xml:space="preserve">Calendar orientativ pentru finalizare </w:t>
            </w:r>
          </w:p>
        </w:tc>
        <w:tc>
          <w:tcPr>
            <w:tcW w:w="3617" w:type="dxa"/>
            <w:vMerge w:val="restart"/>
            <w:shd w:val="clear" w:color="auto" w:fill="BDD7EE"/>
            <w:vAlign w:val="center"/>
            <w:hideMark/>
          </w:tcPr>
          <w:p w14:paraId="5BDF7401" w14:textId="77777777" w:rsidR="00C45D59" w:rsidRDefault="009B0962">
            <w:pPr>
              <w:pStyle w:val="P68B1DB1-Normal10"/>
              <w:spacing w:after="0" w:line="240" w:lineRule="auto"/>
              <w:jc w:val="center"/>
              <w:rPr>
                <w:rFonts w:eastAsia="Times New Roman" w:cs="Times New Roman"/>
                <w:bCs/>
                <w:noProof/>
                <w:szCs w:val="18"/>
              </w:rPr>
            </w:pPr>
            <w:r>
              <w:rPr>
                <w:noProof/>
              </w:rPr>
              <w:t>Descrierea fiecărui jalon și a fiecărei ținte</w:t>
            </w:r>
          </w:p>
        </w:tc>
      </w:tr>
      <w:tr w:rsidR="00C45D59" w14:paraId="0D17FF74" w14:textId="77777777">
        <w:trPr>
          <w:trHeight w:val="300"/>
          <w:tblHeader/>
          <w:jc w:val="center"/>
        </w:trPr>
        <w:tc>
          <w:tcPr>
            <w:tcW w:w="708" w:type="dxa"/>
            <w:vMerge/>
            <w:vAlign w:val="center"/>
            <w:hideMark/>
          </w:tcPr>
          <w:p w14:paraId="057EBE13" w14:textId="77777777" w:rsidR="00C45D59" w:rsidRDefault="00C45D59">
            <w:pPr>
              <w:spacing w:after="0" w:line="240" w:lineRule="auto"/>
              <w:rPr>
                <w:rFonts w:ascii="Times New Roman" w:eastAsia="Times New Roman" w:hAnsi="Times New Roman" w:cs="Times New Roman"/>
                <w:b/>
                <w:bCs/>
                <w:noProof/>
                <w:sz w:val="18"/>
                <w:szCs w:val="18"/>
              </w:rPr>
            </w:pPr>
          </w:p>
        </w:tc>
        <w:tc>
          <w:tcPr>
            <w:tcW w:w="2160" w:type="dxa"/>
            <w:vMerge/>
            <w:vAlign w:val="center"/>
            <w:hideMark/>
          </w:tcPr>
          <w:p w14:paraId="6A4E8411" w14:textId="77777777" w:rsidR="00C45D59" w:rsidRDefault="00C45D59">
            <w:pPr>
              <w:spacing w:after="0" w:line="240" w:lineRule="auto"/>
              <w:rPr>
                <w:rFonts w:ascii="Times New Roman" w:eastAsia="Times New Roman" w:hAnsi="Times New Roman" w:cs="Times New Roman"/>
                <w:b/>
                <w:bCs/>
                <w:noProof/>
                <w:sz w:val="18"/>
                <w:szCs w:val="18"/>
              </w:rPr>
            </w:pPr>
          </w:p>
        </w:tc>
        <w:tc>
          <w:tcPr>
            <w:tcW w:w="1146" w:type="dxa"/>
            <w:vMerge/>
            <w:vAlign w:val="center"/>
            <w:hideMark/>
          </w:tcPr>
          <w:p w14:paraId="612D5D9C" w14:textId="77777777" w:rsidR="00C45D59" w:rsidRDefault="00C45D59">
            <w:pPr>
              <w:spacing w:after="0" w:line="240" w:lineRule="auto"/>
              <w:rPr>
                <w:rFonts w:ascii="Times New Roman" w:eastAsia="Times New Roman" w:hAnsi="Times New Roman" w:cs="Times New Roman"/>
                <w:b/>
                <w:bCs/>
                <w:noProof/>
                <w:sz w:val="18"/>
                <w:szCs w:val="18"/>
              </w:rPr>
            </w:pPr>
          </w:p>
        </w:tc>
        <w:tc>
          <w:tcPr>
            <w:tcW w:w="1395" w:type="dxa"/>
            <w:vMerge/>
            <w:vAlign w:val="center"/>
            <w:hideMark/>
          </w:tcPr>
          <w:p w14:paraId="246D16EB" w14:textId="77777777" w:rsidR="00C45D59" w:rsidRDefault="00C45D59">
            <w:pPr>
              <w:spacing w:after="0" w:line="240" w:lineRule="auto"/>
              <w:rPr>
                <w:rFonts w:ascii="Times New Roman" w:eastAsia="Times New Roman" w:hAnsi="Times New Roman" w:cs="Times New Roman"/>
                <w:b/>
                <w:bCs/>
                <w:noProof/>
                <w:sz w:val="18"/>
                <w:szCs w:val="18"/>
              </w:rPr>
            </w:pPr>
          </w:p>
        </w:tc>
        <w:tc>
          <w:tcPr>
            <w:tcW w:w="1380" w:type="dxa"/>
            <w:vMerge/>
            <w:vAlign w:val="center"/>
            <w:hideMark/>
          </w:tcPr>
          <w:p w14:paraId="081508C5" w14:textId="77777777" w:rsidR="00C45D59" w:rsidRDefault="00C45D59">
            <w:pPr>
              <w:spacing w:after="0" w:line="240" w:lineRule="auto"/>
              <w:rPr>
                <w:rFonts w:ascii="Times New Roman" w:eastAsia="Times New Roman" w:hAnsi="Times New Roman" w:cs="Times New Roman"/>
                <w:b/>
                <w:bCs/>
                <w:noProof/>
                <w:sz w:val="18"/>
                <w:szCs w:val="18"/>
              </w:rPr>
            </w:pPr>
          </w:p>
        </w:tc>
        <w:tc>
          <w:tcPr>
            <w:tcW w:w="960" w:type="dxa"/>
            <w:shd w:val="clear" w:color="auto" w:fill="BDD7EE"/>
            <w:vAlign w:val="center"/>
            <w:hideMark/>
          </w:tcPr>
          <w:p w14:paraId="29FE276A" w14:textId="77777777" w:rsidR="00C45D59" w:rsidRDefault="009B0962">
            <w:pPr>
              <w:pStyle w:val="P68B1DB1-Normal10"/>
              <w:spacing w:after="0" w:line="240" w:lineRule="auto"/>
              <w:jc w:val="center"/>
              <w:rPr>
                <w:rFonts w:eastAsia="Times New Roman" w:cs="Times New Roman"/>
                <w:bCs/>
                <w:noProof/>
                <w:szCs w:val="18"/>
              </w:rPr>
            </w:pPr>
            <w:r>
              <w:rPr>
                <w:noProof/>
              </w:rPr>
              <w:t>Unitatea de măsură</w:t>
            </w:r>
          </w:p>
        </w:tc>
        <w:tc>
          <w:tcPr>
            <w:tcW w:w="957" w:type="dxa"/>
            <w:shd w:val="clear" w:color="auto" w:fill="BDD7EE"/>
            <w:vAlign w:val="center"/>
            <w:hideMark/>
          </w:tcPr>
          <w:p w14:paraId="163AC9AE" w14:textId="77777777" w:rsidR="00C45D59" w:rsidRDefault="009B0962">
            <w:pPr>
              <w:pStyle w:val="P68B1DB1-Normal10"/>
              <w:spacing w:after="0" w:line="240" w:lineRule="auto"/>
              <w:jc w:val="center"/>
              <w:rPr>
                <w:rFonts w:eastAsia="Times New Roman" w:cs="Times New Roman"/>
                <w:bCs/>
                <w:noProof/>
                <w:szCs w:val="18"/>
              </w:rPr>
            </w:pPr>
            <w:r>
              <w:rPr>
                <w:noProof/>
              </w:rPr>
              <w:t xml:space="preserve">Situația de referință </w:t>
            </w:r>
          </w:p>
        </w:tc>
        <w:tc>
          <w:tcPr>
            <w:tcW w:w="690" w:type="dxa"/>
            <w:shd w:val="clear" w:color="auto" w:fill="BDD7EE"/>
            <w:vAlign w:val="center"/>
            <w:hideMark/>
          </w:tcPr>
          <w:p w14:paraId="6857C637" w14:textId="77777777" w:rsidR="00C45D59" w:rsidRDefault="009B0962">
            <w:pPr>
              <w:pStyle w:val="P68B1DB1-Normal10"/>
              <w:spacing w:after="0" w:line="240" w:lineRule="auto"/>
              <w:jc w:val="center"/>
              <w:rPr>
                <w:rFonts w:eastAsia="Times New Roman" w:cs="Times New Roman"/>
                <w:bCs/>
                <w:noProof/>
                <w:szCs w:val="18"/>
              </w:rPr>
            </w:pPr>
            <w:r>
              <w:rPr>
                <w:noProof/>
              </w:rPr>
              <w:t xml:space="preserve">Obiectiv </w:t>
            </w:r>
          </w:p>
        </w:tc>
        <w:tc>
          <w:tcPr>
            <w:tcW w:w="1025" w:type="dxa"/>
            <w:shd w:val="clear" w:color="auto" w:fill="BDD7EE"/>
            <w:vAlign w:val="center"/>
            <w:hideMark/>
          </w:tcPr>
          <w:p w14:paraId="0A5C1A0E" w14:textId="77777777" w:rsidR="00C45D59" w:rsidRDefault="009B0962">
            <w:pPr>
              <w:pStyle w:val="P68B1DB1-Normal10"/>
              <w:spacing w:after="0" w:line="240" w:lineRule="auto"/>
              <w:jc w:val="center"/>
              <w:rPr>
                <w:rFonts w:eastAsia="Times New Roman" w:cs="Times New Roman"/>
                <w:bCs/>
                <w:noProof/>
                <w:szCs w:val="18"/>
              </w:rPr>
            </w:pPr>
            <w:r>
              <w:rPr>
                <w:noProof/>
              </w:rPr>
              <w:t>Trimestru</w:t>
            </w:r>
          </w:p>
        </w:tc>
        <w:tc>
          <w:tcPr>
            <w:tcW w:w="749" w:type="dxa"/>
            <w:shd w:val="clear" w:color="auto" w:fill="BDD7EE"/>
            <w:vAlign w:val="center"/>
            <w:hideMark/>
          </w:tcPr>
          <w:p w14:paraId="0A60380C" w14:textId="77777777" w:rsidR="00C45D59" w:rsidRDefault="009B0962">
            <w:pPr>
              <w:pStyle w:val="P68B1DB1-Normal10"/>
              <w:spacing w:after="0" w:line="240" w:lineRule="auto"/>
              <w:jc w:val="center"/>
              <w:rPr>
                <w:rFonts w:eastAsia="Times New Roman" w:cs="Times New Roman"/>
                <w:bCs/>
                <w:noProof/>
                <w:szCs w:val="18"/>
              </w:rPr>
            </w:pPr>
            <w:r>
              <w:rPr>
                <w:noProof/>
              </w:rPr>
              <w:t>Anul</w:t>
            </w:r>
          </w:p>
        </w:tc>
        <w:tc>
          <w:tcPr>
            <w:tcW w:w="3617" w:type="dxa"/>
            <w:vMerge/>
            <w:vAlign w:val="center"/>
            <w:hideMark/>
          </w:tcPr>
          <w:p w14:paraId="2852D73D" w14:textId="77777777" w:rsidR="00C45D59" w:rsidRDefault="00C45D59">
            <w:pPr>
              <w:spacing w:after="0" w:line="240" w:lineRule="auto"/>
              <w:rPr>
                <w:rFonts w:ascii="Times New Roman" w:eastAsia="Times New Roman" w:hAnsi="Times New Roman" w:cs="Times New Roman"/>
                <w:b/>
                <w:bCs/>
                <w:noProof/>
                <w:sz w:val="18"/>
                <w:szCs w:val="18"/>
              </w:rPr>
            </w:pPr>
          </w:p>
        </w:tc>
      </w:tr>
      <w:tr w:rsidR="00C45D59" w14:paraId="553C7EBA" w14:textId="77777777">
        <w:trPr>
          <w:trHeight w:val="300"/>
          <w:jc w:val="center"/>
        </w:trPr>
        <w:tc>
          <w:tcPr>
            <w:tcW w:w="708" w:type="dxa"/>
            <w:shd w:val="clear" w:color="auto" w:fill="C6EFCE"/>
            <w:noWrap/>
          </w:tcPr>
          <w:p w14:paraId="6CAFB2C5" w14:textId="77777777" w:rsidR="00C45D59" w:rsidRDefault="009B0962">
            <w:pPr>
              <w:pStyle w:val="P68B1DB1-Normal12"/>
              <w:spacing w:after="0" w:line="240" w:lineRule="auto"/>
              <w:rPr>
                <w:rFonts w:eastAsia="Times New Roman"/>
                <w:noProof/>
              </w:rPr>
            </w:pPr>
            <w:r>
              <w:rPr>
                <w:noProof/>
              </w:rPr>
              <w:t>130</w:t>
            </w:r>
          </w:p>
        </w:tc>
        <w:tc>
          <w:tcPr>
            <w:tcW w:w="2160" w:type="dxa"/>
            <w:shd w:val="clear" w:color="auto" w:fill="C6EFCE"/>
            <w:noWrap/>
          </w:tcPr>
          <w:p w14:paraId="2B6A2129" w14:textId="77777777" w:rsidR="00C45D59" w:rsidRDefault="009B0962">
            <w:pPr>
              <w:pStyle w:val="P68B1DB1-Normal12"/>
              <w:spacing w:after="0" w:line="240" w:lineRule="auto"/>
              <w:rPr>
                <w:rFonts w:eastAsia="Times New Roman"/>
                <w:noProof/>
              </w:rPr>
            </w:pPr>
            <w:r>
              <w:rPr>
                <w:noProof/>
              </w:rPr>
              <w:t>7-2.3. Digitalizarea întreprinderilor – 16706_Transformarea digitală a IMM-urilor</w:t>
            </w:r>
          </w:p>
        </w:tc>
        <w:tc>
          <w:tcPr>
            <w:tcW w:w="1146" w:type="dxa"/>
            <w:shd w:val="clear" w:color="auto" w:fill="C6EFCE"/>
            <w:noWrap/>
          </w:tcPr>
          <w:p w14:paraId="2186E375" w14:textId="77777777" w:rsidR="00C45D59" w:rsidRDefault="009B0962">
            <w:pPr>
              <w:pStyle w:val="P68B1DB1-Normal12"/>
              <w:spacing w:after="0" w:line="240" w:lineRule="auto"/>
              <w:rPr>
                <w:rFonts w:eastAsia="Times New Roman"/>
                <w:noProof/>
              </w:rPr>
            </w:pPr>
            <w:r>
              <w:rPr>
                <w:noProof/>
              </w:rPr>
              <w:t>Etapă</w:t>
            </w:r>
          </w:p>
        </w:tc>
        <w:tc>
          <w:tcPr>
            <w:tcW w:w="1395" w:type="dxa"/>
            <w:shd w:val="clear" w:color="auto" w:fill="C6EFCE"/>
            <w:noWrap/>
          </w:tcPr>
          <w:p w14:paraId="4ED0D6DF" w14:textId="77777777" w:rsidR="00C45D59" w:rsidRDefault="009B0962">
            <w:pPr>
              <w:pStyle w:val="P68B1DB1-Normal12"/>
              <w:spacing w:after="0" w:line="240" w:lineRule="auto"/>
              <w:rPr>
                <w:rFonts w:eastAsia="Times New Roman"/>
                <w:noProof/>
              </w:rPr>
            </w:pPr>
            <w:r>
              <w:rPr>
                <w:noProof/>
              </w:rPr>
              <w:t>Transformarea digitală a IMM-urilor – cereri de propuneri</w:t>
            </w:r>
          </w:p>
        </w:tc>
        <w:tc>
          <w:tcPr>
            <w:tcW w:w="1380" w:type="dxa"/>
            <w:shd w:val="clear" w:color="auto" w:fill="C6EFCE"/>
            <w:noWrap/>
          </w:tcPr>
          <w:p w14:paraId="3CCFFAE9" w14:textId="77777777" w:rsidR="00C45D59" w:rsidRDefault="009B0962">
            <w:pPr>
              <w:pStyle w:val="P68B1DB1-Normal12"/>
              <w:spacing w:after="0" w:line="240" w:lineRule="auto"/>
              <w:rPr>
                <w:rFonts w:eastAsia="Times New Roman"/>
                <w:noProof/>
              </w:rPr>
            </w:pPr>
            <w:r>
              <w:rPr>
                <w:noProof/>
              </w:rPr>
              <w:t>Cerere de propuneri publicată</w:t>
            </w:r>
          </w:p>
        </w:tc>
        <w:tc>
          <w:tcPr>
            <w:tcW w:w="960" w:type="dxa"/>
            <w:shd w:val="clear" w:color="auto" w:fill="C6EFCE"/>
            <w:noWrap/>
          </w:tcPr>
          <w:p w14:paraId="11D98494"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957" w:type="dxa"/>
            <w:shd w:val="clear" w:color="auto" w:fill="C6EFCE"/>
            <w:noWrap/>
          </w:tcPr>
          <w:p w14:paraId="60BFE3A0"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690" w:type="dxa"/>
            <w:shd w:val="clear" w:color="auto" w:fill="C6EFCE"/>
            <w:noWrap/>
          </w:tcPr>
          <w:p w14:paraId="3C8C645E"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025" w:type="dxa"/>
            <w:shd w:val="clear" w:color="auto" w:fill="C6EFCE"/>
            <w:noWrap/>
          </w:tcPr>
          <w:p w14:paraId="70F32B8F" w14:textId="77777777" w:rsidR="00C45D59" w:rsidRDefault="009B0962">
            <w:pPr>
              <w:pStyle w:val="P68B1DB1-Normal12"/>
              <w:spacing w:after="0" w:line="240" w:lineRule="auto"/>
              <w:rPr>
                <w:rFonts w:eastAsia="Times New Roman"/>
                <w:noProof/>
              </w:rPr>
            </w:pPr>
            <w:r>
              <w:rPr>
                <w:noProof/>
              </w:rPr>
              <w:t>Î1</w:t>
            </w:r>
          </w:p>
        </w:tc>
        <w:tc>
          <w:tcPr>
            <w:tcW w:w="749" w:type="dxa"/>
            <w:shd w:val="clear" w:color="auto" w:fill="C6EFCE"/>
            <w:noWrap/>
          </w:tcPr>
          <w:p w14:paraId="3BDAFCBE" w14:textId="77777777" w:rsidR="00C45D59" w:rsidRDefault="009B0962">
            <w:pPr>
              <w:pStyle w:val="P68B1DB1-Normal12"/>
              <w:spacing w:after="0" w:line="240" w:lineRule="auto"/>
              <w:rPr>
                <w:rFonts w:eastAsia="Times New Roman"/>
                <w:noProof/>
              </w:rPr>
            </w:pPr>
            <w:r>
              <w:rPr>
                <w:noProof/>
              </w:rPr>
              <w:t>2022</w:t>
            </w:r>
          </w:p>
        </w:tc>
        <w:tc>
          <w:tcPr>
            <w:tcW w:w="3617" w:type="dxa"/>
            <w:shd w:val="clear" w:color="auto" w:fill="C6EFCE"/>
            <w:noWrap/>
          </w:tcPr>
          <w:p w14:paraId="5B1EDF29" w14:textId="77777777" w:rsidR="00C45D59" w:rsidRDefault="009B0962">
            <w:pPr>
              <w:pStyle w:val="P68B1DB1-Normal12"/>
              <w:spacing w:after="0" w:line="240" w:lineRule="auto"/>
              <w:rPr>
                <w:rFonts w:eastAsia="Times New Roman"/>
                <w:noProof/>
              </w:rPr>
            </w:pPr>
            <w:r>
              <w:rPr>
                <w:noProof/>
              </w:rPr>
              <w:t xml:space="preserve">Lansarea tuturor cererilor competitive de propuneri de finanțare pentru schema de vouchere pentru transformarea digitală a întreprinderilor (subproiectele 1), platformele și spațiile de date industriale (subproiectele 2) și registrele de numerar și modernizarea ecosistemului POS (subproiectele 4), cu termeni de referință care să includă criterii de eligibilitate care să asigure că proiectele selectate respectă Orientările tehnice de „a nu prejudicia în mod semnificativ” (2021/C58/01) prin utilizarea unei liste de excludere și a cerinței de conformitate cu legislația UE și națională relevantă în materie de mediu. </w:t>
            </w:r>
          </w:p>
          <w:p w14:paraId="4A641570" w14:textId="77777777" w:rsidR="00C45D59" w:rsidRDefault="00C45D59">
            <w:pPr>
              <w:spacing w:after="0" w:line="240" w:lineRule="auto"/>
              <w:rPr>
                <w:rFonts w:ascii="Times New Roman" w:eastAsia="Times New Roman" w:hAnsi="Times New Roman" w:cs="Times New Roman"/>
                <w:noProof/>
                <w:color w:val="006100"/>
                <w:sz w:val="18"/>
                <w:szCs w:val="18"/>
              </w:rPr>
            </w:pPr>
          </w:p>
          <w:p w14:paraId="7C9758F4" w14:textId="77777777" w:rsidR="00C45D59" w:rsidRDefault="009B0962">
            <w:pPr>
              <w:pStyle w:val="P68B1DB1-Normal12"/>
              <w:spacing w:after="0" w:line="240" w:lineRule="auto"/>
              <w:rPr>
                <w:rFonts w:eastAsia="Times New Roman"/>
                <w:noProof/>
              </w:rPr>
            </w:pPr>
            <w:r>
              <w:rPr>
                <w:noProof/>
              </w:rPr>
              <w:t xml:space="preserve">Investițiile sunt direcționate către tehnologii și servicii care promovează digitalizarea întreprinderilor mici și mijlocii, și anume aplicațiile de plată electronică, de vânzare electronică și de facturare electronică, instrumentele pentru publicitatea digitală, sistemele de telemuncă, analiza afacerilor, perfecționarea digitală, serviciile de backup și de recuperare în caz de dezastru, inteligența artificială, internetul obiectelor, furnizarea de soluții integrate pentru servicii contactless, sistemele de securitate cibernetică, infrastructurile și serviciile de cloud, modelele de platforme de date industriale și software-ul, registrele de numerar și modernizarea ecosistemului POS. </w:t>
            </w:r>
          </w:p>
        </w:tc>
      </w:tr>
      <w:tr w:rsidR="00C45D59" w14:paraId="72EBF7A7" w14:textId="77777777">
        <w:trPr>
          <w:trHeight w:val="300"/>
          <w:jc w:val="center"/>
        </w:trPr>
        <w:tc>
          <w:tcPr>
            <w:tcW w:w="708" w:type="dxa"/>
            <w:shd w:val="clear" w:color="auto" w:fill="C6EFCE"/>
            <w:noWrap/>
          </w:tcPr>
          <w:p w14:paraId="0CD6899A" w14:textId="77777777" w:rsidR="00C45D59" w:rsidRDefault="009B0962">
            <w:pPr>
              <w:pStyle w:val="P68B1DB1-Normal12"/>
              <w:spacing w:after="0" w:line="240" w:lineRule="auto"/>
              <w:rPr>
                <w:rFonts w:eastAsia="Times New Roman"/>
                <w:noProof/>
              </w:rPr>
            </w:pPr>
            <w:r>
              <w:rPr>
                <w:noProof/>
              </w:rPr>
              <w:t>131</w:t>
            </w:r>
          </w:p>
        </w:tc>
        <w:tc>
          <w:tcPr>
            <w:tcW w:w="2160" w:type="dxa"/>
            <w:shd w:val="clear" w:color="auto" w:fill="C6EFCE"/>
            <w:noWrap/>
          </w:tcPr>
          <w:p w14:paraId="1D699F3B" w14:textId="77777777" w:rsidR="00C45D59" w:rsidRDefault="009B0962">
            <w:pPr>
              <w:pStyle w:val="P68B1DB1-Normal12"/>
              <w:spacing w:after="0" w:line="240" w:lineRule="auto"/>
              <w:rPr>
                <w:rFonts w:eastAsia="Times New Roman"/>
                <w:noProof/>
              </w:rPr>
            </w:pPr>
            <w:r>
              <w:rPr>
                <w:noProof/>
              </w:rPr>
              <w:t>7-2.3. Digitalizarea întreprinderilor – 16706_Transformarea digitală a IMM-urilor</w:t>
            </w:r>
          </w:p>
        </w:tc>
        <w:tc>
          <w:tcPr>
            <w:tcW w:w="1146" w:type="dxa"/>
            <w:shd w:val="clear" w:color="auto" w:fill="C6EFCE"/>
            <w:noWrap/>
          </w:tcPr>
          <w:p w14:paraId="780E5C71" w14:textId="77777777" w:rsidR="00C45D59" w:rsidRDefault="009B0962">
            <w:pPr>
              <w:pStyle w:val="P68B1DB1-Normal12"/>
              <w:spacing w:after="0" w:line="240" w:lineRule="auto"/>
              <w:rPr>
                <w:rFonts w:eastAsia="Times New Roman"/>
                <w:noProof/>
              </w:rPr>
            </w:pPr>
            <w:r>
              <w:rPr>
                <w:noProof/>
              </w:rPr>
              <w:t>Etapă</w:t>
            </w:r>
          </w:p>
        </w:tc>
        <w:tc>
          <w:tcPr>
            <w:tcW w:w="1395" w:type="dxa"/>
            <w:shd w:val="clear" w:color="auto" w:fill="C6EFCE"/>
            <w:noWrap/>
          </w:tcPr>
          <w:p w14:paraId="59FD5C3A" w14:textId="77777777" w:rsidR="00C45D59" w:rsidRDefault="009B0962">
            <w:pPr>
              <w:pStyle w:val="P68B1DB1-Normal12"/>
              <w:spacing w:after="0" w:line="240" w:lineRule="auto"/>
              <w:rPr>
                <w:rFonts w:eastAsia="Times New Roman"/>
                <w:noProof/>
              </w:rPr>
            </w:pPr>
            <w:r>
              <w:rPr>
                <w:noProof/>
              </w:rPr>
              <w:t>Transformarea digitală a IMM-urilor – Sprijin pentru digitalizare prin scheme de vouchere</w:t>
            </w:r>
          </w:p>
        </w:tc>
        <w:tc>
          <w:tcPr>
            <w:tcW w:w="1380" w:type="dxa"/>
            <w:shd w:val="clear" w:color="auto" w:fill="C6EFCE"/>
            <w:noWrap/>
          </w:tcPr>
          <w:p w14:paraId="67C7FC9A" w14:textId="46C9349F" w:rsidR="00C45D59" w:rsidRDefault="009B0962">
            <w:pPr>
              <w:pStyle w:val="P68B1DB1-Normal12"/>
              <w:spacing w:after="0" w:line="240" w:lineRule="auto"/>
              <w:rPr>
                <w:noProof/>
              </w:rPr>
            </w:pPr>
            <w:r>
              <w:rPr>
                <w:noProof/>
              </w:rPr>
              <w:t>— 72 400 de IMM-uri au primit sprijin pentru digitalizare finanțat prin schema de vouchere</w:t>
            </w:r>
          </w:p>
          <w:p w14:paraId="7E32907C" w14:textId="77777777" w:rsidR="00C45D59" w:rsidRDefault="00C45D59">
            <w:pPr>
              <w:spacing w:after="0" w:line="240" w:lineRule="auto"/>
              <w:rPr>
                <w:rFonts w:ascii="Times New Roman" w:hAnsi="Times New Roman" w:cs="Times New Roman"/>
                <w:noProof/>
                <w:color w:val="006100"/>
                <w:sz w:val="18"/>
                <w:szCs w:val="18"/>
              </w:rPr>
            </w:pPr>
          </w:p>
          <w:p w14:paraId="7EADE5A2" w14:textId="68D12601" w:rsidR="00C45D59" w:rsidRDefault="009B0962">
            <w:pPr>
              <w:spacing w:after="0" w:line="240" w:lineRule="auto"/>
              <w:rPr>
                <w:rFonts w:ascii="Times New Roman" w:eastAsia="Times New Roman" w:hAnsi="Times New Roman" w:cs="Times New Roman"/>
                <w:noProof/>
                <w:color w:val="006100"/>
                <w:sz w:val="18"/>
                <w:szCs w:val="18"/>
              </w:rPr>
            </w:pPr>
            <w:r>
              <w:rPr>
                <w:rFonts w:ascii="Times New Roman" w:hAnsi="Times New Roman" w:cs="Times New Roman"/>
                <w:noProof/>
                <w:color w:val="006100"/>
                <w:sz w:val="18"/>
                <w:szCs w:val="18"/>
              </w:rPr>
              <w:t>— 102 500 case de marcat (sau facturare electronică/facturare mobilă) și</w:t>
            </w:r>
            <w:r>
              <w:rPr>
                <w:noProof/>
              </w:rPr>
              <w:br/>
            </w:r>
            <w:r>
              <w:rPr>
                <w:rFonts w:ascii="Times New Roman" w:hAnsi="Times New Roman" w:cs="Times New Roman"/>
                <w:noProof/>
                <w:color w:val="006100"/>
                <w:sz w:val="18"/>
                <w:szCs w:val="18"/>
              </w:rPr>
              <w:t>12 500 OP-uri noi, modernizate sau înlocuite, finanțate printr-un sistem de vouchere</w:t>
            </w:r>
          </w:p>
        </w:tc>
        <w:tc>
          <w:tcPr>
            <w:tcW w:w="960" w:type="dxa"/>
            <w:shd w:val="clear" w:color="auto" w:fill="C6EFCE"/>
            <w:noWrap/>
          </w:tcPr>
          <w:p w14:paraId="704F71E8"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957" w:type="dxa"/>
            <w:shd w:val="clear" w:color="auto" w:fill="C6EFCE"/>
            <w:noWrap/>
          </w:tcPr>
          <w:p w14:paraId="32D1CD70"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690" w:type="dxa"/>
            <w:shd w:val="clear" w:color="auto" w:fill="C6EFCE"/>
            <w:noWrap/>
          </w:tcPr>
          <w:p w14:paraId="35C31AC7"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025" w:type="dxa"/>
            <w:shd w:val="clear" w:color="auto" w:fill="C6EFCE"/>
            <w:noWrap/>
          </w:tcPr>
          <w:p w14:paraId="18E71D03" w14:textId="77777777" w:rsidR="00C45D59" w:rsidRDefault="009B0962">
            <w:pPr>
              <w:pStyle w:val="P68B1DB1-Normal12"/>
              <w:spacing w:after="0" w:line="240" w:lineRule="auto"/>
              <w:rPr>
                <w:rFonts w:eastAsia="Times New Roman"/>
                <w:noProof/>
              </w:rPr>
            </w:pPr>
            <w:r>
              <w:rPr>
                <w:noProof/>
              </w:rPr>
              <w:t>Î2</w:t>
            </w:r>
          </w:p>
        </w:tc>
        <w:tc>
          <w:tcPr>
            <w:tcW w:w="749" w:type="dxa"/>
            <w:shd w:val="clear" w:color="auto" w:fill="C6EFCE"/>
            <w:noWrap/>
          </w:tcPr>
          <w:p w14:paraId="7550B1F6" w14:textId="77777777" w:rsidR="00C45D59" w:rsidRDefault="009B0962">
            <w:pPr>
              <w:pStyle w:val="P68B1DB1-Normal12"/>
              <w:spacing w:after="0" w:line="240" w:lineRule="auto"/>
              <w:rPr>
                <w:rFonts w:eastAsia="Times New Roman"/>
                <w:noProof/>
              </w:rPr>
            </w:pPr>
            <w:r>
              <w:rPr>
                <w:noProof/>
              </w:rPr>
              <w:t>2025</w:t>
            </w:r>
          </w:p>
        </w:tc>
        <w:tc>
          <w:tcPr>
            <w:tcW w:w="3617" w:type="dxa"/>
            <w:shd w:val="clear" w:color="auto" w:fill="C6EFCE"/>
            <w:noWrap/>
          </w:tcPr>
          <w:p w14:paraId="33C81B36" w14:textId="61A926B5" w:rsidR="00C45D59" w:rsidRDefault="009B0962">
            <w:pPr>
              <w:pStyle w:val="P68B1DB1-Normal12"/>
              <w:spacing w:after="0" w:line="240" w:lineRule="auto"/>
              <w:rPr>
                <w:noProof/>
              </w:rPr>
            </w:pPr>
            <w:r>
              <w:rPr>
                <w:noProof/>
              </w:rPr>
              <w:t>— 72 400 de IMM-uri au primit sprijin pentru digitalizare finanțat prin schema de vouchere</w:t>
            </w:r>
          </w:p>
          <w:p w14:paraId="1EC8AF60" w14:textId="77777777" w:rsidR="00C45D59" w:rsidRDefault="00C45D59">
            <w:pPr>
              <w:spacing w:after="0" w:line="240" w:lineRule="auto"/>
              <w:rPr>
                <w:rFonts w:ascii="Times New Roman" w:hAnsi="Times New Roman" w:cs="Times New Roman"/>
                <w:noProof/>
                <w:color w:val="006100"/>
                <w:sz w:val="18"/>
                <w:szCs w:val="18"/>
              </w:rPr>
            </w:pPr>
          </w:p>
          <w:p w14:paraId="13FCB7AA" w14:textId="215201FE" w:rsidR="00C45D59" w:rsidRDefault="009B0962">
            <w:pPr>
              <w:pStyle w:val="P68B1DB1-Normal12"/>
              <w:spacing w:after="0" w:line="240" w:lineRule="auto"/>
              <w:rPr>
                <w:noProof/>
              </w:rPr>
            </w:pPr>
            <w:r>
              <w:rPr>
                <w:noProof/>
              </w:rPr>
              <w:t>— 102 500 case de marcat sau facturare electronică sau mobilă (de exemplu, X-van) noi, modernizate sau înlocuite și 12 500 sisteme POS noi, modernizate sau înlocuite, finanțate printr-un sistem de vouchere</w:t>
            </w:r>
          </w:p>
          <w:p w14:paraId="611EBAAA" w14:textId="77777777" w:rsidR="00C45D59" w:rsidRDefault="00C45D59">
            <w:pPr>
              <w:spacing w:after="0" w:line="240" w:lineRule="auto"/>
              <w:rPr>
                <w:rFonts w:ascii="Times New Roman" w:eastAsia="Times New Roman" w:hAnsi="Times New Roman" w:cs="Times New Roman"/>
                <w:noProof/>
                <w:color w:val="006100"/>
                <w:sz w:val="18"/>
                <w:szCs w:val="18"/>
              </w:rPr>
            </w:pPr>
          </w:p>
        </w:tc>
      </w:tr>
      <w:tr w:rsidR="00C45D59" w14:paraId="4A6BEEB4" w14:textId="77777777">
        <w:trPr>
          <w:trHeight w:val="300"/>
          <w:jc w:val="center"/>
        </w:trPr>
        <w:tc>
          <w:tcPr>
            <w:tcW w:w="708" w:type="dxa"/>
            <w:shd w:val="clear" w:color="auto" w:fill="C6EFCE"/>
            <w:noWrap/>
          </w:tcPr>
          <w:p w14:paraId="6188B116" w14:textId="58FA46E0" w:rsidR="00C45D59" w:rsidRDefault="009B0962">
            <w:pPr>
              <w:pStyle w:val="P68B1DB1-Normal12"/>
              <w:spacing w:line="240" w:lineRule="auto"/>
              <w:rPr>
                <w:noProof/>
              </w:rPr>
            </w:pPr>
            <w:r>
              <w:rPr>
                <w:noProof/>
              </w:rPr>
              <w:t>131a</w:t>
            </w:r>
          </w:p>
        </w:tc>
        <w:tc>
          <w:tcPr>
            <w:tcW w:w="2160" w:type="dxa"/>
            <w:shd w:val="clear" w:color="auto" w:fill="C6EFCE"/>
            <w:noWrap/>
          </w:tcPr>
          <w:p w14:paraId="53FE76BA" w14:textId="77777777" w:rsidR="00C45D59" w:rsidRDefault="009B0962">
            <w:pPr>
              <w:pStyle w:val="P68B1DB1-Normal12"/>
              <w:spacing w:after="0" w:line="240" w:lineRule="auto"/>
              <w:rPr>
                <w:rFonts w:eastAsia="Times New Roman"/>
                <w:noProof/>
              </w:rPr>
            </w:pPr>
            <w:r>
              <w:rPr>
                <w:noProof/>
              </w:rPr>
              <w:t>7-2.3. Digitalizarea întreprinderilor – 16706_Transformarea digitală a IMM-urilor</w:t>
            </w:r>
          </w:p>
        </w:tc>
        <w:tc>
          <w:tcPr>
            <w:tcW w:w="1146" w:type="dxa"/>
            <w:shd w:val="clear" w:color="auto" w:fill="C6EFCE"/>
            <w:noWrap/>
          </w:tcPr>
          <w:p w14:paraId="641DA053" w14:textId="77777777" w:rsidR="00C45D59" w:rsidRDefault="009B0962">
            <w:pPr>
              <w:pStyle w:val="P68B1DB1-Normal12"/>
              <w:spacing w:after="0" w:line="240" w:lineRule="auto"/>
              <w:rPr>
                <w:rFonts w:eastAsia="Times New Roman"/>
                <w:noProof/>
              </w:rPr>
            </w:pPr>
            <w:r>
              <w:rPr>
                <w:noProof/>
              </w:rPr>
              <w:t>Etapă</w:t>
            </w:r>
          </w:p>
        </w:tc>
        <w:tc>
          <w:tcPr>
            <w:tcW w:w="1395" w:type="dxa"/>
            <w:shd w:val="clear" w:color="auto" w:fill="C6EFCE"/>
            <w:noWrap/>
          </w:tcPr>
          <w:p w14:paraId="10EB2C4F" w14:textId="0ECFED9C" w:rsidR="00C45D59" w:rsidRDefault="009B0962">
            <w:pPr>
              <w:pStyle w:val="P68B1DB1-Normal12"/>
              <w:spacing w:after="0"/>
              <w:rPr>
                <w:noProof/>
              </w:rPr>
            </w:pPr>
            <w:r>
              <w:rPr>
                <w:noProof/>
              </w:rPr>
              <w:t>Transformarea digitală a IMM-urilor – Realizarea jalonului 2 al proiectelor de investiții pentru produse/servicii digitale</w:t>
            </w:r>
          </w:p>
        </w:tc>
        <w:tc>
          <w:tcPr>
            <w:tcW w:w="1380" w:type="dxa"/>
            <w:shd w:val="clear" w:color="auto" w:fill="C6EFCE"/>
            <w:noWrap/>
          </w:tcPr>
          <w:p w14:paraId="290F80C8" w14:textId="06D67AB2" w:rsidR="00C45D59" w:rsidRDefault="009B0962">
            <w:pPr>
              <w:pStyle w:val="P68B1DB1-Normal12"/>
              <w:spacing w:after="0" w:line="240" w:lineRule="auto"/>
              <w:rPr>
                <w:noProof/>
              </w:rPr>
            </w:pPr>
            <w:r>
              <w:rPr>
                <w:noProof/>
              </w:rPr>
              <w:t>Jalonul 2 din 100 de proiecte de investiții realizate</w:t>
            </w:r>
          </w:p>
        </w:tc>
        <w:tc>
          <w:tcPr>
            <w:tcW w:w="960" w:type="dxa"/>
            <w:shd w:val="clear" w:color="auto" w:fill="C6EFCE"/>
            <w:noWrap/>
          </w:tcPr>
          <w:p w14:paraId="52CC4755" w14:textId="7954C62A" w:rsidR="00C45D59" w:rsidRDefault="00C45D59">
            <w:pPr>
              <w:spacing w:line="240" w:lineRule="auto"/>
              <w:rPr>
                <w:rFonts w:ascii="Times New Roman" w:eastAsia="Times New Roman" w:hAnsi="Times New Roman" w:cs="Times New Roman"/>
                <w:noProof/>
                <w:color w:val="006100"/>
                <w:sz w:val="18"/>
                <w:szCs w:val="18"/>
              </w:rPr>
            </w:pPr>
          </w:p>
        </w:tc>
        <w:tc>
          <w:tcPr>
            <w:tcW w:w="957" w:type="dxa"/>
            <w:shd w:val="clear" w:color="auto" w:fill="C6EFCE"/>
            <w:noWrap/>
          </w:tcPr>
          <w:p w14:paraId="01D95715" w14:textId="77777777" w:rsidR="00C45D59" w:rsidRDefault="00C45D59">
            <w:pPr>
              <w:spacing w:line="240" w:lineRule="auto"/>
              <w:rPr>
                <w:rFonts w:ascii="Times New Roman" w:eastAsia="Times New Roman" w:hAnsi="Times New Roman" w:cs="Times New Roman"/>
                <w:noProof/>
                <w:color w:val="006100"/>
                <w:sz w:val="18"/>
                <w:szCs w:val="18"/>
              </w:rPr>
            </w:pPr>
          </w:p>
        </w:tc>
        <w:tc>
          <w:tcPr>
            <w:tcW w:w="690" w:type="dxa"/>
            <w:shd w:val="clear" w:color="auto" w:fill="C6EFCE"/>
            <w:noWrap/>
          </w:tcPr>
          <w:p w14:paraId="09EE73E2" w14:textId="77777777" w:rsidR="00C45D59" w:rsidRDefault="00C45D59">
            <w:pPr>
              <w:spacing w:line="240" w:lineRule="auto"/>
              <w:rPr>
                <w:rFonts w:ascii="Times New Roman" w:eastAsia="Times New Roman" w:hAnsi="Times New Roman" w:cs="Times New Roman"/>
                <w:noProof/>
                <w:color w:val="006100"/>
                <w:sz w:val="18"/>
                <w:szCs w:val="18"/>
              </w:rPr>
            </w:pPr>
          </w:p>
        </w:tc>
        <w:tc>
          <w:tcPr>
            <w:tcW w:w="1025" w:type="dxa"/>
            <w:shd w:val="clear" w:color="auto" w:fill="C6EFCE"/>
            <w:noWrap/>
          </w:tcPr>
          <w:p w14:paraId="1BE061E0" w14:textId="77777777" w:rsidR="00C45D59" w:rsidRDefault="009B0962">
            <w:pPr>
              <w:pStyle w:val="P68B1DB1-Normal12"/>
              <w:spacing w:line="240" w:lineRule="auto"/>
              <w:rPr>
                <w:noProof/>
              </w:rPr>
            </w:pPr>
            <w:r>
              <w:rPr>
                <w:noProof/>
              </w:rPr>
              <w:t>Î4</w:t>
            </w:r>
          </w:p>
        </w:tc>
        <w:tc>
          <w:tcPr>
            <w:tcW w:w="749" w:type="dxa"/>
            <w:shd w:val="clear" w:color="auto" w:fill="C6EFCE"/>
            <w:noWrap/>
          </w:tcPr>
          <w:p w14:paraId="0A177E66" w14:textId="77777777" w:rsidR="00C45D59" w:rsidRDefault="009B0962">
            <w:pPr>
              <w:pStyle w:val="P68B1DB1-Normal12"/>
              <w:spacing w:line="240" w:lineRule="auto"/>
              <w:rPr>
                <w:noProof/>
              </w:rPr>
            </w:pPr>
            <w:r>
              <w:rPr>
                <w:noProof/>
              </w:rPr>
              <w:t>2025</w:t>
            </w:r>
          </w:p>
        </w:tc>
        <w:tc>
          <w:tcPr>
            <w:tcW w:w="3617" w:type="dxa"/>
            <w:shd w:val="clear" w:color="auto" w:fill="C6EFCE"/>
            <w:noWrap/>
          </w:tcPr>
          <w:p w14:paraId="4258C3D8" w14:textId="67D7C4EC" w:rsidR="00C45D59" w:rsidRDefault="009B0962">
            <w:pPr>
              <w:pStyle w:val="P68B1DB1-Normal12"/>
              <w:spacing w:after="0" w:line="240" w:lineRule="auto"/>
              <w:rPr>
                <w:noProof/>
              </w:rPr>
            </w:pPr>
            <w:r>
              <w:rPr>
                <w:noProof/>
              </w:rPr>
              <w:t>Realizarea prototipului funcțional (jalonul 2) a 100 de proiecte de investiții care vizează produse/servicii digitale</w:t>
            </w:r>
          </w:p>
          <w:p w14:paraId="625DFAD0" w14:textId="77777777" w:rsidR="00C45D59" w:rsidRDefault="00C45D59">
            <w:pPr>
              <w:spacing w:after="0" w:line="240" w:lineRule="auto"/>
              <w:rPr>
                <w:rFonts w:ascii="Times New Roman" w:hAnsi="Times New Roman" w:cs="Times New Roman"/>
                <w:noProof/>
                <w:color w:val="006100"/>
                <w:sz w:val="18"/>
                <w:szCs w:val="18"/>
              </w:rPr>
            </w:pPr>
          </w:p>
        </w:tc>
      </w:tr>
      <w:tr w:rsidR="00C45D59" w14:paraId="1DDA5C25" w14:textId="77777777">
        <w:trPr>
          <w:trHeight w:val="300"/>
          <w:jc w:val="center"/>
        </w:trPr>
        <w:tc>
          <w:tcPr>
            <w:tcW w:w="708" w:type="dxa"/>
            <w:shd w:val="clear" w:color="auto" w:fill="C6EFCE"/>
            <w:noWrap/>
            <w:hideMark/>
          </w:tcPr>
          <w:p w14:paraId="29B153DF" w14:textId="77777777" w:rsidR="00C45D59" w:rsidRDefault="009B0962">
            <w:pPr>
              <w:pStyle w:val="P68B1DB1-Normal12"/>
              <w:spacing w:after="0" w:line="240" w:lineRule="auto"/>
              <w:rPr>
                <w:rFonts w:eastAsia="Times New Roman"/>
                <w:noProof/>
              </w:rPr>
            </w:pPr>
            <w:r>
              <w:rPr>
                <w:noProof/>
              </w:rPr>
              <w:t>132</w:t>
            </w:r>
          </w:p>
        </w:tc>
        <w:tc>
          <w:tcPr>
            <w:tcW w:w="2160" w:type="dxa"/>
            <w:shd w:val="clear" w:color="auto" w:fill="C6EFCE"/>
            <w:noWrap/>
            <w:hideMark/>
          </w:tcPr>
          <w:p w14:paraId="12EB5BBF" w14:textId="77777777" w:rsidR="00C45D59" w:rsidRDefault="009B0962">
            <w:pPr>
              <w:pStyle w:val="P68B1DB1-Normal12"/>
              <w:spacing w:after="0" w:line="240" w:lineRule="auto"/>
              <w:rPr>
                <w:rFonts w:eastAsia="Times New Roman"/>
                <w:noProof/>
              </w:rPr>
            </w:pPr>
            <w:r>
              <w:rPr>
                <w:noProof/>
              </w:rPr>
              <w:t>7-2.3. Digitalizarea întreprinderilor – 16973_Crearea unui ecosistem de afaceri digital pentru facilitarea transformării digitale a IMM-urilor</w:t>
            </w:r>
          </w:p>
        </w:tc>
        <w:tc>
          <w:tcPr>
            <w:tcW w:w="1146" w:type="dxa"/>
            <w:shd w:val="clear" w:color="auto" w:fill="C6EFCE"/>
            <w:noWrap/>
            <w:hideMark/>
          </w:tcPr>
          <w:p w14:paraId="6A2B57AC" w14:textId="77777777" w:rsidR="00C45D59" w:rsidRDefault="009B0962">
            <w:pPr>
              <w:pStyle w:val="P68B1DB1-Normal12"/>
              <w:spacing w:after="0" w:line="240" w:lineRule="auto"/>
              <w:rPr>
                <w:rFonts w:eastAsia="Times New Roman"/>
                <w:noProof/>
              </w:rPr>
            </w:pPr>
            <w:r>
              <w:rPr>
                <w:noProof/>
              </w:rPr>
              <w:t>Etapă</w:t>
            </w:r>
          </w:p>
        </w:tc>
        <w:tc>
          <w:tcPr>
            <w:tcW w:w="1395" w:type="dxa"/>
            <w:shd w:val="clear" w:color="auto" w:fill="C6EFCE"/>
            <w:noWrap/>
            <w:hideMark/>
          </w:tcPr>
          <w:p w14:paraId="1BCF3E8C" w14:textId="77777777" w:rsidR="00C45D59" w:rsidRDefault="009B0962">
            <w:pPr>
              <w:pStyle w:val="P68B1DB1-Normal12"/>
              <w:spacing w:after="0" w:line="240" w:lineRule="auto"/>
              <w:rPr>
                <w:rFonts w:eastAsia="Times New Roman"/>
                <w:noProof/>
              </w:rPr>
            </w:pPr>
            <w:r>
              <w:rPr>
                <w:noProof/>
              </w:rPr>
              <w:t>Transformarea digitală a IMM-urilor – Reforma legislativă pentru stimularea adoptării tehnologiilor</w:t>
            </w:r>
          </w:p>
        </w:tc>
        <w:tc>
          <w:tcPr>
            <w:tcW w:w="1380" w:type="dxa"/>
            <w:shd w:val="clear" w:color="auto" w:fill="C6EFCE"/>
            <w:noWrap/>
            <w:hideMark/>
          </w:tcPr>
          <w:p w14:paraId="789F4B43" w14:textId="77777777" w:rsidR="00C45D59" w:rsidRDefault="009B0962">
            <w:pPr>
              <w:pStyle w:val="P68B1DB1-Normal12"/>
              <w:spacing w:after="0" w:line="240" w:lineRule="auto"/>
              <w:rPr>
                <w:rFonts w:eastAsia="Times New Roman"/>
                <w:noProof/>
              </w:rPr>
            </w:pPr>
            <w:r>
              <w:rPr>
                <w:noProof/>
              </w:rPr>
              <w:t xml:space="preserve">Intrarea în vigoare a legislației pentru înființarea eMarketPlace și a fabricii de IA „Pharos”. </w:t>
            </w:r>
          </w:p>
        </w:tc>
        <w:tc>
          <w:tcPr>
            <w:tcW w:w="960" w:type="dxa"/>
            <w:shd w:val="clear" w:color="auto" w:fill="C6EFCE"/>
            <w:noWrap/>
          </w:tcPr>
          <w:p w14:paraId="12173158"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957" w:type="dxa"/>
            <w:shd w:val="clear" w:color="auto" w:fill="C6EFCE"/>
            <w:noWrap/>
          </w:tcPr>
          <w:p w14:paraId="1ECCB4F1"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690" w:type="dxa"/>
            <w:shd w:val="clear" w:color="auto" w:fill="C6EFCE"/>
            <w:noWrap/>
          </w:tcPr>
          <w:p w14:paraId="2E464F54"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025" w:type="dxa"/>
            <w:shd w:val="clear" w:color="auto" w:fill="C6EFCE"/>
            <w:noWrap/>
            <w:hideMark/>
          </w:tcPr>
          <w:p w14:paraId="5A5E11D2" w14:textId="77777777" w:rsidR="00C45D59" w:rsidRDefault="009B0962">
            <w:pPr>
              <w:pStyle w:val="P68B1DB1-Normal12"/>
              <w:spacing w:after="0" w:line="240" w:lineRule="auto"/>
              <w:rPr>
                <w:rFonts w:eastAsia="Times New Roman"/>
                <w:noProof/>
              </w:rPr>
            </w:pPr>
            <w:r>
              <w:rPr>
                <w:noProof/>
              </w:rPr>
              <w:t>Î2</w:t>
            </w:r>
          </w:p>
        </w:tc>
        <w:tc>
          <w:tcPr>
            <w:tcW w:w="749" w:type="dxa"/>
            <w:shd w:val="clear" w:color="auto" w:fill="C6EFCE"/>
            <w:noWrap/>
            <w:hideMark/>
          </w:tcPr>
          <w:p w14:paraId="65DE89FE" w14:textId="77777777" w:rsidR="00C45D59" w:rsidRDefault="009B0962">
            <w:pPr>
              <w:pStyle w:val="P68B1DB1-Normal12"/>
              <w:spacing w:after="0" w:line="240" w:lineRule="auto"/>
              <w:rPr>
                <w:rFonts w:eastAsia="Times New Roman"/>
                <w:noProof/>
              </w:rPr>
            </w:pPr>
            <w:r>
              <w:rPr>
                <w:noProof/>
              </w:rPr>
              <w:t>2025</w:t>
            </w:r>
          </w:p>
        </w:tc>
        <w:tc>
          <w:tcPr>
            <w:tcW w:w="3617" w:type="dxa"/>
            <w:shd w:val="clear" w:color="auto" w:fill="C6EFCE"/>
            <w:noWrap/>
            <w:hideMark/>
          </w:tcPr>
          <w:p w14:paraId="5943ECA5" w14:textId="725F05BB" w:rsidR="00C45D59" w:rsidRDefault="009B0962">
            <w:pPr>
              <w:pStyle w:val="P68B1DB1-Normal12"/>
              <w:spacing w:after="0" w:line="240" w:lineRule="auto"/>
              <w:rPr>
                <w:rFonts w:eastAsia="Times New Roman"/>
                <w:noProof/>
              </w:rPr>
            </w:pPr>
            <w:r>
              <w:rPr>
                <w:noProof/>
              </w:rPr>
              <w:t xml:space="preserve">Intrarea în vigoare a cadrului de reglementare pentru (a) instituirea pieței electronice pentru a finanța furnizarea și punerea în aplicare a instrumentelor și proceselor digitale și (b) înființarea entității juridice care să gestioneze IA Pharos, pentru gestionarea datelor furnizate de entitățile din sectorul public și pentru furnizarea de servicii, de exemplu accesul la date, resurse de calcul și formare pentru start-upuri și IMM-uri. </w:t>
            </w:r>
          </w:p>
        </w:tc>
      </w:tr>
    </w:tbl>
    <w:p w14:paraId="5D0DC7FD" w14:textId="77777777" w:rsidR="00C45D59" w:rsidRDefault="00C45D59">
      <w:pPr>
        <w:spacing w:before="120" w:after="120" w:line="240" w:lineRule="auto"/>
        <w:jc w:val="both"/>
        <w:outlineLvl w:val="3"/>
        <w:rPr>
          <w:rFonts w:ascii="Times New Roman" w:hAnsi="Times New Roman" w:cs="Times New Roman"/>
          <w:b/>
          <w:bCs/>
          <w:noProof/>
          <w:sz w:val="24"/>
        </w:rPr>
        <w:sectPr w:rsidR="00C45D59">
          <w:headerReference w:type="even" r:id="rId162"/>
          <w:headerReference w:type="default" r:id="rId163"/>
          <w:footerReference w:type="even" r:id="rId164"/>
          <w:footerReference w:type="default" r:id="rId165"/>
          <w:headerReference w:type="first" r:id="rId166"/>
          <w:footerReference w:type="first" r:id="rId167"/>
          <w:pgSz w:w="16839" w:h="11907" w:orient="landscape"/>
          <w:pgMar w:top="1134" w:right="1134" w:bottom="1134" w:left="1134" w:header="567" w:footer="567" w:gutter="0"/>
          <w:cols w:space="720"/>
          <w:docGrid w:linePitch="360"/>
        </w:sectPr>
      </w:pPr>
    </w:p>
    <w:p w14:paraId="74BE18DD" w14:textId="77777777" w:rsidR="00C45D59" w:rsidRDefault="009B0962">
      <w:pPr>
        <w:pStyle w:val="P68B1DB1-Normal17"/>
        <w:spacing w:before="120" w:after="120" w:line="240" w:lineRule="auto"/>
        <w:ind w:firstLine="6"/>
        <w:jc w:val="both"/>
        <w:outlineLvl w:val="3"/>
        <w:rPr>
          <w:noProof/>
        </w:rPr>
      </w:pPr>
      <w:r>
        <w:rPr>
          <w:noProof/>
        </w:rPr>
        <w:t xml:space="preserve">H. COMPONENTA 3.1: PROMOVAREA CREĂRII DE LOCURI DE MUNCĂ ȘI A PARTICIPĂRII PE PIAȚA FORȚEI DE MUNCĂ </w:t>
      </w:r>
    </w:p>
    <w:p w14:paraId="3BCCBBF7" w14:textId="77777777" w:rsidR="00C45D59" w:rsidRDefault="009B0962">
      <w:pPr>
        <w:pStyle w:val="P68B1DB1-Normal14"/>
        <w:spacing w:before="120" w:after="120" w:line="240" w:lineRule="auto"/>
        <w:jc w:val="both"/>
        <w:rPr>
          <w:rFonts w:ascii="Times New Roman" w:hAnsi="Times New Roman" w:cs="Times New Roman"/>
          <w:noProof/>
          <w:color w:val="000000"/>
          <w:szCs w:val="24"/>
          <w:shd w:val="clear" w:color="auto" w:fill="FFFFFF"/>
        </w:rPr>
      </w:pPr>
      <w:r>
        <w:rPr>
          <w:rFonts w:ascii="Times New Roman" w:hAnsi="Times New Roman"/>
          <w:noProof/>
          <w:color w:val="000000"/>
          <w:shd w:val="clear" w:color="auto" w:fill="FFFFFF"/>
        </w:rPr>
        <w:t>Această componentă</w:t>
      </w:r>
      <w:r>
        <w:rPr>
          <w:rFonts w:ascii="Times New Roman" w:hAnsi="Times New Roman"/>
          <w:noProof/>
        </w:rPr>
        <w:t xml:space="preserve"> </w:t>
      </w:r>
      <w:r>
        <w:rPr>
          <w:rFonts w:ascii="Times New Roman" w:hAnsi="Times New Roman"/>
          <w:noProof/>
          <w:color w:val="000000"/>
        </w:rPr>
        <w:t>a planului de redresare și reziliență</w:t>
      </w:r>
      <w:r>
        <w:rPr>
          <w:rFonts w:ascii="Times New Roman" w:hAnsi="Times New Roman"/>
          <w:noProof/>
        </w:rPr>
        <w:t xml:space="preserve"> al Greciei </w:t>
      </w:r>
      <w:r>
        <w:rPr>
          <w:rFonts w:ascii="Times New Roman" w:hAnsi="Times New Roman"/>
          <w:noProof/>
          <w:color w:val="000000"/>
          <w:shd w:val="clear" w:color="auto" w:fill="FFFFFF"/>
        </w:rPr>
        <w:t>implică măsuri de reproiectare și consolidare a politicilor active în domeniul pieței forței de muncă, de îmbunătățire a eficienței serviciilor publice de ocupare a forței de muncă și de asigurare a unei plase de siguranță eficace împotriva șomajului, consolidând în același timp stimulentele pentru reintegrarea pe piața forței de muncă.</w:t>
      </w:r>
      <w:r>
        <w:rPr>
          <w:rFonts w:ascii="Times New Roman" w:hAnsi="Times New Roman"/>
          <w:b/>
          <w:noProof/>
          <w:color w:val="000000"/>
          <w:shd w:val="clear" w:color="auto" w:fill="FFFFFF"/>
        </w:rPr>
        <w:t xml:space="preserve"> </w:t>
      </w:r>
      <w:r>
        <w:rPr>
          <w:rFonts w:ascii="Times New Roman" w:hAnsi="Times New Roman"/>
          <w:noProof/>
          <w:color w:val="000000"/>
          <w:shd w:val="clear" w:color="auto" w:fill="FFFFFF"/>
        </w:rPr>
        <w:t xml:space="preserve">Cea mai mare parte a măsurilor componente se axează pe politici active în domeniul pieței forței de muncă, </w:t>
      </w:r>
      <w:r>
        <w:rPr>
          <w:rFonts w:ascii="Times New Roman" w:hAnsi="Times New Roman"/>
          <w:noProof/>
        </w:rPr>
        <w:t>inclusiv pe programe de activare care subvenționează ocuparea forței de muncă în sectorul privat și promovează perfecționarea și recalificarea forței de muncă, precum și pe investiții menite să stimuleze capacitatea serviciului public de ocupare a forței de muncă (OAED până la 18 aprilie 2022, ulterior DYPA) prin îmbunătățirea serviciilor de digitalizare și consiliere.</w:t>
      </w:r>
      <w:r>
        <w:rPr>
          <w:rFonts w:ascii="Times New Roman" w:hAnsi="Times New Roman"/>
          <w:noProof/>
          <w:color w:val="000000"/>
          <w:shd w:val="clear" w:color="auto" w:fill="FFFFFF"/>
        </w:rPr>
        <w:t xml:space="preserve"> În cadrul reformei politicilor pasive în domeniul pieței forței de muncă, planul </w:t>
      </w:r>
      <w:r>
        <w:rPr>
          <w:rFonts w:ascii="Times New Roman" w:hAnsi="Times New Roman"/>
          <w:noProof/>
        </w:rPr>
        <w:t>urmărește să îmbunătățească acoperirea și distribuția prestațiilor de șomaj, să consolideze plasa de siguranță socială, să promoveze participarea pe piața forței de muncă, inclusiv în rândul grupurilor vulnerabile, și să îmbunătățească eficiența și eficacitatea sistemului de protecție socială.</w:t>
      </w:r>
      <w:r>
        <w:rPr>
          <w:rFonts w:ascii="Times New Roman" w:hAnsi="Times New Roman"/>
          <w:noProof/>
          <w:color w:val="000000"/>
          <w:shd w:val="clear" w:color="auto" w:fill="FFFFFF"/>
        </w:rPr>
        <w:t xml:space="preserve"> Componenta este în conformitate cu recomandările specifice fiecărei țări de a asigura un sprijin eficace pentru activarea pe piața forței de muncă, de a investi în competențe și în capacitatea de inserție profesională și de a îmbunătăți digitalizarea administrației publice (recomandările</w:t>
      </w:r>
      <w:r>
        <w:rPr>
          <w:rFonts w:ascii="16747" w:hAnsi="16747"/>
          <w:noProof/>
          <w:color w:val="000000"/>
          <w:shd w:val="clear" w:color="auto" w:fill="FFFFFF"/>
        </w:rPr>
        <w:t xml:space="preserve"> specifice</w:t>
      </w:r>
      <w:r>
        <w:rPr>
          <w:rFonts w:ascii="Times New Roman" w:hAnsi="Times New Roman"/>
          <w:noProof/>
          <w:color w:val="000000"/>
          <w:shd w:val="clear" w:color="auto" w:fill="FFFFFF"/>
        </w:rPr>
        <w:t xml:space="preserve"> fiecărei țări 2 și 3 2020 și recomandarea specifică fiecărei țări 2 2019). În plus, axându-se, printre altele, pe promovarea competențelor și a ocupării forței de muncă în sectorul digital și în cel verde, componenta sprijină tranziția digitală și tranziția verde. </w:t>
      </w:r>
      <w:r>
        <w:rPr>
          <w:rFonts w:ascii="Times New Roman" w:hAnsi="Times New Roman"/>
          <w:noProof/>
        </w:rPr>
        <w:t xml:space="preserve">Se preconizează că nicio măsură din cadrul acestei componente nu prejudiciază în mod semnificativ obiectivele de mediu în sensul articolului 17 din Regulamentul (UE) 2020/852, ținând seama de descrierea măsurilor și a etapelor de atenuare prevăzute în planul de redresare și reziliență în conformitate cu Orientările tehnice privind aplicarea principiului de „a nu prejudicia în mod semnificativ” (2021/C58/01). </w:t>
      </w:r>
    </w:p>
    <w:p w14:paraId="3853B8F0" w14:textId="77777777" w:rsidR="00C45D59" w:rsidRDefault="009B0962">
      <w:pPr>
        <w:pStyle w:val="P68B1DB1-Normal6"/>
        <w:spacing w:before="120" w:after="120" w:line="240" w:lineRule="auto"/>
        <w:jc w:val="both"/>
        <w:rPr>
          <w:rFonts w:cs="Times New Roman"/>
          <w:bCs/>
          <w:i/>
          <w:iCs/>
          <w:noProof/>
          <w:color w:val="4F81BD"/>
        </w:rPr>
      </w:pPr>
      <w:r>
        <w:rPr>
          <w:noProof/>
        </w:rPr>
        <w:t>H.1. Descrierea reformelor și a investițiilor pentru sprijinul financiar nerambursabil</w:t>
      </w:r>
    </w:p>
    <w:p w14:paraId="7EEAB097" w14:textId="77777777" w:rsidR="00C45D59" w:rsidRDefault="009B0962">
      <w:pPr>
        <w:pStyle w:val="P68B1DB1-Normal7"/>
        <w:spacing w:before="120" w:after="120" w:line="240" w:lineRule="auto"/>
        <w:jc w:val="both"/>
        <w:rPr>
          <w:rFonts w:cs="Times New Roman"/>
          <w:noProof/>
        </w:rPr>
      </w:pPr>
      <w:r>
        <w:rPr>
          <w:b/>
          <w:noProof/>
        </w:rPr>
        <w:t xml:space="preserve">Reformă: </w:t>
      </w:r>
      <w:r>
        <w:rPr>
          <w:noProof/>
        </w:rPr>
        <w:t>Modernizarea și simplificarea legislației muncii (identificatorul măsurii: 16744)</w:t>
      </w:r>
    </w:p>
    <w:p w14:paraId="0C859628" w14:textId="77777777" w:rsidR="00C45D59" w:rsidRDefault="009B0962">
      <w:pPr>
        <w:pStyle w:val="P68B1DB1-Normal5"/>
        <w:spacing w:before="120" w:after="120" w:line="240" w:lineRule="auto"/>
        <w:jc w:val="both"/>
        <w:rPr>
          <w:rFonts w:cs="Times New Roman"/>
          <w:noProof/>
        </w:rPr>
      </w:pPr>
      <w:r>
        <w:rPr>
          <w:noProof/>
        </w:rPr>
        <w:t>Reforma implică intrarea în vigoare a unei legi cuprinzătoare a muncii care să raționalizeze aspectele-cheie ale pieței forței de muncă în vederea îmbunătățirii funcționării acesteia. În special, reforma vizează modernizarea a) legii muncii individuale, b) a legii muncii colective și a dreptului sindical, c) a sistemului informatic ERGANI al Ministerului Muncii, care este utilizat pentru monitorizarea pieței forței de muncă și pentru detectarea muncii nedeclarate și subdeclarate și d) a cadrului privind echilibrul dintre viața profesională și cea privată. Obiectivele generale ale reformei sunt creșterea creării de locuri de muncă și a competitivității, combaterea muncii nedeclarate și subdeclarate, îmbunătățirea echilibrului dintre viața profesională și cea privată și reducerea disparității de gen în ceea ce privește ocuparea forței de muncă. Punerea în aplicare a reformei se finalizează până la 30 septembrie 2021</w:t>
      </w:r>
      <w:r>
        <w:rPr>
          <w:i/>
          <w:noProof/>
        </w:rPr>
        <w:t>.</w:t>
      </w:r>
    </w:p>
    <w:p w14:paraId="7BDE3566" w14:textId="77777777" w:rsidR="00C45D59" w:rsidRDefault="009B0962">
      <w:pPr>
        <w:pStyle w:val="P68B1DB1-Normal7"/>
        <w:spacing w:before="120" w:after="120" w:line="240" w:lineRule="auto"/>
        <w:jc w:val="both"/>
        <w:rPr>
          <w:rFonts w:cs="Times New Roman"/>
          <w:noProof/>
        </w:rPr>
      </w:pPr>
      <w:r>
        <w:rPr>
          <w:b/>
          <w:noProof/>
        </w:rPr>
        <w:t>Investiții:</w:t>
      </w:r>
      <w:r>
        <w:rPr>
          <w:noProof/>
        </w:rPr>
        <w:t xml:space="preserve"> Transformarea digitală a sistemelor de muncă (identificatorul măsurii: 16750)</w:t>
      </w:r>
    </w:p>
    <w:p w14:paraId="16B38517" w14:textId="77777777" w:rsidR="00C45D59" w:rsidRDefault="009B0962">
      <w:pPr>
        <w:pStyle w:val="P68B1DB1-Normal7"/>
        <w:spacing w:after="0" w:line="240" w:lineRule="auto"/>
        <w:jc w:val="both"/>
        <w:rPr>
          <w:noProof/>
        </w:rPr>
      </w:pPr>
      <w:r>
        <w:rPr>
          <w:noProof/>
        </w:rPr>
        <w:t xml:space="preserve">Obiectivul măsurii este de a moderniza administrația publică și de a spori capacitatea acesteia de a oferi servicii mai bune și mai rapide angajaților și angajatorilor. Investiția constă în modernizarea și extinderea infrastructurilor digitale ale autorităților publice responsabile cu monitorizarea pieței forței de muncă și cu aspectele legate de securitatea socială. </w:t>
      </w:r>
    </w:p>
    <w:p w14:paraId="000580BA" w14:textId="77777777" w:rsidR="00C45D59" w:rsidRDefault="009B0962">
      <w:pPr>
        <w:pStyle w:val="P68B1DB1-Normal7"/>
        <w:spacing w:before="120" w:after="120" w:line="240" w:lineRule="auto"/>
        <w:jc w:val="both"/>
        <w:rPr>
          <w:rFonts w:cs="Times New Roman"/>
          <w:noProof/>
        </w:rPr>
      </w:pPr>
      <w:r>
        <w:rPr>
          <w:b/>
          <w:noProof/>
        </w:rPr>
        <w:t>Reformă:</w:t>
      </w:r>
      <w:r>
        <w:rPr>
          <w:noProof/>
        </w:rPr>
        <w:t xml:space="preserve"> Reforma politicilor active în domeniul pieței forței de muncă (identificatorul măsurii: 16747)</w:t>
      </w:r>
    </w:p>
    <w:p w14:paraId="6E2809FA" w14:textId="334441D7" w:rsidR="00C45D59" w:rsidRDefault="009B0962">
      <w:pPr>
        <w:pStyle w:val="P68B1DB1-Normal7"/>
        <w:spacing w:before="120" w:after="120" w:line="240" w:lineRule="auto"/>
        <w:jc w:val="both"/>
        <w:rPr>
          <w:noProof/>
        </w:rPr>
      </w:pPr>
      <w:r>
        <w:rPr>
          <w:noProof/>
        </w:rPr>
        <w:t xml:space="preserve">Obiectivul măsurii este de a redefini și de a consolida programele active pe piața forței de muncă. Măsura constă în programe de formare și de ocupare a forței de muncă și într-o </w:t>
      </w:r>
      <w:r>
        <w:rPr>
          <w:noProof/>
          <w:color w:val="000000" w:themeColor="text1"/>
        </w:rPr>
        <w:t xml:space="preserve">îmbunătățire temporară a personalului de consiliere din cadrul serviciului public de ocupare a forței de muncă. </w:t>
      </w:r>
    </w:p>
    <w:p w14:paraId="1113B4AF" w14:textId="77777777" w:rsidR="00C45D59" w:rsidRDefault="009B0962">
      <w:pPr>
        <w:pStyle w:val="P68B1DB1-Normal7"/>
        <w:spacing w:before="120" w:after="120" w:line="240" w:lineRule="auto"/>
        <w:jc w:val="both"/>
        <w:rPr>
          <w:rFonts w:cs="Times New Roman"/>
          <w:noProof/>
        </w:rPr>
      </w:pPr>
      <w:r>
        <w:rPr>
          <w:b/>
          <w:noProof/>
        </w:rPr>
        <w:t>Reformă:</w:t>
      </w:r>
      <w:r>
        <w:rPr>
          <w:noProof/>
        </w:rPr>
        <w:t xml:space="preserve"> Reforma politicilor pasive în domeniul pieței forței de muncă pentru a sprijini tranzițiile către ocuparea forței de muncă (identificatorul măsurii: 16746)</w:t>
      </w:r>
    </w:p>
    <w:p w14:paraId="3C075E63" w14:textId="4FC9BEA7" w:rsidR="00C45D59" w:rsidRDefault="009B0962">
      <w:pPr>
        <w:pStyle w:val="P68B1DB1-Normal7"/>
        <w:spacing w:before="120" w:after="120" w:line="240" w:lineRule="auto"/>
        <w:jc w:val="both"/>
        <w:rPr>
          <w:noProof/>
        </w:rPr>
      </w:pPr>
      <w:r>
        <w:rPr>
          <w:noProof/>
        </w:rPr>
        <w:t xml:space="preserve">Obiectivul reformei este de a îmbunătăți eficacitatea și eficiența politicilor pasive în domeniul pieței forței de muncă. Reforma constă în </w:t>
      </w:r>
      <w:r>
        <w:rPr>
          <w:noProof/>
          <w:color w:val="000000" w:themeColor="text1"/>
        </w:rPr>
        <w:t>consolidarea și raționalizarea prestațiilor și indemnizațiilor de șomaj, în eliminarea factorilor care descurajează perfecționarea/recalificarea în rândul șomerilor</w:t>
      </w:r>
      <w:r>
        <w:rPr>
          <w:noProof/>
          <w:color w:val="000000"/>
          <w:shd w:val="clear" w:color="auto" w:fill="FFFFFF"/>
        </w:rPr>
        <w:t>, precum și într-un</w:t>
      </w:r>
      <w:r>
        <w:rPr>
          <w:noProof/>
          <w:color w:val="000000" w:themeColor="text1"/>
        </w:rPr>
        <w:t xml:space="preserve"> proiect-pilot pentru </w:t>
      </w:r>
      <w:r>
        <w:rPr>
          <w:noProof/>
          <w:color w:val="000000"/>
          <w:shd w:val="clear" w:color="auto" w:fill="FFFFFF"/>
        </w:rPr>
        <w:t xml:space="preserve">un nou </w:t>
      </w:r>
      <w:r>
        <w:rPr>
          <w:noProof/>
          <w:color w:val="000000" w:themeColor="text1"/>
        </w:rPr>
        <w:t>sistem de asigurări de șomaj în Grecia.</w:t>
      </w:r>
    </w:p>
    <w:p w14:paraId="01BCDA61" w14:textId="32C4575E" w:rsidR="00C45D59" w:rsidRDefault="009B0962">
      <w:pPr>
        <w:pStyle w:val="P68B1DB1-Normal5"/>
        <w:spacing w:before="120" w:after="120" w:line="240" w:lineRule="auto"/>
        <w:jc w:val="both"/>
        <w:rPr>
          <w:rFonts w:cs="Times New Roman"/>
          <w:noProof/>
          <w:szCs w:val="24"/>
        </w:rPr>
      </w:pPr>
      <w:r>
        <w:rPr>
          <w:b/>
          <w:noProof/>
        </w:rPr>
        <w:t>Investiții:</w:t>
      </w:r>
      <w:r>
        <w:rPr>
          <w:noProof/>
        </w:rPr>
        <w:t xml:space="preserve"> Restructurarea și redefinirea sucursalelor locale ale DYPA pentru promovarea ocupării forței de muncă (KPA2) (măsura ID: 16941)</w:t>
      </w:r>
    </w:p>
    <w:p w14:paraId="4512699E" w14:textId="66572B75" w:rsidR="00C45D59" w:rsidRDefault="009B0962">
      <w:pPr>
        <w:pStyle w:val="P68B1DB1-Normal7"/>
        <w:spacing w:before="120" w:after="120" w:line="240" w:lineRule="auto"/>
        <w:jc w:val="both"/>
        <w:rPr>
          <w:noProof/>
        </w:rPr>
      </w:pPr>
      <w:r>
        <w:rPr>
          <w:noProof/>
        </w:rPr>
        <w:t xml:space="preserve">Obiectivul măsurii este de a îmbunătăți eficacitatea și eficiența serviciilor oferite de serviciul public de ocupare a forței de muncă din Grecia (DYPA). Măsura constă într-o reformă organizațională a DYPA. </w:t>
      </w:r>
    </w:p>
    <w:p w14:paraId="6E6ABCF2" w14:textId="77777777" w:rsidR="00C45D59" w:rsidRDefault="009B0962">
      <w:pPr>
        <w:pStyle w:val="P68B1DB1-Normal7"/>
        <w:spacing w:before="120" w:after="120" w:line="240" w:lineRule="auto"/>
        <w:jc w:val="both"/>
        <w:rPr>
          <w:rFonts w:cs="Times New Roman"/>
          <w:noProof/>
        </w:rPr>
      </w:pPr>
      <w:r>
        <w:rPr>
          <w:b/>
          <w:noProof/>
        </w:rPr>
        <w:t>Investiții:</w:t>
      </w:r>
      <w:r>
        <w:rPr>
          <w:noProof/>
        </w:rPr>
        <w:t xml:space="preserve"> Transformarea digitală a serviciului public de ocupare a forței de muncă (DYPA) (identificatorul măsurii: 16942)</w:t>
      </w:r>
    </w:p>
    <w:p w14:paraId="0FDF8C00" w14:textId="77777777" w:rsidR="00C45D59" w:rsidRDefault="009B0962">
      <w:pPr>
        <w:pStyle w:val="P68B1DB1-Normal7"/>
        <w:spacing w:before="120" w:after="120" w:line="240" w:lineRule="auto"/>
        <w:jc w:val="both"/>
        <w:rPr>
          <w:noProof/>
        </w:rPr>
      </w:pPr>
      <w:r>
        <w:rPr>
          <w:noProof/>
        </w:rPr>
        <w:t xml:space="preserve">Obiectivul investiției este de a îmbunătăți eficiența și eficacitatea serviciului public de ocupare a forței de muncă (DYPA). Investiția constă în extinderea și modernizarea infrastructurii informatice și a instrumentelor digitale ale serviciului public de ocupare a forței de muncă. </w:t>
      </w:r>
    </w:p>
    <w:p w14:paraId="0E0A87B0" w14:textId="77777777" w:rsidR="00C45D59" w:rsidRDefault="00C45D59">
      <w:pPr>
        <w:pStyle w:val="paragraph"/>
        <w:spacing w:before="0" w:beforeAutospacing="0" w:after="0" w:afterAutospacing="0"/>
        <w:rPr>
          <w:rFonts w:ascii="Calibri" w:hAnsi="Calibri"/>
          <w:noProof/>
          <w:color w:val="006100"/>
          <w:sz w:val="18"/>
          <w:szCs w:val="18"/>
        </w:rPr>
        <w:sectPr w:rsidR="00C45D59">
          <w:headerReference w:type="even" r:id="rId168"/>
          <w:headerReference w:type="default" r:id="rId169"/>
          <w:footerReference w:type="even" r:id="rId170"/>
          <w:footerReference w:type="default" r:id="rId171"/>
          <w:headerReference w:type="first" r:id="rId172"/>
          <w:footerReference w:type="first" r:id="rId173"/>
          <w:pgSz w:w="11906" w:h="16838"/>
          <w:pgMar w:top="1134" w:right="1134" w:bottom="1134" w:left="1134" w:header="567" w:footer="567" w:gutter="0"/>
          <w:cols w:space="708"/>
          <w:docGrid w:linePitch="360"/>
        </w:sectPr>
      </w:pPr>
    </w:p>
    <w:p w14:paraId="45041A71" w14:textId="77777777" w:rsidR="00C45D59" w:rsidRDefault="009B0962">
      <w:pPr>
        <w:pStyle w:val="P68B1DB1-Normal6"/>
        <w:spacing w:before="120" w:after="120" w:line="240" w:lineRule="auto"/>
        <w:jc w:val="both"/>
        <w:rPr>
          <w:rFonts w:cs="Times New Roman"/>
          <w:bCs/>
          <w:noProof/>
        </w:rPr>
      </w:pPr>
      <w:r>
        <w:rPr>
          <w:noProof/>
        </w:rPr>
        <w:t>H.2. Jaloane, ținte, indicatori și calendarul de monitorizare și implementare aplicabile sprijinului financiar nerambursabil</w:t>
      </w:r>
    </w:p>
    <w:p w14:paraId="49774109" w14:textId="77777777" w:rsidR="00C45D59" w:rsidRDefault="009B0962">
      <w:pPr>
        <w:pStyle w:val="P68B1DB1-Normal9"/>
        <w:keepNext/>
        <w:keepLines/>
        <w:spacing w:before="40" w:after="0" w:line="240" w:lineRule="auto"/>
        <w:jc w:val="both"/>
        <w:outlineLvl w:val="4"/>
        <w:rPr>
          <w:rFonts w:eastAsia="Times New Roman"/>
          <w:noProof/>
        </w:rPr>
      </w:pPr>
      <w:r>
        <w:rPr>
          <w:noProof/>
        </w:rPr>
        <w:t>Reforma cheie 6: Modernizarea și simplificarea legislației muncii și transformarea digitală a sistemelor de muncă</w:t>
      </w:r>
    </w:p>
    <w:tbl>
      <w:tblPr>
        <w:tblW w:w="15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
        <w:gridCol w:w="2160"/>
        <w:gridCol w:w="1151"/>
        <w:gridCol w:w="1323"/>
        <w:gridCol w:w="1469"/>
        <w:gridCol w:w="981"/>
        <w:gridCol w:w="992"/>
        <w:gridCol w:w="709"/>
        <w:gridCol w:w="996"/>
        <w:gridCol w:w="709"/>
        <w:gridCol w:w="4248"/>
      </w:tblGrid>
      <w:tr w:rsidR="00C45D59" w14:paraId="46989503" w14:textId="77777777">
        <w:trPr>
          <w:trHeight w:val="614"/>
          <w:tblHeader/>
        </w:trPr>
        <w:tc>
          <w:tcPr>
            <w:tcW w:w="708" w:type="dxa"/>
            <w:vMerge w:val="restart"/>
            <w:shd w:val="clear" w:color="auto" w:fill="BDD7EE"/>
            <w:vAlign w:val="center"/>
            <w:hideMark/>
          </w:tcPr>
          <w:p w14:paraId="7F06C3E4" w14:textId="7E8C36EF" w:rsidR="00C45D59" w:rsidRDefault="009B0962">
            <w:pPr>
              <w:pStyle w:val="P68B1DB1-Normal10"/>
              <w:spacing w:after="0" w:line="240" w:lineRule="auto"/>
              <w:jc w:val="center"/>
              <w:rPr>
                <w:rFonts w:eastAsia="Times New Roman" w:cs="Times New Roman"/>
                <w:bCs/>
                <w:noProof/>
                <w:szCs w:val="18"/>
              </w:rPr>
            </w:pPr>
            <w:r>
              <w:rPr>
                <w:noProof/>
              </w:rPr>
              <w:t>Nr</w:t>
            </w:r>
            <w:r w:rsidR="004048D3">
              <w:rPr>
                <w:noProof/>
              </w:rPr>
              <w:t>.</w:t>
            </w:r>
            <w:r>
              <w:rPr>
                <w:noProof/>
              </w:rPr>
              <w:t xml:space="preserve"> </w:t>
            </w:r>
            <w:r>
              <w:rPr>
                <w:noProof/>
              </w:rPr>
              <w:br/>
            </w:r>
            <w:r w:rsidR="004048D3">
              <w:rPr>
                <w:noProof/>
              </w:rPr>
              <w:t>crt</w:t>
            </w:r>
            <w:r>
              <w:rPr>
                <w:noProof/>
              </w:rPr>
              <w:t>.</w:t>
            </w:r>
          </w:p>
        </w:tc>
        <w:tc>
          <w:tcPr>
            <w:tcW w:w="2160" w:type="dxa"/>
            <w:vMerge w:val="restart"/>
            <w:shd w:val="clear" w:color="auto" w:fill="BDD7EE"/>
            <w:vAlign w:val="center"/>
            <w:hideMark/>
          </w:tcPr>
          <w:p w14:paraId="419608ED" w14:textId="77777777" w:rsidR="00C45D59" w:rsidRDefault="009B0962">
            <w:pPr>
              <w:pStyle w:val="P68B1DB1-Normal10"/>
              <w:spacing w:after="0" w:line="240" w:lineRule="auto"/>
              <w:jc w:val="center"/>
              <w:rPr>
                <w:rFonts w:eastAsia="Times New Roman" w:cs="Times New Roman"/>
                <w:bCs/>
                <w:noProof/>
                <w:szCs w:val="18"/>
              </w:rPr>
            </w:pPr>
            <w:r>
              <w:rPr>
                <w:noProof/>
              </w:rPr>
              <w:t>Măsură conexă (reformă sau investiții)</w:t>
            </w:r>
          </w:p>
        </w:tc>
        <w:tc>
          <w:tcPr>
            <w:tcW w:w="1151" w:type="dxa"/>
            <w:vMerge w:val="restart"/>
            <w:shd w:val="clear" w:color="auto" w:fill="BDD7EE"/>
            <w:vAlign w:val="center"/>
            <w:hideMark/>
          </w:tcPr>
          <w:p w14:paraId="33E132C2" w14:textId="64247CF6" w:rsidR="00C45D59" w:rsidRDefault="009B0962">
            <w:pPr>
              <w:pStyle w:val="P68B1DB1-Normal10"/>
              <w:spacing w:after="0" w:line="240" w:lineRule="auto"/>
              <w:jc w:val="center"/>
              <w:rPr>
                <w:rFonts w:eastAsia="Times New Roman" w:cs="Times New Roman"/>
                <w:bCs/>
                <w:noProof/>
                <w:szCs w:val="18"/>
              </w:rPr>
            </w:pPr>
            <w:r>
              <w:rPr>
                <w:noProof/>
              </w:rPr>
              <w:t>Etapă/</w:t>
            </w:r>
            <w:r w:rsidR="004048D3">
              <w:rPr>
                <w:noProof/>
              </w:rPr>
              <w:t xml:space="preserve"> </w:t>
            </w:r>
            <w:r>
              <w:rPr>
                <w:noProof/>
              </w:rPr>
              <w:t>Obiectiv</w:t>
            </w:r>
          </w:p>
        </w:tc>
        <w:tc>
          <w:tcPr>
            <w:tcW w:w="1323" w:type="dxa"/>
            <w:vMerge w:val="restart"/>
            <w:shd w:val="clear" w:color="auto" w:fill="BDD7EE"/>
            <w:vAlign w:val="center"/>
            <w:hideMark/>
          </w:tcPr>
          <w:p w14:paraId="6164FAF7" w14:textId="47CA538A" w:rsidR="00C45D59" w:rsidRDefault="004048D3">
            <w:pPr>
              <w:pStyle w:val="P68B1DB1-Normal10"/>
              <w:spacing w:after="0" w:line="240" w:lineRule="auto"/>
              <w:jc w:val="center"/>
              <w:rPr>
                <w:rFonts w:eastAsia="Times New Roman" w:cs="Times New Roman"/>
                <w:bCs/>
                <w:noProof/>
                <w:szCs w:val="18"/>
              </w:rPr>
            </w:pPr>
            <w:r>
              <w:rPr>
                <w:noProof/>
              </w:rPr>
              <w:t>Denumire</w:t>
            </w:r>
          </w:p>
        </w:tc>
        <w:tc>
          <w:tcPr>
            <w:tcW w:w="1469" w:type="dxa"/>
            <w:vMerge w:val="restart"/>
            <w:shd w:val="clear" w:color="auto" w:fill="BDD7EE"/>
            <w:vAlign w:val="center"/>
            <w:hideMark/>
          </w:tcPr>
          <w:p w14:paraId="79FCC24C" w14:textId="77777777" w:rsidR="00C45D59" w:rsidRDefault="009B0962">
            <w:pPr>
              <w:pStyle w:val="P68B1DB1-Normal10"/>
              <w:spacing w:after="0" w:line="240" w:lineRule="auto"/>
              <w:jc w:val="center"/>
              <w:rPr>
                <w:rFonts w:eastAsia="Times New Roman" w:cs="Times New Roman"/>
                <w:bCs/>
                <w:noProof/>
                <w:szCs w:val="18"/>
              </w:rPr>
            </w:pPr>
            <w:r>
              <w:rPr>
                <w:noProof/>
              </w:rPr>
              <w:t>Indicatori calitativi (pentru obiectivele de etapă)</w:t>
            </w:r>
          </w:p>
        </w:tc>
        <w:tc>
          <w:tcPr>
            <w:tcW w:w="2682" w:type="dxa"/>
            <w:gridSpan w:val="3"/>
            <w:shd w:val="clear" w:color="auto" w:fill="BDD7EE"/>
            <w:vAlign w:val="center"/>
            <w:hideMark/>
          </w:tcPr>
          <w:p w14:paraId="70B6E560" w14:textId="77777777" w:rsidR="00C45D59" w:rsidRDefault="009B0962">
            <w:pPr>
              <w:pStyle w:val="P68B1DB1-Normal10"/>
              <w:spacing w:after="0" w:line="240" w:lineRule="auto"/>
              <w:jc w:val="center"/>
              <w:rPr>
                <w:rFonts w:eastAsia="Times New Roman" w:cs="Times New Roman"/>
                <w:bCs/>
                <w:noProof/>
                <w:szCs w:val="18"/>
              </w:rPr>
            </w:pPr>
            <w:r>
              <w:rPr>
                <w:noProof/>
              </w:rPr>
              <w:t>Indicatori cantitativi (pentru ținte)</w:t>
            </w:r>
          </w:p>
        </w:tc>
        <w:tc>
          <w:tcPr>
            <w:tcW w:w="1705" w:type="dxa"/>
            <w:gridSpan w:val="2"/>
            <w:shd w:val="clear" w:color="auto" w:fill="BDD7EE"/>
            <w:vAlign w:val="center"/>
            <w:hideMark/>
          </w:tcPr>
          <w:p w14:paraId="338A992C" w14:textId="77777777" w:rsidR="00C45D59" w:rsidRDefault="009B0962">
            <w:pPr>
              <w:pStyle w:val="P68B1DB1-Normal10"/>
              <w:spacing w:after="0" w:line="240" w:lineRule="auto"/>
              <w:jc w:val="center"/>
              <w:rPr>
                <w:rFonts w:eastAsia="Times New Roman" w:cs="Times New Roman"/>
                <w:bCs/>
                <w:noProof/>
                <w:szCs w:val="18"/>
              </w:rPr>
            </w:pPr>
            <w:r>
              <w:rPr>
                <w:noProof/>
              </w:rPr>
              <w:t xml:space="preserve">Calendar orientativ pentru finalizare </w:t>
            </w:r>
          </w:p>
        </w:tc>
        <w:tc>
          <w:tcPr>
            <w:tcW w:w="4248" w:type="dxa"/>
            <w:vMerge w:val="restart"/>
            <w:shd w:val="clear" w:color="auto" w:fill="BDD7EE"/>
            <w:vAlign w:val="center"/>
            <w:hideMark/>
          </w:tcPr>
          <w:p w14:paraId="67230C37" w14:textId="77777777" w:rsidR="00C45D59" w:rsidRDefault="009B0962">
            <w:pPr>
              <w:pStyle w:val="P68B1DB1-Normal10"/>
              <w:spacing w:after="0" w:line="240" w:lineRule="auto"/>
              <w:jc w:val="center"/>
              <w:rPr>
                <w:rFonts w:eastAsia="Times New Roman" w:cs="Times New Roman"/>
                <w:bCs/>
                <w:noProof/>
                <w:szCs w:val="18"/>
              </w:rPr>
            </w:pPr>
            <w:r>
              <w:rPr>
                <w:noProof/>
              </w:rPr>
              <w:t>Descrierea fiecărui jalon și a fiecărei ținte</w:t>
            </w:r>
          </w:p>
        </w:tc>
      </w:tr>
      <w:tr w:rsidR="00C45D59" w14:paraId="0F53B231" w14:textId="77777777">
        <w:trPr>
          <w:trHeight w:val="542"/>
          <w:tblHeader/>
        </w:trPr>
        <w:tc>
          <w:tcPr>
            <w:tcW w:w="708" w:type="dxa"/>
            <w:vMerge/>
            <w:vAlign w:val="center"/>
            <w:hideMark/>
          </w:tcPr>
          <w:p w14:paraId="669977AB" w14:textId="77777777" w:rsidR="00C45D59" w:rsidRDefault="00C45D59">
            <w:pPr>
              <w:spacing w:after="0" w:line="240" w:lineRule="auto"/>
              <w:jc w:val="center"/>
              <w:rPr>
                <w:rFonts w:ascii="Times New Roman" w:eastAsia="Times New Roman" w:hAnsi="Times New Roman" w:cs="Times New Roman"/>
                <w:b/>
                <w:bCs/>
                <w:noProof/>
                <w:sz w:val="18"/>
                <w:szCs w:val="18"/>
              </w:rPr>
            </w:pPr>
          </w:p>
        </w:tc>
        <w:tc>
          <w:tcPr>
            <w:tcW w:w="2160" w:type="dxa"/>
            <w:vMerge/>
            <w:vAlign w:val="center"/>
            <w:hideMark/>
          </w:tcPr>
          <w:p w14:paraId="2890C452" w14:textId="77777777" w:rsidR="00C45D59" w:rsidRDefault="00C45D59">
            <w:pPr>
              <w:spacing w:after="0" w:line="240" w:lineRule="auto"/>
              <w:jc w:val="center"/>
              <w:rPr>
                <w:rFonts w:ascii="Times New Roman" w:eastAsia="Times New Roman" w:hAnsi="Times New Roman" w:cs="Times New Roman"/>
                <w:b/>
                <w:bCs/>
                <w:noProof/>
                <w:sz w:val="18"/>
                <w:szCs w:val="18"/>
              </w:rPr>
            </w:pPr>
          </w:p>
        </w:tc>
        <w:tc>
          <w:tcPr>
            <w:tcW w:w="1151" w:type="dxa"/>
            <w:vMerge/>
            <w:vAlign w:val="center"/>
            <w:hideMark/>
          </w:tcPr>
          <w:p w14:paraId="54C85887" w14:textId="77777777" w:rsidR="00C45D59" w:rsidRDefault="00C45D59">
            <w:pPr>
              <w:spacing w:after="0" w:line="240" w:lineRule="auto"/>
              <w:jc w:val="center"/>
              <w:rPr>
                <w:rFonts w:ascii="Times New Roman" w:eastAsia="Times New Roman" w:hAnsi="Times New Roman" w:cs="Times New Roman"/>
                <w:b/>
                <w:bCs/>
                <w:noProof/>
                <w:sz w:val="18"/>
                <w:szCs w:val="18"/>
              </w:rPr>
            </w:pPr>
          </w:p>
        </w:tc>
        <w:tc>
          <w:tcPr>
            <w:tcW w:w="1323" w:type="dxa"/>
            <w:vMerge/>
            <w:vAlign w:val="center"/>
            <w:hideMark/>
          </w:tcPr>
          <w:p w14:paraId="24F90B9C" w14:textId="77777777" w:rsidR="00C45D59" w:rsidRDefault="00C45D59">
            <w:pPr>
              <w:spacing w:after="0" w:line="240" w:lineRule="auto"/>
              <w:jc w:val="center"/>
              <w:rPr>
                <w:rFonts w:ascii="Times New Roman" w:eastAsia="Times New Roman" w:hAnsi="Times New Roman" w:cs="Times New Roman"/>
                <w:b/>
                <w:bCs/>
                <w:noProof/>
                <w:sz w:val="18"/>
                <w:szCs w:val="18"/>
              </w:rPr>
            </w:pPr>
          </w:p>
        </w:tc>
        <w:tc>
          <w:tcPr>
            <w:tcW w:w="1469" w:type="dxa"/>
            <w:vMerge/>
            <w:vAlign w:val="center"/>
            <w:hideMark/>
          </w:tcPr>
          <w:p w14:paraId="013F2DFA" w14:textId="77777777" w:rsidR="00C45D59" w:rsidRDefault="00C45D59">
            <w:pPr>
              <w:spacing w:after="0" w:line="240" w:lineRule="auto"/>
              <w:jc w:val="center"/>
              <w:rPr>
                <w:rFonts w:ascii="Times New Roman" w:eastAsia="Times New Roman" w:hAnsi="Times New Roman" w:cs="Times New Roman"/>
                <w:b/>
                <w:bCs/>
                <w:noProof/>
                <w:sz w:val="18"/>
                <w:szCs w:val="18"/>
              </w:rPr>
            </w:pPr>
          </w:p>
        </w:tc>
        <w:tc>
          <w:tcPr>
            <w:tcW w:w="981" w:type="dxa"/>
            <w:shd w:val="clear" w:color="auto" w:fill="BDD7EE"/>
            <w:vAlign w:val="center"/>
            <w:hideMark/>
          </w:tcPr>
          <w:p w14:paraId="6FD37C2D" w14:textId="77777777" w:rsidR="00C45D59" w:rsidRDefault="009B0962">
            <w:pPr>
              <w:pStyle w:val="P68B1DB1-Normal10"/>
              <w:spacing w:after="0" w:line="240" w:lineRule="auto"/>
              <w:jc w:val="center"/>
              <w:rPr>
                <w:rFonts w:eastAsia="Times New Roman" w:cs="Times New Roman"/>
                <w:bCs/>
                <w:noProof/>
                <w:szCs w:val="18"/>
              </w:rPr>
            </w:pPr>
            <w:r>
              <w:rPr>
                <w:noProof/>
              </w:rPr>
              <w:t>Unitatea de măsură</w:t>
            </w:r>
          </w:p>
        </w:tc>
        <w:tc>
          <w:tcPr>
            <w:tcW w:w="992" w:type="dxa"/>
            <w:shd w:val="clear" w:color="auto" w:fill="BDD7EE"/>
            <w:vAlign w:val="center"/>
            <w:hideMark/>
          </w:tcPr>
          <w:p w14:paraId="1F4FB892" w14:textId="77777777" w:rsidR="00C45D59" w:rsidRDefault="009B0962">
            <w:pPr>
              <w:pStyle w:val="P68B1DB1-Normal10"/>
              <w:spacing w:after="0" w:line="240" w:lineRule="auto"/>
              <w:jc w:val="center"/>
              <w:rPr>
                <w:rFonts w:eastAsia="Times New Roman" w:cs="Times New Roman"/>
                <w:bCs/>
                <w:noProof/>
                <w:szCs w:val="18"/>
              </w:rPr>
            </w:pPr>
            <w:r>
              <w:rPr>
                <w:noProof/>
              </w:rPr>
              <w:t xml:space="preserve">Situația de referință </w:t>
            </w:r>
          </w:p>
        </w:tc>
        <w:tc>
          <w:tcPr>
            <w:tcW w:w="709" w:type="dxa"/>
            <w:shd w:val="clear" w:color="auto" w:fill="BDD7EE"/>
            <w:vAlign w:val="center"/>
            <w:hideMark/>
          </w:tcPr>
          <w:p w14:paraId="50687F8C" w14:textId="77777777" w:rsidR="00C45D59" w:rsidRDefault="009B0962">
            <w:pPr>
              <w:pStyle w:val="P68B1DB1-Normal10"/>
              <w:spacing w:after="0" w:line="240" w:lineRule="auto"/>
              <w:jc w:val="center"/>
              <w:rPr>
                <w:rFonts w:eastAsia="Times New Roman" w:cs="Times New Roman"/>
                <w:bCs/>
                <w:noProof/>
                <w:szCs w:val="18"/>
              </w:rPr>
            </w:pPr>
            <w:r>
              <w:rPr>
                <w:noProof/>
              </w:rPr>
              <w:t xml:space="preserve">Obiectiv </w:t>
            </w:r>
          </w:p>
        </w:tc>
        <w:tc>
          <w:tcPr>
            <w:tcW w:w="996" w:type="dxa"/>
            <w:shd w:val="clear" w:color="auto" w:fill="BDD7EE"/>
            <w:vAlign w:val="center"/>
            <w:hideMark/>
          </w:tcPr>
          <w:p w14:paraId="53F1F4C6" w14:textId="77777777" w:rsidR="00C45D59" w:rsidRDefault="009B0962">
            <w:pPr>
              <w:pStyle w:val="P68B1DB1-Normal10"/>
              <w:spacing w:after="0" w:line="240" w:lineRule="auto"/>
              <w:jc w:val="center"/>
              <w:rPr>
                <w:rFonts w:eastAsia="Times New Roman" w:cs="Times New Roman"/>
                <w:bCs/>
                <w:noProof/>
                <w:szCs w:val="18"/>
              </w:rPr>
            </w:pPr>
            <w:r>
              <w:rPr>
                <w:noProof/>
              </w:rPr>
              <w:t>Trimestru</w:t>
            </w:r>
          </w:p>
        </w:tc>
        <w:tc>
          <w:tcPr>
            <w:tcW w:w="709" w:type="dxa"/>
            <w:shd w:val="clear" w:color="auto" w:fill="BDD7EE"/>
            <w:vAlign w:val="center"/>
            <w:hideMark/>
          </w:tcPr>
          <w:p w14:paraId="044844BF" w14:textId="77777777" w:rsidR="00C45D59" w:rsidRDefault="009B0962">
            <w:pPr>
              <w:pStyle w:val="P68B1DB1-Normal10"/>
              <w:spacing w:after="0" w:line="240" w:lineRule="auto"/>
              <w:jc w:val="center"/>
              <w:rPr>
                <w:rFonts w:eastAsia="Times New Roman" w:cs="Times New Roman"/>
                <w:bCs/>
                <w:noProof/>
                <w:szCs w:val="18"/>
              </w:rPr>
            </w:pPr>
            <w:r>
              <w:rPr>
                <w:noProof/>
              </w:rPr>
              <w:t>Anul</w:t>
            </w:r>
          </w:p>
        </w:tc>
        <w:tc>
          <w:tcPr>
            <w:tcW w:w="4248" w:type="dxa"/>
            <w:vMerge/>
            <w:vAlign w:val="center"/>
            <w:hideMark/>
          </w:tcPr>
          <w:p w14:paraId="63820DAE" w14:textId="77777777" w:rsidR="00C45D59" w:rsidRDefault="00C45D59">
            <w:pPr>
              <w:spacing w:after="0" w:line="240" w:lineRule="auto"/>
              <w:rPr>
                <w:rFonts w:ascii="Times New Roman" w:eastAsia="Times New Roman" w:hAnsi="Times New Roman" w:cs="Times New Roman"/>
                <w:b/>
                <w:bCs/>
                <w:noProof/>
                <w:sz w:val="18"/>
                <w:szCs w:val="18"/>
              </w:rPr>
            </w:pPr>
          </w:p>
        </w:tc>
      </w:tr>
      <w:tr w:rsidR="00C45D59" w14:paraId="7832FE19" w14:textId="77777777">
        <w:trPr>
          <w:trHeight w:val="309"/>
        </w:trPr>
        <w:tc>
          <w:tcPr>
            <w:tcW w:w="708" w:type="dxa"/>
            <w:shd w:val="clear" w:color="auto" w:fill="C6EFCE"/>
            <w:noWrap/>
          </w:tcPr>
          <w:p w14:paraId="18E7BD72" w14:textId="77777777" w:rsidR="00C45D59" w:rsidRDefault="009B0962">
            <w:pPr>
              <w:pStyle w:val="P68B1DB1-Normal12"/>
              <w:spacing w:after="0" w:line="240" w:lineRule="auto"/>
              <w:rPr>
                <w:rFonts w:eastAsia="Times New Roman"/>
                <w:noProof/>
              </w:rPr>
            </w:pPr>
            <w:r>
              <w:rPr>
                <w:noProof/>
              </w:rPr>
              <w:t>133</w:t>
            </w:r>
          </w:p>
        </w:tc>
        <w:tc>
          <w:tcPr>
            <w:tcW w:w="2160" w:type="dxa"/>
            <w:shd w:val="clear" w:color="auto" w:fill="C6EFCE"/>
            <w:noWrap/>
          </w:tcPr>
          <w:p w14:paraId="0D5B885F" w14:textId="77777777" w:rsidR="00C45D59" w:rsidRDefault="009B0962">
            <w:pPr>
              <w:pStyle w:val="P68B1DB1-Normal12"/>
              <w:spacing w:after="0" w:line="240" w:lineRule="auto"/>
              <w:rPr>
                <w:rFonts w:eastAsia="Times New Roman"/>
                <w:noProof/>
              </w:rPr>
            </w:pPr>
            <w:r>
              <w:rPr>
                <w:noProof/>
              </w:rPr>
              <w:t>8-3.1. Promovarea creării de locuri de muncă și a participării pe piața forței de muncă – 16744_Modernizarea și simplificarea dreptului muncii</w:t>
            </w:r>
          </w:p>
        </w:tc>
        <w:tc>
          <w:tcPr>
            <w:tcW w:w="1151" w:type="dxa"/>
            <w:shd w:val="clear" w:color="auto" w:fill="C6EFCE"/>
            <w:noWrap/>
          </w:tcPr>
          <w:p w14:paraId="0B8B62B5" w14:textId="77777777" w:rsidR="00C45D59" w:rsidRDefault="009B0962">
            <w:pPr>
              <w:pStyle w:val="P68B1DB1-Normal12"/>
              <w:spacing w:after="0" w:line="240" w:lineRule="auto"/>
              <w:rPr>
                <w:rFonts w:eastAsia="Times New Roman"/>
                <w:noProof/>
              </w:rPr>
            </w:pPr>
            <w:r>
              <w:rPr>
                <w:noProof/>
              </w:rPr>
              <w:t>Etapă</w:t>
            </w:r>
          </w:p>
        </w:tc>
        <w:tc>
          <w:tcPr>
            <w:tcW w:w="1323" w:type="dxa"/>
            <w:shd w:val="clear" w:color="auto" w:fill="C6EFCE"/>
            <w:noWrap/>
          </w:tcPr>
          <w:p w14:paraId="7D566416" w14:textId="77777777" w:rsidR="00C45D59" w:rsidRDefault="009B0962">
            <w:pPr>
              <w:pStyle w:val="P68B1DB1-Normal12"/>
              <w:spacing w:after="0" w:line="240" w:lineRule="auto"/>
              <w:rPr>
                <w:rFonts w:eastAsia="Times New Roman"/>
                <w:noProof/>
              </w:rPr>
            </w:pPr>
            <w:r>
              <w:rPr>
                <w:noProof/>
              </w:rPr>
              <w:t>Intrarea în vigoare a legislației muncii</w:t>
            </w:r>
          </w:p>
        </w:tc>
        <w:tc>
          <w:tcPr>
            <w:tcW w:w="1469" w:type="dxa"/>
            <w:shd w:val="clear" w:color="auto" w:fill="C6EFCE"/>
            <w:noWrap/>
          </w:tcPr>
          <w:p w14:paraId="764A91E1" w14:textId="77777777" w:rsidR="00C45D59" w:rsidRDefault="009B0962">
            <w:pPr>
              <w:pStyle w:val="P68B1DB1-Normal12"/>
              <w:spacing w:after="0" w:line="240" w:lineRule="auto"/>
              <w:rPr>
                <w:rFonts w:eastAsia="Times New Roman"/>
                <w:noProof/>
              </w:rPr>
            </w:pPr>
            <w:r>
              <w:rPr>
                <w:noProof/>
              </w:rPr>
              <w:t xml:space="preserve">Dispoziție legală care indică data de intrare în vigoare — </w:t>
            </w:r>
          </w:p>
        </w:tc>
        <w:tc>
          <w:tcPr>
            <w:tcW w:w="981" w:type="dxa"/>
            <w:shd w:val="clear" w:color="auto" w:fill="C6EFCE"/>
            <w:noWrap/>
          </w:tcPr>
          <w:p w14:paraId="25CB688A"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992" w:type="dxa"/>
            <w:shd w:val="clear" w:color="auto" w:fill="C6EFCE"/>
            <w:noWrap/>
          </w:tcPr>
          <w:p w14:paraId="07763D18"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709" w:type="dxa"/>
            <w:shd w:val="clear" w:color="auto" w:fill="C6EFCE"/>
            <w:noWrap/>
          </w:tcPr>
          <w:p w14:paraId="5E1275B8"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996" w:type="dxa"/>
            <w:shd w:val="clear" w:color="auto" w:fill="C6EFCE"/>
            <w:noWrap/>
          </w:tcPr>
          <w:p w14:paraId="053AEFEF" w14:textId="77777777" w:rsidR="00C45D59" w:rsidRDefault="009B0962">
            <w:pPr>
              <w:pStyle w:val="P68B1DB1-Normal12"/>
              <w:spacing w:after="0" w:line="240" w:lineRule="auto"/>
              <w:rPr>
                <w:rFonts w:eastAsia="Times New Roman"/>
                <w:noProof/>
              </w:rPr>
            </w:pPr>
            <w:r>
              <w:rPr>
                <w:noProof/>
              </w:rPr>
              <w:t>Î3</w:t>
            </w:r>
          </w:p>
        </w:tc>
        <w:tc>
          <w:tcPr>
            <w:tcW w:w="709" w:type="dxa"/>
            <w:shd w:val="clear" w:color="auto" w:fill="C6EFCE"/>
            <w:noWrap/>
          </w:tcPr>
          <w:p w14:paraId="4113605E" w14:textId="77777777" w:rsidR="00C45D59" w:rsidRDefault="009B0962">
            <w:pPr>
              <w:pStyle w:val="P68B1DB1-Normal12"/>
              <w:spacing w:after="0" w:line="240" w:lineRule="auto"/>
              <w:rPr>
                <w:rFonts w:eastAsia="Times New Roman"/>
                <w:noProof/>
              </w:rPr>
            </w:pPr>
            <w:r>
              <w:rPr>
                <w:noProof/>
              </w:rPr>
              <w:t>2021</w:t>
            </w:r>
          </w:p>
        </w:tc>
        <w:tc>
          <w:tcPr>
            <w:tcW w:w="4248" w:type="dxa"/>
            <w:shd w:val="clear" w:color="auto" w:fill="C6EFCE"/>
            <w:noWrap/>
          </w:tcPr>
          <w:p w14:paraId="1F64C700" w14:textId="77777777" w:rsidR="00C45D59" w:rsidRDefault="009B0962">
            <w:pPr>
              <w:pStyle w:val="P68B1DB1-Normal12"/>
              <w:spacing w:after="0" w:line="240" w:lineRule="auto"/>
              <w:rPr>
                <w:rFonts w:eastAsia="Times New Roman"/>
                <w:noProof/>
              </w:rPr>
            </w:pPr>
            <w:r>
              <w:rPr>
                <w:noProof/>
              </w:rPr>
              <w:t>Intrarea în vigoare a Legii muncii, care modernizează a) legea muncii individuale, b) legea muncii colective și legea sindicatelor, c) sistemul informatic ERGANI al Ministerului Muncii, care este utilizat pentru monitorizarea pieței muncii și pentru detectarea muncii nedeclarate și subdeclarate și d) cadrul privind echilibrul dintre viața profesională și cea privată.</w:t>
            </w:r>
          </w:p>
        </w:tc>
      </w:tr>
      <w:tr w:rsidR="00C45D59" w14:paraId="0D8A4C55" w14:textId="77777777">
        <w:trPr>
          <w:trHeight w:val="309"/>
        </w:trPr>
        <w:tc>
          <w:tcPr>
            <w:tcW w:w="708" w:type="dxa"/>
            <w:shd w:val="clear" w:color="auto" w:fill="C6EFCE"/>
            <w:noWrap/>
          </w:tcPr>
          <w:p w14:paraId="574B00A3" w14:textId="77777777" w:rsidR="00C45D59" w:rsidRDefault="009B0962">
            <w:pPr>
              <w:pStyle w:val="P68B1DB1-Normal12"/>
              <w:spacing w:after="0" w:line="240" w:lineRule="auto"/>
              <w:rPr>
                <w:rFonts w:eastAsia="Times New Roman"/>
                <w:noProof/>
              </w:rPr>
            </w:pPr>
            <w:r>
              <w:rPr>
                <w:noProof/>
              </w:rPr>
              <w:t>134</w:t>
            </w:r>
          </w:p>
        </w:tc>
        <w:tc>
          <w:tcPr>
            <w:tcW w:w="2160" w:type="dxa"/>
            <w:shd w:val="clear" w:color="auto" w:fill="C6EFCE"/>
            <w:noWrap/>
          </w:tcPr>
          <w:p w14:paraId="73645B48" w14:textId="77777777" w:rsidR="00C45D59" w:rsidRDefault="009B0962">
            <w:pPr>
              <w:pStyle w:val="P68B1DB1-Normal12"/>
              <w:spacing w:after="0" w:line="240" w:lineRule="auto"/>
              <w:rPr>
                <w:rFonts w:eastAsia="Times New Roman"/>
                <w:noProof/>
              </w:rPr>
            </w:pPr>
            <w:r>
              <w:rPr>
                <w:noProof/>
              </w:rPr>
              <w:t>8-3.1. Promovarea creării de locuri de muncă și a participării pe piața forței de muncă – 16750_Transformarea digitală a sistemelor de muncă</w:t>
            </w:r>
          </w:p>
        </w:tc>
        <w:tc>
          <w:tcPr>
            <w:tcW w:w="1151" w:type="dxa"/>
            <w:shd w:val="clear" w:color="auto" w:fill="C6EFCE"/>
            <w:noWrap/>
          </w:tcPr>
          <w:p w14:paraId="6C0ED2D6" w14:textId="77777777" w:rsidR="00C45D59" w:rsidRDefault="009B0962">
            <w:pPr>
              <w:pStyle w:val="P68B1DB1-Normal12"/>
              <w:spacing w:after="0" w:line="240" w:lineRule="auto"/>
              <w:rPr>
                <w:rFonts w:eastAsia="Times New Roman"/>
                <w:noProof/>
              </w:rPr>
            </w:pPr>
            <w:r>
              <w:rPr>
                <w:noProof/>
              </w:rPr>
              <w:t>Etapă</w:t>
            </w:r>
          </w:p>
        </w:tc>
        <w:tc>
          <w:tcPr>
            <w:tcW w:w="1323" w:type="dxa"/>
            <w:shd w:val="clear" w:color="auto" w:fill="C6EFCE"/>
            <w:noWrap/>
          </w:tcPr>
          <w:p w14:paraId="0FBB5B59" w14:textId="77777777" w:rsidR="00C45D59" w:rsidRDefault="009B0962">
            <w:pPr>
              <w:pStyle w:val="P68B1DB1-Normal12"/>
              <w:spacing w:after="0" w:line="240" w:lineRule="auto"/>
              <w:rPr>
                <w:rFonts w:eastAsia="Times New Roman"/>
                <w:noProof/>
              </w:rPr>
            </w:pPr>
            <w:r>
              <w:rPr>
                <w:noProof/>
              </w:rPr>
              <w:t>Atribuirea contractelor pentru sisteme informatice în domeniul muncii</w:t>
            </w:r>
          </w:p>
        </w:tc>
        <w:tc>
          <w:tcPr>
            <w:tcW w:w="1469" w:type="dxa"/>
            <w:shd w:val="clear" w:color="auto" w:fill="C6EFCE"/>
            <w:noWrap/>
          </w:tcPr>
          <w:p w14:paraId="21AC25B3" w14:textId="77777777" w:rsidR="00C45D59" w:rsidRDefault="009B0962">
            <w:pPr>
              <w:pStyle w:val="P68B1DB1-Normal12"/>
              <w:spacing w:after="0" w:line="240" w:lineRule="auto"/>
              <w:rPr>
                <w:rFonts w:eastAsia="Times New Roman"/>
                <w:noProof/>
              </w:rPr>
            </w:pPr>
            <w:r>
              <w:rPr>
                <w:noProof/>
              </w:rPr>
              <w:t>Notificarea atribuirii contractelor</w:t>
            </w:r>
          </w:p>
        </w:tc>
        <w:tc>
          <w:tcPr>
            <w:tcW w:w="981" w:type="dxa"/>
            <w:shd w:val="clear" w:color="auto" w:fill="C6EFCE"/>
            <w:noWrap/>
          </w:tcPr>
          <w:p w14:paraId="642EF8A0"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992" w:type="dxa"/>
            <w:shd w:val="clear" w:color="auto" w:fill="C6EFCE"/>
            <w:noWrap/>
          </w:tcPr>
          <w:p w14:paraId="7904FF98"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709" w:type="dxa"/>
            <w:shd w:val="clear" w:color="auto" w:fill="C6EFCE"/>
            <w:noWrap/>
          </w:tcPr>
          <w:p w14:paraId="4FCE5285"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996" w:type="dxa"/>
            <w:shd w:val="clear" w:color="auto" w:fill="C6EFCE"/>
            <w:noWrap/>
          </w:tcPr>
          <w:p w14:paraId="39408C29" w14:textId="77777777" w:rsidR="00C45D59" w:rsidRDefault="009B0962">
            <w:pPr>
              <w:pStyle w:val="P68B1DB1-Normal12"/>
              <w:spacing w:after="0" w:line="240" w:lineRule="auto"/>
              <w:rPr>
                <w:rFonts w:eastAsia="Times New Roman"/>
                <w:noProof/>
              </w:rPr>
            </w:pPr>
            <w:r>
              <w:rPr>
                <w:noProof/>
              </w:rPr>
              <w:t>Î4</w:t>
            </w:r>
          </w:p>
        </w:tc>
        <w:tc>
          <w:tcPr>
            <w:tcW w:w="709" w:type="dxa"/>
            <w:shd w:val="clear" w:color="auto" w:fill="C6EFCE"/>
            <w:noWrap/>
          </w:tcPr>
          <w:p w14:paraId="7C4DE48C" w14:textId="77777777" w:rsidR="00C45D59" w:rsidRDefault="009B0962">
            <w:pPr>
              <w:pStyle w:val="P68B1DB1-Normal12"/>
              <w:spacing w:after="0" w:line="240" w:lineRule="auto"/>
              <w:rPr>
                <w:rFonts w:eastAsia="Times New Roman"/>
                <w:noProof/>
              </w:rPr>
            </w:pPr>
            <w:r>
              <w:rPr>
                <w:noProof/>
              </w:rPr>
              <w:t>2022</w:t>
            </w:r>
          </w:p>
        </w:tc>
        <w:tc>
          <w:tcPr>
            <w:tcW w:w="4248" w:type="dxa"/>
            <w:shd w:val="clear" w:color="auto" w:fill="C6EFCE"/>
            <w:noWrap/>
          </w:tcPr>
          <w:p w14:paraId="5345BF07" w14:textId="77777777" w:rsidR="00C45D59" w:rsidRDefault="009B0962">
            <w:pPr>
              <w:pStyle w:val="P68B1DB1-Normal12"/>
              <w:spacing w:after="0" w:line="240" w:lineRule="auto"/>
              <w:rPr>
                <w:rFonts w:eastAsia="Times New Roman"/>
                <w:noProof/>
              </w:rPr>
            </w:pPr>
            <w:r>
              <w:rPr>
                <w:noProof/>
              </w:rPr>
              <w:t>Finalizarea atribuirii contractelor pentru următoarele proiecte:</w:t>
            </w:r>
          </w:p>
          <w:p w14:paraId="35BE463C" w14:textId="77777777" w:rsidR="00C45D59" w:rsidRDefault="009B0962">
            <w:pPr>
              <w:pStyle w:val="P68B1DB1-Normal12"/>
              <w:spacing w:after="0" w:line="240" w:lineRule="auto"/>
              <w:rPr>
                <w:rFonts w:eastAsia="Times New Roman"/>
                <w:noProof/>
              </w:rPr>
            </w:pPr>
            <w:r>
              <w:rPr>
                <w:noProof/>
              </w:rPr>
              <w:t>— Sistemul informatic unic de monitorizare a pieței forței de muncă (ARIADNE)</w:t>
            </w:r>
          </w:p>
          <w:p w14:paraId="5F994BB4" w14:textId="77777777" w:rsidR="00C45D59" w:rsidRDefault="009B0962">
            <w:pPr>
              <w:pStyle w:val="P68B1DB1-Normal12"/>
              <w:spacing w:after="0" w:line="240" w:lineRule="auto"/>
              <w:rPr>
                <w:rFonts w:eastAsia="Times New Roman"/>
                <w:noProof/>
              </w:rPr>
            </w:pPr>
            <w:r>
              <w:rPr>
                <w:noProof/>
              </w:rPr>
              <w:t>— Securitatea și sănătatea în muncă (HERIDANOS)</w:t>
            </w:r>
          </w:p>
          <w:p w14:paraId="16FA256A" w14:textId="77777777" w:rsidR="00C45D59" w:rsidRDefault="009B0962">
            <w:pPr>
              <w:pStyle w:val="P68B1DB1-Normal12"/>
              <w:spacing w:after="0" w:line="240" w:lineRule="auto"/>
              <w:rPr>
                <w:rFonts w:eastAsia="Times New Roman"/>
                <w:noProof/>
              </w:rPr>
            </w:pPr>
            <w:r>
              <w:rPr>
                <w:noProof/>
              </w:rPr>
              <w:t>Procesul de stabilire a salariului minim legal</w:t>
            </w:r>
          </w:p>
          <w:p w14:paraId="157A1200" w14:textId="77777777" w:rsidR="00C45D59" w:rsidRDefault="009B0962">
            <w:pPr>
              <w:pStyle w:val="P68B1DB1-Normal12"/>
              <w:spacing w:after="0" w:line="240" w:lineRule="auto"/>
              <w:rPr>
                <w:rFonts w:eastAsia="Times New Roman"/>
                <w:noProof/>
              </w:rPr>
            </w:pPr>
            <w:r>
              <w:rPr>
                <w:noProof/>
              </w:rPr>
              <w:t xml:space="preserve">Digitalizarea istoricului în materie de asigurări al Fondului unic de pensii (e-EFKA) </w:t>
            </w:r>
          </w:p>
          <w:p w14:paraId="07115036" w14:textId="77777777" w:rsidR="00C45D59" w:rsidRDefault="009B0962">
            <w:pPr>
              <w:pStyle w:val="P68B1DB1-Normal12"/>
              <w:spacing w:after="0" w:line="240" w:lineRule="auto"/>
              <w:rPr>
                <w:rFonts w:eastAsia="Times New Roman"/>
                <w:noProof/>
              </w:rPr>
            </w:pPr>
            <w:r>
              <w:rPr>
                <w:noProof/>
              </w:rPr>
              <w:t>Noul sistem integrat de informații pentru e-EFKA (EFKA IITS)</w:t>
            </w:r>
          </w:p>
          <w:p w14:paraId="3E3EE2A9" w14:textId="77777777" w:rsidR="00C45D59" w:rsidRDefault="009B0962">
            <w:pPr>
              <w:pStyle w:val="P68B1DB1-Normal12"/>
              <w:spacing w:after="0" w:line="240" w:lineRule="auto"/>
              <w:rPr>
                <w:rFonts w:eastAsia="Times New Roman"/>
                <w:noProof/>
              </w:rPr>
            </w:pPr>
            <w:r>
              <w:rPr>
                <w:noProof/>
              </w:rPr>
              <w:t>— Modernizarea sistemului digital de acordare a pensiilor (ATLAS)</w:t>
            </w:r>
          </w:p>
        </w:tc>
      </w:tr>
      <w:tr w:rsidR="00C45D59" w14:paraId="6F55FB07" w14:textId="77777777">
        <w:trPr>
          <w:trHeight w:val="309"/>
        </w:trPr>
        <w:tc>
          <w:tcPr>
            <w:tcW w:w="708" w:type="dxa"/>
            <w:shd w:val="clear" w:color="auto" w:fill="C6EFCE"/>
            <w:noWrap/>
          </w:tcPr>
          <w:p w14:paraId="0D9F11AE" w14:textId="77777777" w:rsidR="00C45D59" w:rsidRDefault="009B0962">
            <w:pPr>
              <w:pStyle w:val="P68B1DB1-Normal12"/>
              <w:spacing w:after="0" w:line="240" w:lineRule="auto"/>
              <w:rPr>
                <w:rFonts w:eastAsia="Times New Roman"/>
                <w:noProof/>
              </w:rPr>
            </w:pPr>
            <w:r>
              <w:rPr>
                <w:noProof/>
              </w:rPr>
              <w:t>135</w:t>
            </w:r>
          </w:p>
        </w:tc>
        <w:tc>
          <w:tcPr>
            <w:tcW w:w="2160" w:type="dxa"/>
            <w:shd w:val="clear" w:color="auto" w:fill="C6EFCE"/>
            <w:noWrap/>
          </w:tcPr>
          <w:p w14:paraId="2A75E78D" w14:textId="77777777" w:rsidR="00C45D59" w:rsidRDefault="009B0962">
            <w:pPr>
              <w:pStyle w:val="P68B1DB1-Normal12"/>
              <w:spacing w:after="0" w:line="240" w:lineRule="auto"/>
              <w:rPr>
                <w:rFonts w:eastAsia="Times New Roman"/>
                <w:noProof/>
              </w:rPr>
            </w:pPr>
            <w:r>
              <w:rPr>
                <w:noProof/>
              </w:rPr>
              <w:t>8-3.1. Promovarea creării de locuri de muncă și a participării pe piața forței de muncă – 16942_Transformarea digitală a serviciului public de ocupare a forței de muncă (DYPA)</w:t>
            </w:r>
          </w:p>
        </w:tc>
        <w:tc>
          <w:tcPr>
            <w:tcW w:w="1151" w:type="dxa"/>
            <w:shd w:val="clear" w:color="auto" w:fill="C6EFCE"/>
            <w:noWrap/>
          </w:tcPr>
          <w:p w14:paraId="0840CD90" w14:textId="77777777" w:rsidR="00C45D59" w:rsidRDefault="009B0962">
            <w:pPr>
              <w:pStyle w:val="P68B1DB1-Normal12"/>
              <w:spacing w:after="0" w:line="240" w:lineRule="auto"/>
              <w:rPr>
                <w:rFonts w:eastAsia="Times New Roman"/>
                <w:noProof/>
              </w:rPr>
            </w:pPr>
            <w:r>
              <w:rPr>
                <w:noProof/>
              </w:rPr>
              <w:t>Etapă</w:t>
            </w:r>
          </w:p>
        </w:tc>
        <w:tc>
          <w:tcPr>
            <w:tcW w:w="1323" w:type="dxa"/>
            <w:shd w:val="clear" w:color="auto" w:fill="C6EFCE"/>
            <w:noWrap/>
          </w:tcPr>
          <w:p w14:paraId="391ACFC6" w14:textId="77777777" w:rsidR="00C45D59" w:rsidRDefault="009B0962">
            <w:pPr>
              <w:pStyle w:val="P68B1DB1-Normal12"/>
              <w:spacing w:after="0" w:line="240" w:lineRule="auto"/>
              <w:rPr>
                <w:rFonts w:eastAsia="Times New Roman"/>
                <w:noProof/>
              </w:rPr>
            </w:pPr>
            <w:r>
              <w:rPr>
                <w:noProof/>
              </w:rPr>
              <w:t>DYPA Digitalizarea, stocarea și arhivarea arhivelor</w:t>
            </w:r>
          </w:p>
        </w:tc>
        <w:tc>
          <w:tcPr>
            <w:tcW w:w="1469" w:type="dxa"/>
            <w:shd w:val="clear" w:color="auto" w:fill="C6EFCE"/>
            <w:noWrap/>
          </w:tcPr>
          <w:p w14:paraId="54A1BD30" w14:textId="77777777" w:rsidR="00C45D59" w:rsidRDefault="009B0962">
            <w:pPr>
              <w:pStyle w:val="P68B1DB1-Normal12"/>
              <w:spacing w:after="0" w:line="240" w:lineRule="auto"/>
              <w:rPr>
                <w:rFonts w:eastAsia="Times New Roman"/>
                <w:noProof/>
              </w:rPr>
            </w:pPr>
            <w:r>
              <w:rPr>
                <w:noProof/>
              </w:rPr>
              <w:t>Certificat de acceptare a rezultatelor proiectului</w:t>
            </w:r>
          </w:p>
        </w:tc>
        <w:tc>
          <w:tcPr>
            <w:tcW w:w="981" w:type="dxa"/>
            <w:shd w:val="clear" w:color="auto" w:fill="C6EFCE"/>
            <w:noWrap/>
          </w:tcPr>
          <w:p w14:paraId="5BE3C79B"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992" w:type="dxa"/>
            <w:shd w:val="clear" w:color="auto" w:fill="C6EFCE"/>
            <w:noWrap/>
          </w:tcPr>
          <w:p w14:paraId="4C6D7819"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709" w:type="dxa"/>
            <w:shd w:val="clear" w:color="auto" w:fill="C6EFCE"/>
            <w:noWrap/>
          </w:tcPr>
          <w:p w14:paraId="1EA53B6A"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996" w:type="dxa"/>
            <w:shd w:val="clear" w:color="auto" w:fill="C6EFCE"/>
            <w:noWrap/>
          </w:tcPr>
          <w:p w14:paraId="43E50D4D" w14:textId="77777777" w:rsidR="00C45D59" w:rsidRDefault="009B0962">
            <w:pPr>
              <w:pStyle w:val="P68B1DB1-Normal12"/>
              <w:spacing w:after="0" w:line="240" w:lineRule="auto"/>
              <w:rPr>
                <w:rFonts w:eastAsia="Times New Roman"/>
                <w:noProof/>
              </w:rPr>
            </w:pPr>
            <w:r>
              <w:rPr>
                <w:noProof/>
              </w:rPr>
              <w:t>Î4</w:t>
            </w:r>
          </w:p>
        </w:tc>
        <w:tc>
          <w:tcPr>
            <w:tcW w:w="709" w:type="dxa"/>
            <w:shd w:val="clear" w:color="auto" w:fill="C6EFCE"/>
            <w:noWrap/>
          </w:tcPr>
          <w:p w14:paraId="453C1ADD" w14:textId="77777777" w:rsidR="00C45D59" w:rsidRDefault="009B0962">
            <w:pPr>
              <w:pStyle w:val="P68B1DB1-Normal12"/>
              <w:spacing w:after="0" w:line="240" w:lineRule="auto"/>
              <w:rPr>
                <w:rFonts w:eastAsia="Times New Roman"/>
                <w:noProof/>
              </w:rPr>
            </w:pPr>
            <w:r>
              <w:rPr>
                <w:noProof/>
              </w:rPr>
              <w:t>2023</w:t>
            </w:r>
          </w:p>
        </w:tc>
        <w:tc>
          <w:tcPr>
            <w:tcW w:w="4248" w:type="dxa"/>
            <w:shd w:val="clear" w:color="auto" w:fill="C6EFCE"/>
            <w:noWrap/>
          </w:tcPr>
          <w:p w14:paraId="2DDF6C99" w14:textId="77777777" w:rsidR="00C45D59" w:rsidRDefault="009B0962">
            <w:pPr>
              <w:pStyle w:val="P68B1DB1-Normal12"/>
              <w:spacing w:after="0" w:line="240" w:lineRule="auto"/>
              <w:rPr>
                <w:rFonts w:eastAsia="Times New Roman"/>
                <w:noProof/>
              </w:rPr>
            </w:pPr>
            <w:r>
              <w:rPr>
                <w:noProof/>
              </w:rPr>
              <w:t>Finalizarea digitalizării, stocării și arhivării arhivelor DYPA.</w:t>
            </w:r>
          </w:p>
        </w:tc>
      </w:tr>
      <w:tr w:rsidR="00C45D59" w14:paraId="375DE577" w14:textId="77777777">
        <w:trPr>
          <w:trHeight w:val="309"/>
        </w:trPr>
        <w:tc>
          <w:tcPr>
            <w:tcW w:w="708" w:type="dxa"/>
            <w:shd w:val="clear" w:color="auto" w:fill="C6EFCE"/>
            <w:noWrap/>
          </w:tcPr>
          <w:p w14:paraId="508C2664" w14:textId="77777777" w:rsidR="00C45D59" w:rsidRDefault="009B0962">
            <w:pPr>
              <w:pStyle w:val="P68B1DB1-Normal12"/>
              <w:spacing w:after="0" w:line="240" w:lineRule="auto"/>
              <w:rPr>
                <w:rFonts w:eastAsia="Times New Roman"/>
                <w:noProof/>
              </w:rPr>
            </w:pPr>
            <w:r>
              <w:rPr>
                <w:noProof/>
              </w:rPr>
              <w:t>135a</w:t>
            </w:r>
          </w:p>
        </w:tc>
        <w:tc>
          <w:tcPr>
            <w:tcW w:w="2160" w:type="dxa"/>
            <w:shd w:val="clear" w:color="auto" w:fill="C6EFCE"/>
            <w:noWrap/>
          </w:tcPr>
          <w:p w14:paraId="2BA9A511" w14:textId="77777777" w:rsidR="00C45D59" w:rsidRDefault="009B0962">
            <w:pPr>
              <w:pStyle w:val="P68B1DB1-Normal12"/>
              <w:spacing w:after="0" w:line="240" w:lineRule="auto"/>
              <w:rPr>
                <w:rFonts w:eastAsia="Times New Roman"/>
                <w:noProof/>
              </w:rPr>
            </w:pPr>
            <w:r>
              <w:rPr>
                <w:noProof/>
              </w:rPr>
              <w:t>8-3.1. Promovarea creării de locuri de muncă și a participării pe piața forței de muncă – 16942_Transformarea digitală a serviciului public de ocupare a forței de muncă</w:t>
            </w:r>
          </w:p>
        </w:tc>
        <w:tc>
          <w:tcPr>
            <w:tcW w:w="1151" w:type="dxa"/>
            <w:shd w:val="clear" w:color="auto" w:fill="C6EFCE"/>
            <w:noWrap/>
          </w:tcPr>
          <w:p w14:paraId="262E55BE" w14:textId="77777777" w:rsidR="00C45D59" w:rsidRDefault="009B0962">
            <w:pPr>
              <w:pStyle w:val="P68B1DB1-Normal12"/>
              <w:spacing w:after="0" w:line="240" w:lineRule="auto"/>
              <w:rPr>
                <w:noProof/>
              </w:rPr>
            </w:pPr>
            <w:r>
              <w:rPr>
                <w:noProof/>
              </w:rPr>
              <w:t>Etapă</w:t>
            </w:r>
          </w:p>
        </w:tc>
        <w:tc>
          <w:tcPr>
            <w:tcW w:w="1323" w:type="dxa"/>
            <w:shd w:val="clear" w:color="auto" w:fill="C6EFCE"/>
            <w:noWrap/>
          </w:tcPr>
          <w:p w14:paraId="5A9C2852" w14:textId="77777777" w:rsidR="00C45D59" w:rsidRDefault="009B0962">
            <w:pPr>
              <w:pStyle w:val="P68B1DB1-Normal12"/>
              <w:spacing w:after="0" w:line="240" w:lineRule="auto"/>
              <w:rPr>
                <w:noProof/>
              </w:rPr>
            </w:pPr>
            <w:r>
              <w:rPr>
                <w:noProof/>
              </w:rPr>
              <w:t>Transformarea digitală a DYPA</w:t>
            </w:r>
          </w:p>
        </w:tc>
        <w:tc>
          <w:tcPr>
            <w:tcW w:w="1469" w:type="dxa"/>
            <w:shd w:val="clear" w:color="auto" w:fill="C6EFCE"/>
            <w:noWrap/>
          </w:tcPr>
          <w:p w14:paraId="33C3CAE0" w14:textId="392B0EAE" w:rsidR="00C45D59" w:rsidRDefault="009B0962">
            <w:pPr>
              <w:pStyle w:val="P68B1DB1-Normal12"/>
              <w:spacing w:after="0" w:line="240" w:lineRule="auto"/>
              <w:rPr>
                <w:rFonts w:eastAsia="Times New Roman"/>
                <w:noProof/>
              </w:rPr>
            </w:pPr>
            <w:r>
              <w:rPr>
                <w:noProof/>
              </w:rPr>
              <w:t>Realizarea proiectelor a, b, c și d</w:t>
            </w:r>
          </w:p>
        </w:tc>
        <w:tc>
          <w:tcPr>
            <w:tcW w:w="981" w:type="dxa"/>
            <w:shd w:val="clear" w:color="auto" w:fill="C6EFCE"/>
            <w:noWrap/>
          </w:tcPr>
          <w:p w14:paraId="794ABB3A"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992" w:type="dxa"/>
            <w:shd w:val="clear" w:color="auto" w:fill="C6EFCE"/>
            <w:noWrap/>
          </w:tcPr>
          <w:p w14:paraId="42FDA7B1"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709" w:type="dxa"/>
            <w:shd w:val="clear" w:color="auto" w:fill="C6EFCE"/>
            <w:noWrap/>
          </w:tcPr>
          <w:p w14:paraId="18170273"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996" w:type="dxa"/>
            <w:shd w:val="clear" w:color="auto" w:fill="C6EFCE"/>
            <w:noWrap/>
          </w:tcPr>
          <w:p w14:paraId="45C5C4C0" w14:textId="77777777" w:rsidR="00C45D59" w:rsidRDefault="009B0962">
            <w:pPr>
              <w:pStyle w:val="P68B1DB1-Normal12"/>
              <w:spacing w:after="0" w:line="240" w:lineRule="auto"/>
              <w:rPr>
                <w:noProof/>
              </w:rPr>
            </w:pPr>
            <w:r>
              <w:rPr>
                <w:noProof/>
              </w:rPr>
              <w:t>Î2</w:t>
            </w:r>
          </w:p>
        </w:tc>
        <w:tc>
          <w:tcPr>
            <w:tcW w:w="709" w:type="dxa"/>
            <w:shd w:val="clear" w:color="auto" w:fill="C6EFCE"/>
            <w:noWrap/>
          </w:tcPr>
          <w:p w14:paraId="4F19E4D2" w14:textId="77777777" w:rsidR="00C45D59" w:rsidRDefault="009B0962">
            <w:pPr>
              <w:pStyle w:val="P68B1DB1-Normal12"/>
              <w:spacing w:after="0" w:line="240" w:lineRule="auto"/>
              <w:rPr>
                <w:rFonts w:eastAsia="Times New Roman"/>
                <w:noProof/>
              </w:rPr>
            </w:pPr>
            <w:r>
              <w:rPr>
                <w:noProof/>
              </w:rPr>
              <w:t>2025</w:t>
            </w:r>
          </w:p>
        </w:tc>
        <w:tc>
          <w:tcPr>
            <w:tcW w:w="4248" w:type="dxa"/>
            <w:shd w:val="clear" w:color="auto" w:fill="C6EFCE"/>
            <w:noWrap/>
          </w:tcPr>
          <w:p w14:paraId="2F6C3BC9" w14:textId="77777777" w:rsidR="00C45D59" w:rsidRDefault="009B0962">
            <w:pPr>
              <w:pStyle w:val="P68B1DB1-paragraph37"/>
              <w:spacing w:before="0" w:beforeAutospacing="0" w:after="0" w:afterAutospacing="0"/>
              <w:textAlignment w:val="baseline"/>
              <w:rPr>
                <w:noProof/>
              </w:rPr>
            </w:pPr>
            <w:r>
              <w:rPr>
                <w:noProof/>
              </w:rPr>
              <w:t xml:space="preserve">Realizarea următoarelor proiecte: </w:t>
            </w:r>
          </w:p>
          <w:p w14:paraId="663E4C48" w14:textId="13A8C66A" w:rsidR="00C45D59" w:rsidRDefault="009B0962">
            <w:pPr>
              <w:pStyle w:val="P68B1DB1-paragraph37"/>
              <w:spacing w:before="0" w:beforeAutospacing="0" w:after="0" w:afterAutospacing="0"/>
              <w:textAlignment w:val="baseline"/>
              <w:rPr>
                <w:noProof/>
              </w:rPr>
            </w:pPr>
            <w:r>
              <w:rPr>
                <w:noProof/>
              </w:rPr>
              <w:t>sisteme informatice noi sau modernizate [IIS pentru educație și formare, FMIS, HRM, securitate cibernetică, chatbot, infrastructură de desktop virtual (VDI)]</w:t>
            </w:r>
          </w:p>
          <w:p w14:paraId="10B90358" w14:textId="26CCD329" w:rsidR="00C45D59" w:rsidRDefault="009B0962">
            <w:pPr>
              <w:pStyle w:val="P68B1DB1-paragraph37"/>
              <w:spacing w:before="0" w:beforeAutospacing="0" w:after="0" w:afterAutospacing="0"/>
              <w:textAlignment w:val="baseline"/>
              <w:rPr>
                <w:noProof/>
              </w:rPr>
            </w:pPr>
            <w:r>
              <w:rPr>
                <w:noProof/>
              </w:rPr>
              <w:t>b) Modernizarea sistemului informatic integrat al DYPA</w:t>
            </w:r>
          </w:p>
          <w:p w14:paraId="7F01642F" w14:textId="11F6D500" w:rsidR="00C45D59" w:rsidRDefault="009B0962">
            <w:pPr>
              <w:pStyle w:val="P68B1DB1-paragraph37"/>
              <w:spacing w:before="0" w:beforeAutospacing="0" w:after="0" w:afterAutospacing="0"/>
              <w:textAlignment w:val="baseline"/>
              <w:rPr>
                <w:noProof/>
              </w:rPr>
            </w:pPr>
            <w:r>
              <w:rPr>
                <w:noProof/>
              </w:rPr>
              <w:t>c) Un nou sistem decizional bazat pe dovezi și pe date</w:t>
            </w:r>
          </w:p>
          <w:p w14:paraId="4329D85B" w14:textId="11D54413" w:rsidR="00C45D59" w:rsidRDefault="009B0962">
            <w:pPr>
              <w:pStyle w:val="P68B1DB1-paragraph37"/>
              <w:spacing w:before="0" w:beforeAutospacing="0" w:after="0" w:afterAutospacing="0"/>
              <w:rPr>
                <w:noProof/>
              </w:rPr>
            </w:pPr>
            <w:r>
              <w:rPr>
                <w:noProof/>
              </w:rPr>
              <w:t>un instrument de corelare a cererii și ofertei de forță de muncă bazat pe competențe.</w:t>
            </w:r>
          </w:p>
        </w:tc>
      </w:tr>
      <w:tr w:rsidR="00C45D59" w14:paraId="6D3C34D2" w14:textId="77777777">
        <w:trPr>
          <w:trHeight w:val="420"/>
        </w:trPr>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2838C7DF" w14:textId="77777777" w:rsidR="00C45D59" w:rsidRDefault="009B0962">
            <w:pPr>
              <w:pStyle w:val="P68B1DB1-Normal23"/>
              <w:spacing w:after="0" w:line="240" w:lineRule="auto"/>
              <w:rPr>
                <w:noProof/>
              </w:rPr>
            </w:pPr>
            <w:r>
              <w:rPr>
                <w:noProof/>
              </w:rPr>
              <w:t>134a</w:t>
            </w:r>
          </w:p>
        </w:tc>
        <w:tc>
          <w:tcPr>
            <w:tcW w:w="2160" w:type="dxa"/>
            <w:tcBorders>
              <w:top w:val="single" w:sz="4" w:space="0" w:color="auto"/>
              <w:left w:val="single" w:sz="4" w:space="0" w:color="auto"/>
              <w:bottom w:val="single" w:sz="4" w:space="0" w:color="auto"/>
              <w:right w:val="single" w:sz="4" w:space="0" w:color="auto"/>
            </w:tcBorders>
            <w:shd w:val="clear" w:color="auto" w:fill="C6EFCE"/>
            <w:noWrap/>
          </w:tcPr>
          <w:p w14:paraId="25586DFC" w14:textId="77777777" w:rsidR="00C45D59" w:rsidRDefault="009B0962">
            <w:pPr>
              <w:pStyle w:val="P68B1DB1-Normal12"/>
              <w:spacing w:after="0" w:line="240" w:lineRule="auto"/>
              <w:rPr>
                <w:rFonts w:eastAsia="Times New Roman"/>
                <w:noProof/>
              </w:rPr>
            </w:pPr>
            <w:r>
              <w:rPr>
                <w:noProof/>
              </w:rPr>
              <w:t>8-3.1. Promovarea creării de locuri de muncă și a participării pe piața forței de muncă – 16750_Transformarea digitală a sistemelor de muncă</w:t>
            </w:r>
          </w:p>
        </w:tc>
        <w:tc>
          <w:tcPr>
            <w:tcW w:w="1151" w:type="dxa"/>
            <w:tcBorders>
              <w:top w:val="single" w:sz="4" w:space="0" w:color="auto"/>
              <w:left w:val="single" w:sz="4" w:space="0" w:color="auto"/>
              <w:bottom w:val="single" w:sz="4" w:space="0" w:color="auto"/>
              <w:right w:val="single" w:sz="4" w:space="0" w:color="auto"/>
            </w:tcBorders>
            <w:shd w:val="clear" w:color="auto" w:fill="C6EFCE"/>
            <w:noWrap/>
          </w:tcPr>
          <w:p w14:paraId="4C802A52" w14:textId="77777777" w:rsidR="00C45D59" w:rsidRDefault="009B0962">
            <w:pPr>
              <w:pStyle w:val="P68B1DB1-Normal23"/>
              <w:spacing w:after="0" w:line="240" w:lineRule="auto"/>
              <w:rPr>
                <w:noProof/>
              </w:rPr>
            </w:pPr>
            <w:r>
              <w:rPr>
                <w:noProof/>
              </w:rPr>
              <w:t>Etapă</w:t>
            </w:r>
          </w:p>
        </w:tc>
        <w:tc>
          <w:tcPr>
            <w:tcW w:w="1323" w:type="dxa"/>
            <w:tcBorders>
              <w:top w:val="single" w:sz="4" w:space="0" w:color="auto"/>
              <w:left w:val="single" w:sz="4" w:space="0" w:color="auto"/>
              <w:bottom w:val="single" w:sz="4" w:space="0" w:color="auto"/>
              <w:right w:val="single" w:sz="4" w:space="0" w:color="auto"/>
            </w:tcBorders>
            <w:shd w:val="clear" w:color="auto" w:fill="C6EFCE"/>
            <w:noWrap/>
          </w:tcPr>
          <w:p w14:paraId="6BE47A75" w14:textId="77777777" w:rsidR="00C45D59" w:rsidRDefault="009B0962">
            <w:pPr>
              <w:pStyle w:val="P68B1DB1-Normal12"/>
              <w:spacing w:after="0" w:line="240" w:lineRule="auto"/>
              <w:rPr>
                <w:rFonts w:eastAsia="Times New Roman"/>
                <w:noProof/>
              </w:rPr>
            </w:pPr>
            <w:r>
              <w:rPr>
                <w:noProof/>
              </w:rPr>
              <w:t>Furnizarea de sisteme informatice în domeniul muncii</w:t>
            </w:r>
          </w:p>
        </w:tc>
        <w:tc>
          <w:tcPr>
            <w:tcW w:w="1469" w:type="dxa"/>
            <w:tcBorders>
              <w:top w:val="single" w:sz="4" w:space="0" w:color="auto"/>
              <w:left w:val="single" w:sz="4" w:space="0" w:color="auto"/>
              <w:bottom w:val="single" w:sz="4" w:space="0" w:color="auto"/>
              <w:right w:val="single" w:sz="4" w:space="0" w:color="auto"/>
            </w:tcBorders>
            <w:shd w:val="clear" w:color="auto" w:fill="C6EFCE"/>
            <w:noWrap/>
          </w:tcPr>
          <w:p w14:paraId="373ABF35" w14:textId="0DF1980D" w:rsidR="00C45D59" w:rsidRDefault="009B0962">
            <w:pPr>
              <w:pStyle w:val="P68B1DB1-Normal12"/>
              <w:spacing w:after="0" w:line="240" w:lineRule="auto"/>
              <w:rPr>
                <w:rFonts w:eastAsia="Times New Roman"/>
                <w:noProof/>
              </w:rPr>
            </w:pPr>
            <w:r>
              <w:rPr>
                <w:noProof/>
              </w:rPr>
              <w:t>Realizarea proiectelor în perioada 1-5</w:t>
            </w:r>
          </w:p>
        </w:tc>
        <w:tc>
          <w:tcPr>
            <w:tcW w:w="981" w:type="dxa"/>
            <w:tcBorders>
              <w:top w:val="single" w:sz="4" w:space="0" w:color="auto"/>
              <w:left w:val="single" w:sz="4" w:space="0" w:color="auto"/>
              <w:bottom w:val="single" w:sz="4" w:space="0" w:color="auto"/>
              <w:right w:val="single" w:sz="4" w:space="0" w:color="auto"/>
            </w:tcBorders>
            <w:shd w:val="clear" w:color="auto" w:fill="C6EFCE"/>
            <w:noWrap/>
          </w:tcPr>
          <w:p w14:paraId="63C632E3"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59B181D"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69F8EEB8"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996" w:type="dxa"/>
            <w:tcBorders>
              <w:top w:val="single" w:sz="4" w:space="0" w:color="auto"/>
              <w:left w:val="single" w:sz="4" w:space="0" w:color="auto"/>
              <w:bottom w:val="single" w:sz="4" w:space="0" w:color="auto"/>
              <w:right w:val="single" w:sz="4" w:space="0" w:color="auto"/>
            </w:tcBorders>
            <w:shd w:val="clear" w:color="auto" w:fill="C6EFCE"/>
            <w:noWrap/>
          </w:tcPr>
          <w:p w14:paraId="0DEAEF0D" w14:textId="77777777" w:rsidR="00C45D59" w:rsidRDefault="009B0962">
            <w:pPr>
              <w:pStyle w:val="P68B1DB1-Normal23"/>
              <w:spacing w:after="0" w:line="240" w:lineRule="auto"/>
              <w:rPr>
                <w:noProof/>
              </w:rPr>
            </w:pPr>
            <w:r>
              <w:rPr>
                <w:noProof/>
              </w:rPr>
              <w:t>Î4</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08E16FE9" w14:textId="77777777" w:rsidR="00C45D59" w:rsidRDefault="009B0962">
            <w:pPr>
              <w:pStyle w:val="P68B1DB1-Normal23"/>
              <w:spacing w:after="0" w:line="240" w:lineRule="auto"/>
              <w:rPr>
                <w:noProof/>
              </w:rPr>
            </w:pPr>
            <w:r>
              <w:rPr>
                <w:noProof/>
              </w:rPr>
              <w:t>2025</w:t>
            </w:r>
          </w:p>
        </w:tc>
        <w:tc>
          <w:tcPr>
            <w:tcW w:w="4248" w:type="dxa"/>
            <w:tcBorders>
              <w:top w:val="single" w:sz="4" w:space="0" w:color="auto"/>
              <w:left w:val="single" w:sz="4" w:space="0" w:color="auto"/>
              <w:bottom w:val="single" w:sz="4" w:space="0" w:color="auto"/>
              <w:right w:val="single" w:sz="4" w:space="0" w:color="auto"/>
            </w:tcBorders>
            <w:shd w:val="clear" w:color="auto" w:fill="C6EFCE"/>
            <w:noWrap/>
          </w:tcPr>
          <w:p w14:paraId="1A80347D" w14:textId="64A70EA0" w:rsidR="00C45D59" w:rsidRDefault="009B0962">
            <w:pPr>
              <w:pStyle w:val="P68B1DB1-Normal12"/>
              <w:spacing w:after="0" w:line="240" w:lineRule="auto"/>
              <w:rPr>
                <w:noProof/>
              </w:rPr>
            </w:pPr>
            <w:r>
              <w:rPr>
                <w:noProof/>
              </w:rPr>
              <w:t>Realizarea următoarelor proiecte, astfel cum a fost confirmată de protocolul de acceptare al comitetului de monitorizare a proiectelor aferent:</w:t>
            </w:r>
          </w:p>
          <w:p w14:paraId="272491FC" w14:textId="77777777" w:rsidR="00C45D59" w:rsidRDefault="00C45D59">
            <w:pPr>
              <w:spacing w:after="0" w:line="240" w:lineRule="auto"/>
              <w:rPr>
                <w:rFonts w:ascii="Times New Roman" w:hAnsi="Times New Roman" w:cs="Times New Roman"/>
                <w:noProof/>
                <w:color w:val="006100"/>
                <w:sz w:val="18"/>
                <w:szCs w:val="18"/>
              </w:rPr>
            </w:pPr>
          </w:p>
          <w:p w14:paraId="486626AD" w14:textId="4130D44B" w:rsidR="00C45D59" w:rsidRDefault="009B0962">
            <w:pPr>
              <w:pStyle w:val="P68B1DB1-Normal12"/>
              <w:spacing w:after="0" w:line="240" w:lineRule="auto"/>
              <w:rPr>
                <w:rFonts w:eastAsia="Times New Roman"/>
                <w:noProof/>
              </w:rPr>
            </w:pPr>
            <w:r>
              <w:rPr>
                <w:noProof/>
              </w:rPr>
              <w:t>1. Sistemul integrat de informații pentru monitorizarea pieței forței de muncă – cardul de muncă</w:t>
            </w:r>
          </w:p>
          <w:p w14:paraId="4CFDA767" w14:textId="04A170DF" w:rsidR="00C45D59" w:rsidRDefault="009B0962">
            <w:pPr>
              <w:pStyle w:val="P68B1DB1-Normal23"/>
              <w:spacing w:after="0" w:line="240" w:lineRule="auto"/>
              <w:rPr>
                <w:noProof/>
              </w:rPr>
            </w:pPr>
            <w:r>
              <w:rPr>
                <w:noProof/>
              </w:rPr>
              <w:t>2. Unificarea fluxului de date privind ocuparea forței de muncă și asigurările – Revizuirea Sistemului Informatic Integrat pentru Inspecția Muncii (ARIADNE)</w:t>
            </w:r>
          </w:p>
          <w:p w14:paraId="1774F8BF" w14:textId="06B35182" w:rsidR="00C45D59" w:rsidRDefault="009B0962">
            <w:pPr>
              <w:pStyle w:val="P68B1DB1-Normal12"/>
              <w:spacing w:after="0" w:line="240" w:lineRule="auto"/>
              <w:rPr>
                <w:noProof/>
              </w:rPr>
            </w:pPr>
            <w:r>
              <w:rPr>
                <w:noProof/>
              </w:rPr>
              <w:t>3. Digitalizarea istoricului asigurărilor Fondului unic de pensii (e-EFKA) și sprijinirea sistemului de acordare a pensiilor</w:t>
            </w:r>
          </w:p>
          <w:p w14:paraId="43B9EEBC" w14:textId="57B3DBE6" w:rsidR="00C45D59" w:rsidRDefault="009B0962">
            <w:pPr>
              <w:pStyle w:val="P68B1DB1-Normal12"/>
              <w:spacing w:after="0" w:line="240" w:lineRule="auto"/>
              <w:rPr>
                <w:noProof/>
              </w:rPr>
            </w:pPr>
            <w:r>
              <w:rPr>
                <w:noProof/>
              </w:rPr>
              <w:t>4. Dezvoltarea unui nou sistem informatic integrat pentru e-EFKA</w:t>
            </w:r>
          </w:p>
          <w:p w14:paraId="6A237494" w14:textId="426BD33D" w:rsidR="00C45D59" w:rsidRDefault="009B0962">
            <w:pPr>
              <w:pStyle w:val="P68B1DB1-Normal12"/>
              <w:spacing w:after="0" w:line="240" w:lineRule="auto"/>
              <w:rPr>
                <w:rFonts w:eastAsia="Times New Roman"/>
                <w:noProof/>
                <w:sz w:val="20"/>
                <w:szCs w:val="20"/>
              </w:rPr>
            </w:pPr>
            <w:r>
              <w:rPr>
                <w:noProof/>
              </w:rPr>
              <w:t>5. Sistemul de securitate și sănătate în muncă (HERIDANOS)</w:t>
            </w:r>
          </w:p>
        </w:tc>
      </w:tr>
    </w:tbl>
    <w:p w14:paraId="39C33B13" w14:textId="77777777" w:rsidR="00C45D59" w:rsidRDefault="00C45D59">
      <w:pPr>
        <w:spacing w:before="120" w:after="120" w:line="240" w:lineRule="auto"/>
        <w:jc w:val="both"/>
        <w:rPr>
          <w:rFonts w:ascii="Times New Roman" w:hAnsi="Times New Roman" w:cs="Times New Roman"/>
          <w:noProof/>
          <w:sz w:val="24"/>
        </w:rPr>
        <w:sectPr w:rsidR="00C45D59">
          <w:headerReference w:type="even" r:id="rId174"/>
          <w:headerReference w:type="default" r:id="rId175"/>
          <w:footerReference w:type="even" r:id="rId176"/>
          <w:footerReference w:type="default" r:id="rId177"/>
          <w:headerReference w:type="first" r:id="rId178"/>
          <w:footerReference w:type="first" r:id="rId179"/>
          <w:pgSz w:w="16839" w:h="11907" w:orient="landscape"/>
          <w:pgMar w:top="1134" w:right="1134" w:bottom="1134" w:left="1134" w:header="567" w:footer="567" w:gutter="0"/>
          <w:cols w:space="720"/>
          <w:docGrid w:linePitch="360"/>
        </w:sectPr>
      </w:pPr>
    </w:p>
    <w:p w14:paraId="11BE1934" w14:textId="77777777" w:rsidR="00C45D59" w:rsidRDefault="009B0962">
      <w:pPr>
        <w:pStyle w:val="P68B1DB1-Normal9"/>
        <w:keepNext/>
        <w:keepLines/>
        <w:spacing w:before="40" w:after="0" w:line="240" w:lineRule="auto"/>
        <w:jc w:val="both"/>
        <w:outlineLvl w:val="4"/>
        <w:rPr>
          <w:rFonts w:eastAsia="Times New Roman"/>
          <w:noProof/>
          <w:szCs w:val="24"/>
        </w:rPr>
      </w:pPr>
      <w:r>
        <w:rPr>
          <w:noProof/>
        </w:rPr>
        <w:t>Grupul 11: Promovarea creării de locuri de muncă și a participării pe piața forței de muncă/educație, educație și formare profesională și competențe – DYPA- reforme &amp; investiții</w:t>
      </w:r>
    </w:p>
    <w:p w14:paraId="44D99670" w14:textId="77777777" w:rsidR="00C45D59" w:rsidRDefault="009B0962">
      <w:pPr>
        <w:pStyle w:val="P68B1DB1-Normal5"/>
        <w:numPr>
          <w:ilvl w:val="0"/>
          <w:numId w:val="43"/>
        </w:numPr>
        <w:spacing w:before="120" w:after="0" w:line="240" w:lineRule="auto"/>
        <w:jc w:val="both"/>
        <w:rPr>
          <w:rFonts w:cs="Times New Roman"/>
          <w:noProof/>
        </w:rPr>
      </w:pPr>
      <w:r>
        <w:rPr>
          <w:noProof/>
        </w:rPr>
        <w:t>Restructurarea și redefinirea sucursalelor locale ale DYPA pentru promovarea ocupării forței de muncă (KPA2) (ID: 16941)</w:t>
      </w:r>
    </w:p>
    <w:p w14:paraId="6A6D2984" w14:textId="77777777" w:rsidR="00C45D59" w:rsidRDefault="009B0962">
      <w:pPr>
        <w:pStyle w:val="P68B1DB1-Normal5"/>
        <w:numPr>
          <w:ilvl w:val="0"/>
          <w:numId w:val="43"/>
        </w:numPr>
        <w:spacing w:before="120" w:after="0" w:line="240" w:lineRule="auto"/>
        <w:jc w:val="both"/>
        <w:rPr>
          <w:rFonts w:cs="Times New Roman"/>
          <w:noProof/>
        </w:rPr>
      </w:pPr>
      <w:r>
        <w:rPr>
          <w:noProof/>
        </w:rPr>
        <w:t>Reforma politicilor active în domeniul pieței forței de muncă (ID: 16747)</w:t>
      </w:r>
    </w:p>
    <w:p w14:paraId="78DE9D31" w14:textId="77777777" w:rsidR="00C45D59" w:rsidRDefault="009B0962">
      <w:pPr>
        <w:pStyle w:val="P68B1DB1-Normal5"/>
        <w:numPr>
          <w:ilvl w:val="0"/>
          <w:numId w:val="43"/>
        </w:numPr>
        <w:spacing w:before="120" w:after="0" w:line="240" w:lineRule="auto"/>
        <w:jc w:val="both"/>
        <w:rPr>
          <w:rFonts w:cs="Times New Roman"/>
          <w:noProof/>
        </w:rPr>
      </w:pPr>
      <w:r>
        <w:rPr>
          <w:noProof/>
        </w:rPr>
        <w:t>Consolidarea sistemului de ucenicie (ID: 16794)</w:t>
      </w:r>
    </w:p>
    <w:p w14:paraId="0F4164C1" w14:textId="77777777" w:rsidR="00C45D59" w:rsidRDefault="009B0962">
      <w:pPr>
        <w:pStyle w:val="P68B1DB1-Normal5"/>
        <w:numPr>
          <w:ilvl w:val="0"/>
          <w:numId w:val="43"/>
        </w:numPr>
        <w:spacing w:before="120" w:after="0" w:line="240" w:lineRule="auto"/>
        <w:jc w:val="both"/>
        <w:rPr>
          <w:rFonts w:cs="Times New Roman"/>
          <w:noProof/>
        </w:rPr>
      </w:pPr>
      <w:r>
        <w:rPr>
          <w:noProof/>
        </w:rPr>
        <w:t>Reforma politicilor pasive în domeniul pieței forței de muncă pentru a sprijini tranzițiile către ocuparea forței de muncă (ID: 16746)</w:t>
      </w:r>
    </w:p>
    <w:p w14:paraId="5AC2EEA4" w14:textId="77777777" w:rsidR="00C45D59" w:rsidRDefault="009B0962">
      <w:pPr>
        <w:pStyle w:val="P68B1DB1-Normal5"/>
        <w:numPr>
          <w:ilvl w:val="0"/>
          <w:numId w:val="43"/>
        </w:numPr>
        <w:spacing w:before="120" w:after="120" w:line="240" w:lineRule="auto"/>
        <w:jc w:val="both"/>
        <w:rPr>
          <w:rFonts w:cs="Times New Roman"/>
          <w:noProof/>
        </w:rPr>
      </w:pPr>
      <w:r>
        <w:rPr>
          <w:noProof/>
        </w:rPr>
        <w:t>Calificarea, recalificarea și perfecționarea forței de muncă prin intermediul unui model de formare reformat (reforma educației și formării profesionale) (ID: 16792)</w:t>
      </w:r>
    </w:p>
    <w:tbl>
      <w:tblPr>
        <w:tblW w:w="155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2"/>
        <w:gridCol w:w="2241"/>
        <w:gridCol w:w="1099"/>
        <w:gridCol w:w="1365"/>
        <w:gridCol w:w="1471"/>
        <w:gridCol w:w="1135"/>
        <w:gridCol w:w="924"/>
        <w:gridCol w:w="896"/>
        <w:gridCol w:w="1056"/>
        <w:gridCol w:w="990"/>
        <w:gridCol w:w="3739"/>
      </w:tblGrid>
      <w:tr w:rsidR="00C45D59" w14:paraId="1BA5724F" w14:textId="77777777" w:rsidTr="00097639">
        <w:trPr>
          <w:trHeight w:val="741"/>
          <w:tblHeader/>
          <w:jc w:val="center"/>
        </w:trPr>
        <w:tc>
          <w:tcPr>
            <w:tcW w:w="672" w:type="dxa"/>
            <w:vMerge w:val="restart"/>
            <w:shd w:val="clear" w:color="auto" w:fill="BDD7EE"/>
            <w:vAlign w:val="center"/>
            <w:hideMark/>
          </w:tcPr>
          <w:p w14:paraId="034A0211" w14:textId="34A3C723" w:rsidR="00C45D59" w:rsidRDefault="009B0962">
            <w:pPr>
              <w:pStyle w:val="P68B1DB1-Normal10"/>
              <w:spacing w:after="0" w:line="240" w:lineRule="auto"/>
              <w:jc w:val="center"/>
              <w:rPr>
                <w:rFonts w:eastAsia="Times New Roman" w:cs="Times New Roman"/>
                <w:bCs/>
                <w:noProof/>
                <w:szCs w:val="18"/>
              </w:rPr>
            </w:pPr>
            <w:r>
              <w:rPr>
                <w:noProof/>
              </w:rPr>
              <w:t>N</w:t>
            </w:r>
            <w:r w:rsidR="004048D3">
              <w:rPr>
                <w:noProof/>
              </w:rPr>
              <w:t>r.</w:t>
            </w:r>
            <w:r>
              <w:rPr>
                <w:noProof/>
              </w:rPr>
              <w:t xml:space="preserve"> </w:t>
            </w:r>
            <w:r>
              <w:rPr>
                <w:noProof/>
              </w:rPr>
              <w:br/>
            </w:r>
            <w:r w:rsidR="004048D3">
              <w:rPr>
                <w:noProof/>
              </w:rPr>
              <w:t>crt</w:t>
            </w:r>
            <w:r>
              <w:rPr>
                <w:noProof/>
              </w:rPr>
              <w:t>.</w:t>
            </w:r>
          </w:p>
        </w:tc>
        <w:tc>
          <w:tcPr>
            <w:tcW w:w="2241" w:type="dxa"/>
            <w:vMerge w:val="restart"/>
            <w:shd w:val="clear" w:color="auto" w:fill="BDD7EE"/>
            <w:vAlign w:val="center"/>
            <w:hideMark/>
          </w:tcPr>
          <w:p w14:paraId="493DFCA6" w14:textId="77777777" w:rsidR="00C45D59" w:rsidRDefault="009B0962">
            <w:pPr>
              <w:pStyle w:val="P68B1DB1-Normal15"/>
              <w:spacing w:after="0" w:line="240" w:lineRule="auto"/>
              <w:jc w:val="center"/>
              <w:rPr>
                <w:rFonts w:eastAsia="Times New Roman"/>
                <w:bCs/>
                <w:noProof/>
              </w:rPr>
            </w:pPr>
            <w:r>
              <w:rPr>
                <w:noProof/>
              </w:rPr>
              <w:t>Măsură conexă (reformă sau investiții)</w:t>
            </w:r>
          </w:p>
        </w:tc>
        <w:tc>
          <w:tcPr>
            <w:tcW w:w="1099" w:type="dxa"/>
            <w:vMerge w:val="restart"/>
            <w:shd w:val="clear" w:color="auto" w:fill="BDD7EE"/>
            <w:vAlign w:val="center"/>
            <w:hideMark/>
          </w:tcPr>
          <w:p w14:paraId="6A12482B" w14:textId="0A1B473C" w:rsidR="00C45D59" w:rsidRDefault="009B0962">
            <w:pPr>
              <w:pStyle w:val="P68B1DB1-Normal15"/>
              <w:spacing w:after="0" w:line="240" w:lineRule="auto"/>
              <w:jc w:val="center"/>
              <w:rPr>
                <w:rFonts w:eastAsia="Times New Roman"/>
                <w:bCs/>
                <w:noProof/>
              </w:rPr>
            </w:pPr>
            <w:r>
              <w:rPr>
                <w:noProof/>
              </w:rPr>
              <w:t>Etapă/</w:t>
            </w:r>
            <w:r w:rsidR="004048D3">
              <w:rPr>
                <w:noProof/>
              </w:rPr>
              <w:t xml:space="preserve"> </w:t>
            </w:r>
            <w:r>
              <w:rPr>
                <w:noProof/>
              </w:rPr>
              <w:t>Obiectiv</w:t>
            </w:r>
          </w:p>
        </w:tc>
        <w:tc>
          <w:tcPr>
            <w:tcW w:w="1365" w:type="dxa"/>
            <w:vMerge w:val="restart"/>
            <w:shd w:val="clear" w:color="auto" w:fill="BDD7EE"/>
            <w:vAlign w:val="center"/>
            <w:hideMark/>
          </w:tcPr>
          <w:p w14:paraId="5A677EA0" w14:textId="7DA8554E" w:rsidR="00C45D59" w:rsidRDefault="004048D3">
            <w:pPr>
              <w:pStyle w:val="P68B1DB1-Normal15"/>
              <w:spacing w:after="0" w:line="240" w:lineRule="auto"/>
              <w:jc w:val="center"/>
              <w:rPr>
                <w:rFonts w:eastAsia="Times New Roman"/>
                <w:bCs/>
                <w:noProof/>
              </w:rPr>
            </w:pPr>
            <w:r>
              <w:rPr>
                <w:noProof/>
              </w:rPr>
              <w:t>Denumire</w:t>
            </w:r>
          </w:p>
        </w:tc>
        <w:tc>
          <w:tcPr>
            <w:tcW w:w="1471" w:type="dxa"/>
            <w:vMerge w:val="restart"/>
            <w:shd w:val="clear" w:color="auto" w:fill="BDD7EE"/>
            <w:vAlign w:val="center"/>
            <w:hideMark/>
          </w:tcPr>
          <w:p w14:paraId="4F719445" w14:textId="6E663873" w:rsidR="00C45D59" w:rsidRDefault="009B0962">
            <w:pPr>
              <w:pStyle w:val="P68B1DB1-Normal15"/>
              <w:spacing w:after="0" w:line="240" w:lineRule="auto"/>
              <w:jc w:val="center"/>
              <w:rPr>
                <w:rFonts w:eastAsia="Times New Roman"/>
                <w:bCs/>
                <w:noProof/>
              </w:rPr>
            </w:pPr>
            <w:r>
              <w:rPr>
                <w:noProof/>
              </w:rPr>
              <w:t xml:space="preserve">Indicatori calitativi </w:t>
            </w:r>
            <w:r>
              <w:rPr>
                <w:noProof/>
              </w:rPr>
              <w:br/>
              <w:t xml:space="preserve"> (pentru jaloane)</w:t>
            </w:r>
          </w:p>
        </w:tc>
        <w:tc>
          <w:tcPr>
            <w:tcW w:w="2955" w:type="dxa"/>
            <w:gridSpan w:val="3"/>
            <w:shd w:val="clear" w:color="auto" w:fill="BDD7EE"/>
            <w:vAlign w:val="center"/>
            <w:hideMark/>
          </w:tcPr>
          <w:p w14:paraId="5351F43B" w14:textId="77777777" w:rsidR="00C45D59" w:rsidRDefault="009B0962">
            <w:pPr>
              <w:pStyle w:val="P68B1DB1-Normal15"/>
              <w:spacing w:after="0" w:line="240" w:lineRule="auto"/>
              <w:jc w:val="center"/>
              <w:rPr>
                <w:rFonts w:eastAsia="Times New Roman"/>
                <w:bCs/>
                <w:noProof/>
              </w:rPr>
            </w:pPr>
            <w:r>
              <w:rPr>
                <w:noProof/>
              </w:rPr>
              <w:t>Indicatori cantitativi (pentru ținte)</w:t>
            </w:r>
          </w:p>
        </w:tc>
        <w:tc>
          <w:tcPr>
            <w:tcW w:w="2046" w:type="dxa"/>
            <w:gridSpan w:val="2"/>
            <w:shd w:val="clear" w:color="auto" w:fill="BDD7EE"/>
            <w:vAlign w:val="center"/>
            <w:hideMark/>
          </w:tcPr>
          <w:p w14:paraId="0A135B1F" w14:textId="77777777" w:rsidR="00C45D59" w:rsidRDefault="009B0962">
            <w:pPr>
              <w:pStyle w:val="P68B1DB1-Normal15"/>
              <w:spacing w:after="0" w:line="240" w:lineRule="auto"/>
              <w:jc w:val="center"/>
              <w:rPr>
                <w:rFonts w:eastAsia="Times New Roman"/>
                <w:bCs/>
                <w:noProof/>
              </w:rPr>
            </w:pPr>
            <w:r>
              <w:rPr>
                <w:noProof/>
              </w:rPr>
              <w:t xml:space="preserve">Calendar orientativ pentru finalizare </w:t>
            </w:r>
          </w:p>
        </w:tc>
        <w:tc>
          <w:tcPr>
            <w:tcW w:w="3739" w:type="dxa"/>
            <w:vMerge w:val="restart"/>
            <w:shd w:val="clear" w:color="auto" w:fill="BDD7EE"/>
            <w:vAlign w:val="center"/>
            <w:hideMark/>
          </w:tcPr>
          <w:p w14:paraId="239B6604" w14:textId="77777777" w:rsidR="00C45D59" w:rsidRDefault="009B0962">
            <w:pPr>
              <w:pStyle w:val="P68B1DB1-Normal15"/>
              <w:spacing w:after="0" w:line="240" w:lineRule="auto"/>
              <w:jc w:val="center"/>
              <w:rPr>
                <w:rFonts w:eastAsia="Times New Roman"/>
                <w:bCs/>
                <w:noProof/>
              </w:rPr>
            </w:pPr>
            <w:r>
              <w:rPr>
                <w:noProof/>
              </w:rPr>
              <w:t>Descrierea fiecărui jalon și a fiecărei ținte</w:t>
            </w:r>
          </w:p>
        </w:tc>
      </w:tr>
      <w:tr w:rsidR="00C45D59" w14:paraId="00AC7A2B" w14:textId="77777777" w:rsidTr="00097639">
        <w:trPr>
          <w:trHeight w:val="512"/>
          <w:tblHeader/>
          <w:jc w:val="center"/>
        </w:trPr>
        <w:tc>
          <w:tcPr>
            <w:tcW w:w="672" w:type="dxa"/>
            <w:vMerge/>
            <w:vAlign w:val="center"/>
            <w:hideMark/>
          </w:tcPr>
          <w:p w14:paraId="351F05C9" w14:textId="77777777" w:rsidR="00C45D59" w:rsidRDefault="00C45D59">
            <w:pPr>
              <w:spacing w:after="0" w:line="240" w:lineRule="auto"/>
              <w:rPr>
                <w:rFonts w:ascii="Times New Roman" w:eastAsia="Times New Roman" w:hAnsi="Times New Roman" w:cs="Times New Roman"/>
                <w:b/>
                <w:bCs/>
                <w:noProof/>
                <w:sz w:val="18"/>
                <w:szCs w:val="18"/>
              </w:rPr>
            </w:pPr>
          </w:p>
        </w:tc>
        <w:tc>
          <w:tcPr>
            <w:tcW w:w="2241" w:type="dxa"/>
            <w:vMerge/>
            <w:vAlign w:val="center"/>
            <w:hideMark/>
          </w:tcPr>
          <w:p w14:paraId="022DB5A2" w14:textId="77777777" w:rsidR="00C45D59" w:rsidRDefault="00C45D59">
            <w:pPr>
              <w:spacing w:after="0" w:line="240" w:lineRule="auto"/>
              <w:rPr>
                <w:rFonts w:ascii="Times New Roman" w:eastAsia="Times New Roman" w:hAnsi="Times New Roman" w:cs="Times New Roman"/>
                <w:b/>
                <w:bCs/>
                <w:noProof/>
                <w:sz w:val="18"/>
                <w:szCs w:val="18"/>
              </w:rPr>
            </w:pPr>
          </w:p>
        </w:tc>
        <w:tc>
          <w:tcPr>
            <w:tcW w:w="1099" w:type="dxa"/>
            <w:vMerge/>
            <w:vAlign w:val="center"/>
            <w:hideMark/>
          </w:tcPr>
          <w:p w14:paraId="2E9DB183" w14:textId="77777777" w:rsidR="00C45D59" w:rsidRDefault="00C45D59">
            <w:pPr>
              <w:spacing w:after="0" w:line="240" w:lineRule="auto"/>
              <w:rPr>
                <w:rFonts w:ascii="Times New Roman" w:eastAsia="Times New Roman" w:hAnsi="Times New Roman" w:cs="Times New Roman"/>
                <w:b/>
                <w:bCs/>
                <w:noProof/>
                <w:sz w:val="18"/>
                <w:szCs w:val="18"/>
              </w:rPr>
            </w:pPr>
          </w:p>
        </w:tc>
        <w:tc>
          <w:tcPr>
            <w:tcW w:w="1365" w:type="dxa"/>
            <w:vMerge/>
            <w:vAlign w:val="center"/>
            <w:hideMark/>
          </w:tcPr>
          <w:p w14:paraId="72AFC821" w14:textId="77777777" w:rsidR="00C45D59" w:rsidRDefault="00C45D59">
            <w:pPr>
              <w:spacing w:after="0" w:line="240" w:lineRule="auto"/>
              <w:rPr>
                <w:rFonts w:ascii="Times New Roman" w:eastAsia="Times New Roman" w:hAnsi="Times New Roman" w:cs="Times New Roman"/>
                <w:b/>
                <w:bCs/>
                <w:noProof/>
                <w:sz w:val="18"/>
                <w:szCs w:val="18"/>
              </w:rPr>
            </w:pPr>
          </w:p>
        </w:tc>
        <w:tc>
          <w:tcPr>
            <w:tcW w:w="1471" w:type="dxa"/>
            <w:vMerge/>
            <w:vAlign w:val="center"/>
            <w:hideMark/>
          </w:tcPr>
          <w:p w14:paraId="5C9D8D27" w14:textId="77777777" w:rsidR="00C45D59" w:rsidRDefault="00C45D59">
            <w:pPr>
              <w:spacing w:after="0" w:line="240" w:lineRule="auto"/>
              <w:rPr>
                <w:rFonts w:ascii="Times New Roman" w:eastAsia="Times New Roman" w:hAnsi="Times New Roman" w:cs="Times New Roman"/>
                <w:b/>
                <w:bCs/>
                <w:noProof/>
                <w:sz w:val="18"/>
                <w:szCs w:val="18"/>
              </w:rPr>
            </w:pPr>
          </w:p>
        </w:tc>
        <w:tc>
          <w:tcPr>
            <w:tcW w:w="1135" w:type="dxa"/>
            <w:shd w:val="clear" w:color="auto" w:fill="BDD7EE"/>
            <w:vAlign w:val="center"/>
            <w:hideMark/>
          </w:tcPr>
          <w:p w14:paraId="233CF20D" w14:textId="77777777" w:rsidR="00C45D59" w:rsidRDefault="009B0962">
            <w:pPr>
              <w:pStyle w:val="P68B1DB1-Normal15"/>
              <w:spacing w:after="0" w:line="240" w:lineRule="auto"/>
              <w:jc w:val="center"/>
              <w:rPr>
                <w:rFonts w:eastAsia="Times New Roman"/>
                <w:bCs/>
                <w:noProof/>
              </w:rPr>
            </w:pPr>
            <w:r>
              <w:rPr>
                <w:noProof/>
              </w:rPr>
              <w:t>Unitatea de măsură</w:t>
            </w:r>
          </w:p>
        </w:tc>
        <w:tc>
          <w:tcPr>
            <w:tcW w:w="924" w:type="dxa"/>
            <w:shd w:val="clear" w:color="auto" w:fill="BDD7EE"/>
            <w:vAlign w:val="center"/>
            <w:hideMark/>
          </w:tcPr>
          <w:p w14:paraId="741EB13D" w14:textId="77777777" w:rsidR="00C45D59" w:rsidRDefault="009B0962">
            <w:pPr>
              <w:pStyle w:val="P68B1DB1-Normal15"/>
              <w:spacing w:after="0" w:line="240" w:lineRule="auto"/>
              <w:jc w:val="center"/>
              <w:rPr>
                <w:rFonts w:eastAsia="Times New Roman"/>
                <w:bCs/>
                <w:noProof/>
              </w:rPr>
            </w:pPr>
            <w:r>
              <w:rPr>
                <w:noProof/>
              </w:rPr>
              <w:t xml:space="preserve">Situația de referință </w:t>
            </w:r>
          </w:p>
        </w:tc>
        <w:tc>
          <w:tcPr>
            <w:tcW w:w="896" w:type="dxa"/>
            <w:shd w:val="clear" w:color="auto" w:fill="BDD7EE"/>
            <w:vAlign w:val="center"/>
            <w:hideMark/>
          </w:tcPr>
          <w:p w14:paraId="58826D2A" w14:textId="77777777" w:rsidR="00C45D59" w:rsidRDefault="009B0962">
            <w:pPr>
              <w:pStyle w:val="P68B1DB1-Normal15"/>
              <w:spacing w:after="0" w:line="240" w:lineRule="auto"/>
              <w:jc w:val="center"/>
              <w:rPr>
                <w:rFonts w:eastAsia="Times New Roman"/>
                <w:bCs/>
                <w:noProof/>
              </w:rPr>
            </w:pPr>
            <w:r>
              <w:rPr>
                <w:noProof/>
              </w:rPr>
              <w:t xml:space="preserve">Obiectiv </w:t>
            </w:r>
          </w:p>
        </w:tc>
        <w:tc>
          <w:tcPr>
            <w:tcW w:w="1056" w:type="dxa"/>
            <w:shd w:val="clear" w:color="auto" w:fill="BDD7EE"/>
            <w:vAlign w:val="center"/>
            <w:hideMark/>
          </w:tcPr>
          <w:p w14:paraId="1EA2D5C7" w14:textId="77777777" w:rsidR="00C45D59" w:rsidRDefault="009B0962">
            <w:pPr>
              <w:pStyle w:val="P68B1DB1-Normal15"/>
              <w:spacing w:after="0" w:line="240" w:lineRule="auto"/>
              <w:jc w:val="center"/>
              <w:rPr>
                <w:rFonts w:eastAsia="Times New Roman"/>
                <w:bCs/>
                <w:noProof/>
              </w:rPr>
            </w:pPr>
            <w:r>
              <w:rPr>
                <w:noProof/>
              </w:rPr>
              <w:t>Trimestru</w:t>
            </w:r>
          </w:p>
        </w:tc>
        <w:tc>
          <w:tcPr>
            <w:tcW w:w="990" w:type="dxa"/>
            <w:shd w:val="clear" w:color="auto" w:fill="BDD7EE"/>
            <w:vAlign w:val="center"/>
            <w:hideMark/>
          </w:tcPr>
          <w:p w14:paraId="67EFEDE3" w14:textId="77777777" w:rsidR="00C45D59" w:rsidRDefault="009B0962">
            <w:pPr>
              <w:pStyle w:val="P68B1DB1-Normal15"/>
              <w:spacing w:after="0" w:line="240" w:lineRule="auto"/>
              <w:jc w:val="center"/>
              <w:rPr>
                <w:rFonts w:eastAsia="Times New Roman"/>
                <w:bCs/>
                <w:noProof/>
              </w:rPr>
            </w:pPr>
            <w:r>
              <w:rPr>
                <w:noProof/>
              </w:rPr>
              <w:t>Anul</w:t>
            </w:r>
          </w:p>
        </w:tc>
        <w:tc>
          <w:tcPr>
            <w:tcW w:w="3739" w:type="dxa"/>
            <w:vMerge/>
            <w:vAlign w:val="center"/>
            <w:hideMark/>
          </w:tcPr>
          <w:p w14:paraId="7A85F8F3" w14:textId="77777777" w:rsidR="00C45D59" w:rsidRDefault="00C45D59">
            <w:pPr>
              <w:spacing w:after="0" w:line="240" w:lineRule="auto"/>
              <w:rPr>
                <w:rFonts w:ascii="Times New Roman" w:eastAsia="Times New Roman" w:hAnsi="Times New Roman" w:cs="Times New Roman"/>
                <w:b/>
                <w:bCs/>
                <w:noProof/>
                <w:sz w:val="18"/>
                <w:szCs w:val="18"/>
              </w:rPr>
            </w:pPr>
          </w:p>
        </w:tc>
      </w:tr>
      <w:tr w:rsidR="00C45D59" w14:paraId="04D930E6" w14:textId="77777777" w:rsidTr="00097639">
        <w:trPr>
          <w:trHeight w:val="309"/>
          <w:jc w:val="center"/>
        </w:trPr>
        <w:tc>
          <w:tcPr>
            <w:tcW w:w="672" w:type="dxa"/>
            <w:shd w:val="clear" w:color="auto" w:fill="C6EFCE"/>
            <w:noWrap/>
          </w:tcPr>
          <w:p w14:paraId="73D768B5" w14:textId="77777777" w:rsidR="00C45D59" w:rsidRDefault="009B0962">
            <w:pPr>
              <w:pStyle w:val="P68B1DB1-Normal12"/>
              <w:spacing w:after="0" w:line="240" w:lineRule="auto"/>
              <w:rPr>
                <w:rFonts w:eastAsia="Times New Roman"/>
                <w:noProof/>
              </w:rPr>
            </w:pPr>
            <w:r>
              <w:rPr>
                <w:noProof/>
              </w:rPr>
              <w:t>141</w:t>
            </w:r>
          </w:p>
        </w:tc>
        <w:tc>
          <w:tcPr>
            <w:tcW w:w="2241" w:type="dxa"/>
            <w:shd w:val="clear" w:color="auto" w:fill="C6EFCE"/>
            <w:noWrap/>
          </w:tcPr>
          <w:p w14:paraId="29D8E496" w14:textId="77777777" w:rsidR="00C45D59" w:rsidRDefault="009B0962">
            <w:pPr>
              <w:pStyle w:val="P68B1DB1-Normal12"/>
              <w:spacing w:after="0" w:line="240" w:lineRule="auto"/>
              <w:rPr>
                <w:rFonts w:eastAsia="Times New Roman"/>
                <w:noProof/>
              </w:rPr>
            </w:pPr>
            <w:r>
              <w:rPr>
                <w:noProof/>
              </w:rPr>
              <w:t>8-3.1. Promovarea creării de locuri de muncă și a participării pe piața forței de muncă – 16941_Restructurarea și redefinirea DYPA local PES (KPA2)</w:t>
            </w:r>
          </w:p>
        </w:tc>
        <w:tc>
          <w:tcPr>
            <w:tcW w:w="1099" w:type="dxa"/>
            <w:shd w:val="clear" w:color="auto" w:fill="C6EFCE"/>
            <w:noWrap/>
          </w:tcPr>
          <w:p w14:paraId="00C6250A" w14:textId="77777777" w:rsidR="00C45D59" w:rsidRDefault="009B0962">
            <w:pPr>
              <w:pStyle w:val="P68B1DB1-Normal12"/>
              <w:spacing w:after="0" w:line="240" w:lineRule="auto"/>
              <w:rPr>
                <w:rFonts w:eastAsia="Times New Roman"/>
                <w:noProof/>
              </w:rPr>
            </w:pPr>
            <w:r>
              <w:rPr>
                <w:noProof/>
              </w:rPr>
              <w:t>Etapă</w:t>
            </w:r>
          </w:p>
        </w:tc>
        <w:tc>
          <w:tcPr>
            <w:tcW w:w="1365" w:type="dxa"/>
            <w:shd w:val="clear" w:color="auto" w:fill="C6EFCE"/>
            <w:noWrap/>
          </w:tcPr>
          <w:p w14:paraId="4C879C3E" w14:textId="77777777" w:rsidR="00C45D59" w:rsidRDefault="009B0962">
            <w:pPr>
              <w:pStyle w:val="P68B1DB1-Normal12"/>
              <w:spacing w:after="0" w:line="240" w:lineRule="auto"/>
              <w:rPr>
                <w:rFonts w:eastAsia="Times New Roman"/>
                <w:noProof/>
              </w:rPr>
            </w:pPr>
            <w:r>
              <w:rPr>
                <w:noProof/>
              </w:rPr>
              <w:t xml:space="preserve">DYPA Reforma organizațională – intrarea în vigoare a legislației </w:t>
            </w:r>
          </w:p>
        </w:tc>
        <w:tc>
          <w:tcPr>
            <w:tcW w:w="1471" w:type="dxa"/>
            <w:shd w:val="clear" w:color="auto" w:fill="C6EFCE"/>
            <w:noWrap/>
          </w:tcPr>
          <w:p w14:paraId="0981C56E" w14:textId="77777777" w:rsidR="00C45D59" w:rsidRDefault="009B0962">
            <w:pPr>
              <w:pStyle w:val="P68B1DB1-Normal12"/>
              <w:spacing w:after="0" w:line="240" w:lineRule="auto"/>
              <w:rPr>
                <w:rFonts w:eastAsia="Times New Roman"/>
                <w:noProof/>
              </w:rPr>
            </w:pPr>
            <w:r>
              <w:rPr>
                <w:noProof/>
              </w:rPr>
              <w:t xml:space="preserve">Intrarea în vigoare a legislației </w:t>
            </w:r>
          </w:p>
        </w:tc>
        <w:tc>
          <w:tcPr>
            <w:tcW w:w="1135" w:type="dxa"/>
            <w:shd w:val="clear" w:color="auto" w:fill="C6EFCE"/>
            <w:noWrap/>
          </w:tcPr>
          <w:p w14:paraId="527FAFCD"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924" w:type="dxa"/>
            <w:shd w:val="clear" w:color="auto" w:fill="C6EFCE"/>
            <w:noWrap/>
          </w:tcPr>
          <w:p w14:paraId="07883713"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96" w:type="dxa"/>
            <w:shd w:val="clear" w:color="auto" w:fill="C6EFCE"/>
            <w:noWrap/>
          </w:tcPr>
          <w:p w14:paraId="0FB58116"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056" w:type="dxa"/>
            <w:shd w:val="clear" w:color="auto" w:fill="C6EFCE"/>
            <w:noWrap/>
          </w:tcPr>
          <w:p w14:paraId="4125F0C6" w14:textId="77777777" w:rsidR="00C45D59" w:rsidRDefault="009B0962">
            <w:pPr>
              <w:pStyle w:val="P68B1DB1-Normal12"/>
              <w:spacing w:after="0" w:line="240" w:lineRule="auto"/>
              <w:rPr>
                <w:rFonts w:eastAsia="Times New Roman"/>
                <w:noProof/>
              </w:rPr>
            </w:pPr>
            <w:r>
              <w:rPr>
                <w:noProof/>
              </w:rPr>
              <w:t>Î3</w:t>
            </w:r>
          </w:p>
        </w:tc>
        <w:tc>
          <w:tcPr>
            <w:tcW w:w="990" w:type="dxa"/>
            <w:shd w:val="clear" w:color="auto" w:fill="C6EFCE"/>
            <w:noWrap/>
          </w:tcPr>
          <w:p w14:paraId="6792B637" w14:textId="77777777" w:rsidR="00C45D59" w:rsidRDefault="009B0962">
            <w:pPr>
              <w:pStyle w:val="P68B1DB1-Normal12"/>
              <w:spacing w:after="0" w:line="240" w:lineRule="auto"/>
              <w:rPr>
                <w:rFonts w:eastAsia="Times New Roman"/>
                <w:noProof/>
              </w:rPr>
            </w:pPr>
            <w:r>
              <w:rPr>
                <w:noProof/>
              </w:rPr>
              <w:t>2021</w:t>
            </w:r>
          </w:p>
        </w:tc>
        <w:tc>
          <w:tcPr>
            <w:tcW w:w="3739" w:type="dxa"/>
            <w:shd w:val="clear" w:color="auto" w:fill="C6EFCE"/>
            <w:noWrap/>
          </w:tcPr>
          <w:p w14:paraId="02655777" w14:textId="77777777" w:rsidR="00C45D59" w:rsidRDefault="009B0962">
            <w:pPr>
              <w:pStyle w:val="P68B1DB1-Normal12"/>
              <w:spacing w:after="0" w:line="240" w:lineRule="auto"/>
              <w:rPr>
                <w:rFonts w:eastAsia="Times New Roman"/>
                <w:noProof/>
              </w:rPr>
            </w:pPr>
            <w:r>
              <w:rPr>
                <w:noProof/>
              </w:rPr>
              <w:t>Intrarea în vigoare a reformei organizaționale a Organizației Elene pentru Ocuparea Forței de Muncă (DYPA), restructurarea, renovarea și redefinirea serviciilor publice locale de ocupare a forței de muncă în vederea îmbunătățirii calității, capacității și eficacității serviciilor oferite.</w:t>
            </w:r>
          </w:p>
        </w:tc>
      </w:tr>
      <w:tr w:rsidR="00C45D59" w14:paraId="284E4130" w14:textId="77777777" w:rsidTr="00097639">
        <w:trPr>
          <w:trHeight w:val="309"/>
          <w:jc w:val="center"/>
        </w:trPr>
        <w:tc>
          <w:tcPr>
            <w:tcW w:w="672" w:type="dxa"/>
            <w:shd w:val="clear" w:color="auto" w:fill="C6EFCE"/>
            <w:noWrap/>
          </w:tcPr>
          <w:p w14:paraId="618C49E5" w14:textId="77777777" w:rsidR="00C45D59" w:rsidRDefault="009B0962">
            <w:pPr>
              <w:pStyle w:val="P68B1DB1-Normal12"/>
              <w:spacing w:after="0" w:line="240" w:lineRule="auto"/>
              <w:rPr>
                <w:rFonts w:eastAsia="Times New Roman"/>
                <w:noProof/>
              </w:rPr>
            </w:pPr>
            <w:r>
              <w:rPr>
                <w:noProof/>
              </w:rPr>
              <w:t>142</w:t>
            </w:r>
          </w:p>
        </w:tc>
        <w:tc>
          <w:tcPr>
            <w:tcW w:w="2241" w:type="dxa"/>
            <w:shd w:val="clear" w:color="auto" w:fill="C6EFCE"/>
            <w:noWrap/>
          </w:tcPr>
          <w:p w14:paraId="49BF02C8" w14:textId="5AF75C80" w:rsidR="00C45D59" w:rsidRDefault="009B0962">
            <w:pPr>
              <w:pStyle w:val="P68B1DB1-Normal12"/>
              <w:spacing w:after="0" w:line="240" w:lineRule="auto"/>
              <w:rPr>
                <w:noProof/>
              </w:rPr>
            </w:pPr>
            <w:r>
              <w:rPr>
                <w:noProof/>
              </w:rPr>
              <w:t>8-3.1. Promovarea creării de locuri de muncă și a participării pe piața forței de muncă – 16746</w:t>
            </w:r>
          </w:p>
          <w:p w14:paraId="5DFBC948" w14:textId="0075FEDD" w:rsidR="00C45D59" w:rsidRDefault="009B0962">
            <w:pPr>
              <w:pStyle w:val="P68B1DB1-Normal12"/>
              <w:spacing w:after="0" w:line="240" w:lineRule="auto"/>
              <w:rPr>
                <w:rFonts w:eastAsia="Times New Roman"/>
                <w:noProof/>
              </w:rPr>
            </w:pPr>
            <w:r>
              <w:rPr>
                <w:noProof/>
              </w:rPr>
              <w:t>_Reforma politicilor pasive în domeniul pieței forței de muncă pentru a sprijini tranzițiile către ocuparea forței de muncă</w:t>
            </w:r>
          </w:p>
        </w:tc>
        <w:tc>
          <w:tcPr>
            <w:tcW w:w="1099" w:type="dxa"/>
            <w:shd w:val="clear" w:color="auto" w:fill="C6EFCE"/>
            <w:noWrap/>
          </w:tcPr>
          <w:p w14:paraId="1F65A8FF" w14:textId="77777777" w:rsidR="00C45D59" w:rsidRDefault="009B0962">
            <w:pPr>
              <w:pStyle w:val="P68B1DB1-Normal12"/>
              <w:spacing w:after="0" w:line="240" w:lineRule="auto"/>
              <w:rPr>
                <w:rFonts w:eastAsia="Times New Roman"/>
                <w:noProof/>
              </w:rPr>
            </w:pPr>
            <w:r>
              <w:rPr>
                <w:noProof/>
              </w:rPr>
              <w:t>Etapă</w:t>
            </w:r>
          </w:p>
        </w:tc>
        <w:tc>
          <w:tcPr>
            <w:tcW w:w="1365" w:type="dxa"/>
            <w:shd w:val="clear" w:color="auto" w:fill="C6EFCE"/>
            <w:noWrap/>
          </w:tcPr>
          <w:p w14:paraId="1A111050" w14:textId="77777777" w:rsidR="00C45D59" w:rsidRDefault="009B0962">
            <w:pPr>
              <w:pStyle w:val="P68B1DB1-Normal12"/>
              <w:spacing w:after="0" w:line="240" w:lineRule="auto"/>
              <w:rPr>
                <w:rFonts w:eastAsia="Times New Roman"/>
                <w:noProof/>
                <w:highlight w:val="yellow"/>
              </w:rPr>
            </w:pPr>
            <w:r>
              <w:rPr>
                <w:noProof/>
              </w:rPr>
              <w:t xml:space="preserve">Reforma cadrului de obligații reciproce – intrarea în vigoare a legislației </w:t>
            </w:r>
          </w:p>
        </w:tc>
        <w:tc>
          <w:tcPr>
            <w:tcW w:w="1471" w:type="dxa"/>
            <w:shd w:val="clear" w:color="auto" w:fill="C6EFCE"/>
            <w:noWrap/>
          </w:tcPr>
          <w:p w14:paraId="1BAB8017" w14:textId="77777777" w:rsidR="00C45D59" w:rsidRDefault="009B0962">
            <w:pPr>
              <w:pStyle w:val="P68B1DB1-Normal12"/>
              <w:spacing w:after="0" w:line="240" w:lineRule="auto"/>
              <w:rPr>
                <w:rFonts w:eastAsia="Times New Roman"/>
                <w:noProof/>
              </w:rPr>
            </w:pPr>
            <w:r>
              <w:rPr>
                <w:noProof/>
              </w:rPr>
              <w:t>Intrarea în vigoare a legislației</w:t>
            </w:r>
          </w:p>
        </w:tc>
        <w:tc>
          <w:tcPr>
            <w:tcW w:w="1135" w:type="dxa"/>
            <w:shd w:val="clear" w:color="auto" w:fill="C6EFCE"/>
            <w:noWrap/>
          </w:tcPr>
          <w:p w14:paraId="1D5DC095"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924" w:type="dxa"/>
            <w:shd w:val="clear" w:color="auto" w:fill="C6EFCE"/>
            <w:noWrap/>
          </w:tcPr>
          <w:p w14:paraId="30B1DFE2"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96" w:type="dxa"/>
            <w:shd w:val="clear" w:color="auto" w:fill="C6EFCE"/>
            <w:noWrap/>
          </w:tcPr>
          <w:p w14:paraId="32E6AD14"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056" w:type="dxa"/>
            <w:shd w:val="clear" w:color="auto" w:fill="C6EFCE"/>
            <w:noWrap/>
          </w:tcPr>
          <w:p w14:paraId="568AB926" w14:textId="77777777" w:rsidR="00C45D59" w:rsidRDefault="009B0962">
            <w:pPr>
              <w:pStyle w:val="P68B1DB1-Normal12"/>
              <w:spacing w:after="0" w:line="240" w:lineRule="auto"/>
              <w:rPr>
                <w:rFonts w:eastAsia="Times New Roman"/>
                <w:noProof/>
              </w:rPr>
            </w:pPr>
            <w:r>
              <w:rPr>
                <w:noProof/>
              </w:rPr>
              <w:t>Î3</w:t>
            </w:r>
          </w:p>
        </w:tc>
        <w:tc>
          <w:tcPr>
            <w:tcW w:w="990" w:type="dxa"/>
            <w:shd w:val="clear" w:color="auto" w:fill="C6EFCE"/>
            <w:noWrap/>
          </w:tcPr>
          <w:p w14:paraId="22EDBB53" w14:textId="77777777" w:rsidR="00C45D59" w:rsidRDefault="009B0962">
            <w:pPr>
              <w:pStyle w:val="P68B1DB1-Normal12"/>
              <w:spacing w:after="0" w:line="240" w:lineRule="auto"/>
              <w:rPr>
                <w:rFonts w:eastAsia="Times New Roman"/>
                <w:noProof/>
              </w:rPr>
            </w:pPr>
            <w:r>
              <w:rPr>
                <w:noProof/>
              </w:rPr>
              <w:t>2022</w:t>
            </w:r>
          </w:p>
        </w:tc>
        <w:tc>
          <w:tcPr>
            <w:tcW w:w="3739" w:type="dxa"/>
            <w:shd w:val="clear" w:color="auto" w:fill="C6EFCE"/>
            <w:noWrap/>
          </w:tcPr>
          <w:p w14:paraId="153834CC" w14:textId="77777777" w:rsidR="00C45D59" w:rsidRDefault="009B0962">
            <w:pPr>
              <w:pStyle w:val="P68B1DB1-Normal12"/>
              <w:spacing w:after="0" w:line="240" w:lineRule="auto"/>
              <w:rPr>
                <w:rFonts w:eastAsia="Times New Roman"/>
                <w:noProof/>
              </w:rPr>
            </w:pPr>
            <w:r>
              <w:rPr>
                <w:noProof/>
              </w:rPr>
              <w:t>Intrarea în vigoare a legislației de reformare a cadrului privind obligațiile reciproce, care stabilește relația dintre serviciul public de ocupare a forței de muncă (SPOFM) și persoana aflată în căutarea unui loc de muncă. Printre altele, reforma va include o nouă definiție a căutării active a unui loc de muncă și sancțiuni pentru șomerii care nu respectă noile norme.</w:t>
            </w:r>
          </w:p>
        </w:tc>
      </w:tr>
      <w:tr w:rsidR="00C45D59" w14:paraId="6E4E0FE7" w14:textId="77777777" w:rsidTr="00097639">
        <w:trPr>
          <w:trHeight w:val="309"/>
          <w:jc w:val="center"/>
        </w:trPr>
        <w:tc>
          <w:tcPr>
            <w:tcW w:w="672" w:type="dxa"/>
            <w:shd w:val="clear" w:color="auto" w:fill="C6EFCE"/>
            <w:noWrap/>
          </w:tcPr>
          <w:p w14:paraId="5D27A86D" w14:textId="77777777" w:rsidR="00C45D59" w:rsidRDefault="009B0962">
            <w:pPr>
              <w:pStyle w:val="P68B1DB1-Normal12"/>
              <w:spacing w:after="0" w:line="240" w:lineRule="auto"/>
              <w:rPr>
                <w:rFonts w:eastAsia="Times New Roman"/>
                <w:noProof/>
              </w:rPr>
            </w:pPr>
            <w:r>
              <w:rPr>
                <w:noProof/>
              </w:rPr>
              <w:t>142a</w:t>
            </w:r>
          </w:p>
        </w:tc>
        <w:tc>
          <w:tcPr>
            <w:tcW w:w="2241" w:type="dxa"/>
            <w:shd w:val="clear" w:color="auto" w:fill="C6EFCE"/>
            <w:noWrap/>
          </w:tcPr>
          <w:p w14:paraId="55753D35" w14:textId="77777777" w:rsidR="00C45D59" w:rsidRDefault="009B0962">
            <w:pPr>
              <w:pStyle w:val="P68B1DB1-Normal12"/>
              <w:spacing w:after="0" w:line="240" w:lineRule="auto"/>
              <w:rPr>
                <w:rFonts w:eastAsia="Times New Roman"/>
                <w:noProof/>
              </w:rPr>
            </w:pPr>
            <w:r>
              <w:rPr>
                <w:noProof/>
              </w:rPr>
              <w:t>8-3.1. Promovarea creării de locuri de muncă și a participării pe piața forței de muncă – 16746_Reforma politicilor pasive în domeniul pieței forței de muncă pentru a sprijini tranzițiile către ocuparea forței de muncă</w:t>
            </w:r>
          </w:p>
        </w:tc>
        <w:tc>
          <w:tcPr>
            <w:tcW w:w="1099" w:type="dxa"/>
            <w:shd w:val="clear" w:color="auto" w:fill="C6EFCE"/>
            <w:noWrap/>
          </w:tcPr>
          <w:p w14:paraId="0DB9EB68" w14:textId="77777777" w:rsidR="00C45D59" w:rsidRDefault="009B0962">
            <w:pPr>
              <w:pStyle w:val="P68B1DB1-Normal12"/>
              <w:spacing w:after="0" w:line="240" w:lineRule="auto"/>
              <w:rPr>
                <w:rFonts w:eastAsia="Times New Roman"/>
                <w:noProof/>
              </w:rPr>
            </w:pPr>
            <w:r>
              <w:rPr>
                <w:noProof/>
              </w:rPr>
              <w:t>Etapă</w:t>
            </w:r>
          </w:p>
        </w:tc>
        <w:tc>
          <w:tcPr>
            <w:tcW w:w="1365" w:type="dxa"/>
            <w:shd w:val="clear" w:color="auto" w:fill="C6EFCE"/>
            <w:noWrap/>
          </w:tcPr>
          <w:p w14:paraId="30889D65" w14:textId="77777777" w:rsidR="00C45D59" w:rsidRDefault="009B0962">
            <w:pPr>
              <w:pStyle w:val="P68B1DB1-Normal12"/>
              <w:spacing w:after="0" w:line="240" w:lineRule="auto"/>
              <w:rPr>
                <w:rFonts w:eastAsia="Times New Roman"/>
                <w:noProof/>
              </w:rPr>
            </w:pPr>
            <w:r>
              <w:rPr>
                <w:noProof/>
              </w:rPr>
              <w:t xml:space="preserve">Legislația privind indemnizațiile și alocațiile de șomaj </w:t>
            </w:r>
          </w:p>
        </w:tc>
        <w:tc>
          <w:tcPr>
            <w:tcW w:w="1471" w:type="dxa"/>
            <w:shd w:val="clear" w:color="auto" w:fill="C6EFCE"/>
            <w:noWrap/>
          </w:tcPr>
          <w:p w14:paraId="040AF068" w14:textId="77777777" w:rsidR="00C45D59" w:rsidRDefault="009B0962">
            <w:pPr>
              <w:pStyle w:val="P68B1DB1-Normal12"/>
              <w:spacing w:after="0" w:line="240" w:lineRule="auto"/>
              <w:rPr>
                <w:noProof/>
              </w:rPr>
            </w:pPr>
            <w:r>
              <w:rPr>
                <w:noProof/>
              </w:rPr>
              <w:t>Intrarea în vigoare a legislației</w:t>
            </w:r>
          </w:p>
          <w:p w14:paraId="32B5688D"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135" w:type="dxa"/>
            <w:shd w:val="clear" w:color="auto" w:fill="C6EFCE"/>
            <w:noWrap/>
          </w:tcPr>
          <w:p w14:paraId="7478A77C"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924" w:type="dxa"/>
            <w:shd w:val="clear" w:color="auto" w:fill="C6EFCE"/>
            <w:noWrap/>
          </w:tcPr>
          <w:p w14:paraId="53BE3E13"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96" w:type="dxa"/>
            <w:shd w:val="clear" w:color="auto" w:fill="C6EFCE"/>
            <w:noWrap/>
          </w:tcPr>
          <w:p w14:paraId="44604CD2"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056" w:type="dxa"/>
            <w:shd w:val="clear" w:color="auto" w:fill="C6EFCE"/>
            <w:noWrap/>
          </w:tcPr>
          <w:p w14:paraId="3D700009" w14:textId="77777777" w:rsidR="00C45D59" w:rsidRDefault="009B0962">
            <w:pPr>
              <w:pStyle w:val="P68B1DB1-Normal12"/>
              <w:spacing w:after="0" w:line="240" w:lineRule="auto"/>
              <w:rPr>
                <w:rFonts w:eastAsia="Times New Roman"/>
                <w:noProof/>
              </w:rPr>
            </w:pPr>
            <w:r>
              <w:rPr>
                <w:noProof/>
              </w:rPr>
              <w:t>Î4</w:t>
            </w:r>
          </w:p>
        </w:tc>
        <w:tc>
          <w:tcPr>
            <w:tcW w:w="990" w:type="dxa"/>
            <w:shd w:val="clear" w:color="auto" w:fill="C6EFCE"/>
            <w:noWrap/>
          </w:tcPr>
          <w:p w14:paraId="0CBE3AC1" w14:textId="77777777" w:rsidR="00C45D59" w:rsidRDefault="009B0962">
            <w:pPr>
              <w:pStyle w:val="P68B1DB1-Normal12"/>
              <w:spacing w:after="0" w:line="240" w:lineRule="auto"/>
              <w:rPr>
                <w:rFonts w:eastAsia="Times New Roman"/>
                <w:noProof/>
              </w:rPr>
            </w:pPr>
            <w:r>
              <w:rPr>
                <w:noProof/>
              </w:rPr>
              <w:t>2024</w:t>
            </w:r>
          </w:p>
        </w:tc>
        <w:tc>
          <w:tcPr>
            <w:tcW w:w="3739" w:type="dxa"/>
            <w:shd w:val="clear" w:color="auto" w:fill="C6EFCE"/>
            <w:noWrap/>
          </w:tcPr>
          <w:p w14:paraId="78E0BDA6" w14:textId="77777777" w:rsidR="00C45D59" w:rsidRDefault="009B0962">
            <w:pPr>
              <w:pStyle w:val="P68B1DB1-paragraph37"/>
              <w:spacing w:before="0" w:beforeAutospacing="0" w:after="0" w:afterAutospacing="0"/>
              <w:textAlignment w:val="baseline"/>
              <w:rPr>
                <w:noProof/>
              </w:rPr>
            </w:pPr>
            <w:r>
              <w:rPr>
                <w:noProof/>
              </w:rPr>
              <w:t>Intrarea în vigoare a unei legislații menite să consolideze și să raționalizeze prestațiile și alocațiile de șomaj și să elimine factorii care descurajează perfecționarea/recalificarea în rândul șomerilor prin menținerea dreptului acestora la prestații de șomaj pe durata participării la cursuri de formare.</w:t>
            </w:r>
          </w:p>
          <w:p w14:paraId="60D88AB4" w14:textId="77777777" w:rsidR="00C45D59" w:rsidRDefault="00C45D59">
            <w:pPr>
              <w:pStyle w:val="paragraph"/>
              <w:spacing w:before="0" w:beforeAutospacing="0" w:after="0" w:afterAutospacing="0"/>
              <w:textAlignment w:val="baseline"/>
              <w:rPr>
                <w:noProof/>
                <w:color w:val="006100"/>
                <w:sz w:val="18"/>
                <w:szCs w:val="18"/>
              </w:rPr>
            </w:pPr>
          </w:p>
        </w:tc>
      </w:tr>
      <w:tr w:rsidR="00C45D59" w14:paraId="651975CC" w14:textId="77777777" w:rsidTr="00097639">
        <w:trPr>
          <w:trHeight w:val="309"/>
          <w:jc w:val="center"/>
        </w:trPr>
        <w:tc>
          <w:tcPr>
            <w:tcW w:w="672" w:type="dxa"/>
            <w:shd w:val="clear" w:color="auto" w:fill="C6EFCE"/>
            <w:noWrap/>
          </w:tcPr>
          <w:p w14:paraId="43C4FC11" w14:textId="5BFCAB9E" w:rsidR="00C45D59" w:rsidRDefault="009B0962">
            <w:pPr>
              <w:pStyle w:val="P68B1DB1-Normal12"/>
              <w:spacing w:after="0" w:line="240" w:lineRule="auto"/>
              <w:rPr>
                <w:noProof/>
              </w:rPr>
            </w:pPr>
            <w:r>
              <w:rPr>
                <w:noProof/>
              </w:rPr>
              <w:t>142b</w:t>
            </w:r>
          </w:p>
        </w:tc>
        <w:tc>
          <w:tcPr>
            <w:tcW w:w="2241" w:type="dxa"/>
            <w:shd w:val="clear" w:color="auto" w:fill="C6EFCE"/>
            <w:noWrap/>
          </w:tcPr>
          <w:p w14:paraId="7706E86C" w14:textId="77777777" w:rsidR="00C45D59" w:rsidRDefault="009B0962">
            <w:pPr>
              <w:pStyle w:val="P68B1DB1-Normal12"/>
              <w:spacing w:after="0" w:line="240" w:lineRule="auto"/>
              <w:rPr>
                <w:noProof/>
              </w:rPr>
            </w:pPr>
            <w:r>
              <w:rPr>
                <w:noProof/>
              </w:rPr>
              <w:t>8-3.1. Promovarea creării de locuri de muncă și a participării pe piața forței de muncă – 16746_Reforma politicilor pasive în domeniul pieței forței de muncă pentru a sprijini tranzițiile către ocuparea forței de muncă</w:t>
            </w:r>
          </w:p>
        </w:tc>
        <w:tc>
          <w:tcPr>
            <w:tcW w:w="1099" w:type="dxa"/>
            <w:shd w:val="clear" w:color="auto" w:fill="C6EFCE"/>
            <w:noWrap/>
          </w:tcPr>
          <w:p w14:paraId="5F0F65AD" w14:textId="77777777" w:rsidR="00C45D59" w:rsidRDefault="009B0962">
            <w:pPr>
              <w:pStyle w:val="P68B1DB1-Normal12"/>
              <w:spacing w:after="0" w:line="240" w:lineRule="auto"/>
              <w:rPr>
                <w:noProof/>
              </w:rPr>
            </w:pPr>
            <w:r>
              <w:rPr>
                <w:noProof/>
              </w:rPr>
              <w:t>Etapă</w:t>
            </w:r>
          </w:p>
        </w:tc>
        <w:tc>
          <w:tcPr>
            <w:tcW w:w="1365" w:type="dxa"/>
            <w:shd w:val="clear" w:color="auto" w:fill="C6EFCE"/>
            <w:noWrap/>
          </w:tcPr>
          <w:p w14:paraId="6CBC9428" w14:textId="76AD1D0B" w:rsidR="00C45D59" w:rsidRDefault="009B0962">
            <w:pPr>
              <w:pStyle w:val="P68B1DB1-Normal12"/>
              <w:spacing w:after="0" w:line="240" w:lineRule="auto"/>
              <w:rPr>
                <w:noProof/>
              </w:rPr>
            </w:pPr>
            <w:r>
              <w:rPr>
                <w:noProof/>
              </w:rPr>
              <w:t>Proiect-pilot privind ajutorul de șomaj</w:t>
            </w:r>
          </w:p>
        </w:tc>
        <w:tc>
          <w:tcPr>
            <w:tcW w:w="1471" w:type="dxa"/>
            <w:shd w:val="clear" w:color="auto" w:fill="C6EFCE"/>
            <w:noWrap/>
          </w:tcPr>
          <w:p w14:paraId="198CBB78" w14:textId="5F3C3958" w:rsidR="00C45D59" w:rsidRDefault="009B0962">
            <w:pPr>
              <w:pStyle w:val="P68B1DB1-Normal12"/>
              <w:spacing w:after="0" w:line="240" w:lineRule="auto"/>
              <w:rPr>
                <w:noProof/>
              </w:rPr>
            </w:pPr>
            <w:r>
              <w:rPr>
                <w:noProof/>
              </w:rPr>
              <w:t>Intrarea beneficiarilor într-un proiect-pilot</w:t>
            </w:r>
          </w:p>
        </w:tc>
        <w:tc>
          <w:tcPr>
            <w:tcW w:w="1135" w:type="dxa"/>
            <w:shd w:val="clear" w:color="auto" w:fill="C6EFCE"/>
            <w:noWrap/>
          </w:tcPr>
          <w:p w14:paraId="4700A4AA"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924" w:type="dxa"/>
            <w:shd w:val="clear" w:color="auto" w:fill="C6EFCE"/>
            <w:noWrap/>
          </w:tcPr>
          <w:p w14:paraId="7EB9DED4"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96" w:type="dxa"/>
            <w:shd w:val="clear" w:color="auto" w:fill="C6EFCE"/>
            <w:noWrap/>
          </w:tcPr>
          <w:p w14:paraId="3BA65963"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056" w:type="dxa"/>
            <w:shd w:val="clear" w:color="auto" w:fill="C6EFCE"/>
            <w:noWrap/>
          </w:tcPr>
          <w:p w14:paraId="77BFF3DE" w14:textId="08C107B5" w:rsidR="00C45D59" w:rsidRDefault="009B0962">
            <w:pPr>
              <w:pStyle w:val="P68B1DB1-Normal12"/>
              <w:spacing w:after="0" w:line="240" w:lineRule="auto"/>
              <w:rPr>
                <w:noProof/>
              </w:rPr>
            </w:pPr>
            <w:r>
              <w:rPr>
                <w:noProof/>
              </w:rPr>
              <w:t>Î2</w:t>
            </w:r>
          </w:p>
        </w:tc>
        <w:tc>
          <w:tcPr>
            <w:tcW w:w="990" w:type="dxa"/>
            <w:shd w:val="clear" w:color="auto" w:fill="C6EFCE"/>
            <w:noWrap/>
          </w:tcPr>
          <w:p w14:paraId="19FB81BD" w14:textId="77777777" w:rsidR="00C45D59" w:rsidRDefault="009B0962">
            <w:pPr>
              <w:pStyle w:val="P68B1DB1-Normal12"/>
              <w:spacing w:after="0" w:line="240" w:lineRule="auto"/>
              <w:rPr>
                <w:noProof/>
              </w:rPr>
            </w:pPr>
            <w:r>
              <w:rPr>
                <w:noProof/>
              </w:rPr>
              <w:t>2025</w:t>
            </w:r>
          </w:p>
        </w:tc>
        <w:tc>
          <w:tcPr>
            <w:tcW w:w="3739" w:type="dxa"/>
            <w:shd w:val="clear" w:color="auto" w:fill="C6EFCE"/>
            <w:noWrap/>
          </w:tcPr>
          <w:p w14:paraId="60ACED53" w14:textId="687AC237" w:rsidR="00C45D59" w:rsidRDefault="009B0962">
            <w:pPr>
              <w:pStyle w:val="P68B1DB1-Normal12"/>
              <w:spacing w:after="0" w:line="240" w:lineRule="auto"/>
              <w:rPr>
                <w:noProof/>
              </w:rPr>
            </w:pPr>
            <w:r>
              <w:rPr>
                <w:noProof/>
              </w:rPr>
              <w:t xml:space="preserve">Intrarea a 13 500 de beneficiari într-un proiect-pilot care introduce o indexare a indemnizației de șomaj combinate la cel mai recent nivel salarial zilnic. </w:t>
            </w:r>
          </w:p>
        </w:tc>
      </w:tr>
      <w:tr w:rsidR="00C45D59" w14:paraId="10730890" w14:textId="77777777" w:rsidTr="00097639">
        <w:trPr>
          <w:trHeight w:val="309"/>
          <w:jc w:val="center"/>
        </w:trPr>
        <w:tc>
          <w:tcPr>
            <w:tcW w:w="672" w:type="dxa"/>
            <w:shd w:val="clear" w:color="auto" w:fill="C6EFCE"/>
            <w:noWrap/>
          </w:tcPr>
          <w:p w14:paraId="1CC8FB7D" w14:textId="77777777" w:rsidR="00C45D59" w:rsidRDefault="009B0962">
            <w:pPr>
              <w:pStyle w:val="P68B1DB1-Normal12"/>
              <w:spacing w:after="0" w:line="240" w:lineRule="auto"/>
              <w:rPr>
                <w:rFonts w:eastAsia="Times New Roman"/>
                <w:noProof/>
              </w:rPr>
            </w:pPr>
            <w:r>
              <w:rPr>
                <w:noProof/>
              </w:rPr>
              <w:t>144</w:t>
            </w:r>
          </w:p>
        </w:tc>
        <w:tc>
          <w:tcPr>
            <w:tcW w:w="2241" w:type="dxa"/>
            <w:shd w:val="clear" w:color="auto" w:fill="C6EFCE"/>
            <w:noWrap/>
          </w:tcPr>
          <w:p w14:paraId="65649EDC" w14:textId="77777777" w:rsidR="00C45D59" w:rsidRDefault="009B0962">
            <w:pPr>
              <w:pStyle w:val="P68B1DB1-Normal12"/>
              <w:spacing w:after="0" w:line="240" w:lineRule="auto"/>
              <w:rPr>
                <w:noProof/>
              </w:rPr>
            </w:pPr>
            <w:r>
              <w:rPr>
                <w:noProof/>
              </w:rPr>
              <w:t>8-3.1. Promovarea creării de locuri de muncă și a participării pe piața forței de muncă – 16747</w:t>
            </w:r>
          </w:p>
          <w:p w14:paraId="602F3D74" w14:textId="77777777" w:rsidR="00C45D59" w:rsidRDefault="009B0962">
            <w:pPr>
              <w:pStyle w:val="P68B1DB1-Normal12"/>
              <w:spacing w:after="0" w:line="240" w:lineRule="auto"/>
              <w:rPr>
                <w:rFonts w:eastAsia="Times New Roman"/>
                <w:noProof/>
              </w:rPr>
            </w:pPr>
            <w:r>
              <w:rPr>
                <w:noProof/>
              </w:rPr>
              <w:t>_Reforma politicilor active în domeniul pieței forței de muncă</w:t>
            </w:r>
          </w:p>
        </w:tc>
        <w:tc>
          <w:tcPr>
            <w:tcW w:w="1099" w:type="dxa"/>
            <w:shd w:val="clear" w:color="auto" w:fill="C6EFCE"/>
            <w:noWrap/>
          </w:tcPr>
          <w:p w14:paraId="0F557BB0" w14:textId="77777777" w:rsidR="00C45D59" w:rsidRDefault="009B0962">
            <w:pPr>
              <w:pStyle w:val="P68B1DB1-Normal12"/>
              <w:spacing w:after="0" w:line="240" w:lineRule="auto"/>
              <w:rPr>
                <w:noProof/>
              </w:rPr>
            </w:pPr>
            <w:r>
              <w:rPr>
                <w:noProof/>
              </w:rPr>
              <w:t>Etapă</w:t>
            </w:r>
          </w:p>
        </w:tc>
        <w:tc>
          <w:tcPr>
            <w:tcW w:w="1365" w:type="dxa"/>
            <w:shd w:val="clear" w:color="auto" w:fill="C6EFCE"/>
            <w:noWrap/>
          </w:tcPr>
          <w:p w14:paraId="5D76BBAB" w14:textId="77777777" w:rsidR="00C45D59" w:rsidRDefault="009B0962">
            <w:pPr>
              <w:pStyle w:val="P68B1DB1-Normal12"/>
              <w:spacing w:after="0" w:line="240" w:lineRule="auto"/>
              <w:rPr>
                <w:rFonts w:eastAsia="Times New Roman"/>
                <w:noProof/>
              </w:rPr>
            </w:pPr>
            <w:r>
              <w:rPr>
                <w:noProof/>
              </w:rPr>
              <w:t xml:space="preserve">Punerea în aplicare a programului de formare privind politicile active în domeniul pieței forței de muncă </w:t>
            </w:r>
          </w:p>
        </w:tc>
        <w:tc>
          <w:tcPr>
            <w:tcW w:w="1471" w:type="dxa"/>
            <w:shd w:val="clear" w:color="auto" w:fill="C6EFCE"/>
            <w:noWrap/>
          </w:tcPr>
          <w:p w14:paraId="2F0A79D2" w14:textId="77777777" w:rsidR="00C45D59" w:rsidRDefault="009B0962">
            <w:pPr>
              <w:pStyle w:val="P68B1DB1-Normal12"/>
              <w:spacing w:after="0" w:line="240" w:lineRule="auto"/>
              <w:rPr>
                <w:noProof/>
              </w:rPr>
            </w:pPr>
            <w:r>
              <w:rPr>
                <w:noProof/>
              </w:rPr>
              <w:t xml:space="preserve">Furnizarea programului de formare și intrarea pe piața forței de muncă </w:t>
            </w:r>
          </w:p>
          <w:p w14:paraId="3FF039F1"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135" w:type="dxa"/>
            <w:shd w:val="clear" w:color="auto" w:fill="C6EFCE"/>
            <w:noWrap/>
          </w:tcPr>
          <w:p w14:paraId="7DEBA56B" w14:textId="77777777" w:rsidR="00C45D59" w:rsidRDefault="009B0962">
            <w:pPr>
              <w:pStyle w:val="P68B1DB1-Normal12"/>
              <w:spacing w:after="0" w:line="240" w:lineRule="auto"/>
              <w:rPr>
                <w:rFonts w:eastAsia="Times New Roman"/>
                <w:noProof/>
              </w:rPr>
            </w:pPr>
            <w:r>
              <w:rPr>
                <w:noProof/>
              </w:rPr>
              <w:t xml:space="preserve"> </w:t>
            </w:r>
          </w:p>
        </w:tc>
        <w:tc>
          <w:tcPr>
            <w:tcW w:w="924" w:type="dxa"/>
            <w:shd w:val="clear" w:color="auto" w:fill="C6EFCE"/>
            <w:noWrap/>
          </w:tcPr>
          <w:p w14:paraId="5435F607" w14:textId="77777777" w:rsidR="00C45D59" w:rsidRDefault="00C45D59">
            <w:pPr>
              <w:spacing w:after="0" w:line="240" w:lineRule="auto"/>
              <w:rPr>
                <w:rFonts w:ascii="Times New Roman" w:hAnsi="Times New Roman" w:cs="Times New Roman"/>
                <w:noProof/>
                <w:color w:val="006100"/>
                <w:sz w:val="18"/>
                <w:szCs w:val="18"/>
              </w:rPr>
            </w:pPr>
          </w:p>
        </w:tc>
        <w:tc>
          <w:tcPr>
            <w:tcW w:w="896" w:type="dxa"/>
            <w:shd w:val="clear" w:color="auto" w:fill="C6EFCE"/>
            <w:noWrap/>
          </w:tcPr>
          <w:p w14:paraId="352C43A2" w14:textId="77777777" w:rsidR="00C45D59" w:rsidRDefault="00C45D59">
            <w:pPr>
              <w:spacing w:after="0" w:line="240" w:lineRule="auto"/>
              <w:rPr>
                <w:rFonts w:ascii="Times New Roman" w:hAnsi="Times New Roman" w:cs="Times New Roman"/>
                <w:noProof/>
                <w:color w:val="006100"/>
                <w:sz w:val="18"/>
                <w:szCs w:val="18"/>
              </w:rPr>
            </w:pPr>
          </w:p>
        </w:tc>
        <w:tc>
          <w:tcPr>
            <w:tcW w:w="1056" w:type="dxa"/>
            <w:shd w:val="clear" w:color="auto" w:fill="C6EFCE"/>
            <w:noWrap/>
          </w:tcPr>
          <w:p w14:paraId="7E2B7690" w14:textId="77777777" w:rsidR="00C45D59" w:rsidRDefault="009B0962">
            <w:pPr>
              <w:pStyle w:val="P68B1DB1-Normal12"/>
              <w:spacing w:after="0" w:line="240" w:lineRule="auto"/>
              <w:rPr>
                <w:rFonts w:eastAsia="Times New Roman"/>
                <w:noProof/>
              </w:rPr>
            </w:pPr>
            <w:r>
              <w:rPr>
                <w:noProof/>
              </w:rPr>
              <w:t>Î4</w:t>
            </w:r>
          </w:p>
        </w:tc>
        <w:tc>
          <w:tcPr>
            <w:tcW w:w="990" w:type="dxa"/>
            <w:shd w:val="clear" w:color="auto" w:fill="C6EFCE"/>
            <w:noWrap/>
          </w:tcPr>
          <w:p w14:paraId="647074E9" w14:textId="77777777" w:rsidR="00C45D59" w:rsidRDefault="009B0962">
            <w:pPr>
              <w:pStyle w:val="P68B1DB1-Normal12"/>
              <w:spacing w:after="0" w:line="240" w:lineRule="auto"/>
              <w:rPr>
                <w:noProof/>
              </w:rPr>
            </w:pPr>
            <w:r>
              <w:rPr>
                <w:noProof/>
              </w:rPr>
              <w:t>2024</w:t>
            </w:r>
          </w:p>
        </w:tc>
        <w:tc>
          <w:tcPr>
            <w:tcW w:w="3739" w:type="dxa"/>
            <w:shd w:val="clear" w:color="auto" w:fill="C6EFCE"/>
            <w:noWrap/>
          </w:tcPr>
          <w:p w14:paraId="4941FF90" w14:textId="77777777" w:rsidR="00C45D59" w:rsidRDefault="009B0962">
            <w:pPr>
              <w:pStyle w:val="P68B1DB1-Normal12"/>
              <w:spacing w:after="0" w:line="240" w:lineRule="auto"/>
              <w:rPr>
                <w:noProof/>
              </w:rPr>
            </w:pPr>
            <w:r>
              <w:rPr>
                <w:noProof/>
              </w:rPr>
              <w:t>Furnizarea unui program de formare și intrarea în câmpul muncii pentru cel puțin 7 000 de șomeri</w:t>
            </w:r>
          </w:p>
          <w:p w14:paraId="03F606E4" w14:textId="77777777" w:rsidR="00C45D59" w:rsidRDefault="00C45D59">
            <w:pPr>
              <w:spacing w:after="0" w:line="240" w:lineRule="auto"/>
              <w:rPr>
                <w:rFonts w:ascii="Times New Roman" w:eastAsia="Times New Roman" w:hAnsi="Times New Roman" w:cs="Times New Roman"/>
                <w:noProof/>
                <w:color w:val="006100"/>
                <w:sz w:val="18"/>
                <w:szCs w:val="18"/>
              </w:rPr>
            </w:pPr>
          </w:p>
        </w:tc>
      </w:tr>
      <w:tr w:rsidR="00C45D59" w14:paraId="26D64F4F" w14:textId="77777777" w:rsidTr="00097639">
        <w:trPr>
          <w:trHeight w:val="309"/>
          <w:jc w:val="center"/>
        </w:trPr>
        <w:tc>
          <w:tcPr>
            <w:tcW w:w="672" w:type="dxa"/>
            <w:shd w:val="clear" w:color="auto" w:fill="C6EFCE"/>
            <w:noWrap/>
          </w:tcPr>
          <w:p w14:paraId="281C247A" w14:textId="1812BBAB" w:rsidR="00C45D59" w:rsidRDefault="009B0962">
            <w:pPr>
              <w:pStyle w:val="P68B1DB1-Normal12"/>
              <w:spacing w:after="0" w:line="240" w:lineRule="auto"/>
              <w:rPr>
                <w:rFonts w:eastAsia="Times New Roman"/>
                <w:noProof/>
              </w:rPr>
            </w:pPr>
            <w:r>
              <w:rPr>
                <w:noProof/>
              </w:rPr>
              <w:t>144a</w:t>
            </w:r>
          </w:p>
        </w:tc>
        <w:tc>
          <w:tcPr>
            <w:tcW w:w="2241" w:type="dxa"/>
            <w:shd w:val="clear" w:color="auto" w:fill="C6EFCE"/>
            <w:noWrap/>
          </w:tcPr>
          <w:p w14:paraId="5AB01D95" w14:textId="77777777" w:rsidR="00C45D59" w:rsidRDefault="009B0962">
            <w:pPr>
              <w:pStyle w:val="P68B1DB1-Normal12"/>
              <w:spacing w:after="0" w:line="240" w:lineRule="auto"/>
              <w:rPr>
                <w:rFonts w:eastAsia="Times New Roman"/>
                <w:noProof/>
              </w:rPr>
            </w:pPr>
            <w:r>
              <w:rPr>
                <w:noProof/>
              </w:rPr>
              <w:t>8-3.1. Promovarea creării de locuri de muncă și a participării pe piața forței de muncă – 16747_Reforma politicilor active în domeniul pieței forței de muncă</w:t>
            </w:r>
          </w:p>
        </w:tc>
        <w:tc>
          <w:tcPr>
            <w:tcW w:w="1099" w:type="dxa"/>
            <w:shd w:val="clear" w:color="auto" w:fill="C6EFCE"/>
            <w:noWrap/>
          </w:tcPr>
          <w:p w14:paraId="316BBEFD" w14:textId="77777777" w:rsidR="00C45D59" w:rsidRDefault="009B0962">
            <w:pPr>
              <w:pStyle w:val="P68B1DB1-Normal12"/>
              <w:spacing w:after="0" w:line="240" w:lineRule="auto"/>
              <w:rPr>
                <w:noProof/>
              </w:rPr>
            </w:pPr>
            <w:r>
              <w:rPr>
                <w:noProof/>
              </w:rPr>
              <w:t>Etapă</w:t>
            </w:r>
          </w:p>
        </w:tc>
        <w:tc>
          <w:tcPr>
            <w:tcW w:w="1365" w:type="dxa"/>
            <w:shd w:val="clear" w:color="auto" w:fill="C6EFCE"/>
            <w:noWrap/>
          </w:tcPr>
          <w:p w14:paraId="0D8AABEE" w14:textId="7EB8CA78" w:rsidR="00C45D59" w:rsidRDefault="009B0962">
            <w:pPr>
              <w:pStyle w:val="P68B1DB1-Normal12"/>
              <w:spacing w:after="0" w:line="240" w:lineRule="auto"/>
              <w:rPr>
                <w:noProof/>
              </w:rPr>
            </w:pPr>
            <w:r>
              <w:rPr>
                <w:noProof/>
              </w:rPr>
              <w:t xml:space="preserve">Programe de ocupare a forței de muncă în domeniul politicilor active privind piața forței de muncă – consolidarea temporară a personalului DYPA </w:t>
            </w:r>
          </w:p>
        </w:tc>
        <w:tc>
          <w:tcPr>
            <w:tcW w:w="1471" w:type="dxa"/>
            <w:shd w:val="clear" w:color="auto" w:fill="C6EFCE"/>
            <w:noWrap/>
          </w:tcPr>
          <w:p w14:paraId="1BF28FE5" w14:textId="311AEA88" w:rsidR="00C45D59" w:rsidRDefault="009B0962">
            <w:pPr>
              <w:pStyle w:val="P68B1DB1-Normal12"/>
              <w:spacing w:after="0" w:line="240" w:lineRule="auto"/>
              <w:rPr>
                <w:noProof/>
              </w:rPr>
            </w:pPr>
            <w:r>
              <w:rPr>
                <w:noProof/>
              </w:rPr>
              <w:t>Realizarea proiectelor a și b</w:t>
            </w:r>
          </w:p>
          <w:p w14:paraId="43871424" w14:textId="77777777" w:rsidR="00C45D59" w:rsidRDefault="00C45D59">
            <w:pPr>
              <w:spacing w:after="0" w:line="240" w:lineRule="auto"/>
              <w:rPr>
                <w:rFonts w:ascii="Times New Roman" w:hAnsi="Times New Roman" w:cs="Times New Roman"/>
                <w:noProof/>
                <w:color w:val="006100"/>
                <w:sz w:val="18"/>
                <w:szCs w:val="18"/>
              </w:rPr>
            </w:pPr>
          </w:p>
        </w:tc>
        <w:tc>
          <w:tcPr>
            <w:tcW w:w="1135" w:type="dxa"/>
            <w:shd w:val="clear" w:color="auto" w:fill="C6EFCE"/>
            <w:noWrap/>
          </w:tcPr>
          <w:p w14:paraId="301C7BA7"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924" w:type="dxa"/>
            <w:shd w:val="clear" w:color="auto" w:fill="C6EFCE"/>
            <w:noWrap/>
          </w:tcPr>
          <w:p w14:paraId="4FC06F96"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96" w:type="dxa"/>
            <w:shd w:val="clear" w:color="auto" w:fill="C6EFCE"/>
            <w:noWrap/>
          </w:tcPr>
          <w:p w14:paraId="2485B6FE"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056" w:type="dxa"/>
            <w:shd w:val="clear" w:color="auto" w:fill="C6EFCE"/>
            <w:noWrap/>
          </w:tcPr>
          <w:p w14:paraId="38C9FE86" w14:textId="77777777" w:rsidR="00C45D59" w:rsidRDefault="009B0962">
            <w:pPr>
              <w:pStyle w:val="P68B1DB1-Normal12"/>
              <w:spacing w:after="0" w:line="240" w:lineRule="auto"/>
              <w:rPr>
                <w:rFonts w:eastAsia="Times New Roman"/>
                <w:noProof/>
              </w:rPr>
            </w:pPr>
            <w:r>
              <w:rPr>
                <w:noProof/>
              </w:rPr>
              <w:t>Î2</w:t>
            </w:r>
          </w:p>
        </w:tc>
        <w:tc>
          <w:tcPr>
            <w:tcW w:w="990" w:type="dxa"/>
            <w:shd w:val="clear" w:color="auto" w:fill="C6EFCE"/>
            <w:noWrap/>
          </w:tcPr>
          <w:p w14:paraId="383622C3" w14:textId="77777777" w:rsidR="00C45D59" w:rsidRDefault="009B0962">
            <w:pPr>
              <w:pStyle w:val="P68B1DB1-Normal12"/>
              <w:spacing w:after="0" w:line="240" w:lineRule="auto"/>
              <w:rPr>
                <w:rFonts w:eastAsia="Times New Roman"/>
                <w:noProof/>
              </w:rPr>
            </w:pPr>
            <w:r>
              <w:rPr>
                <w:noProof/>
              </w:rPr>
              <w:t>2025</w:t>
            </w:r>
          </w:p>
        </w:tc>
        <w:tc>
          <w:tcPr>
            <w:tcW w:w="3739" w:type="dxa"/>
            <w:shd w:val="clear" w:color="auto" w:fill="C6EFCE"/>
            <w:noWrap/>
          </w:tcPr>
          <w:p w14:paraId="2E34F237" w14:textId="313043E2" w:rsidR="00C45D59" w:rsidRDefault="009B0962">
            <w:pPr>
              <w:pStyle w:val="P68B1DB1-paragraph37"/>
              <w:spacing w:before="0" w:beforeAutospacing="0" w:after="0" w:afterAutospacing="0"/>
              <w:textAlignment w:val="baseline"/>
              <w:rPr>
                <w:noProof/>
              </w:rPr>
            </w:pPr>
            <w:r>
              <w:rPr>
                <w:noProof/>
              </w:rPr>
              <w:t xml:space="preserve">— Cel puțin 30 600 de șomeri intră pe piața muncii prin intermediul a patru programe specifice </w:t>
            </w:r>
          </w:p>
          <w:p w14:paraId="7BEF4FD3" w14:textId="7E8D5F84" w:rsidR="00C45D59" w:rsidRDefault="009B0962">
            <w:pPr>
              <w:pStyle w:val="P68B1DB1-paragraph37"/>
              <w:spacing w:before="0" w:beforeAutospacing="0" w:after="0" w:afterAutospacing="0"/>
              <w:textAlignment w:val="baseline"/>
              <w:rPr>
                <w:noProof/>
              </w:rPr>
            </w:pPr>
            <w:r>
              <w:rPr>
                <w:noProof/>
              </w:rPr>
              <w:t>— Consolidarea temporară a personalului de consiliere din cadrul serviciului public de ocupare a forței de muncă prin recrutarea a 600 de consilieri în materie de ocupare a forței de muncă </w:t>
            </w:r>
          </w:p>
        </w:tc>
      </w:tr>
    </w:tbl>
    <w:p w14:paraId="06AD54B5" w14:textId="77777777" w:rsidR="00C45D59" w:rsidRDefault="00C45D59">
      <w:pPr>
        <w:rPr>
          <w:noProof/>
        </w:rPr>
      </w:pPr>
    </w:p>
    <w:p w14:paraId="42975069" w14:textId="77777777" w:rsidR="00C45D59" w:rsidRDefault="00C45D59">
      <w:pPr>
        <w:spacing w:before="120" w:after="120" w:line="240" w:lineRule="auto"/>
        <w:ind w:firstLine="6"/>
        <w:jc w:val="both"/>
        <w:outlineLvl w:val="3"/>
        <w:rPr>
          <w:rFonts w:ascii="Times New Roman" w:hAnsi="Times New Roman"/>
          <w:b/>
          <w:noProof/>
          <w:sz w:val="24"/>
        </w:rPr>
        <w:sectPr w:rsidR="00C45D59">
          <w:headerReference w:type="even" r:id="rId180"/>
          <w:headerReference w:type="default" r:id="rId181"/>
          <w:footerReference w:type="even" r:id="rId182"/>
          <w:footerReference w:type="default" r:id="rId183"/>
          <w:headerReference w:type="first" r:id="rId184"/>
          <w:footerReference w:type="first" r:id="rId185"/>
          <w:pgSz w:w="16838" w:h="11906" w:orient="landscape"/>
          <w:pgMar w:top="1134" w:right="1134" w:bottom="1134" w:left="1134" w:header="567" w:footer="567" w:gutter="0"/>
          <w:cols w:space="708"/>
          <w:docGrid w:linePitch="360"/>
        </w:sectPr>
      </w:pPr>
    </w:p>
    <w:p w14:paraId="41F4AFE0" w14:textId="21B65F4C" w:rsidR="00C45D59" w:rsidRDefault="009B0962">
      <w:pPr>
        <w:pStyle w:val="P68B1DB1-Normal17"/>
        <w:spacing w:before="120" w:after="120" w:line="240" w:lineRule="auto"/>
        <w:ind w:firstLine="6"/>
        <w:jc w:val="both"/>
        <w:outlineLvl w:val="3"/>
        <w:rPr>
          <w:rFonts w:cs="Times New Roman"/>
          <w:bCs/>
          <w:noProof/>
        </w:rPr>
      </w:pPr>
      <w:r>
        <w:rPr>
          <w:noProof/>
        </w:rPr>
        <w:t>I. COMPONENTA 3.2: EDUCAȚIE, ÎNVĂȚĂMÂNT ȘI FORMARE PROFESIONALĂ ȘI COMPETENȚE</w:t>
      </w:r>
    </w:p>
    <w:p w14:paraId="630BF525" w14:textId="77777777" w:rsidR="00C45D59" w:rsidRDefault="009B0962">
      <w:pPr>
        <w:pStyle w:val="P68B1DB1-Normal5"/>
        <w:spacing w:before="120" w:after="120" w:line="240" w:lineRule="auto"/>
        <w:jc w:val="both"/>
        <w:rPr>
          <w:rFonts w:cs="Times New Roman"/>
          <w:noProof/>
          <w:color w:val="000000"/>
          <w:shd w:val="clear" w:color="auto" w:fill="FFFFFF"/>
        </w:rPr>
      </w:pPr>
      <w:r>
        <w:rPr>
          <w:noProof/>
        </w:rPr>
        <w:t xml:space="preserve">Această componentă a planului de redresare și reziliență al Greciei urmărește să îmbunătățească calitatea, eficiența și eficacitatea sistemelor de educație și de învățare pe tot parcursul vieții. Componenta include o investiție în programe orizontale de perfecționare a competențelor digitale, verzi și de alfabetizare financiară pentru un total de 628 000 de beneficiari. Aceasta este însoțită de o reformă a sistemului de învățare pe tot parcursul vieții pentru a îmbunătăți furnizarea de formare, precum și de un pachet de reforme și investiții axate pe educația și formarea profesională (EFP) și pe sistemele de ucenicie pentru a îmbunătăți relevanța acestora pe piața forței de muncă. În ceea ce privește EFP, planul vizează modernizarea infrastructurilor și a echipamentelor EFP, precum și modernizarea programelor de învățământ existente. În plus, planul prevede o nouă strategie pentru excelență în universități, menită să îmbunătățească performanța acestora în materie de cercetare și calitatea educației prin </w:t>
      </w:r>
      <w:r>
        <w:rPr>
          <w:noProof/>
          <w:color w:val="000000"/>
        </w:rPr>
        <w:t xml:space="preserve">investiții în modernizarea infrastructurilor de cercetare și educație, precum și prin sprijinirea proiectelor de </w:t>
      </w:r>
      <w:r>
        <w:rPr>
          <w:noProof/>
        </w:rPr>
        <w:t>cercetare. Aceste reforme sunt însoțite de investiții în digitalizarea sistemului de învățământ, din care o mare parte este alocată sistemelor de învățare interactive din școlile primare și secundare și cupoanelor valorice pentru elevii și studenții din familii cu venituri mici pentru achiziționarea de echipamente informatice.</w:t>
      </w:r>
      <w:r>
        <w:rPr>
          <w:noProof/>
          <w:color w:val="000000"/>
          <w:shd w:val="clear" w:color="auto" w:fill="FFFFFF"/>
        </w:rPr>
        <w:t xml:space="preserve"> </w:t>
      </w:r>
    </w:p>
    <w:p w14:paraId="5CC8854D" w14:textId="77777777" w:rsidR="00C45D59" w:rsidRDefault="009B0962">
      <w:pPr>
        <w:pStyle w:val="P68B1DB1-Normal7"/>
        <w:spacing w:before="120" w:after="120" w:line="240" w:lineRule="auto"/>
        <w:jc w:val="both"/>
        <w:rPr>
          <w:rFonts w:cs="Times New Roman"/>
          <w:noProof/>
        </w:rPr>
      </w:pPr>
      <w:r>
        <w:rPr>
          <w:noProof/>
          <w:color w:val="000000"/>
          <w:shd w:val="clear" w:color="auto" w:fill="FFFFFF"/>
        </w:rPr>
        <w:t xml:space="preserve">Componenta este în conformitate cu recomandările specifice fiecărei țări de a investi în educație, în capacitatea de inserție profesională și în competențe și de a îmbunătăți digitalizarea administrației publice (recomandările specifice fiecărei țări 3 2020 și 2 2019). </w:t>
      </w:r>
      <w:r>
        <w:rPr>
          <w:noProof/>
        </w:rPr>
        <w:t>Se preconizează că nicio măsură din cadrul acestei componente nu prejudiciază în mod semnificativ obiectivele de mediu în sensul articolului 17 din Regulamentul (UE) 2020/852, ținând seama de descrierea măsurilor și a etapelor de atenuare prevăzute în planul de redresare și reziliență în conformitate cu Orientările tehnice privind aplicarea principiului de „a nu prejudicia în mod semnificativ” (2021/C58/01).</w:t>
      </w:r>
    </w:p>
    <w:p w14:paraId="13AEB44A" w14:textId="77777777" w:rsidR="00C45D59" w:rsidRDefault="009B0962">
      <w:pPr>
        <w:pStyle w:val="P68B1DB1-Normal6"/>
        <w:spacing w:before="120" w:after="120" w:line="240" w:lineRule="auto"/>
        <w:jc w:val="both"/>
        <w:rPr>
          <w:rFonts w:cs="Times New Roman"/>
          <w:bCs/>
          <w:i/>
          <w:iCs/>
          <w:noProof/>
          <w:color w:val="4F81BD"/>
        </w:rPr>
      </w:pPr>
      <w:r>
        <w:rPr>
          <w:noProof/>
        </w:rPr>
        <w:t>I.1. Descrierea reformelor și a investițiilor pentru sprijinul financiar nerambursabil</w:t>
      </w:r>
    </w:p>
    <w:p w14:paraId="30474224" w14:textId="77777777" w:rsidR="00C45D59" w:rsidRDefault="009B0962">
      <w:pPr>
        <w:pStyle w:val="P68B1DB1-Normal5"/>
        <w:spacing w:before="120" w:after="120" w:line="240" w:lineRule="auto"/>
        <w:jc w:val="both"/>
        <w:rPr>
          <w:rFonts w:cs="Times New Roman"/>
          <w:noProof/>
        </w:rPr>
      </w:pPr>
      <w:r>
        <w:rPr>
          <w:b/>
          <w:noProof/>
        </w:rPr>
        <w:t>Reformă:</w:t>
      </w:r>
      <w:r>
        <w:rPr>
          <w:noProof/>
        </w:rPr>
        <w:t xml:space="preserve"> O nouă strategie pentru formarea competențelor pe tot parcursul vieții: Modernizarea și actualizarea sistemului de actualizare a competențelor și de recalificare al Greciei (identificatorul măsurii: 16913)</w:t>
      </w:r>
    </w:p>
    <w:p w14:paraId="38C12EF4" w14:textId="77777777" w:rsidR="00C45D59" w:rsidRDefault="009B0962">
      <w:pPr>
        <w:pStyle w:val="P68B1DB1-Normal7"/>
        <w:spacing w:before="120" w:after="120" w:line="240" w:lineRule="auto"/>
        <w:jc w:val="both"/>
        <w:rPr>
          <w:noProof/>
        </w:rPr>
      </w:pPr>
      <w:r>
        <w:rPr>
          <w:noProof/>
        </w:rPr>
        <w:t xml:space="preserve">Obiectivul măsurii este de a îmbunătăți cadrul național de învățare pe tot parcursul vieții în vederea creșterii calității acestuia și a relevanței sale pentru piața forței de muncă. Măsura constă în a) intrarea în vigoare a legislației primare și secundare care stabilește elementele-cheie ale noului cadru de învățare pe tot parcursul vieții și b) programe de formare pentru diferite grupuri de populație și subiecte. </w:t>
      </w:r>
    </w:p>
    <w:p w14:paraId="6633123E" w14:textId="77777777" w:rsidR="00C45D59" w:rsidRDefault="009B0962">
      <w:pPr>
        <w:pStyle w:val="P68B1DB1-Normal5"/>
        <w:rPr>
          <w:b/>
          <w:noProof/>
        </w:rPr>
      </w:pPr>
      <w:r>
        <w:rPr>
          <w:b/>
          <w:noProof/>
        </w:rPr>
        <w:t>Reformă:</w:t>
      </w:r>
      <w:r>
        <w:rPr>
          <w:noProof/>
        </w:rPr>
        <w:t xml:space="preserve"> Strategia de excelență în universități &amp; inovare (măsura ID: 16289)</w:t>
      </w:r>
    </w:p>
    <w:p w14:paraId="504FB8ED" w14:textId="77777777" w:rsidR="00C45D59" w:rsidRDefault="009B0962">
      <w:pPr>
        <w:pStyle w:val="P68B1DB1-Normal7"/>
        <w:spacing w:before="120" w:after="120" w:line="240" w:lineRule="auto"/>
        <w:jc w:val="both"/>
        <w:rPr>
          <w:noProof/>
        </w:rPr>
      </w:pPr>
      <w:r>
        <w:rPr>
          <w:noProof/>
        </w:rPr>
        <w:t>Obiectivul măsurii este de a îmbunătăți performanța în materie de cercetare și extroversiunea universităților elene. Reforma constă în proiecte de cercetare colaborativă, proiecte pentru universitățile din Grecia și decizii de aprobare a programelor postuniversitare.</w:t>
      </w:r>
    </w:p>
    <w:p w14:paraId="1D764539" w14:textId="77777777" w:rsidR="00C45D59" w:rsidRDefault="009B0962">
      <w:pPr>
        <w:pStyle w:val="P68B1DB1-Normal7"/>
        <w:spacing w:before="120" w:after="120" w:line="240" w:lineRule="auto"/>
        <w:jc w:val="both"/>
        <w:rPr>
          <w:rFonts w:cs="Times New Roman"/>
          <w:noProof/>
        </w:rPr>
      </w:pPr>
      <w:r>
        <w:rPr>
          <w:b/>
          <w:noProof/>
        </w:rPr>
        <w:t>Reformă:</w:t>
      </w:r>
      <w:r>
        <w:rPr>
          <w:noProof/>
        </w:rPr>
        <w:t xml:space="preserve"> Consolidarea sistemului de ucenicie (identificatorul măsurii: 16794)</w:t>
      </w:r>
    </w:p>
    <w:p w14:paraId="5D4A6F7A" w14:textId="0F85D87B" w:rsidR="00C45D59" w:rsidRDefault="009B0962">
      <w:pPr>
        <w:pStyle w:val="P68B1DB1-Normal7"/>
        <w:spacing w:before="120" w:after="120" w:line="240" w:lineRule="auto"/>
        <w:jc w:val="both"/>
        <w:rPr>
          <w:noProof/>
        </w:rPr>
      </w:pPr>
      <w:r>
        <w:rPr>
          <w:noProof/>
        </w:rPr>
        <w:t>Obiectivul măsurii este de a moderniza sistemul național de educație și formare profesională (EFP). Acesta constă într-un nou cadru juridic pentru sistemul EFP.</w:t>
      </w:r>
    </w:p>
    <w:p w14:paraId="0BA37803" w14:textId="77777777" w:rsidR="00C45D59" w:rsidRDefault="009B0962">
      <w:pPr>
        <w:pStyle w:val="P68B1DB1-Normal7"/>
        <w:spacing w:before="120" w:after="120" w:line="240" w:lineRule="auto"/>
        <w:jc w:val="both"/>
        <w:rPr>
          <w:rFonts w:cs="Times New Roman"/>
          <w:noProof/>
        </w:rPr>
      </w:pPr>
      <w:r>
        <w:rPr>
          <w:b/>
          <w:noProof/>
        </w:rPr>
        <w:t>Reformă:</w:t>
      </w:r>
      <w:r>
        <w:rPr>
          <w:noProof/>
        </w:rPr>
        <w:t xml:space="preserve"> Calificarea, recalificarea și perfecționarea forței de muncă prin intermediul unui model de formare reformat (reforma educației și formării profesionale) (măsura ID: 16792)</w:t>
      </w:r>
    </w:p>
    <w:p w14:paraId="193FB2A8" w14:textId="1970C208" w:rsidR="00C45D59" w:rsidRDefault="009B0962">
      <w:pPr>
        <w:pStyle w:val="P68B1DB1-Normal7"/>
        <w:spacing w:after="0" w:line="240" w:lineRule="auto"/>
        <w:jc w:val="both"/>
        <w:rPr>
          <w:noProof/>
        </w:rPr>
      </w:pPr>
      <w:r>
        <w:rPr>
          <w:noProof/>
        </w:rPr>
        <w:t xml:space="preserve">Obiectivul măsurii este de a îmbunătăți controlul calității și de a actualiza sistemul de formare profesională al serviciului public de ocupare a forței de muncă (DYPA) pentru a răspunde nevoilor pieței forței de muncă. Această măsură constă în investiții care promovează un sistem de control al calității sistemului de formare profesională al DYPA și în programe de formare sectoriale. </w:t>
      </w:r>
    </w:p>
    <w:p w14:paraId="3BB586E9" w14:textId="20DE7767" w:rsidR="00C45D59" w:rsidRDefault="009B0962">
      <w:pPr>
        <w:pStyle w:val="P68B1DB1-Normal7"/>
        <w:spacing w:before="120" w:after="120" w:line="240" w:lineRule="auto"/>
        <w:jc w:val="both"/>
        <w:rPr>
          <w:rFonts w:cs="Times New Roman"/>
          <w:noProof/>
        </w:rPr>
      </w:pPr>
      <w:r>
        <w:rPr>
          <w:b/>
          <w:noProof/>
        </w:rPr>
        <w:t>Reformă:</w:t>
      </w:r>
      <w:r>
        <w:rPr>
          <w:noProof/>
        </w:rPr>
        <w:t xml:space="preserve"> Modernizarea educației și formării profesionale (măsura ID: 16934)</w:t>
      </w:r>
    </w:p>
    <w:p w14:paraId="6766B716" w14:textId="5B93BC18" w:rsidR="00C45D59" w:rsidRDefault="009B0962">
      <w:pPr>
        <w:pStyle w:val="P68B1DB1-Normal7"/>
        <w:spacing w:before="120" w:after="120" w:line="240" w:lineRule="auto"/>
        <w:jc w:val="both"/>
        <w:rPr>
          <w:noProof/>
        </w:rPr>
      </w:pPr>
      <w:r>
        <w:rPr>
          <w:noProof/>
        </w:rPr>
        <w:t>Obiectivul măsurii este de a îmbunătăți sistemul de educație și formare profesională (EFP). Măsura constă în furnizarea de sisteme informatice ale Organizației Naționale pentru Certificarea Calificărilor și Orientării Profesionale (EOPPEP) și în dezvoltarea unei platforme de învățare online pentru EFP.</w:t>
      </w:r>
    </w:p>
    <w:p w14:paraId="726A6C31" w14:textId="77777777" w:rsidR="00C45D59" w:rsidRDefault="009B0962">
      <w:pPr>
        <w:pStyle w:val="P68B1DB1-Normal5"/>
        <w:spacing w:before="120" w:after="120" w:line="240" w:lineRule="auto"/>
        <w:jc w:val="both"/>
        <w:rPr>
          <w:rFonts w:cs="Times New Roman"/>
          <w:noProof/>
        </w:rPr>
      </w:pPr>
      <w:r>
        <w:rPr>
          <w:b/>
          <w:noProof/>
        </w:rPr>
        <w:t>Investiții:</w:t>
      </w:r>
      <w:r>
        <w:rPr>
          <w:noProof/>
        </w:rPr>
        <w:t xml:space="preserve"> Transformarea digitală a educației (identificatorul măsurii: 16676)</w:t>
      </w:r>
    </w:p>
    <w:p w14:paraId="77C57667" w14:textId="127C2EEA" w:rsidR="00C45D59" w:rsidRDefault="009B0962">
      <w:pPr>
        <w:pStyle w:val="P68B1DB1-Normal7"/>
        <w:spacing w:before="120" w:after="120" w:line="240" w:lineRule="auto"/>
        <w:jc w:val="both"/>
        <w:rPr>
          <w:rFonts w:cs="Times New Roman"/>
          <w:noProof/>
        </w:rPr>
      </w:pPr>
      <w:r>
        <w:rPr>
          <w:noProof/>
        </w:rPr>
        <w:t>Obiectivul măsurii este de a permite transformarea digitală în educație. Investiția constă în următoarele componente: Conținutul digital în școli; echipamente digitale în școli; și serviciile digitale în școli.</w:t>
      </w:r>
    </w:p>
    <w:p w14:paraId="6D5C4F1E" w14:textId="701E4E00" w:rsidR="00C45D59" w:rsidRDefault="009B0962">
      <w:pPr>
        <w:pStyle w:val="P68B1DB1-Normal5"/>
        <w:spacing w:before="120" w:after="120" w:line="240" w:lineRule="auto"/>
        <w:jc w:val="both"/>
        <w:rPr>
          <w:rFonts w:cs="Times New Roman"/>
          <w:noProof/>
        </w:rPr>
      </w:pPr>
      <w:r>
        <w:rPr>
          <w:b/>
          <w:noProof/>
        </w:rPr>
        <w:t>Investiții:</w:t>
      </w:r>
      <w:r>
        <w:rPr>
          <w:noProof/>
        </w:rPr>
        <w:t xml:space="preserve"> Modernizarea educației și formării profesionale (EFP): Achiziționarea de echipamente de laborator pentru laboratoarele unităților EFP (identificatorul măsurii: 16933)</w:t>
      </w:r>
    </w:p>
    <w:p w14:paraId="09541BED" w14:textId="66751F68" w:rsidR="00C45D59" w:rsidRDefault="009B0962">
      <w:pPr>
        <w:pStyle w:val="P68B1DB1-Normal7"/>
        <w:spacing w:before="120" w:after="120" w:line="240" w:lineRule="auto"/>
        <w:jc w:val="both"/>
        <w:rPr>
          <w:noProof/>
        </w:rPr>
      </w:pPr>
      <w:r>
        <w:rPr>
          <w:noProof/>
        </w:rPr>
        <w:t xml:space="preserve">Obiectivul măsurii este de a moderniza infrastructurile de laborator ale unităților de educație și formare profesională (EFP) din Grecia. Măsura constă în modernizarea infrastructurii unităților EFP. </w:t>
      </w:r>
    </w:p>
    <w:p w14:paraId="7AC00778" w14:textId="77777777" w:rsidR="00C45D59" w:rsidRDefault="00C45D59">
      <w:pPr>
        <w:spacing w:before="120" w:after="120" w:line="240" w:lineRule="auto"/>
        <w:ind w:left="709"/>
        <w:jc w:val="both"/>
        <w:rPr>
          <w:rFonts w:ascii="Times New Roman" w:hAnsi="Times New Roman" w:cs="Times New Roman"/>
          <w:noProof/>
          <w:sz w:val="24"/>
        </w:rPr>
      </w:pPr>
    </w:p>
    <w:p w14:paraId="33EB8586" w14:textId="77777777" w:rsidR="00C45D59" w:rsidRDefault="00C45D59">
      <w:pPr>
        <w:spacing w:before="120" w:after="120" w:line="240" w:lineRule="auto"/>
        <w:ind w:left="709"/>
        <w:jc w:val="both"/>
        <w:rPr>
          <w:rFonts w:ascii="Times New Roman" w:hAnsi="Times New Roman" w:cs="Times New Roman"/>
          <w:noProof/>
          <w:sz w:val="24"/>
        </w:rPr>
        <w:sectPr w:rsidR="00C45D59">
          <w:headerReference w:type="even" r:id="rId186"/>
          <w:headerReference w:type="default" r:id="rId187"/>
          <w:footerReference w:type="even" r:id="rId188"/>
          <w:footerReference w:type="default" r:id="rId189"/>
          <w:headerReference w:type="first" r:id="rId190"/>
          <w:footerReference w:type="first" r:id="rId191"/>
          <w:pgSz w:w="11906" w:h="16838"/>
          <w:pgMar w:top="1134" w:right="1134" w:bottom="1134" w:left="1134" w:header="567" w:footer="567" w:gutter="0"/>
          <w:cols w:space="708"/>
          <w:docGrid w:linePitch="360"/>
        </w:sectPr>
      </w:pPr>
    </w:p>
    <w:p w14:paraId="6D6E3421" w14:textId="77777777" w:rsidR="00C45D59" w:rsidRDefault="009B0962">
      <w:pPr>
        <w:pStyle w:val="P68B1DB1-Normal6"/>
        <w:spacing w:before="120" w:after="120" w:line="240" w:lineRule="auto"/>
        <w:jc w:val="both"/>
        <w:rPr>
          <w:rFonts w:cs="Times New Roman"/>
          <w:bCs/>
          <w:noProof/>
        </w:rPr>
      </w:pPr>
      <w:r>
        <w:rPr>
          <w:noProof/>
        </w:rPr>
        <w:t>I.2. Jaloane, ținte, indicatori și calendarul de monitorizare și implementare aplicabile sprijinului financiar nerambursabil</w:t>
      </w:r>
    </w:p>
    <w:p w14:paraId="37D2B6A6" w14:textId="77777777" w:rsidR="00C45D59" w:rsidRDefault="009B0962">
      <w:pPr>
        <w:pStyle w:val="P68B1DB1-Normal38"/>
        <w:keepNext/>
        <w:keepLines/>
        <w:spacing w:before="40" w:after="0" w:line="240" w:lineRule="auto"/>
        <w:jc w:val="both"/>
        <w:outlineLvl w:val="4"/>
        <w:rPr>
          <w:noProof/>
          <w:color w:val="365F91"/>
        </w:rPr>
      </w:pPr>
      <w:r>
        <w:rPr>
          <w:noProof/>
        </w:rPr>
        <w:t>Principala investiție 5: O nouă strategie pentru formarea competențelor pe tot parcursul vieții: Modernizarea și actualizarea sistemului de perfecționare și reconversie profesională al Greciei</w:t>
      </w:r>
    </w:p>
    <w:tbl>
      <w:tblPr>
        <w:tblW w:w="159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36"/>
        <w:gridCol w:w="2203"/>
        <w:gridCol w:w="1043"/>
        <w:gridCol w:w="1294"/>
        <w:gridCol w:w="1307"/>
        <w:gridCol w:w="1332"/>
        <w:gridCol w:w="870"/>
        <w:gridCol w:w="998"/>
        <w:gridCol w:w="850"/>
        <w:gridCol w:w="709"/>
        <w:gridCol w:w="4761"/>
      </w:tblGrid>
      <w:tr w:rsidR="00C45D59" w14:paraId="195B8A0D" w14:textId="77777777" w:rsidTr="00097639">
        <w:trPr>
          <w:trHeight w:val="740"/>
          <w:tblHeader/>
          <w:jc w:val="center"/>
        </w:trPr>
        <w:tc>
          <w:tcPr>
            <w:tcW w:w="536" w:type="dxa"/>
            <w:vMerge w:val="restart"/>
            <w:shd w:val="clear" w:color="auto" w:fill="BDD7EE"/>
            <w:vAlign w:val="center"/>
            <w:hideMark/>
          </w:tcPr>
          <w:p w14:paraId="29B5BE12" w14:textId="2FC13C59" w:rsidR="00C45D59" w:rsidRDefault="009B0962">
            <w:pPr>
              <w:pStyle w:val="P68B1DB1-Normal10"/>
              <w:spacing w:after="0" w:line="240" w:lineRule="auto"/>
              <w:jc w:val="center"/>
              <w:rPr>
                <w:rFonts w:eastAsia="Times New Roman" w:cs="Times New Roman"/>
                <w:bCs/>
                <w:noProof/>
                <w:szCs w:val="18"/>
              </w:rPr>
            </w:pPr>
            <w:r>
              <w:rPr>
                <w:noProof/>
              </w:rPr>
              <w:t>Nr</w:t>
            </w:r>
            <w:r w:rsidR="00097639">
              <w:rPr>
                <w:noProof/>
              </w:rPr>
              <w:t>.</w:t>
            </w:r>
            <w:r>
              <w:rPr>
                <w:noProof/>
              </w:rPr>
              <w:t xml:space="preserve"> </w:t>
            </w:r>
            <w:r>
              <w:rPr>
                <w:noProof/>
              </w:rPr>
              <w:br/>
            </w:r>
            <w:r w:rsidR="00097639">
              <w:rPr>
                <w:noProof/>
              </w:rPr>
              <w:t>crt</w:t>
            </w:r>
            <w:r>
              <w:rPr>
                <w:noProof/>
              </w:rPr>
              <w:t>.</w:t>
            </w:r>
          </w:p>
        </w:tc>
        <w:tc>
          <w:tcPr>
            <w:tcW w:w="2203" w:type="dxa"/>
            <w:vMerge w:val="restart"/>
            <w:shd w:val="clear" w:color="auto" w:fill="BDD7EE"/>
            <w:vAlign w:val="center"/>
            <w:hideMark/>
          </w:tcPr>
          <w:p w14:paraId="3C49821F" w14:textId="77777777" w:rsidR="00C45D59" w:rsidRDefault="009B0962">
            <w:pPr>
              <w:pStyle w:val="P68B1DB1-Normal10"/>
              <w:spacing w:after="0" w:line="240" w:lineRule="auto"/>
              <w:jc w:val="center"/>
              <w:rPr>
                <w:rFonts w:eastAsia="Times New Roman" w:cs="Times New Roman"/>
                <w:bCs/>
                <w:noProof/>
                <w:szCs w:val="18"/>
              </w:rPr>
            </w:pPr>
            <w:r>
              <w:rPr>
                <w:noProof/>
              </w:rPr>
              <w:t>Măsură conexă (reformă sau investiții)</w:t>
            </w:r>
          </w:p>
        </w:tc>
        <w:tc>
          <w:tcPr>
            <w:tcW w:w="1043" w:type="dxa"/>
            <w:vMerge w:val="restart"/>
            <w:shd w:val="clear" w:color="auto" w:fill="BDD7EE"/>
            <w:vAlign w:val="center"/>
            <w:hideMark/>
          </w:tcPr>
          <w:p w14:paraId="6B11A0F9" w14:textId="2334E013" w:rsidR="00C45D59" w:rsidRDefault="009B0962">
            <w:pPr>
              <w:pStyle w:val="P68B1DB1-Normal10"/>
              <w:spacing w:after="0" w:line="240" w:lineRule="auto"/>
              <w:jc w:val="center"/>
              <w:rPr>
                <w:rFonts w:eastAsia="Times New Roman" w:cs="Times New Roman"/>
                <w:bCs/>
                <w:noProof/>
                <w:szCs w:val="18"/>
              </w:rPr>
            </w:pPr>
            <w:r>
              <w:rPr>
                <w:noProof/>
              </w:rPr>
              <w:t>Etapă/</w:t>
            </w:r>
            <w:r w:rsidR="00097639">
              <w:rPr>
                <w:noProof/>
              </w:rPr>
              <w:t xml:space="preserve"> </w:t>
            </w:r>
            <w:r>
              <w:rPr>
                <w:noProof/>
              </w:rPr>
              <w:t>Obiectiv</w:t>
            </w:r>
          </w:p>
        </w:tc>
        <w:tc>
          <w:tcPr>
            <w:tcW w:w="1294" w:type="dxa"/>
            <w:vMerge w:val="restart"/>
            <w:shd w:val="clear" w:color="auto" w:fill="BDD7EE"/>
            <w:vAlign w:val="center"/>
            <w:hideMark/>
          </w:tcPr>
          <w:p w14:paraId="1E5955C3" w14:textId="10A5EFC1" w:rsidR="00C45D59" w:rsidRDefault="00097639">
            <w:pPr>
              <w:pStyle w:val="P68B1DB1-Normal10"/>
              <w:spacing w:after="0" w:line="240" w:lineRule="auto"/>
              <w:jc w:val="center"/>
              <w:rPr>
                <w:rFonts w:eastAsia="Times New Roman" w:cs="Times New Roman"/>
                <w:bCs/>
                <w:noProof/>
                <w:szCs w:val="18"/>
              </w:rPr>
            </w:pPr>
            <w:r>
              <w:rPr>
                <w:noProof/>
              </w:rPr>
              <w:t>Denumire</w:t>
            </w:r>
          </w:p>
        </w:tc>
        <w:tc>
          <w:tcPr>
            <w:tcW w:w="1307" w:type="dxa"/>
            <w:vMerge w:val="restart"/>
            <w:shd w:val="clear" w:color="auto" w:fill="BDD7EE"/>
            <w:vAlign w:val="center"/>
            <w:hideMark/>
          </w:tcPr>
          <w:p w14:paraId="643BE37E" w14:textId="77777777" w:rsidR="00C45D59" w:rsidRDefault="009B0962">
            <w:pPr>
              <w:pStyle w:val="P68B1DB1-Normal10"/>
              <w:spacing w:after="0" w:line="240" w:lineRule="auto"/>
              <w:jc w:val="center"/>
              <w:rPr>
                <w:rFonts w:eastAsia="Times New Roman" w:cs="Times New Roman"/>
                <w:bCs/>
                <w:noProof/>
                <w:szCs w:val="18"/>
              </w:rPr>
            </w:pPr>
            <w:r>
              <w:rPr>
                <w:noProof/>
              </w:rPr>
              <w:t>Indicatori calitativi (pentru obiectivele de etapă)</w:t>
            </w:r>
          </w:p>
        </w:tc>
        <w:tc>
          <w:tcPr>
            <w:tcW w:w="3200" w:type="dxa"/>
            <w:gridSpan w:val="3"/>
            <w:shd w:val="clear" w:color="auto" w:fill="BDD7EE"/>
            <w:vAlign w:val="center"/>
            <w:hideMark/>
          </w:tcPr>
          <w:p w14:paraId="689347D1" w14:textId="77777777" w:rsidR="00C45D59" w:rsidRDefault="009B0962">
            <w:pPr>
              <w:pStyle w:val="P68B1DB1-Normal18"/>
              <w:spacing w:after="0" w:line="240" w:lineRule="auto"/>
              <w:jc w:val="center"/>
              <w:rPr>
                <w:rFonts w:ascii="Times New Roman" w:eastAsia="Times New Roman" w:hAnsi="Times New Roman" w:cs="Times New Roman"/>
                <w:bCs/>
                <w:noProof/>
                <w:szCs w:val="18"/>
              </w:rPr>
            </w:pPr>
            <w:r>
              <w:rPr>
                <w:rFonts w:ascii="Times New Roman" w:hAnsi="Times New Roman"/>
                <w:noProof/>
              </w:rPr>
              <w:t xml:space="preserve">Indicatori cantitativi </w:t>
            </w:r>
            <w:r>
              <w:rPr>
                <w:rFonts w:ascii="Times New Roman" w:hAnsi="Times New Roman" w:cs="Times New Roman"/>
                <w:noProof/>
                <w:szCs w:val="18"/>
              </w:rPr>
              <w:br/>
            </w:r>
            <w:r>
              <w:rPr>
                <w:rFonts w:ascii="Times New Roman" w:hAnsi="Times New Roman"/>
                <w:noProof/>
              </w:rPr>
              <w:t xml:space="preserve"> (pentru obiective)</w:t>
            </w:r>
          </w:p>
        </w:tc>
        <w:tc>
          <w:tcPr>
            <w:tcW w:w="1559" w:type="dxa"/>
            <w:gridSpan w:val="2"/>
            <w:shd w:val="clear" w:color="auto" w:fill="BDD7EE"/>
            <w:vAlign w:val="center"/>
            <w:hideMark/>
          </w:tcPr>
          <w:p w14:paraId="7536FE1B" w14:textId="77777777" w:rsidR="00C45D59" w:rsidRDefault="009B0962">
            <w:pPr>
              <w:pStyle w:val="P68B1DB1-Normal10"/>
              <w:spacing w:after="0" w:line="240" w:lineRule="auto"/>
              <w:jc w:val="center"/>
              <w:rPr>
                <w:rFonts w:eastAsia="Times New Roman" w:cs="Times New Roman"/>
                <w:bCs/>
                <w:noProof/>
                <w:szCs w:val="18"/>
              </w:rPr>
            </w:pPr>
            <w:r>
              <w:rPr>
                <w:noProof/>
              </w:rPr>
              <w:t xml:space="preserve">Calendar orientativ pentru finalizare </w:t>
            </w:r>
          </w:p>
        </w:tc>
        <w:tc>
          <w:tcPr>
            <w:tcW w:w="4761" w:type="dxa"/>
            <w:vMerge w:val="restart"/>
            <w:shd w:val="clear" w:color="auto" w:fill="BDD7EE"/>
            <w:vAlign w:val="center"/>
            <w:hideMark/>
          </w:tcPr>
          <w:p w14:paraId="59BF4233" w14:textId="77777777" w:rsidR="00C45D59" w:rsidRDefault="009B0962">
            <w:pPr>
              <w:pStyle w:val="P68B1DB1-Normal10"/>
              <w:spacing w:after="0" w:line="240" w:lineRule="auto"/>
              <w:jc w:val="center"/>
              <w:rPr>
                <w:rFonts w:eastAsia="Times New Roman" w:cs="Times New Roman"/>
                <w:bCs/>
                <w:noProof/>
                <w:szCs w:val="18"/>
              </w:rPr>
            </w:pPr>
            <w:r>
              <w:rPr>
                <w:noProof/>
              </w:rPr>
              <w:t>Descrierea fiecărui jalon și a fiecărei ținte</w:t>
            </w:r>
          </w:p>
        </w:tc>
      </w:tr>
      <w:tr w:rsidR="00C45D59" w14:paraId="4A8AB7BE" w14:textId="77777777" w:rsidTr="00097639">
        <w:trPr>
          <w:trHeight w:val="512"/>
          <w:tblHeader/>
          <w:jc w:val="center"/>
        </w:trPr>
        <w:tc>
          <w:tcPr>
            <w:tcW w:w="536" w:type="dxa"/>
            <w:vMerge/>
            <w:vAlign w:val="center"/>
            <w:hideMark/>
          </w:tcPr>
          <w:p w14:paraId="67CBE14C" w14:textId="77777777" w:rsidR="00C45D59" w:rsidRDefault="00C45D59">
            <w:pPr>
              <w:spacing w:after="0" w:line="240" w:lineRule="auto"/>
              <w:rPr>
                <w:rFonts w:ascii="Times New Roman" w:eastAsia="Times New Roman" w:hAnsi="Times New Roman" w:cs="Times New Roman"/>
                <w:b/>
                <w:bCs/>
                <w:noProof/>
                <w:sz w:val="18"/>
                <w:szCs w:val="18"/>
              </w:rPr>
            </w:pPr>
          </w:p>
        </w:tc>
        <w:tc>
          <w:tcPr>
            <w:tcW w:w="2203" w:type="dxa"/>
            <w:vMerge/>
            <w:vAlign w:val="center"/>
            <w:hideMark/>
          </w:tcPr>
          <w:p w14:paraId="138F12E1" w14:textId="77777777" w:rsidR="00C45D59" w:rsidRDefault="00C45D59">
            <w:pPr>
              <w:spacing w:after="0" w:line="240" w:lineRule="auto"/>
              <w:rPr>
                <w:rFonts w:ascii="Times New Roman" w:eastAsia="Times New Roman" w:hAnsi="Times New Roman" w:cs="Times New Roman"/>
                <w:b/>
                <w:bCs/>
                <w:noProof/>
                <w:sz w:val="18"/>
                <w:szCs w:val="18"/>
              </w:rPr>
            </w:pPr>
          </w:p>
        </w:tc>
        <w:tc>
          <w:tcPr>
            <w:tcW w:w="1043" w:type="dxa"/>
            <w:vMerge/>
            <w:vAlign w:val="center"/>
            <w:hideMark/>
          </w:tcPr>
          <w:p w14:paraId="72D3F549" w14:textId="77777777" w:rsidR="00C45D59" w:rsidRDefault="00C45D59">
            <w:pPr>
              <w:spacing w:after="0" w:line="240" w:lineRule="auto"/>
              <w:rPr>
                <w:rFonts w:ascii="Times New Roman" w:eastAsia="Times New Roman" w:hAnsi="Times New Roman" w:cs="Times New Roman"/>
                <w:b/>
                <w:bCs/>
                <w:noProof/>
                <w:sz w:val="18"/>
                <w:szCs w:val="18"/>
              </w:rPr>
            </w:pPr>
          </w:p>
        </w:tc>
        <w:tc>
          <w:tcPr>
            <w:tcW w:w="1294" w:type="dxa"/>
            <w:vMerge/>
            <w:vAlign w:val="center"/>
            <w:hideMark/>
          </w:tcPr>
          <w:p w14:paraId="4875F086" w14:textId="77777777" w:rsidR="00C45D59" w:rsidRDefault="00C45D59">
            <w:pPr>
              <w:spacing w:after="0" w:line="240" w:lineRule="auto"/>
              <w:rPr>
                <w:rFonts w:ascii="Times New Roman" w:eastAsia="Times New Roman" w:hAnsi="Times New Roman" w:cs="Times New Roman"/>
                <w:b/>
                <w:bCs/>
                <w:noProof/>
                <w:sz w:val="18"/>
                <w:szCs w:val="18"/>
              </w:rPr>
            </w:pPr>
          </w:p>
        </w:tc>
        <w:tc>
          <w:tcPr>
            <w:tcW w:w="1307" w:type="dxa"/>
            <w:vMerge/>
            <w:vAlign w:val="center"/>
            <w:hideMark/>
          </w:tcPr>
          <w:p w14:paraId="6F991A05" w14:textId="77777777" w:rsidR="00C45D59" w:rsidRDefault="00C45D59">
            <w:pPr>
              <w:spacing w:after="0" w:line="240" w:lineRule="auto"/>
              <w:rPr>
                <w:rFonts w:ascii="Times New Roman" w:eastAsia="Times New Roman" w:hAnsi="Times New Roman" w:cs="Times New Roman"/>
                <w:b/>
                <w:bCs/>
                <w:noProof/>
                <w:sz w:val="18"/>
                <w:szCs w:val="18"/>
              </w:rPr>
            </w:pPr>
          </w:p>
        </w:tc>
        <w:tc>
          <w:tcPr>
            <w:tcW w:w="1332" w:type="dxa"/>
            <w:shd w:val="clear" w:color="auto" w:fill="BDD7EE"/>
            <w:vAlign w:val="center"/>
            <w:hideMark/>
          </w:tcPr>
          <w:p w14:paraId="5F882DBF" w14:textId="77777777" w:rsidR="00C45D59" w:rsidRDefault="009B0962">
            <w:pPr>
              <w:pStyle w:val="P68B1DB1-Normal10"/>
              <w:spacing w:after="0" w:line="240" w:lineRule="auto"/>
              <w:jc w:val="center"/>
              <w:rPr>
                <w:rFonts w:eastAsia="Times New Roman" w:cs="Times New Roman"/>
                <w:bCs/>
                <w:noProof/>
                <w:szCs w:val="18"/>
              </w:rPr>
            </w:pPr>
            <w:r>
              <w:rPr>
                <w:noProof/>
              </w:rPr>
              <w:t>Unitatea de măsură</w:t>
            </w:r>
          </w:p>
        </w:tc>
        <w:tc>
          <w:tcPr>
            <w:tcW w:w="870" w:type="dxa"/>
            <w:shd w:val="clear" w:color="auto" w:fill="BDD7EE"/>
            <w:vAlign w:val="center"/>
            <w:hideMark/>
          </w:tcPr>
          <w:p w14:paraId="064FE303" w14:textId="77777777" w:rsidR="00C45D59" w:rsidRDefault="009B0962">
            <w:pPr>
              <w:pStyle w:val="P68B1DB1-Normal10"/>
              <w:spacing w:after="0" w:line="240" w:lineRule="auto"/>
              <w:jc w:val="center"/>
              <w:rPr>
                <w:rFonts w:eastAsia="Times New Roman" w:cs="Times New Roman"/>
                <w:bCs/>
                <w:noProof/>
                <w:szCs w:val="18"/>
              </w:rPr>
            </w:pPr>
            <w:r>
              <w:rPr>
                <w:noProof/>
              </w:rPr>
              <w:t xml:space="preserve">Situația de referință </w:t>
            </w:r>
          </w:p>
        </w:tc>
        <w:tc>
          <w:tcPr>
            <w:tcW w:w="998" w:type="dxa"/>
            <w:shd w:val="clear" w:color="auto" w:fill="BDD7EE"/>
            <w:vAlign w:val="center"/>
            <w:hideMark/>
          </w:tcPr>
          <w:p w14:paraId="41C4AFC6" w14:textId="77777777" w:rsidR="00C45D59" w:rsidRDefault="009B0962">
            <w:pPr>
              <w:pStyle w:val="P68B1DB1-Normal10"/>
              <w:spacing w:after="0" w:line="240" w:lineRule="auto"/>
              <w:jc w:val="center"/>
              <w:rPr>
                <w:rFonts w:eastAsia="Times New Roman" w:cs="Times New Roman"/>
                <w:bCs/>
                <w:noProof/>
                <w:szCs w:val="18"/>
              </w:rPr>
            </w:pPr>
            <w:r>
              <w:rPr>
                <w:noProof/>
              </w:rPr>
              <w:t xml:space="preserve">Obiectiv </w:t>
            </w:r>
          </w:p>
        </w:tc>
        <w:tc>
          <w:tcPr>
            <w:tcW w:w="850" w:type="dxa"/>
            <w:shd w:val="clear" w:color="auto" w:fill="BDD7EE"/>
            <w:vAlign w:val="center"/>
            <w:hideMark/>
          </w:tcPr>
          <w:p w14:paraId="319815EC" w14:textId="77777777" w:rsidR="00C45D59" w:rsidRDefault="009B0962">
            <w:pPr>
              <w:pStyle w:val="P68B1DB1-Normal10"/>
              <w:spacing w:after="0" w:line="240" w:lineRule="auto"/>
              <w:jc w:val="center"/>
              <w:rPr>
                <w:rFonts w:eastAsia="Times New Roman" w:cs="Times New Roman"/>
                <w:bCs/>
                <w:noProof/>
                <w:szCs w:val="18"/>
              </w:rPr>
            </w:pPr>
            <w:r>
              <w:rPr>
                <w:noProof/>
              </w:rPr>
              <w:t>Trimestru</w:t>
            </w:r>
          </w:p>
        </w:tc>
        <w:tc>
          <w:tcPr>
            <w:tcW w:w="709" w:type="dxa"/>
            <w:shd w:val="clear" w:color="auto" w:fill="BDD7EE"/>
            <w:vAlign w:val="center"/>
            <w:hideMark/>
          </w:tcPr>
          <w:p w14:paraId="328DD427" w14:textId="77777777" w:rsidR="00C45D59" w:rsidRDefault="009B0962">
            <w:pPr>
              <w:pStyle w:val="P68B1DB1-Normal10"/>
              <w:spacing w:after="0" w:line="240" w:lineRule="auto"/>
              <w:jc w:val="center"/>
              <w:rPr>
                <w:rFonts w:eastAsia="Times New Roman" w:cs="Times New Roman"/>
                <w:bCs/>
                <w:noProof/>
                <w:szCs w:val="18"/>
              </w:rPr>
            </w:pPr>
            <w:r>
              <w:rPr>
                <w:noProof/>
              </w:rPr>
              <w:t>Anul</w:t>
            </w:r>
          </w:p>
        </w:tc>
        <w:tc>
          <w:tcPr>
            <w:tcW w:w="4761" w:type="dxa"/>
            <w:vMerge/>
            <w:vAlign w:val="center"/>
            <w:hideMark/>
          </w:tcPr>
          <w:p w14:paraId="0610B8B5" w14:textId="77777777" w:rsidR="00C45D59" w:rsidRDefault="00C45D59">
            <w:pPr>
              <w:spacing w:after="0" w:line="240" w:lineRule="auto"/>
              <w:rPr>
                <w:rFonts w:ascii="Times New Roman" w:eastAsia="Times New Roman" w:hAnsi="Times New Roman" w:cs="Times New Roman"/>
                <w:b/>
                <w:bCs/>
                <w:noProof/>
                <w:sz w:val="18"/>
                <w:szCs w:val="18"/>
              </w:rPr>
            </w:pPr>
          </w:p>
        </w:tc>
      </w:tr>
      <w:tr w:rsidR="00C45D59" w14:paraId="0EC85D0A" w14:textId="77777777" w:rsidTr="00097639">
        <w:trPr>
          <w:trHeight w:val="309"/>
          <w:jc w:val="center"/>
        </w:trPr>
        <w:tc>
          <w:tcPr>
            <w:tcW w:w="536" w:type="dxa"/>
            <w:shd w:val="clear" w:color="auto" w:fill="C6EFCE"/>
            <w:noWrap/>
          </w:tcPr>
          <w:p w14:paraId="46B7D282" w14:textId="77777777" w:rsidR="00C45D59" w:rsidRDefault="009B0962">
            <w:pPr>
              <w:pStyle w:val="P68B1DB1-Normal12"/>
              <w:spacing w:after="0" w:line="240" w:lineRule="auto"/>
              <w:rPr>
                <w:rFonts w:eastAsia="Times New Roman"/>
                <w:noProof/>
              </w:rPr>
            </w:pPr>
            <w:r>
              <w:rPr>
                <w:noProof/>
              </w:rPr>
              <w:t>138</w:t>
            </w:r>
          </w:p>
        </w:tc>
        <w:tc>
          <w:tcPr>
            <w:tcW w:w="2203" w:type="dxa"/>
            <w:shd w:val="clear" w:color="auto" w:fill="C6EFCE"/>
            <w:noWrap/>
          </w:tcPr>
          <w:p w14:paraId="1513A0F1" w14:textId="77777777" w:rsidR="00C45D59" w:rsidRDefault="009B0962">
            <w:pPr>
              <w:pStyle w:val="P68B1DB1-Normal12"/>
              <w:spacing w:after="0" w:line="240" w:lineRule="auto"/>
              <w:rPr>
                <w:rFonts w:eastAsia="Times New Roman"/>
                <w:noProof/>
              </w:rPr>
            </w:pPr>
            <w:r>
              <w:rPr>
                <w:noProof/>
              </w:rPr>
              <w:t>9-3.2. Educație, educație și formare profesională și competențe – 16913_O nouă strategie pentru învățarea pe tot parcursul vieții: Modernizarea și actualizarea sistemului de perfecționare și reconversie profesională al Greciei</w:t>
            </w:r>
          </w:p>
        </w:tc>
        <w:tc>
          <w:tcPr>
            <w:tcW w:w="1043" w:type="dxa"/>
            <w:shd w:val="clear" w:color="auto" w:fill="C6EFCE"/>
            <w:noWrap/>
          </w:tcPr>
          <w:p w14:paraId="2D11FD9E" w14:textId="77777777" w:rsidR="00C45D59" w:rsidRDefault="009B0962">
            <w:pPr>
              <w:pStyle w:val="P68B1DB1-Normal12"/>
              <w:spacing w:after="0" w:line="240" w:lineRule="auto"/>
              <w:rPr>
                <w:rFonts w:eastAsia="Times New Roman"/>
                <w:noProof/>
              </w:rPr>
            </w:pPr>
            <w:r>
              <w:rPr>
                <w:noProof/>
              </w:rPr>
              <w:t>Etapă</w:t>
            </w:r>
          </w:p>
        </w:tc>
        <w:tc>
          <w:tcPr>
            <w:tcW w:w="1294" w:type="dxa"/>
            <w:shd w:val="clear" w:color="auto" w:fill="C6EFCE"/>
            <w:noWrap/>
          </w:tcPr>
          <w:p w14:paraId="263B557D" w14:textId="77777777" w:rsidR="00C45D59" w:rsidRDefault="009B0962">
            <w:pPr>
              <w:pStyle w:val="P68B1DB1-Normal12"/>
              <w:spacing w:after="0" w:line="240" w:lineRule="auto"/>
              <w:rPr>
                <w:rFonts w:eastAsia="Times New Roman"/>
                <w:noProof/>
              </w:rPr>
            </w:pPr>
            <w:r>
              <w:rPr>
                <w:noProof/>
              </w:rPr>
              <w:t>Strategia de învățare pe tot parcursul vieții – intrarea în vigoare a legislației</w:t>
            </w:r>
          </w:p>
        </w:tc>
        <w:tc>
          <w:tcPr>
            <w:tcW w:w="1307" w:type="dxa"/>
            <w:shd w:val="clear" w:color="auto" w:fill="C6EFCE"/>
            <w:noWrap/>
          </w:tcPr>
          <w:p w14:paraId="4D4B7400" w14:textId="77777777" w:rsidR="00C45D59" w:rsidRDefault="009B0962">
            <w:pPr>
              <w:pStyle w:val="P68B1DB1-Normal12"/>
              <w:spacing w:after="0" w:line="240" w:lineRule="auto"/>
              <w:rPr>
                <w:rFonts w:eastAsia="Times New Roman"/>
                <w:noProof/>
              </w:rPr>
            </w:pPr>
            <w:r>
              <w:rPr>
                <w:noProof/>
              </w:rPr>
              <w:t xml:space="preserve">Intrarea în vigoare a legislației primare și secundare </w:t>
            </w:r>
          </w:p>
        </w:tc>
        <w:tc>
          <w:tcPr>
            <w:tcW w:w="1332" w:type="dxa"/>
            <w:shd w:val="clear" w:color="auto" w:fill="C6EFCE"/>
            <w:noWrap/>
          </w:tcPr>
          <w:p w14:paraId="62AE0ACD"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70" w:type="dxa"/>
            <w:shd w:val="clear" w:color="auto" w:fill="C6EFCE"/>
            <w:noWrap/>
          </w:tcPr>
          <w:p w14:paraId="49E13C67"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998" w:type="dxa"/>
            <w:shd w:val="clear" w:color="auto" w:fill="C6EFCE"/>
            <w:noWrap/>
          </w:tcPr>
          <w:p w14:paraId="60D724C4"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50" w:type="dxa"/>
            <w:shd w:val="clear" w:color="auto" w:fill="C6EFCE"/>
            <w:noWrap/>
          </w:tcPr>
          <w:p w14:paraId="38AA5BE1" w14:textId="77777777" w:rsidR="00C45D59" w:rsidRDefault="009B0962">
            <w:pPr>
              <w:pStyle w:val="P68B1DB1-Normal12"/>
              <w:spacing w:after="0" w:line="240" w:lineRule="auto"/>
              <w:rPr>
                <w:rFonts w:eastAsia="Times New Roman"/>
                <w:noProof/>
              </w:rPr>
            </w:pPr>
            <w:r>
              <w:rPr>
                <w:noProof/>
              </w:rPr>
              <w:t>Î2</w:t>
            </w:r>
          </w:p>
        </w:tc>
        <w:tc>
          <w:tcPr>
            <w:tcW w:w="709" w:type="dxa"/>
            <w:shd w:val="clear" w:color="auto" w:fill="C6EFCE"/>
            <w:noWrap/>
          </w:tcPr>
          <w:p w14:paraId="7A93970F" w14:textId="77777777" w:rsidR="00C45D59" w:rsidRDefault="009B0962">
            <w:pPr>
              <w:pStyle w:val="P68B1DB1-Normal12"/>
              <w:spacing w:after="0" w:line="240" w:lineRule="auto"/>
              <w:rPr>
                <w:rFonts w:eastAsia="Times New Roman"/>
                <w:noProof/>
              </w:rPr>
            </w:pPr>
            <w:r>
              <w:rPr>
                <w:noProof/>
              </w:rPr>
              <w:t>2022</w:t>
            </w:r>
          </w:p>
        </w:tc>
        <w:tc>
          <w:tcPr>
            <w:tcW w:w="4761" w:type="dxa"/>
            <w:shd w:val="clear" w:color="auto" w:fill="C6EFCE"/>
            <w:noWrap/>
          </w:tcPr>
          <w:p w14:paraId="0B170FDE" w14:textId="77777777" w:rsidR="00C45D59" w:rsidRDefault="009B0962">
            <w:pPr>
              <w:pStyle w:val="P68B1DB1-Normal12"/>
              <w:spacing w:after="0" w:line="240" w:lineRule="auto"/>
              <w:rPr>
                <w:rFonts w:eastAsia="Times New Roman"/>
                <w:noProof/>
              </w:rPr>
            </w:pPr>
            <w:r>
              <w:rPr>
                <w:noProof/>
              </w:rPr>
              <w:t>Pe baza Strategiei naționale pentru învățarea pe tot parcursul vieții, va intra în vigoare legislația primară și secundară care stabilește elementele-cheie ale noului cadru de învățare pe tot parcursul vieții (inclusiv dispoziții de instituire a Consiliului național al competențelor ca organism central de supraveghere, de creare a conturilor de calificare pe tot parcursul vieții, a listei naționale eligibile a furnizorilor de formare și a tabloului de bord, precum și a unui mecanism de diagnosticare a pieței forței de muncă).</w:t>
            </w:r>
          </w:p>
        </w:tc>
      </w:tr>
      <w:tr w:rsidR="00C45D59" w14:paraId="108DB0A4" w14:textId="77777777" w:rsidTr="00097639">
        <w:trPr>
          <w:trHeight w:val="309"/>
          <w:jc w:val="center"/>
        </w:trPr>
        <w:tc>
          <w:tcPr>
            <w:tcW w:w="536" w:type="dxa"/>
            <w:shd w:val="clear" w:color="auto" w:fill="C6EFCE"/>
            <w:noWrap/>
          </w:tcPr>
          <w:p w14:paraId="37A6149C" w14:textId="77777777" w:rsidR="00C45D59" w:rsidRDefault="009B0962">
            <w:pPr>
              <w:pStyle w:val="P68B1DB1-Normal12"/>
              <w:spacing w:after="0" w:line="240" w:lineRule="auto"/>
              <w:rPr>
                <w:rFonts w:eastAsia="Times New Roman"/>
                <w:noProof/>
              </w:rPr>
            </w:pPr>
            <w:r>
              <w:rPr>
                <w:noProof/>
              </w:rPr>
              <w:t>139</w:t>
            </w:r>
          </w:p>
        </w:tc>
        <w:tc>
          <w:tcPr>
            <w:tcW w:w="2203" w:type="dxa"/>
            <w:shd w:val="clear" w:color="auto" w:fill="C6EFCE"/>
            <w:noWrap/>
          </w:tcPr>
          <w:p w14:paraId="7971858D" w14:textId="77777777" w:rsidR="00C45D59" w:rsidRDefault="009B0962">
            <w:pPr>
              <w:pStyle w:val="P68B1DB1-Normal12"/>
              <w:spacing w:after="0" w:line="240" w:lineRule="auto"/>
              <w:rPr>
                <w:rFonts w:eastAsia="Times New Roman"/>
                <w:noProof/>
              </w:rPr>
            </w:pPr>
            <w:r>
              <w:rPr>
                <w:noProof/>
              </w:rPr>
              <w:t>9-3.2. Educație, educație și formare profesională și competențe – 16913_O nouă strategie pentru învățarea pe tot parcursul vieții: Modernizarea și actualizarea sistemului de perfecționare și reconversie profesională al Greciei</w:t>
            </w:r>
          </w:p>
        </w:tc>
        <w:tc>
          <w:tcPr>
            <w:tcW w:w="1043" w:type="dxa"/>
            <w:shd w:val="clear" w:color="auto" w:fill="C6EFCE"/>
            <w:noWrap/>
          </w:tcPr>
          <w:p w14:paraId="131D6D1C" w14:textId="77777777" w:rsidR="00C45D59" w:rsidRDefault="009B0962">
            <w:pPr>
              <w:pStyle w:val="P68B1DB1-Normal12"/>
              <w:spacing w:after="0" w:line="240" w:lineRule="auto"/>
              <w:rPr>
                <w:rFonts w:eastAsia="Times New Roman"/>
                <w:noProof/>
              </w:rPr>
            </w:pPr>
            <w:r>
              <w:rPr>
                <w:noProof/>
              </w:rPr>
              <w:t>Țintă</w:t>
            </w:r>
          </w:p>
        </w:tc>
        <w:tc>
          <w:tcPr>
            <w:tcW w:w="1294" w:type="dxa"/>
            <w:shd w:val="clear" w:color="auto" w:fill="C6EFCE"/>
            <w:noWrap/>
          </w:tcPr>
          <w:p w14:paraId="6AEF7A73" w14:textId="77777777" w:rsidR="00C45D59" w:rsidRDefault="009B0962">
            <w:pPr>
              <w:pStyle w:val="P68B1DB1-Normal12"/>
              <w:spacing w:after="0" w:line="240" w:lineRule="auto"/>
              <w:rPr>
                <w:rFonts w:eastAsia="Times New Roman"/>
                <w:noProof/>
              </w:rPr>
            </w:pPr>
            <w:r>
              <w:rPr>
                <w:noProof/>
              </w:rPr>
              <w:t>Validarea finalizării strategiei de învățare pe tot parcursul vieții pentru programele de formare</w:t>
            </w:r>
          </w:p>
        </w:tc>
        <w:tc>
          <w:tcPr>
            <w:tcW w:w="1307" w:type="dxa"/>
            <w:shd w:val="clear" w:color="auto" w:fill="C6EFCE"/>
            <w:noWrap/>
          </w:tcPr>
          <w:p w14:paraId="00397F39"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332" w:type="dxa"/>
            <w:shd w:val="clear" w:color="auto" w:fill="C6EFCE"/>
            <w:noWrap/>
          </w:tcPr>
          <w:p w14:paraId="38D2617C" w14:textId="77777777" w:rsidR="00C45D59" w:rsidRDefault="009B0962">
            <w:pPr>
              <w:pStyle w:val="P68B1DB1-Normal12"/>
              <w:spacing w:after="0" w:line="240" w:lineRule="auto"/>
              <w:rPr>
                <w:rFonts w:eastAsia="Times New Roman"/>
                <w:noProof/>
              </w:rPr>
            </w:pPr>
            <w:r>
              <w:rPr>
                <w:noProof/>
              </w:rPr>
              <w:t>Numărul de persoane care au primit un certificat de participare cu succes la un program de formare</w:t>
            </w:r>
          </w:p>
        </w:tc>
        <w:tc>
          <w:tcPr>
            <w:tcW w:w="870" w:type="dxa"/>
            <w:shd w:val="clear" w:color="auto" w:fill="C6EFCE"/>
            <w:noWrap/>
          </w:tcPr>
          <w:p w14:paraId="79F2993A" w14:textId="77777777" w:rsidR="00C45D59" w:rsidRDefault="009B0962">
            <w:pPr>
              <w:pStyle w:val="P68B1DB1-Normal12"/>
              <w:spacing w:after="0" w:line="240" w:lineRule="auto"/>
              <w:rPr>
                <w:noProof/>
              </w:rPr>
            </w:pPr>
            <w:r>
              <w:rPr>
                <w:noProof/>
              </w:rPr>
              <w:t>0</w:t>
            </w:r>
          </w:p>
        </w:tc>
        <w:tc>
          <w:tcPr>
            <w:tcW w:w="998" w:type="dxa"/>
            <w:shd w:val="clear" w:color="auto" w:fill="C6EFCE"/>
            <w:noWrap/>
          </w:tcPr>
          <w:p w14:paraId="6AED43B9" w14:textId="77777777" w:rsidR="00C45D59" w:rsidRDefault="009B0962">
            <w:pPr>
              <w:pStyle w:val="P68B1DB1-Normal12"/>
              <w:spacing w:after="0" w:line="240" w:lineRule="auto"/>
              <w:rPr>
                <w:rFonts w:eastAsia="Times New Roman"/>
                <w:noProof/>
              </w:rPr>
            </w:pPr>
            <w:r>
              <w:rPr>
                <w:noProof/>
              </w:rPr>
              <w:t>150 000</w:t>
            </w:r>
          </w:p>
        </w:tc>
        <w:tc>
          <w:tcPr>
            <w:tcW w:w="850" w:type="dxa"/>
            <w:shd w:val="clear" w:color="auto" w:fill="C6EFCE"/>
            <w:noWrap/>
          </w:tcPr>
          <w:p w14:paraId="2B4C0193" w14:textId="77777777" w:rsidR="00C45D59" w:rsidRDefault="009B0962">
            <w:pPr>
              <w:pStyle w:val="P68B1DB1-Normal12"/>
              <w:spacing w:after="0" w:line="240" w:lineRule="auto"/>
              <w:rPr>
                <w:rFonts w:eastAsia="Times New Roman"/>
                <w:noProof/>
              </w:rPr>
            </w:pPr>
            <w:r>
              <w:rPr>
                <w:noProof/>
              </w:rPr>
              <w:t>Î4</w:t>
            </w:r>
          </w:p>
        </w:tc>
        <w:tc>
          <w:tcPr>
            <w:tcW w:w="709" w:type="dxa"/>
            <w:shd w:val="clear" w:color="auto" w:fill="C6EFCE"/>
            <w:noWrap/>
          </w:tcPr>
          <w:p w14:paraId="1DE53780" w14:textId="77777777" w:rsidR="00C45D59" w:rsidRDefault="009B0962">
            <w:pPr>
              <w:pStyle w:val="P68B1DB1-Normal12"/>
              <w:spacing w:after="0" w:line="240" w:lineRule="auto"/>
              <w:rPr>
                <w:rFonts w:eastAsia="Times New Roman"/>
                <w:noProof/>
              </w:rPr>
            </w:pPr>
            <w:r>
              <w:rPr>
                <w:noProof/>
              </w:rPr>
              <w:t>2022</w:t>
            </w:r>
          </w:p>
        </w:tc>
        <w:tc>
          <w:tcPr>
            <w:tcW w:w="4761" w:type="dxa"/>
            <w:shd w:val="clear" w:color="auto" w:fill="C6EFCE"/>
            <w:noWrap/>
          </w:tcPr>
          <w:p w14:paraId="7D8EEDD5" w14:textId="77777777" w:rsidR="00C45D59" w:rsidRDefault="009B0962">
            <w:pPr>
              <w:pStyle w:val="P68B1DB1-Normal12"/>
              <w:spacing w:after="0" w:line="240" w:lineRule="auto"/>
              <w:rPr>
                <w:rFonts w:eastAsia="Times New Roman"/>
                <w:noProof/>
              </w:rPr>
            </w:pPr>
            <w:r>
              <w:rPr>
                <w:noProof/>
              </w:rPr>
              <w:t xml:space="preserve">Finalizarea programelor de formare privind competențele digitale, verzi și de alfabetizare financiară pentru cel puțin 150 000 de participanți și validarea și certificarea competențelor dobândite pentru toți participanții câștigători. </w:t>
            </w:r>
          </w:p>
          <w:p w14:paraId="6F46F764" w14:textId="77777777" w:rsidR="00C45D59" w:rsidRDefault="009B0962">
            <w:pPr>
              <w:pStyle w:val="P68B1DB1-Normal12"/>
              <w:spacing w:after="0" w:line="240" w:lineRule="auto"/>
              <w:rPr>
                <w:rFonts w:eastAsia="Times New Roman"/>
                <w:noProof/>
              </w:rPr>
            </w:pPr>
            <w:r>
              <w:rPr>
                <w:noProof/>
              </w:rPr>
              <w:t xml:space="preserve"> Această investiție abordează nevoia de competențe digitale, verzi și de alfabetizare financiară a următoarelor grupuri de populație: a) șomeri, în special tineri și șomeri de lungă durată, b) angajați, în special cei cu risc ridicat de șomaj și cei care sunt lăsați în urmă de tehnologia spațiului de lucru, c) angajați, în special în cadrul IMM-urilor cu capacitate limitată de formare internă, d) angajați din sectorul public, inclusiv profesori. Competențele oferite sunt: a) competențe digitale de referință, b) competențe digitale de nivel mediu, c) competențe verzi și d) competențe de alfabetizare financiară.</w:t>
            </w:r>
          </w:p>
        </w:tc>
      </w:tr>
      <w:tr w:rsidR="00C45D59" w14:paraId="7ACD0F9F" w14:textId="77777777" w:rsidTr="00097639">
        <w:trPr>
          <w:trHeight w:val="2870"/>
          <w:jc w:val="center"/>
        </w:trPr>
        <w:tc>
          <w:tcPr>
            <w:tcW w:w="536" w:type="dxa"/>
            <w:shd w:val="clear" w:color="auto" w:fill="C6EFCE"/>
            <w:noWrap/>
            <w:hideMark/>
          </w:tcPr>
          <w:p w14:paraId="26BE3A0E" w14:textId="77777777" w:rsidR="00C45D59" w:rsidRDefault="009B0962">
            <w:pPr>
              <w:pStyle w:val="P68B1DB1-Normal12"/>
              <w:spacing w:after="0" w:line="240" w:lineRule="auto"/>
              <w:rPr>
                <w:rFonts w:eastAsia="Times New Roman"/>
                <w:noProof/>
              </w:rPr>
            </w:pPr>
            <w:r>
              <w:rPr>
                <w:noProof/>
              </w:rPr>
              <w:t>140</w:t>
            </w:r>
          </w:p>
        </w:tc>
        <w:tc>
          <w:tcPr>
            <w:tcW w:w="2203" w:type="dxa"/>
            <w:shd w:val="clear" w:color="auto" w:fill="C6EFCE"/>
            <w:noWrap/>
            <w:hideMark/>
          </w:tcPr>
          <w:p w14:paraId="6AC5E095" w14:textId="77777777" w:rsidR="00C45D59" w:rsidRDefault="009B0962">
            <w:pPr>
              <w:pStyle w:val="P68B1DB1-Normal12"/>
              <w:spacing w:after="0" w:line="240" w:lineRule="auto"/>
              <w:rPr>
                <w:rFonts w:eastAsia="Times New Roman"/>
                <w:noProof/>
              </w:rPr>
            </w:pPr>
            <w:r>
              <w:rPr>
                <w:noProof/>
              </w:rPr>
              <w:t>9-3.2. Educație, educație și formare profesională și competențe – 16913_O nouă strategie pentru învățarea pe tot parcursul vieții: Modernizarea și actualizarea sistemului de perfecționare și reconversie profesională al Greciei</w:t>
            </w:r>
          </w:p>
        </w:tc>
        <w:tc>
          <w:tcPr>
            <w:tcW w:w="1043" w:type="dxa"/>
            <w:shd w:val="clear" w:color="auto" w:fill="C6EFCE"/>
            <w:noWrap/>
            <w:hideMark/>
          </w:tcPr>
          <w:p w14:paraId="4445A87E" w14:textId="77777777" w:rsidR="00C45D59" w:rsidRDefault="009B0962">
            <w:pPr>
              <w:pStyle w:val="P68B1DB1-Normal12"/>
              <w:spacing w:after="0" w:line="240" w:lineRule="auto"/>
              <w:rPr>
                <w:noProof/>
              </w:rPr>
            </w:pPr>
            <w:r>
              <w:rPr>
                <w:noProof/>
              </w:rPr>
              <w:t>Etapă</w:t>
            </w:r>
          </w:p>
        </w:tc>
        <w:tc>
          <w:tcPr>
            <w:tcW w:w="1294" w:type="dxa"/>
            <w:shd w:val="clear" w:color="auto" w:fill="C6EFCE"/>
            <w:noWrap/>
            <w:hideMark/>
          </w:tcPr>
          <w:p w14:paraId="3F5DC70F" w14:textId="77777777" w:rsidR="00C45D59" w:rsidRDefault="009B0962">
            <w:pPr>
              <w:pStyle w:val="P68B1DB1-Normal12"/>
              <w:spacing w:after="0" w:line="240" w:lineRule="auto"/>
              <w:rPr>
                <w:noProof/>
              </w:rPr>
            </w:pPr>
            <w:r>
              <w:rPr>
                <w:noProof/>
              </w:rPr>
              <w:t xml:space="preserve">Programe de formare profesională strategia de învățare pe tot parcursul vieții validarea și certificarea competențelor dobândite </w:t>
            </w:r>
          </w:p>
        </w:tc>
        <w:tc>
          <w:tcPr>
            <w:tcW w:w="1307" w:type="dxa"/>
            <w:shd w:val="clear" w:color="auto" w:fill="C6EFCE"/>
            <w:noWrap/>
            <w:hideMark/>
          </w:tcPr>
          <w:p w14:paraId="0BAA69C3" w14:textId="77777777" w:rsidR="00C45D59" w:rsidRDefault="009B0962">
            <w:pPr>
              <w:pStyle w:val="P68B1DB1-Normal12"/>
              <w:spacing w:after="0" w:line="240" w:lineRule="auto"/>
              <w:rPr>
                <w:rFonts w:eastAsia="Times New Roman"/>
                <w:noProof/>
              </w:rPr>
            </w:pPr>
            <w:r>
              <w:rPr>
                <w:noProof/>
              </w:rPr>
              <w:t xml:space="preserve">Furnizarea de programe de formare și validarea și certificarea competențelor dobândite </w:t>
            </w:r>
          </w:p>
        </w:tc>
        <w:tc>
          <w:tcPr>
            <w:tcW w:w="1332" w:type="dxa"/>
            <w:shd w:val="clear" w:color="auto" w:fill="C6EFCE"/>
            <w:noWrap/>
            <w:hideMark/>
          </w:tcPr>
          <w:p w14:paraId="23A8131E" w14:textId="77777777" w:rsidR="00C45D59" w:rsidRDefault="00C45D59">
            <w:pPr>
              <w:spacing w:after="0" w:line="240" w:lineRule="auto"/>
              <w:rPr>
                <w:rFonts w:ascii="Times New Roman" w:hAnsi="Times New Roman" w:cs="Times New Roman"/>
                <w:noProof/>
                <w:color w:val="006100"/>
                <w:sz w:val="18"/>
                <w:szCs w:val="18"/>
              </w:rPr>
            </w:pPr>
          </w:p>
        </w:tc>
        <w:tc>
          <w:tcPr>
            <w:tcW w:w="870" w:type="dxa"/>
            <w:shd w:val="clear" w:color="auto" w:fill="C6EFCE"/>
            <w:noWrap/>
          </w:tcPr>
          <w:p w14:paraId="01F21EFF" w14:textId="77777777" w:rsidR="00C45D59" w:rsidRDefault="00C45D59">
            <w:pPr>
              <w:spacing w:after="0" w:line="240" w:lineRule="auto"/>
              <w:rPr>
                <w:rFonts w:ascii="Times New Roman" w:hAnsi="Times New Roman" w:cs="Times New Roman"/>
                <w:noProof/>
                <w:color w:val="006100"/>
                <w:sz w:val="18"/>
                <w:szCs w:val="18"/>
              </w:rPr>
            </w:pPr>
          </w:p>
        </w:tc>
        <w:tc>
          <w:tcPr>
            <w:tcW w:w="998" w:type="dxa"/>
            <w:shd w:val="clear" w:color="auto" w:fill="C6EFCE"/>
            <w:noWrap/>
          </w:tcPr>
          <w:p w14:paraId="409BDFD9" w14:textId="77777777" w:rsidR="00C45D59" w:rsidRDefault="00C45D59">
            <w:pPr>
              <w:spacing w:after="0" w:line="240" w:lineRule="auto"/>
              <w:rPr>
                <w:rFonts w:ascii="Times New Roman" w:hAnsi="Times New Roman" w:cs="Times New Roman"/>
                <w:noProof/>
                <w:color w:val="006100"/>
                <w:sz w:val="18"/>
                <w:szCs w:val="18"/>
              </w:rPr>
            </w:pPr>
          </w:p>
        </w:tc>
        <w:tc>
          <w:tcPr>
            <w:tcW w:w="850" w:type="dxa"/>
            <w:shd w:val="clear" w:color="auto" w:fill="C6EFCE"/>
            <w:noWrap/>
            <w:hideMark/>
          </w:tcPr>
          <w:p w14:paraId="36E75F0D" w14:textId="77777777" w:rsidR="00C45D59" w:rsidRDefault="009B0962">
            <w:pPr>
              <w:pStyle w:val="P68B1DB1-Normal12"/>
              <w:spacing w:after="0" w:line="240" w:lineRule="auto"/>
              <w:rPr>
                <w:rFonts w:eastAsia="Times New Roman"/>
                <w:noProof/>
              </w:rPr>
            </w:pPr>
            <w:r>
              <w:rPr>
                <w:noProof/>
              </w:rPr>
              <w:t>Î4</w:t>
            </w:r>
          </w:p>
        </w:tc>
        <w:tc>
          <w:tcPr>
            <w:tcW w:w="709" w:type="dxa"/>
            <w:shd w:val="clear" w:color="auto" w:fill="C6EFCE"/>
            <w:noWrap/>
            <w:hideMark/>
          </w:tcPr>
          <w:p w14:paraId="653650AF" w14:textId="77777777" w:rsidR="00C45D59" w:rsidRDefault="009B0962">
            <w:pPr>
              <w:pStyle w:val="P68B1DB1-Normal12"/>
              <w:spacing w:after="0" w:line="240" w:lineRule="auto"/>
              <w:rPr>
                <w:rFonts w:eastAsia="Times New Roman"/>
                <w:noProof/>
              </w:rPr>
            </w:pPr>
            <w:r>
              <w:rPr>
                <w:noProof/>
              </w:rPr>
              <w:t>2025</w:t>
            </w:r>
          </w:p>
        </w:tc>
        <w:tc>
          <w:tcPr>
            <w:tcW w:w="4761" w:type="dxa"/>
            <w:shd w:val="clear" w:color="auto" w:fill="C6EFCE"/>
            <w:noWrap/>
            <w:hideMark/>
          </w:tcPr>
          <w:p w14:paraId="6FC2370B" w14:textId="77777777" w:rsidR="00C45D59" w:rsidRDefault="009B0962">
            <w:pPr>
              <w:pStyle w:val="P68B1DB1-Normal12"/>
              <w:spacing w:after="0" w:line="240" w:lineRule="auto"/>
              <w:rPr>
                <w:noProof/>
              </w:rPr>
            </w:pPr>
            <w:r>
              <w:rPr>
                <w:noProof/>
              </w:rPr>
              <w:t xml:space="preserve">Furnizarea de programe de formare privind competențele digitale, verzi și de alfabetizare financiară pentru 350 000 de participanți și validarea și certificarea competențelor dobândite. </w:t>
            </w:r>
          </w:p>
          <w:p w14:paraId="08C6894D" w14:textId="77777777" w:rsidR="00C45D59" w:rsidRDefault="00C45D59">
            <w:pPr>
              <w:spacing w:after="0" w:line="240" w:lineRule="auto"/>
              <w:rPr>
                <w:rFonts w:ascii="Times New Roman" w:eastAsia="Times New Roman" w:hAnsi="Times New Roman" w:cs="Times New Roman"/>
                <w:noProof/>
                <w:color w:val="006100"/>
                <w:sz w:val="18"/>
                <w:szCs w:val="18"/>
              </w:rPr>
            </w:pPr>
          </w:p>
          <w:p w14:paraId="54EF48EA" w14:textId="6627ABE9" w:rsidR="00C45D59" w:rsidRDefault="009B0962">
            <w:pPr>
              <w:pStyle w:val="P68B1DB1-Normal12"/>
              <w:spacing w:after="0" w:line="240" w:lineRule="auto"/>
              <w:rPr>
                <w:noProof/>
              </w:rPr>
            </w:pPr>
            <w:r>
              <w:rPr>
                <w:noProof/>
              </w:rPr>
              <w:t xml:space="preserve">Din numărul total de participanți la această măsură, cel puțin 33 % (165 000 de participanți din 500 000) trebuie să fi desfășurat programe de formare legate de competențele și locurile de muncă verzi în economia verde. </w:t>
            </w:r>
          </w:p>
        </w:tc>
      </w:tr>
      <w:tr w:rsidR="00C45D59" w14:paraId="76202E20" w14:textId="77777777" w:rsidTr="00097639">
        <w:trPr>
          <w:trHeight w:val="1693"/>
          <w:jc w:val="center"/>
        </w:trPr>
        <w:tc>
          <w:tcPr>
            <w:tcW w:w="536" w:type="dxa"/>
            <w:shd w:val="clear" w:color="auto" w:fill="C6EFCE"/>
            <w:noWrap/>
          </w:tcPr>
          <w:p w14:paraId="27DD4611" w14:textId="77777777" w:rsidR="00C45D59" w:rsidRDefault="009B0962">
            <w:pPr>
              <w:pStyle w:val="P68B1DB1-Normal12"/>
              <w:spacing w:after="0" w:line="240" w:lineRule="auto"/>
              <w:rPr>
                <w:noProof/>
              </w:rPr>
            </w:pPr>
            <w:r>
              <w:rPr>
                <w:noProof/>
              </w:rPr>
              <w:t>143</w:t>
            </w:r>
          </w:p>
        </w:tc>
        <w:tc>
          <w:tcPr>
            <w:tcW w:w="2203" w:type="dxa"/>
            <w:shd w:val="clear" w:color="auto" w:fill="C6EFCE"/>
            <w:noWrap/>
          </w:tcPr>
          <w:p w14:paraId="6ED5C507" w14:textId="77777777" w:rsidR="00C45D59" w:rsidRDefault="009B0962">
            <w:pPr>
              <w:pStyle w:val="P68B1DB1-Normal12"/>
              <w:spacing w:after="0" w:line="240" w:lineRule="auto"/>
              <w:rPr>
                <w:noProof/>
              </w:rPr>
            </w:pPr>
            <w:r>
              <w:rPr>
                <w:noProof/>
              </w:rPr>
              <w:t>9-3.2. Educație, educație și formare profesională și competențe – 16792_Calificarea, recalificarea și perfecționarea forței de muncă prin intermediul unui model de formare reformat (Educație și formare profesională &amp; Reforma formării)</w:t>
            </w:r>
          </w:p>
        </w:tc>
        <w:tc>
          <w:tcPr>
            <w:tcW w:w="1043" w:type="dxa"/>
            <w:shd w:val="clear" w:color="auto" w:fill="C6EFCE"/>
            <w:noWrap/>
          </w:tcPr>
          <w:p w14:paraId="19F488FE" w14:textId="77777777" w:rsidR="00C45D59" w:rsidRDefault="009B0962">
            <w:pPr>
              <w:pStyle w:val="P68B1DB1-Normal12"/>
              <w:spacing w:after="0" w:line="240" w:lineRule="auto"/>
              <w:rPr>
                <w:noProof/>
              </w:rPr>
            </w:pPr>
            <w:r>
              <w:rPr>
                <w:noProof/>
              </w:rPr>
              <w:t>Etapă</w:t>
            </w:r>
          </w:p>
        </w:tc>
        <w:tc>
          <w:tcPr>
            <w:tcW w:w="1294" w:type="dxa"/>
            <w:shd w:val="clear" w:color="auto" w:fill="C6EFCE"/>
            <w:noWrap/>
          </w:tcPr>
          <w:p w14:paraId="55383E08" w14:textId="77777777" w:rsidR="00C45D59" w:rsidRDefault="009B0962">
            <w:pPr>
              <w:pStyle w:val="P68B1DB1-Normal12"/>
              <w:spacing w:after="0" w:line="240" w:lineRule="auto"/>
              <w:rPr>
                <w:noProof/>
              </w:rPr>
            </w:pPr>
            <w:r>
              <w:rPr>
                <w:noProof/>
              </w:rPr>
              <w:t>Atribuirea contractelor pentru sistemul de control al calității EFP</w:t>
            </w:r>
          </w:p>
        </w:tc>
        <w:tc>
          <w:tcPr>
            <w:tcW w:w="1307" w:type="dxa"/>
            <w:shd w:val="clear" w:color="auto" w:fill="C6EFCE"/>
            <w:noWrap/>
          </w:tcPr>
          <w:p w14:paraId="69B096DD" w14:textId="77777777" w:rsidR="00C45D59" w:rsidRDefault="009B0962">
            <w:pPr>
              <w:pStyle w:val="P68B1DB1-Normal12"/>
              <w:spacing w:after="0" w:line="240" w:lineRule="auto"/>
              <w:rPr>
                <w:noProof/>
              </w:rPr>
            </w:pPr>
            <w:r>
              <w:rPr>
                <w:noProof/>
              </w:rPr>
              <w:t>Notificarea atribuirii contractului</w:t>
            </w:r>
          </w:p>
        </w:tc>
        <w:tc>
          <w:tcPr>
            <w:tcW w:w="1332" w:type="dxa"/>
            <w:shd w:val="clear" w:color="auto" w:fill="C6EFCE"/>
            <w:noWrap/>
          </w:tcPr>
          <w:p w14:paraId="369893F2" w14:textId="77777777" w:rsidR="00C45D59" w:rsidRDefault="00C45D59">
            <w:pPr>
              <w:spacing w:after="0" w:line="240" w:lineRule="auto"/>
              <w:rPr>
                <w:rFonts w:ascii="Times New Roman" w:hAnsi="Times New Roman" w:cs="Times New Roman"/>
                <w:noProof/>
                <w:color w:val="006100"/>
                <w:sz w:val="18"/>
                <w:szCs w:val="18"/>
              </w:rPr>
            </w:pPr>
          </w:p>
        </w:tc>
        <w:tc>
          <w:tcPr>
            <w:tcW w:w="870" w:type="dxa"/>
            <w:shd w:val="clear" w:color="auto" w:fill="C6EFCE"/>
            <w:noWrap/>
          </w:tcPr>
          <w:p w14:paraId="167087D4" w14:textId="77777777" w:rsidR="00C45D59" w:rsidRDefault="00C45D59">
            <w:pPr>
              <w:spacing w:after="0" w:line="240" w:lineRule="auto"/>
              <w:rPr>
                <w:rFonts w:ascii="Times New Roman" w:hAnsi="Times New Roman" w:cs="Times New Roman"/>
                <w:noProof/>
                <w:color w:val="006100"/>
                <w:sz w:val="18"/>
                <w:szCs w:val="18"/>
              </w:rPr>
            </w:pPr>
          </w:p>
        </w:tc>
        <w:tc>
          <w:tcPr>
            <w:tcW w:w="998" w:type="dxa"/>
            <w:shd w:val="clear" w:color="auto" w:fill="C6EFCE"/>
            <w:noWrap/>
          </w:tcPr>
          <w:p w14:paraId="76178C7B" w14:textId="77777777" w:rsidR="00C45D59" w:rsidRDefault="00C45D59">
            <w:pPr>
              <w:spacing w:after="0" w:line="240" w:lineRule="auto"/>
              <w:rPr>
                <w:rFonts w:ascii="Times New Roman" w:hAnsi="Times New Roman" w:cs="Times New Roman"/>
                <w:noProof/>
                <w:color w:val="006100"/>
                <w:sz w:val="18"/>
                <w:szCs w:val="18"/>
              </w:rPr>
            </w:pPr>
          </w:p>
        </w:tc>
        <w:tc>
          <w:tcPr>
            <w:tcW w:w="850" w:type="dxa"/>
            <w:shd w:val="clear" w:color="auto" w:fill="C6EFCE"/>
            <w:noWrap/>
          </w:tcPr>
          <w:p w14:paraId="00753AEE" w14:textId="77777777" w:rsidR="00C45D59" w:rsidRDefault="009B0962">
            <w:pPr>
              <w:pStyle w:val="P68B1DB1-Normal12"/>
              <w:spacing w:after="0" w:line="240" w:lineRule="auto"/>
              <w:rPr>
                <w:noProof/>
              </w:rPr>
            </w:pPr>
            <w:r>
              <w:rPr>
                <w:noProof/>
              </w:rPr>
              <w:t>Î2</w:t>
            </w:r>
          </w:p>
        </w:tc>
        <w:tc>
          <w:tcPr>
            <w:tcW w:w="709" w:type="dxa"/>
            <w:shd w:val="clear" w:color="auto" w:fill="C6EFCE"/>
            <w:noWrap/>
          </w:tcPr>
          <w:p w14:paraId="2C6273D6" w14:textId="77777777" w:rsidR="00C45D59" w:rsidRDefault="009B0962">
            <w:pPr>
              <w:pStyle w:val="P68B1DB1-Normal12"/>
              <w:spacing w:after="0" w:line="240" w:lineRule="auto"/>
              <w:rPr>
                <w:noProof/>
              </w:rPr>
            </w:pPr>
            <w:r>
              <w:rPr>
                <w:noProof/>
              </w:rPr>
              <w:t>2023</w:t>
            </w:r>
          </w:p>
        </w:tc>
        <w:tc>
          <w:tcPr>
            <w:tcW w:w="4761" w:type="dxa"/>
            <w:shd w:val="clear" w:color="auto" w:fill="C6EFCE"/>
            <w:noWrap/>
          </w:tcPr>
          <w:p w14:paraId="58029522" w14:textId="77777777" w:rsidR="00C45D59" w:rsidRDefault="009B0962">
            <w:pPr>
              <w:pStyle w:val="P68B1DB1-Normal12"/>
              <w:spacing w:after="0" w:line="240" w:lineRule="auto"/>
              <w:rPr>
                <w:noProof/>
              </w:rPr>
            </w:pPr>
            <w:r>
              <w:rPr>
                <w:noProof/>
              </w:rPr>
              <w:t>Atribuirea contractelor pentru sistemul de control al calității pentru educația și formarea profesională (EFP) a vizat îmbunătățirea controlului calității asupra unităților de formare profesională ale Organizației Elene pentru Ocuparea Forței de Muncă (DYPA), în principal prin evaluarea rezultatelor acestuia și prin urmărirea progreselor și a performanței stagiarilor pe piața forței de muncă.</w:t>
            </w:r>
          </w:p>
        </w:tc>
      </w:tr>
      <w:tr w:rsidR="00C45D59" w14:paraId="23FC0F70" w14:textId="77777777" w:rsidTr="00097639">
        <w:trPr>
          <w:trHeight w:val="1253"/>
          <w:jc w:val="center"/>
        </w:trPr>
        <w:tc>
          <w:tcPr>
            <w:tcW w:w="536" w:type="dxa"/>
            <w:shd w:val="clear" w:color="auto" w:fill="C6EFCE"/>
            <w:noWrap/>
          </w:tcPr>
          <w:p w14:paraId="6F95CA37" w14:textId="77777777" w:rsidR="00C45D59" w:rsidRDefault="009B0962">
            <w:pPr>
              <w:pStyle w:val="P68B1DB1-Normal12"/>
              <w:spacing w:after="0" w:line="240" w:lineRule="auto"/>
              <w:rPr>
                <w:noProof/>
              </w:rPr>
            </w:pPr>
            <w:r>
              <w:rPr>
                <w:noProof/>
              </w:rPr>
              <w:t>145a</w:t>
            </w:r>
          </w:p>
        </w:tc>
        <w:tc>
          <w:tcPr>
            <w:tcW w:w="2203" w:type="dxa"/>
            <w:shd w:val="clear" w:color="auto" w:fill="C6EFCE"/>
            <w:noWrap/>
          </w:tcPr>
          <w:p w14:paraId="607B8163" w14:textId="77777777" w:rsidR="00C45D59" w:rsidRDefault="009B0962">
            <w:pPr>
              <w:pStyle w:val="P68B1DB1-Normal12"/>
              <w:spacing w:after="0" w:line="240" w:lineRule="auto"/>
              <w:rPr>
                <w:noProof/>
              </w:rPr>
            </w:pPr>
            <w:r>
              <w:rPr>
                <w:noProof/>
              </w:rPr>
              <w:t xml:space="preserve">9-3.2. Educație, educație și formare profesională și competențe – 16794_Consolidarea sistemului de ucenicie </w:t>
            </w:r>
          </w:p>
        </w:tc>
        <w:tc>
          <w:tcPr>
            <w:tcW w:w="1043" w:type="dxa"/>
            <w:shd w:val="clear" w:color="auto" w:fill="C6EFCE"/>
            <w:noWrap/>
          </w:tcPr>
          <w:p w14:paraId="7D1F91E5" w14:textId="77777777" w:rsidR="00C45D59" w:rsidRDefault="009B0962">
            <w:pPr>
              <w:pStyle w:val="P68B1DB1-Normal12"/>
              <w:spacing w:after="0" w:line="240" w:lineRule="auto"/>
              <w:rPr>
                <w:noProof/>
              </w:rPr>
            </w:pPr>
            <w:r>
              <w:rPr>
                <w:noProof/>
              </w:rPr>
              <w:t>Etapă</w:t>
            </w:r>
          </w:p>
        </w:tc>
        <w:tc>
          <w:tcPr>
            <w:tcW w:w="1294" w:type="dxa"/>
            <w:shd w:val="clear" w:color="auto" w:fill="C6EFCE"/>
            <w:noWrap/>
          </w:tcPr>
          <w:p w14:paraId="3F2D03B7" w14:textId="77777777" w:rsidR="00C45D59" w:rsidRDefault="009B0962">
            <w:pPr>
              <w:pStyle w:val="P68B1DB1-Normal12"/>
              <w:spacing w:after="0" w:line="240" w:lineRule="auto"/>
              <w:rPr>
                <w:noProof/>
              </w:rPr>
            </w:pPr>
            <w:r>
              <w:rPr>
                <w:noProof/>
              </w:rPr>
              <w:t>Cadrul juridic al sistemului național de educație și formare profesională</w:t>
            </w:r>
          </w:p>
        </w:tc>
        <w:tc>
          <w:tcPr>
            <w:tcW w:w="1307" w:type="dxa"/>
            <w:shd w:val="clear" w:color="auto" w:fill="C6EFCE"/>
            <w:noWrap/>
          </w:tcPr>
          <w:p w14:paraId="3CF45155" w14:textId="77777777" w:rsidR="00C45D59" w:rsidRDefault="009B0962">
            <w:pPr>
              <w:pStyle w:val="P68B1DB1-Normal12"/>
              <w:spacing w:after="0" w:line="240" w:lineRule="auto"/>
              <w:rPr>
                <w:noProof/>
              </w:rPr>
            </w:pPr>
            <w:r>
              <w:rPr>
                <w:noProof/>
              </w:rPr>
              <w:t>Intrarea în vigoare a legislației</w:t>
            </w:r>
          </w:p>
        </w:tc>
        <w:tc>
          <w:tcPr>
            <w:tcW w:w="1332" w:type="dxa"/>
            <w:shd w:val="clear" w:color="auto" w:fill="C6EFCE"/>
            <w:noWrap/>
          </w:tcPr>
          <w:p w14:paraId="03E0F928" w14:textId="77777777" w:rsidR="00C45D59" w:rsidRDefault="00C45D59">
            <w:pPr>
              <w:spacing w:after="0" w:line="240" w:lineRule="auto"/>
              <w:rPr>
                <w:rFonts w:ascii="Times New Roman" w:hAnsi="Times New Roman" w:cs="Times New Roman"/>
                <w:noProof/>
                <w:color w:val="006100"/>
                <w:sz w:val="18"/>
                <w:szCs w:val="18"/>
              </w:rPr>
            </w:pPr>
          </w:p>
        </w:tc>
        <w:tc>
          <w:tcPr>
            <w:tcW w:w="870" w:type="dxa"/>
            <w:shd w:val="clear" w:color="auto" w:fill="C6EFCE"/>
            <w:noWrap/>
          </w:tcPr>
          <w:p w14:paraId="68C32DC0" w14:textId="77777777" w:rsidR="00C45D59" w:rsidRDefault="00C45D59">
            <w:pPr>
              <w:spacing w:after="0" w:line="240" w:lineRule="auto"/>
              <w:rPr>
                <w:rFonts w:ascii="Times New Roman" w:hAnsi="Times New Roman" w:cs="Times New Roman"/>
                <w:noProof/>
                <w:color w:val="006100"/>
                <w:sz w:val="18"/>
                <w:szCs w:val="18"/>
              </w:rPr>
            </w:pPr>
          </w:p>
        </w:tc>
        <w:tc>
          <w:tcPr>
            <w:tcW w:w="998" w:type="dxa"/>
            <w:shd w:val="clear" w:color="auto" w:fill="C6EFCE"/>
            <w:noWrap/>
          </w:tcPr>
          <w:p w14:paraId="22BEFDC3" w14:textId="77777777" w:rsidR="00C45D59" w:rsidRDefault="00C45D59">
            <w:pPr>
              <w:spacing w:after="0" w:line="240" w:lineRule="auto"/>
              <w:rPr>
                <w:rFonts w:ascii="Times New Roman" w:hAnsi="Times New Roman" w:cs="Times New Roman"/>
                <w:noProof/>
                <w:color w:val="006100"/>
                <w:sz w:val="18"/>
                <w:szCs w:val="18"/>
              </w:rPr>
            </w:pPr>
          </w:p>
        </w:tc>
        <w:tc>
          <w:tcPr>
            <w:tcW w:w="850" w:type="dxa"/>
            <w:shd w:val="clear" w:color="auto" w:fill="C6EFCE"/>
            <w:noWrap/>
          </w:tcPr>
          <w:p w14:paraId="1419E19B" w14:textId="77777777" w:rsidR="00C45D59" w:rsidRDefault="009B0962">
            <w:pPr>
              <w:pStyle w:val="P68B1DB1-Normal12"/>
              <w:spacing w:after="0" w:line="240" w:lineRule="auto"/>
              <w:rPr>
                <w:noProof/>
              </w:rPr>
            </w:pPr>
            <w:r>
              <w:rPr>
                <w:noProof/>
              </w:rPr>
              <w:t>Î4</w:t>
            </w:r>
          </w:p>
        </w:tc>
        <w:tc>
          <w:tcPr>
            <w:tcW w:w="709" w:type="dxa"/>
            <w:shd w:val="clear" w:color="auto" w:fill="C6EFCE"/>
            <w:noWrap/>
          </w:tcPr>
          <w:p w14:paraId="3FF0C0E3" w14:textId="77777777" w:rsidR="00C45D59" w:rsidRDefault="009B0962">
            <w:pPr>
              <w:pStyle w:val="P68B1DB1-Normal12"/>
              <w:spacing w:after="0" w:line="240" w:lineRule="auto"/>
              <w:rPr>
                <w:noProof/>
              </w:rPr>
            </w:pPr>
            <w:r>
              <w:rPr>
                <w:noProof/>
              </w:rPr>
              <w:t>2024</w:t>
            </w:r>
          </w:p>
        </w:tc>
        <w:tc>
          <w:tcPr>
            <w:tcW w:w="4761" w:type="dxa"/>
            <w:shd w:val="clear" w:color="auto" w:fill="C6EFCE"/>
            <w:noWrap/>
          </w:tcPr>
          <w:p w14:paraId="1224AC8B" w14:textId="77777777" w:rsidR="00C45D59" w:rsidRDefault="009B0962">
            <w:pPr>
              <w:pStyle w:val="P68B1DB1-Normal12"/>
              <w:spacing w:after="0" w:line="240" w:lineRule="auto"/>
              <w:rPr>
                <w:noProof/>
              </w:rPr>
            </w:pPr>
            <w:r>
              <w:rPr>
                <w:noProof/>
              </w:rPr>
              <w:t>Intrarea în vigoare a unei legi privind sistemul EFP național.</w:t>
            </w:r>
          </w:p>
        </w:tc>
      </w:tr>
      <w:tr w:rsidR="00C45D59" w14:paraId="7B6D9EE7" w14:textId="77777777" w:rsidTr="00097639">
        <w:trPr>
          <w:trHeight w:val="1973"/>
          <w:jc w:val="center"/>
        </w:trPr>
        <w:tc>
          <w:tcPr>
            <w:tcW w:w="536" w:type="dxa"/>
            <w:shd w:val="clear" w:color="auto" w:fill="C6EFCE"/>
            <w:noWrap/>
          </w:tcPr>
          <w:p w14:paraId="507F3812" w14:textId="77777777" w:rsidR="00C45D59" w:rsidRDefault="009B0962">
            <w:pPr>
              <w:pStyle w:val="P68B1DB1-Normal12"/>
              <w:spacing w:after="0" w:line="240" w:lineRule="auto"/>
              <w:rPr>
                <w:noProof/>
              </w:rPr>
            </w:pPr>
            <w:r>
              <w:rPr>
                <w:noProof/>
              </w:rPr>
              <w:t>146</w:t>
            </w:r>
          </w:p>
        </w:tc>
        <w:tc>
          <w:tcPr>
            <w:tcW w:w="2203" w:type="dxa"/>
            <w:shd w:val="clear" w:color="auto" w:fill="C6EFCE"/>
            <w:noWrap/>
          </w:tcPr>
          <w:p w14:paraId="3B96DD30" w14:textId="77777777" w:rsidR="00C45D59" w:rsidRDefault="009B0962">
            <w:pPr>
              <w:pStyle w:val="P68B1DB1-Normal12"/>
              <w:spacing w:after="0" w:line="240" w:lineRule="auto"/>
              <w:rPr>
                <w:noProof/>
              </w:rPr>
            </w:pPr>
            <w:r>
              <w:rPr>
                <w:noProof/>
              </w:rPr>
              <w:t>9-3.2. Educație, educație și formare profesională și competențe – 16792_Calificarea, recalificarea și perfecționarea forței de muncă prin intermediul unui model de formare reformat (Educație și formare profesională &amp; Reforma formării)</w:t>
            </w:r>
          </w:p>
        </w:tc>
        <w:tc>
          <w:tcPr>
            <w:tcW w:w="1043" w:type="dxa"/>
            <w:shd w:val="clear" w:color="auto" w:fill="C6EFCE"/>
            <w:noWrap/>
          </w:tcPr>
          <w:p w14:paraId="25B03B54" w14:textId="77777777" w:rsidR="00C45D59" w:rsidRDefault="009B0962">
            <w:pPr>
              <w:pStyle w:val="P68B1DB1-Normal12"/>
              <w:spacing w:after="0" w:line="240" w:lineRule="auto"/>
              <w:rPr>
                <w:noProof/>
              </w:rPr>
            </w:pPr>
            <w:r>
              <w:rPr>
                <w:noProof/>
              </w:rPr>
              <w:t>Etapă</w:t>
            </w:r>
          </w:p>
        </w:tc>
        <w:tc>
          <w:tcPr>
            <w:tcW w:w="1294" w:type="dxa"/>
            <w:shd w:val="clear" w:color="auto" w:fill="C6EFCE"/>
            <w:noWrap/>
          </w:tcPr>
          <w:p w14:paraId="74E0C487" w14:textId="77777777" w:rsidR="00C45D59" w:rsidRDefault="009B0962">
            <w:pPr>
              <w:pStyle w:val="P68B1DB1-Normal12"/>
              <w:spacing w:after="0" w:line="240" w:lineRule="auto"/>
              <w:rPr>
                <w:rFonts w:eastAsia="Times New Roman"/>
                <w:noProof/>
              </w:rPr>
            </w:pPr>
            <w:r>
              <w:rPr>
                <w:noProof/>
              </w:rPr>
              <w:t>Sistemul de control al calității VET;</w:t>
            </w:r>
          </w:p>
          <w:p w14:paraId="6DE06607" w14:textId="77777777" w:rsidR="00C45D59" w:rsidRDefault="009B0962">
            <w:pPr>
              <w:pStyle w:val="P68B1DB1-Normal12"/>
              <w:spacing w:after="0" w:line="240" w:lineRule="auto"/>
              <w:rPr>
                <w:noProof/>
              </w:rPr>
            </w:pPr>
            <w:r>
              <w:rPr>
                <w:noProof/>
              </w:rPr>
              <w:t>furnizarea de programe sectoriale de formare</w:t>
            </w:r>
          </w:p>
        </w:tc>
        <w:tc>
          <w:tcPr>
            <w:tcW w:w="1307" w:type="dxa"/>
            <w:shd w:val="clear" w:color="auto" w:fill="C6EFCE"/>
            <w:noWrap/>
          </w:tcPr>
          <w:p w14:paraId="54B70577" w14:textId="77777777" w:rsidR="00C45D59" w:rsidRDefault="009B0962">
            <w:pPr>
              <w:pStyle w:val="P68B1DB1-Normal12"/>
              <w:spacing w:after="0" w:line="240" w:lineRule="auto"/>
              <w:rPr>
                <w:noProof/>
              </w:rPr>
            </w:pPr>
            <w:r>
              <w:rPr>
                <w:noProof/>
              </w:rPr>
              <w:t xml:space="preserve">Realizarea proiectelor a și b </w:t>
            </w:r>
          </w:p>
        </w:tc>
        <w:tc>
          <w:tcPr>
            <w:tcW w:w="1332" w:type="dxa"/>
            <w:shd w:val="clear" w:color="auto" w:fill="C6EFCE"/>
            <w:noWrap/>
          </w:tcPr>
          <w:p w14:paraId="0C5987DE" w14:textId="77777777" w:rsidR="00C45D59" w:rsidRDefault="00C45D59">
            <w:pPr>
              <w:spacing w:after="0" w:line="240" w:lineRule="auto"/>
              <w:rPr>
                <w:rFonts w:ascii="Times New Roman" w:hAnsi="Times New Roman" w:cs="Times New Roman"/>
                <w:noProof/>
                <w:color w:val="006100"/>
                <w:sz w:val="18"/>
                <w:szCs w:val="18"/>
              </w:rPr>
            </w:pPr>
          </w:p>
        </w:tc>
        <w:tc>
          <w:tcPr>
            <w:tcW w:w="870" w:type="dxa"/>
            <w:shd w:val="clear" w:color="auto" w:fill="C6EFCE"/>
            <w:noWrap/>
          </w:tcPr>
          <w:p w14:paraId="61BDF6C2" w14:textId="77777777" w:rsidR="00C45D59" w:rsidRDefault="00C45D59">
            <w:pPr>
              <w:spacing w:after="0" w:line="240" w:lineRule="auto"/>
              <w:rPr>
                <w:rFonts w:ascii="Times New Roman" w:hAnsi="Times New Roman" w:cs="Times New Roman"/>
                <w:noProof/>
                <w:color w:val="006100"/>
                <w:sz w:val="18"/>
                <w:szCs w:val="18"/>
              </w:rPr>
            </w:pPr>
          </w:p>
        </w:tc>
        <w:tc>
          <w:tcPr>
            <w:tcW w:w="998" w:type="dxa"/>
            <w:shd w:val="clear" w:color="auto" w:fill="C6EFCE"/>
            <w:noWrap/>
          </w:tcPr>
          <w:p w14:paraId="4FB069A3" w14:textId="77777777" w:rsidR="00C45D59" w:rsidRDefault="00C45D59">
            <w:pPr>
              <w:spacing w:after="0" w:line="240" w:lineRule="auto"/>
              <w:rPr>
                <w:rFonts w:ascii="Times New Roman" w:hAnsi="Times New Roman" w:cs="Times New Roman"/>
                <w:noProof/>
                <w:color w:val="006100"/>
                <w:sz w:val="18"/>
                <w:szCs w:val="18"/>
              </w:rPr>
            </w:pPr>
          </w:p>
        </w:tc>
        <w:tc>
          <w:tcPr>
            <w:tcW w:w="850" w:type="dxa"/>
            <w:shd w:val="clear" w:color="auto" w:fill="C6EFCE"/>
            <w:noWrap/>
          </w:tcPr>
          <w:p w14:paraId="3DD1610A" w14:textId="77777777" w:rsidR="00C45D59" w:rsidRDefault="009B0962">
            <w:pPr>
              <w:pStyle w:val="P68B1DB1-Normal12"/>
              <w:spacing w:after="0" w:line="240" w:lineRule="auto"/>
              <w:rPr>
                <w:noProof/>
              </w:rPr>
            </w:pPr>
            <w:r>
              <w:rPr>
                <w:noProof/>
              </w:rPr>
              <w:t>Î4</w:t>
            </w:r>
          </w:p>
        </w:tc>
        <w:tc>
          <w:tcPr>
            <w:tcW w:w="709" w:type="dxa"/>
            <w:shd w:val="clear" w:color="auto" w:fill="C6EFCE"/>
            <w:noWrap/>
          </w:tcPr>
          <w:p w14:paraId="248499C5" w14:textId="77777777" w:rsidR="00C45D59" w:rsidRDefault="009B0962">
            <w:pPr>
              <w:pStyle w:val="P68B1DB1-Normal12"/>
              <w:spacing w:after="0" w:line="240" w:lineRule="auto"/>
              <w:rPr>
                <w:noProof/>
              </w:rPr>
            </w:pPr>
            <w:r>
              <w:rPr>
                <w:noProof/>
              </w:rPr>
              <w:t>2025</w:t>
            </w:r>
          </w:p>
        </w:tc>
        <w:tc>
          <w:tcPr>
            <w:tcW w:w="4761" w:type="dxa"/>
            <w:shd w:val="clear" w:color="auto" w:fill="C6EFCE"/>
            <w:noWrap/>
          </w:tcPr>
          <w:p w14:paraId="0E0BEBF1" w14:textId="77777777" w:rsidR="00C45D59" w:rsidRDefault="009B0962">
            <w:pPr>
              <w:pStyle w:val="P68B1DB1-Normal12"/>
              <w:spacing w:after="0" w:line="240" w:lineRule="auto"/>
              <w:rPr>
                <w:rFonts w:eastAsia="Times New Roman"/>
                <w:noProof/>
              </w:rPr>
            </w:pPr>
            <w:r>
              <w:rPr>
                <w:noProof/>
              </w:rPr>
              <w:t xml:space="preserve">Realizarea următoarelor proiecte: </w:t>
            </w:r>
          </w:p>
          <w:p w14:paraId="7A673A10" w14:textId="77777777" w:rsidR="00C45D59" w:rsidRDefault="009B0962">
            <w:pPr>
              <w:pStyle w:val="P68B1DB1-Normal12"/>
              <w:spacing w:after="0" w:line="240" w:lineRule="auto"/>
              <w:rPr>
                <w:rFonts w:eastAsia="Times New Roman"/>
                <w:noProof/>
              </w:rPr>
            </w:pPr>
            <w:r>
              <w:rPr>
                <w:noProof/>
              </w:rPr>
              <w:t>a) Sistemul de control al calității EFP al Organizației Naționale pentru Ocuparea Forței de Muncă (DYPA)</w:t>
            </w:r>
          </w:p>
          <w:p w14:paraId="5062DAB8" w14:textId="59DB4280" w:rsidR="00C45D59" w:rsidRDefault="009B0962">
            <w:pPr>
              <w:pStyle w:val="P68B1DB1-paragraph37"/>
              <w:spacing w:before="0" w:beforeAutospacing="0" w:after="0" w:afterAutospacing="0"/>
              <w:rPr>
                <w:noProof/>
              </w:rPr>
            </w:pPr>
            <w:r>
              <w:rPr>
                <w:noProof/>
              </w:rPr>
              <w:t>b) Programe sectoriale de formare profesională continuă pentru 20 880 de participanți și certificarea competențelor dobândite, astfel cum sunt confirmate de certificatele aferente eliberate participanților. </w:t>
            </w:r>
          </w:p>
        </w:tc>
      </w:tr>
    </w:tbl>
    <w:p w14:paraId="377610DC" w14:textId="77777777" w:rsidR="00C45D59" w:rsidRDefault="00C45D59">
      <w:pPr>
        <w:spacing w:before="120" w:after="120" w:line="240" w:lineRule="auto"/>
        <w:jc w:val="both"/>
        <w:rPr>
          <w:rFonts w:ascii="Times New Roman" w:hAnsi="Times New Roman" w:cs="Times New Roman"/>
          <w:noProof/>
          <w:sz w:val="24"/>
        </w:rPr>
      </w:pPr>
    </w:p>
    <w:p w14:paraId="47719506" w14:textId="77777777" w:rsidR="00C45D59" w:rsidRDefault="00C45D59">
      <w:pPr>
        <w:spacing w:before="120" w:after="120" w:line="240" w:lineRule="auto"/>
        <w:ind w:left="709"/>
        <w:jc w:val="both"/>
        <w:rPr>
          <w:rFonts w:ascii="Times New Roman" w:hAnsi="Times New Roman" w:cs="Times New Roman"/>
          <w:noProof/>
          <w:sz w:val="24"/>
          <w:szCs w:val="24"/>
        </w:rPr>
        <w:sectPr w:rsidR="00C45D59">
          <w:headerReference w:type="even" r:id="rId192"/>
          <w:headerReference w:type="default" r:id="rId193"/>
          <w:footerReference w:type="even" r:id="rId194"/>
          <w:footerReference w:type="default" r:id="rId195"/>
          <w:headerReference w:type="first" r:id="rId196"/>
          <w:footerReference w:type="first" r:id="rId197"/>
          <w:pgSz w:w="16839" w:h="11907" w:orient="landscape"/>
          <w:pgMar w:top="1134" w:right="1134" w:bottom="1134" w:left="1134" w:header="567" w:footer="567" w:gutter="0"/>
          <w:cols w:space="720"/>
          <w:docGrid w:linePitch="360"/>
        </w:sectPr>
      </w:pPr>
    </w:p>
    <w:p w14:paraId="6B6EDD7F" w14:textId="77777777" w:rsidR="00C45D59" w:rsidRDefault="009B0962">
      <w:pPr>
        <w:pStyle w:val="P68B1DB1-Normal9"/>
        <w:keepNext/>
        <w:keepLines/>
        <w:spacing w:before="240" w:line="240" w:lineRule="auto"/>
        <w:jc w:val="both"/>
        <w:outlineLvl w:val="4"/>
        <w:rPr>
          <w:rFonts w:eastAsia="Times New Roman"/>
          <w:noProof/>
        </w:rPr>
      </w:pPr>
      <w:r>
        <w:rPr>
          <w:noProof/>
        </w:rPr>
        <w:t>Grupul 12: Ministerul Educației și Cultelor – Reforme și investiții</w:t>
      </w:r>
    </w:p>
    <w:p w14:paraId="17343492" w14:textId="6135D1CC" w:rsidR="00C45D59" w:rsidRDefault="009B0962">
      <w:pPr>
        <w:pStyle w:val="P68B1DB1-Normal5"/>
        <w:numPr>
          <w:ilvl w:val="0"/>
          <w:numId w:val="44"/>
        </w:numPr>
        <w:spacing w:before="120" w:after="0" w:line="240" w:lineRule="auto"/>
        <w:jc w:val="both"/>
        <w:rPr>
          <w:rFonts w:cs="Times New Roman"/>
          <w:noProof/>
        </w:rPr>
      </w:pPr>
      <w:r>
        <w:rPr>
          <w:noProof/>
        </w:rPr>
        <w:t>Modernizarea educației și formării profesionale (EFP): Achiziționarea de echipamente de laborator pentru laboratoarele unităților EFP (ID: 16933)</w:t>
      </w:r>
    </w:p>
    <w:p w14:paraId="48D17A03" w14:textId="77777777" w:rsidR="00C45D59" w:rsidRDefault="009B0962">
      <w:pPr>
        <w:pStyle w:val="P68B1DB1-Normal5"/>
        <w:numPr>
          <w:ilvl w:val="0"/>
          <w:numId w:val="44"/>
        </w:numPr>
        <w:spacing w:before="120" w:after="0" w:line="240" w:lineRule="auto"/>
        <w:jc w:val="both"/>
        <w:rPr>
          <w:rFonts w:cs="Times New Roman"/>
          <w:noProof/>
        </w:rPr>
      </w:pPr>
      <w:r>
        <w:rPr>
          <w:noProof/>
        </w:rPr>
        <w:t>Modernizarea educației și formării profesionale (ID: 16934)</w:t>
      </w:r>
    </w:p>
    <w:p w14:paraId="2742AF0A" w14:textId="77777777" w:rsidR="00C45D59" w:rsidRDefault="009B0962">
      <w:pPr>
        <w:pStyle w:val="P68B1DB1-Normal5"/>
        <w:numPr>
          <w:ilvl w:val="0"/>
          <w:numId w:val="44"/>
        </w:numPr>
        <w:spacing w:before="120" w:after="0" w:line="240" w:lineRule="auto"/>
        <w:jc w:val="both"/>
        <w:rPr>
          <w:rFonts w:cs="Times New Roman"/>
          <w:noProof/>
        </w:rPr>
      </w:pPr>
      <w:r>
        <w:rPr>
          <w:noProof/>
        </w:rPr>
        <w:t>Strategia de excelență în universități &amp; inovare (ID: 16289)</w:t>
      </w:r>
    </w:p>
    <w:p w14:paraId="4441E654" w14:textId="77777777" w:rsidR="00C45D59" w:rsidRDefault="009B0962">
      <w:pPr>
        <w:pStyle w:val="P68B1DB1-Normal5"/>
        <w:numPr>
          <w:ilvl w:val="0"/>
          <w:numId w:val="44"/>
        </w:numPr>
        <w:spacing w:before="120" w:after="120" w:line="240" w:lineRule="auto"/>
        <w:jc w:val="both"/>
        <w:rPr>
          <w:rFonts w:cs="Times New Roman"/>
          <w:noProof/>
        </w:rPr>
      </w:pPr>
      <w:r>
        <w:rPr>
          <w:noProof/>
        </w:rPr>
        <w:t>Transformarea digitală a educației (ID: 16676)</w:t>
      </w:r>
    </w:p>
    <w:tbl>
      <w:tblPr>
        <w:tblpPr w:leftFromText="180" w:rightFromText="180" w:vertAnchor="text" w:tblpX="-421" w:tblpY="1"/>
        <w:tblOverlap w:val="never"/>
        <w:tblW w:w="160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66"/>
        <w:gridCol w:w="2557"/>
        <w:gridCol w:w="1172"/>
        <w:gridCol w:w="2047"/>
        <w:gridCol w:w="2222"/>
        <w:gridCol w:w="1154"/>
        <w:gridCol w:w="857"/>
        <w:gridCol w:w="771"/>
        <w:gridCol w:w="851"/>
        <w:gridCol w:w="720"/>
        <w:gridCol w:w="3002"/>
      </w:tblGrid>
      <w:tr w:rsidR="00C45D59" w14:paraId="4789A0F6" w14:textId="77777777" w:rsidTr="00097639">
        <w:trPr>
          <w:trHeight w:val="939"/>
          <w:tblHeader/>
        </w:trPr>
        <w:tc>
          <w:tcPr>
            <w:tcW w:w="666" w:type="dxa"/>
            <w:vMerge w:val="restart"/>
            <w:shd w:val="clear" w:color="auto" w:fill="BDD7EE"/>
            <w:vAlign w:val="center"/>
            <w:hideMark/>
          </w:tcPr>
          <w:p w14:paraId="2F2DFA3C" w14:textId="16F07329" w:rsidR="00C45D59" w:rsidRDefault="009B0962" w:rsidP="00097639">
            <w:pPr>
              <w:pStyle w:val="P68B1DB1-Normal10"/>
              <w:spacing w:after="0" w:line="240" w:lineRule="auto"/>
              <w:jc w:val="center"/>
              <w:rPr>
                <w:rFonts w:eastAsia="Times New Roman" w:cs="Times New Roman"/>
                <w:bCs/>
                <w:noProof/>
                <w:szCs w:val="18"/>
              </w:rPr>
            </w:pPr>
            <w:r>
              <w:rPr>
                <w:noProof/>
              </w:rPr>
              <w:t>Nr</w:t>
            </w:r>
            <w:r w:rsidR="00097639">
              <w:rPr>
                <w:noProof/>
              </w:rPr>
              <w:t>.</w:t>
            </w:r>
            <w:r>
              <w:rPr>
                <w:noProof/>
              </w:rPr>
              <w:t xml:space="preserve"> </w:t>
            </w:r>
            <w:r>
              <w:rPr>
                <w:noProof/>
              </w:rPr>
              <w:br/>
            </w:r>
            <w:r w:rsidR="00097639">
              <w:rPr>
                <w:noProof/>
              </w:rPr>
              <w:t>crt</w:t>
            </w:r>
            <w:r>
              <w:rPr>
                <w:noProof/>
              </w:rPr>
              <w:t>.</w:t>
            </w:r>
          </w:p>
        </w:tc>
        <w:tc>
          <w:tcPr>
            <w:tcW w:w="2557" w:type="dxa"/>
            <w:vMerge w:val="restart"/>
            <w:shd w:val="clear" w:color="auto" w:fill="BDD7EE"/>
            <w:vAlign w:val="center"/>
            <w:hideMark/>
          </w:tcPr>
          <w:p w14:paraId="11E5A1D9" w14:textId="77777777" w:rsidR="00C45D59" w:rsidRDefault="009B0962" w:rsidP="00097639">
            <w:pPr>
              <w:pStyle w:val="P68B1DB1-Normal10"/>
              <w:spacing w:after="0" w:line="240" w:lineRule="auto"/>
              <w:jc w:val="center"/>
              <w:rPr>
                <w:rFonts w:eastAsia="Times New Roman" w:cs="Times New Roman"/>
                <w:bCs/>
                <w:noProof/>
                <w:szCs w:val="18"/>
              </w:rPr>
            </w:pPr>
            <w:r>
              <w:rPr>
                <w:noProof/>
              </w:rPr>
              <w:t>Măsură conexă (reformă sau investiții)</w:t>
            </w:r>
          </w:p>
        </w:tc>
        <w:tc>
          <w:tcPr>
            <w:tcW w:w="1172" w:type="dxa"/>
            <w:vMerge w:val="restart"/>
            <w:shd w:val="clear" w:color="auto" w:fill="BDD7EE"/>
            <w:vAlign w:val="center"/>
            <w:hideMark/>
          </w:tcPr>
          <w:p w14:paraId="317EB156" w14:textId="1811DABE" w:rsidR="00C45D59" w:rsidRDefault="009B0962" w:rsidP="00097639">
            <w:pPr>
              <w:pStyle w:val="P68B1DB1-Normal10"/>
              <w:spacing w:after="0" w:line="240" w:lineRule="auto"/>
              <w:jc w:val="center"/>
              <w:rPr>
                <w:rFonts w:eastAsia="Times New Roman" w:cs="Times New Roman"/>
                <w:bCs/>
                <w:noProof/>
                <w:szCs w:val="18"/>
              </w:rPr>
            </w:pPr>
            <w:r>
              <w:rPr>
                <w:noProof/>
              </w:rPr>
              <w:t>Etapă/</w:t>
            </w:r>
            <w:r w:rsidR="00097639">
              <w:rPr>
                <w:noProof/>
              </w:rPr>
              <w:t xml:space="preserve"> </w:t>
            </w:r>
            <w:r>
              <w:rPr>
                <w:noProof/>
              </w:rPr>
              <w:t>Obiectiv</w:t>
            </w:r>
          </w:p>
        </w:tc>
        <w:tc>
          <w:tcPr>
            <w:tcW w:w="2047" w:type="dxa"/>
            <w:vMerge w:val="restart"/>
            <w:shd w:val="clear" w:color="auto" w:fill="BDD7EE"/>
            <w:vAlign w:val="center"/>
            <w:hideMark/>
          </w:tcPr>
          <w:p w14:paraId="64661039" w14:textId="3B22F535" w:rsidR="00C45D59" w:rsidRDefault="00097639" w:rsidP="00097639">
            <w:pPr>
              <w:pStyle w:val="P68B1DB1-Normal10"/>
              <w:spacing w:after="0" w:line="240" w:lineRule="auto"/>
              <w:jc w:val="center"/>
              <w:rPr>
                <w:rFonts w:eastAsia="Times New Roman" w:cs="Times New Roman"/>
                <w:bCs/>
                <w:noProof/>
                <w:szCs w:val="18"/>
              </w:rPr>
            </w:pPr>
            <w:r>
              <w:rPr>
                <w:noProof/>
              </w:rPr>
              <w:t>Denumire</w:t>
            </w:r>
          </w:p>
        </w:tc>
        <w:tc>
          <w:tcPr>
            <w:tcW w:w="2222" w:type="dxa"/>
            <w:vMerge w:val="restart"/>
            <w:shd w:val="clear" w:color="auto" w:fill="BDD7EE"/>
            <w:vAlign w:val="center"/>
            <w:hideMark/>
          </w:tcPr>
          <w:p w14:paraId="3A894EB2" w14:textId="77777777" w:rsidR="00C45D59" w:rsidRDefault="009B0962" w:rsidP="00097639">
            <w:pPr>
              <w:pStyle w:val="P68B1DB1-Normal10"/>
              <w:spacing w:after="0" w:line="240" w:lineRule="auto"/>
              <w:jc w:val="center"/>
              <w:rPr>
                <w:rFonts w:eastAsia="Times New Roman" w:cs="Times New Roman"/>
                <w:bCs/>
                <w:noProof/>
                <w:szCs w:val="18"/>
              </w:rPr>
            </w:pPr>
            <w:r>
              <w:rPr>
                <w:noProof/>
              </w:rPr>
              <w:t>Indicatori calitativi (pentru obiectivele de etapă)</w:t>
            </w:r>
          </w:p>
        </w:tc>
        <w:tc>
          <w:tcPr>
            <w:tcW w:w="2782" w:type="dxa"/>
            <w:gridSpan w:val="3"/>
            <w:shd w:val="clear" w:color="auto" w:fill="BDD7EE"/>
            <w:vAlign w:val="center"/>
            <w:hideMark/>
          </w:tcPr>
          <w:p w14:paraId="409CE366" w14:textId="77777777" w:rsidR="00C45D59" w:rsidRDefault="009B0962" w:rsidP="00097639">
            <w:pPr>
              <w:pStyle w:val="P68B1DB1-Normal18"/>
              <w:spacing w:after="0" w:line="240" w:lineRule="auto"/>
              <w:jc w:val="center"/>
              <w:rPr>
                <w:rFonts w:ascii="Times New Roman" w:eastAsia="Times New Roman" w:hAnsi="Times New Roman" w:cs="Times New Roman"/>
                <w:bCs/>
                <w:noProof/>
                <w:szCs w:val="18"/>
              </w:rPr>
            </w:pPr>
            <w:r>
              <w:rPr>
                <w:rFonts w:ascii="Times New Roman" w:hAnsi="Times New Roman"/>
                <w:noProof/>
              </w:rPr>
              <w:t xml:space="preserve">Indicatori cantitativi </w:t>
            </w:r>
            <w:r>
              <w:rPr>
                <w:rFonts w:ascii="Times New Roman" w:hAnsi="Times New Roman" w:cs="Times New Roman"/>
                <w:noProof/>
                <w:szCs w:val="18"/>
              </w:rPr>
              <w:br/>
            </w:r>
            <w:r>
              <w:rPr>
                <w:rFonts w:ascii="Times New Roman" w:hAnsi="Times New Roman"/>
                <w:noProof/>
              </w:rPr>
              <w:t>(pentru obiective)</w:t>
            </w:r>
          </w:p>
        </w:tc>
        <w:tc>
          <w:tcPr>
            <w:tcW w:w="1571" w:type="dxa"/>
            <w:gridSpan w:val="2"/>
            <w:shd w:val="clear" w:color="auto" w:fill="BDD7EE"/>
            <w:vAlign w:val="center"/>
            <w:hideMark/>
          </w:tcPr>
          <w:p w14:paraId="5DCC86A3" w14:textId="77777777" w:rsidR="00C45D59" w:rsidRDefault="009B0962" w:rsidP="00097639">
            <w:pPr>
              <w:pStyle w:val="P68B1DB1-Normal10"/>
              <w:spacing w:after="0" w:line="240" w:lineRule="auto"/>
              <w:jc w:val="center"/>
              <w:rPr>
                <w:rFonts w:eastAsia="Times New Roman" w:cs="Times New Roman"/>
                <w:bCs/>
                <w:noProof/>
                <w:szCs w:val="18"/>
              </w:rPr>
            </w:pPr>
            <w:r>
              <w:rPr>
                <w:noProof/>
              </w:rPr>
              <w:t xml:space="preserve">Calendar orientativ pentru finalizare </w:t>
            </w:r>
          </w:p>
        </w:tc>
        <w:tc>
          <w:tcPr>
            <w:tcW w:w="3002" w:type="dxa"/>
            <w:vMerge w:val="restart"/>
            <w:shd w:val="clear" w:color="auto" w:fill="BDD7EE"/>
            <w:vAlign w:val="center"/>
            <w:hideMark/>
          </w:tcPr>
          <w:p w14:paraId="0A55F91B" w14:textId="77777777" w:rsidR="00C45D59" w:rsidRDefault="009B0962" w:rsidP="00097639">
            <w:pPr>
              <w:pStyle w:val="P68B1DB1-Normal10"/>
              <w:spacing w:after="0" w:line="240" w:lineRule="auto"/>
              <w:jc w:val="center"/>
              <w:rPr>
                <w:rFonts w:eastAsia="Times New Roman" w:cs="Times New Roman"/>
                <w:bCs/>
                <w:noProof/>
                <w:szCs w:val="18"/>
              </w:rPr>
            </w:pPr>
            <w:r>
              <w:rPr>
                <w:noProof/>
              </w:rPr>
              <w:br/>
            </w:r>
            <w:r>
              <w:rPr>
                <w:noProof/>
              </w:rPr>
              <w:br/>
              <w:t>Descrierea fiecărui jalon și a fiecărei ținte</w:t>
            </w:r>
          </w:p>
          <w:p w14:paraId="1F4224C7" w14:textId="77777777" w:rsidR="00C45D59" w:rsidRDefault="00C45D59" w:rsidP="00097639">
            <w:pPr>
              <w:rPr>
                <w:rFonts w:ascii="Times New Roman" w:hAnsi="Times New Roman"/>
                <w:noProof/>
                <w:sz w:val="18"/>
              </w:rPr>
            </w:pPr>
          </w:p>
        </w:tc>
      </w:tr>
      <w:tr w:rsidR="00C45D59" w14:paraId="7997F04F" w14:textId="77777777" w:rsidTr="00097639">
        <w:trPr>
          <w:trHeight w:val="320"/>
          <w:tblHeader/>
        </w:trPr>
        <w:tc>
          <w:tcPr>
            <w:tcW w:w="666" w:type="dxa"/>
            <w:vMerge/>
            <w:vAlign w:val="center"/>
            <w:hideMark/>
          </w:tcPr>
          <w:p w14:paraId="05F0DFD4" w14:textId="77777777" w:rsidR="00C45D59" w:rsidRDefault="00C45D59" w:rsidP="00097639">
            <w:pPr>
              <w:spacing w:after="0" w:line="240" w:lineRule="auto"/>
              <w:rPr>
                <w:rFonts w:ascii="Times New Roman" w:eastAsia="Times New Roman" w:hAnsi="Times New Roman" w:cs="Times New Roman"/>
                <w:b/>
                <w:bCs/>
                <w:noProof/>
                <w:sz w:val="18"/>
                <w:szCs w:val="18"/>
              </w:rPr>
            </w:pPr>
          </w:p>
        </w:tc>
        <w:tc>
          <w:tcPr>
            <w:tcW w:w="2557" w:type="dxa"/>
            <w:vMerge/>
            <w:vAlign w:val="center"/>
            <w:hideMark/>
          </w:tcPr>
          <w:p w14:paraId="04C76F0F" w14:textId="77777777" w:rsidR="00C45D59" w:rsidRDefault="00C45D59" w:rsidP="00097639">
            <w:pPr>
              <w:spacing w:after="0" w:line="240" w:lineRule="auto"/>
              <w:rPr>
                <w:rFonts w:ascii="Times New Roman" w:eastAsia="Times New Roman" w:hAnsi="Times New Roman" w:cs="Times New Roman"/>
                <w:b/>
                <w:bCs/>
                <w:noProof/>
                <w:sz w:val="18"/>
                <w:szCs w:val="18"/>
              </w:rPr>
            </w:pPr>
          </w:p>
        </w:tc>
        <w:tc>
          <w:tcPr>
            <w:tcW w:w="1172" w:type="dxa"/>
            <w:vMerge/>
            <w:vAlign w:val="center"/>
            <w:hideMark/>
          </w:tcPr>
          <w:p w14:paraId="71FC37E9" w14:textId="77777777" w:rsidR="00C45D59" w:rsidRDefault="00C45D59" w:rsidP="00097639">
            <w:pPr>
              <w:spacing w:after="0" w:line="240" w:lineRule="auto"/>
              <w:rPr>
                <w:rFonts w:ascii="Times New Roman" w:eastAsia="Times New Roman" w:hAnsi="Times New Roman" w:cs="Times New Roman"/>
                <w:b/>
                <w:bCs/>
                <w:noProof/>
                <w:sz w:val="18"/>
                <w:szCs w:val="18"/>
              </w:rPr>
            </w:pPr>
          </w:p>
        </w:tc>
        <w:tc>
          <w:tcPr>
            <w:tcW w:w="2047" w:type="dxa"/>
            <w:vMerge/>
            <w:vAlign w:val="center"/>
            <w:hideMark/>
          </w:tcPr>
          <w:p w14:paraId="73F9DEF3" w14:textId="77777777" w:rsidR="00C45D59" w:rsidRDefault="00C45D59" w:rsidP="00097639">
            <w:pPr>
              <w:spacing w:after="0" w:line="240" w:lineRule="auto"/>
              <w:rPr>
                <w:rFonts w:ascii="Times New Roman" w:eastAsia="Times New Roman" w:hAnsi="Times New Roman" w:cs="Times New Roman"/>
                <w:b/>
                <w:bCs/>
                <w:noProof/>
                <w:sz w:val="18"/>
                <w:szCs w:val="18"/>
              </w:rPr>
            </w:pPr>
          </w:p>
        </w:tc>
        <w:tc>
          <w:tcPr>
            <w:tcW w:w="2222" w:type="dxa"/>
            <w:vMerge/>
            <w:vAlign w:val="center"/>
            <w:hideMark/>
          </w:tcPr>
          <w:p w14:paraId="53EB137A" w14:textId="77777777" w:rsidR="00C45D59" w:rsidRDefault="00C45D59" w:rsidP="00097639">
            <w:pPr>
              <w:spacing w:after="0" w:line="240" w:lineRule="auto"/>
              <w:rPr>
                <w:rFonts w:ascii="Times New Roman" w:eastAsia="Times New Roman" w:hAnsi="Times New Roman" w:cs="Times New Roman"/>
                <w:b/>
                <w:bCs/>
                <w:noProof/>
                <w:sz w:val="18"/>
                <w:szCs w:val="18"/>
              </w:rPr>
            </w:pPr>
          </w:p>
        </w:tc>
        <w:tc>
          <w:tcPr>
            <w:tcW w:w="1154" w:type="dxa"/>
            <w:shd w:val="clear" w:color="auto" w:fill="BDD7EE"/>
            <w:vAlign w:val="center"/>
            <w:hideMark/>
          </w:tcPr>
          <w:p w14:paraId="7C570B41" w14:textId="77777777" w:rsidR="00C45D59" w:rsidRDefault="009B0962" w:rsidP="00097639">
            <w:pPr>
              <w:pStyle w:val="P68B1DB1-Normal10"/>
              <w:spacing w:after="0" w:line="240" w:lineRule="auto"/>
              <w:jc w:val="center"/>
              <w:rPr>
                <w:rFonts w:eastAsia="Times New Roman" w:cs="Times New Roman"/>
                <w:bCs/>
                <w:noProof/>
                <w:szCs w:val="18"/>
              </w:rPr>
            </w:pPr>
            <w:r>
              <w:rPr>
                <w:noProof/>
              </w:rPr>
              <w:t>Unitatea de măsură</w:t>
            </w:r>
          </w:p>
        </w:tc>
        <w:tc>
          <w:tcPr>
            <w:tcW w:w="857" w:type="dxa"/>
            <w:shd w:val="clear" w:color="auto" w:fill="BDD7EE"/>
            <w:vAlign w:val="center"/>
            <w:hideMark/>
          </w:tcPr>
          <w:p w14:paraId="3257B7F2" w14:textId="77777777" w:rsidR="00C45D59" w:rsidRDefault="009B0962" w:rsidP="00097639">
            <w:pPr>
              <w:pStyle w:val="P68B1DB1-Normal10"/>
              <w:spacing w:after="0" w:line="240" w:lineRule="auto"/>
              <w:jc w:val="center"/>
              <w:rPr>
                <w:rFonts w:eastAsia="Times New Roman" w:cs="Times New Roman"/>
                <w:bCs/>
                <w:noProof/>
                <w:szCs w:val="18"/>
              </w:rPr>
            </w:pPr>
            <w:r>
              <w:rPr>
                <w:noProof/>
              </w:rPr>
              <w:t xml:space="preserve">Situația de referință </w:t>
            </w:r>
          </w:p>
        </w:tc>
        <w:tc>
          <w:tcPr>
            <w:tcW w:w="771" w:type="dxa"/>
            <w:shd w:val="clear" w:color="auto" w:fill="BDD7EE"/>
            <w:vAlign w:val="center"/>
            <w:hideMark/>
          </w:tcPr>
          <w:p w14:paraId="6A389827" w14:textId="77777777" w:rsidR="00C45D59" w:rsidRDefault="009B0962" w:rsidP="00097639">
            <w:pPr>
              <w:pStyle w:val="P68B1DB1-Normal10"/>
              <w:spacing w:after="0" w:line="240" w:lineRule="auto"/>
              <w:jc w:val="center"/>
              <w:rPr>
                <w:rFonts w:eastAsia="Times New Roman" w:cs="Times New Roman"/>
                <w:bCs/>
                <w:noProof/>
                <w:szCs w:val="18"/>
              </w:rPr>
            </w:pPr>
            <w:r>
              <w:rPr>
                <w:noProof/>
              </w:rPr>
              <w:t xml:space="preserve">Obiectiv </w:t>
            </w:r>
          </w:p>
        </w:tc>
        <w:tc>
          <w:tcPr>
            <w:tcW w:w="851" w:type="dxa"/>
            <w:shd w:val="clear" w:color="auto" w:fill="BDD7EE"/>
            <w:vAlign w:val="center"/>
            <w:hideMark/>
          </w:tcPr>
          <w:p w14:paraId="1831F6D3" w14:textId="77777777" w:rsidR="00C45D59" w:rsidRDefault="009B0962" w:rsidP="00097639">
            <w:pPr>
              <w:pStyle w:val="P68B1DB1-Normal10"/>
              <w:spacing w:after="0" w:line="240" w:lineRule="auto"/>
              <w:jc w:val="center"/>
              <w:rPr>
                <w:rFonts w:eastAsia="Times New Roman" w:cs="Times New Roman"/>
                <w:bCs/>
                <w:noProof/>
                <w:szCs w:val="18"/>
              </w:rPr>
            </w:pPr>
            <w:r>
              <w:rPr>
                <w:noProof/>
              </w:rPr>
              <w:t>Trimestru</w:t>
            </w:r>
          </w:p>
        </w:tc>
        <w:tc>
          <w:tcPr>
            <w:tcW w:w="720" w:type="dxa"/>
            <w:shd w:val="clear" w:color="auto" w:fill="BDD7EE"/>
            <w:vAlign w:val="center"/>
            <w:hideMark/>
          </w:tcPr>
          <w:p w14:paraId="4FD6AA48" w14:textId="77777777" w:rsidR="00C45D59" w:rsidRDefault="009B0962" w:rsidP="00097639">
            <w:pPr>
              <w:pStyle w:val="P68B1DB1-Normal10"/>
              <w:spacing w:after="0" w:line="240" w:lineRule="auto"/>
              <w:jc w:val="center"/>
              <w:rPr>
                <w:rFonts w:eastAsia="Times New Roman" w:cs="Times New Roman"/>
                <w:bCs/>
                <w:noProof/>
                <w:szCs w:val="18"/>
              </w:rPr>
            </w:pPr>
            <w:r>
              <w:rPr>
                <w:noProof/>
              </w:rPr>
              <w:t>Anul</w:t>
            </w:r>
          </w:p>
        </w:tc>
        <w:tc>
          <w:tcPr>
            <w:tcW w:w="3002" w:type="dxa"/>
            <w:vMerge/>
            <w:vAlign w:val="center"/>
            <w:hideMark/>
          </w:tcPr>
          <w:p w14:paraId="794F7DBF" w14:textId="77777777" w:rsidR="00C45D59" w:rsidRDefault="00C45D59" w:rsidP="00097639">
            <w:pPr>
              <w:spacing w:after="0" w:line="240" w:lineRule="auto"/>
              <w:rPr>
                <w:rFonts w:ascii="Times New Roman" w:eastAsia="Times New Roman" w:hAnsi="Times New Roman" w:cs="Times New Roman"/>
                <w:b/>
                <w:bCs/>
                <w:noProof/>
                <w:sz w:val="18"/>
                <w:szCs w:val="18"/>
              </w:rPr>
            </w:pPr>
          </w:p>
        </w:tc>
      </w:tr>
      <w:tr w:rsidR="00C45D59" w14:paraId="0E70C692" w14:textId="77777777" w:rsidTr="00097639">
        <w:trPr>
          <w:trHeight w:val="313"/>
        </w:trPr>
        <w:tc>
          <w:tcPr>
            <w:tcW w:w="666" w:type="dxa"/>
            <w:shd w:val="clear" w:color="auto" w:fill="C6EFCE"/>
            <w:noWrap/>
          </w:tcPr>
          <w:p w14:paraId="54EB0481" w14:textId="77777777" w:rsidR="00C45D59" w:rsidRDefault="009B0962" w:rsidP="00097639">
            <w:pPr>
              <w:pStyle w:val="P68B1DB1-Normal12"/>
              <w:spacing w:after="0" w:line="240" w:lineRule="auto"/>
              <w:rPr>
                <w:rFonts w:eastAsia="Times New Roman"/>
                <w:noProof/>
              </w:rPr>
            </w:pPr>
            <w:r>
              <w:rPr>
                <w:noProof/>
              </w:rPr>
              <w:t>147</w:t>
            </w:r>
          </w:p>
        </w:tc>
        <w:tc>
          <w:tcPr>
            <w:tcW w:w="2557" w:type="dxa"/>
            <w:shd w:val="clear" w:color="auto" w:fill="C6EFCE"/>
            <w:noWrap/>
          </w:tcPr>
          <w:p w14:paraId="5718A1CD" w14:textId="77777777" w:rsidR="00C45D59" w:rsidRDefault="009B0962" w:rsidP="00097639">
            <w:pPr>
              <w:pStyle w:val="P68B1DB1-Normal12"/>
              <w:spacing w:after="0" w:line="240" w:lineRule="auto"/>
              <w:rPr>
                <w:rFonts w:eastAsia="Times New Roman"/>
                <w:noProof/>
              </w:rPr>
            </w:pPr>
            <w:r>
              <w:rPr>
                <w:noProof/>
              </w:rPr>
              <w:t>9-3.2. Educație, educație și formare profesională și competențe – 16289_Strategie pentru excelență în universități &amp; inovare</w:t>
            </w:r>
          </w:p>
        </w:tc>
        <w:tc>
          <w:tcPr>
            <w:tcW w:w="1172" w:type="dxa"/>
            <w:shd w:val="clear" w:color="auto" w:fill="C6EFCE"/>
            <w:noWrap/>
          </w:tcPr>
          <w:p w14:paraId="6704269D" w14:textId="77777777" w:rsidR="00C45D59" w:rsidRDefault="009B0962" w:rsidP="00097639">
            <w:pPr>
              <w:pStyle w:val="P68B1DB1-Normal12"/>
              <w:spacing w:after="0" w:line="240" w:lineRule="auto"/>
              <w:rPr>
                <w:rFonts w:eastAsia="Times New Roman"/>
                <w:noProof/>
              </w:rPr>
            </w:pPr>
            <w:r>
              <w:rPr>
                <w:noProof/>
              </w:rPr>
              <w:t>Etapă</w:t>
            </w:r>
          </w:p>
        </w:tc>
        <w:tc>
          <w:tcPr>
            <w:tcW w:w="2047" w:type="dxa"/>
            <w:shd w:val="clear" w:color="auto" w:fill="C6EFCE"/>
            <w:noWrap/>
          </w:tcPr>
          <w:p w14:paraId="254A3984" w14:textId="77777777" w:rsidR="00C45D59" w:rsidRDefault="009B0962" w:rsidP="00097639">
            <w:pPr>
              <w:pStyle w:val="P68B1DB1-Normal12"/>
              <w:spacing w:after="0" w:line="240" w:lineRule="auto"/>
              <w:rPr>
                <w:rFonts w:eastAsia="Times New Roman"/>
                <w:noProof/>
              </w:rPr>
            </w:pPr>
            <w:r>
              <w:rPr>
                <w:noProof/>
              </w:rPr>
              <w:t>Decizii de aprobare a universităților de excelență și a clusterelor de excelență în cercetare</w:t>
            </w:r>
          </w:p>
        </w:tc>
        <w:tc>
          <w:tcPr>
            <w:tcW w:w="2222" w:type="dxa"/>
            <w:shd w:val="clear" w:color="auto" w:fill="C6EFCE"/>
            <w:noWrap/>
          </w:tcPr>
          <w:p w14:paraId="2B8D46AF" w14:textId="77777777" w:rsidR="00C45D59" w:rsidRDefault="009B0962" w:rsidP="00097639">
            <w:pPr>
              <w:pStyle w:val="P68B1DB1-Normal16"/>
              <w:spacing w:after="0" w:line="240" w:lineRule="auto"/>
              <w:rPr>
                <w:rFonts w:eastAsia="Times New Roman"/>
                <w:noProof/>
                <w:color w:val="006100"/>
              </w:rPr>
            </w:pPr>
            <w:r>
              <w:rPr>
                <w:noProof/>
                <w:color w:val="006100"/>
              </w:rPr>
              <w:t>Emiterea deciziilor de aprobare de către</w:t>
            </w:r>
            <w:r>
              <w:rPr>
                <w:noProof/>
              </w:rPr>
              <w:t xml:space="preserve"> </w:t>
            </w:r>
            <w:r>
              <w:rPr>
                <w:noProof/>
                <w:color w:val="006100"/>
              </w:rPr>
              <w:t>Ministerul Educației, Cultelor și Sportului</w:t>
            </w:r>
          </w:p>
        </w:tc>
        <w:tc>
          <w:tcPr>
            <w:tcW w:w="1154" w:type="dxa"/>
            <w:shd w:val="clear" w:color="auto" w:fill="C6EFCE"/>
            <w:noWrap/>
          </w:tcPr>
          <w:p w14:paraId="65DD7739" w14:textId="77777777" w:rsidR="00C45D59" w:rsidRDefault="00C45D59" w:rsidP="00097639">
            <w:pPr>
              <w:spacing w:after="0" w:line="240" w:lineRule="auto"/>
              <w:rPr>
                <w:rFonts w:ascii="Times New Roman" w:eastAsia="Times New Roman" w:hAnsi="Times New Roman" w:cs="Times New Roman"/>
                <w:noProof/>
                <w:color w:val="006100"/>
                <w:sz w:val="18"/>
                <w:szCs w:val="18"/>
              </w:rPr>
            </w:pPr>
          </w:p>
        </w:tc>
        <w:tc>
          <w:tcPr>
            <w:tcW w:w="857" w:type="dxa"/>
            <w:shd w:val="clear" w:color="auto" w:fill="C6EFCE"/>
            <w:noWrap/>
          </w:tcPr>
          <w:p w14:paraId="7C33A2C4" w14:textId="77777777" w:rsidR="00C45D59" w:rsidRDefault="00C45D59" w:rsidP="00097639">
            <w:pPr>
              <w:spacing w:after="0" w:line="240" w:lineRule="auto"/>
              <w:rPr>
                <w:rFonts w:ascii="Times New Roman" w:eastAsia="Times New Roman" w:hAnsi="Times New Roman" w:cs="Times New Roman"/>
                <w:noProof/>
                <w:color w:val="006100"/>
                <w:sz w:val="18"/>
                <w:szCs w:val="18"/>
              </w:rPr>
            </w:pPr>
          </w:p>
        </w:tc>
        <w:tc>
          <w:tcPr>
            <w:tcW w:w="771" w:type="dxa"/>
            <w:shd w:val="clear" w:color="auto" w:fill="C6EFCE"/>
            <w:noWrap/>
          </w:tcPr>
          <w:p w14:paraId="63F829F8" w14:textId="77777777" w:rsidR="00C45D59" w:rsidRDefault="00C45D59" w:rsidP="00097639">
            <w:pPr>
              <w:spacing w:after="0" w:line="240" w:lineRule="auto"/>
              <w:rPr>
                <w:rFonts w:ascii="Times New Roman" w:eastAsia="Times New Roman" w:hAnsi="Times New Roman" w:cs="Times New Roman"/>
                <w:noProof/>
                <w:color w:val="006100"/>
                <w:sz w:val="18"/>
                <w:szCs w:val="18"/>
              </w:rPr>
            </w:pPr>
          </w:p>
        </w:tc>
        <w:tc>
          <w:tcPr>
            <w:tcW w:w="851" w:type="dxa"/>
            <w:shd w:val="clear" w:color="auto" w:fill="C6EFCE"/>
            <w:noWrap/>
          </w:tcPr>
          <w:p w14:paraId="426EF72B" w14:textId="77777777" w:rsidR="00C45D59" w:rsidRDefault="009B0962" w:rsidP="00097639">
            <w:pPr>
              <w:pStyle w:val="P68B1DB1-Normal12"/>
              <w:spacing w:after="0" w:line="240" w:lineRule="auto"/>
              <w:rPr>
                <w:rFonts w:eastAsia="Times New Roman"/>
                <w:noProof/>
              </w:rPr>
            </w:pPr>
            <w:r>
              <w:rPr>
                <w:noProof/>
              </w:rPr>
              <w:t>Î4</w:t>
            </w:r>
          </w:p>
        </w:tc>
        <w:tc>
          <w:tcPr>
            <w:tcW w:w="720" w:type="dxa"/>
            <w:shd w:val="clear" w:color="auto" w:fill="C6EFCE"/>
            <w:noWrap/>
          </w:tcPr>
          <w:p w14:paraId="360D11ED" w14:textId="77777777" w:rsidR="00C45D59" w:rsidRDefault="009B0962" w:rsidP="00097639">
            <w:pPr>
              <w:pStyle w:val="P68B1DB1-Normal12"/>
              <w:spacing w:after="0" w:line="240" w:lineRule="auto"/>
              <w:rPr>
                <w:rFonts w:eastAsia="Times New Roman"/>
                <w:noProof/>
              </w:rPr>
            </w:pPr>
            <w:r>
              <w:rPr>
                <w:noProof/>
              </w:rPr>
              <w:t>2023</w:t>
            </w:r>
          </w:p>
        </w:tc>
        <w:tc>
          <w:tcPr>
            <w:tcW w:w="3002" w:type="dxa"/>
            <w:shd w:val="clear" w:color="auto" w:fill="C6EFCE"/>
            <w:noWrap/>
          </w:tcPr>
          <w:p w14:paraId="2E757AC1" w14:textId="77777777" w:rsidR="00C45D59" w:rsidRDefault="009B0962" w:rsidP="00097639">
            <w:pPr>
              <w:pStyle w:val="P68B1DB1-Normal12"/>
              <w:spacing w:after="0" w:line="240" w:lineRule="auto"/>
              <w:rPr>
                <w:rFonts w:eastAsia="Times New Roman"/>
                <w:noProof/>
              </w:rPr>
            </w:pPr>
            <w:r>
              <w:rPr>
                <w:noProof/>
              </w:rPr>
              <w:t>Emiterea de decizii de aprobare de către Ministerul Educației, Cultelor și Sportului pentru universitățile selectate în vederea modernizării și îmbunătățirii infrastructurilor lor de cercetare și educaționale (de exemplu, echipamente sau laboratoare de cercetare), a extinderii în noi domenii de cercetare și a îmbunătățirii formării oferite.</w:t>
            </w:r>
          </w:p>
          <w:p w14:paraId="6BF306CB" w14:textId="77777777" w:rsidR="00C45D59" w:rsidRDefault="00C45D59" w:rsidP="00097639">
            <w:pPr>
              <w:spacing w:after="0" w:line="240" w:lineRule="auto"/>
              <w:rPr>
                <w:rFonts w:ascii="Times New Roman" w:eastAsia="Times New Roman" w:hAnsi="Times New Roman" w:cs="Times New Roman"/>
                <w:noProof/>
                <w:color w:val="006100"/>
                <w:sz w:val="18"/>
                <w:szCs w:val="18"/>
              </w:rPr>
            </w:pPr>
          </w:p>
          <w:p w14:paraId="65587AED" w14:textId="77777777" w:rsidR="00C45D59" w:rsidRDefault="009B0962" w:rsidP="00097639">
            <w:pPr>
              <w:pStyle w:val="P68B1DB1-Normal12"/>
              <w:spacing w:after="0" w:line="240" w:lineRule="auto"/>
              <w:rPr>
                <w:rFonts w:eastAsia="Times New Roman"/>
                <w:noProof/>
              </w:rPr>
            </w:pPr>
            <w:r>
              <w:rPr>
                <w:noProof/>
              </w:rPr>
              <w:t>Emiterea deciziei de aprobare de către Ministerul Educației, Cultelor și Sportului pentru 70 proiecte de cercetare în colaborare între universități și sectorul privat în cadrul inițiativei privind clusterele de excelență în cercetare.</w:t>
            </w:r>
          </w:p>
        </w:tc>
      </w:tr>
      <w:tr w:rsidR="00C45D59" w14:paraId="62F20A1B" w14:textId="77777777" w:rsidTr="00097639">
        <w:trPr>
          <w:trHeight w:val="313"/>
        </w:trPr>
        <w:tc>
          <w:tcPr>
            <w:tcW w:w="666" w:type="dxa"/>
            <w:shd w:val="clear" w:color="auto" w:fill="C6EFCE"/>
            <w:noWrap/>
          </w:tcPr>
          <w:p w14:paraId="177E74CE" w14:textId="77777777" w:rsidR="00C45D59" w:rsidRDefault="009B0962" w:rsidP="00097639">
            <w:pPr>
              <w:pStyle w:val="P68B1DB1-Normal12"/>
              <w:spacing w:after="0" w:line="240" w:lineRule="auto"/>
              <w:rPr>
                <w:rFonts w:eastAsia="Times New Roman"/>
                <w:noProof/>
              </w:rPr>
            </w:pPr>
            <w:r>
              <w:rPr>
                <w:noProof/>
              </w:rPr>
              <w:t>148</w:t>
            </w:r>
          </w:p>
        </w:tc>
        <w:tc>
          <w:tcPr>
            <w:tcW w:w="2557" w:type="dxa"/>
            <w:shd w:val="clear" w:color="auto" w:fill="C6EFCE"/>
            <w:noWrap/>
          </w:tcPr>
          <w:p w14:paraId="6953CB4A" w14:textId="77777777" w:rsidR="00C45D59" w:rsidRDefault="009B0962" w:rsidP="00097639">
            <w:pPr>
              <w:pStyle w:val="P68B1DB1-Normal12"/>
              <w:spacing w:after="0" w:line="240" w:lineRule="auto"/>
              <w:rPr>
                <w:rFonts w:eastAsia="Times New Roman"/>
                <w:noProof/>
              </w:rPr>
            </w:pPr>
            <w:r>
              <w:rPr>
                <w:noProof/>
              </w:rPr>
              <w:t>9-3.2. Educație, educație și formare profesională și competențe – 16676_Transformarea digitală a educației</w:t>
            </w:r>
          </w:p>
        </w:tc>
        <w:tc>
          <w:tcPr>
            <w:tcW w:w="1172" w:type="dxa"/>
            <w:shd w:val="clear" w:color="auto" w:fill="C6EFCE"/>
            <w:noWrap/>
          </w:tcPr>
          <w:p w14:paraId="4EAAC886" w14:textId="77777777" w:rsidR="00C45D59" w:rsidRDefault="009B0962" w:rsidP="00097639">
            <w:pPr>
              <w:pStyle w:val="P68B1DB1-Normal12"/>
              <w:spacing w:after="0" w:line="240" w:lineRule="auto"/>
              <w:rPr>
                <w:rFonts w:eastAsia="Times New Roman"/>
                <w:noProof/>
              </w:rPr>
            </w:pPr>
            <w:r>
              <w:rPr>
                <w:noProof/>
              </w:rPr>
              <w:t>Țintă</w:t>
            </w:r>
          </w:p>
        </w:tc>
        <w:tc>
          <w:tcPr>
            <w:tcW w:w="2047" w:type="dxa"/>
            <w:shd w:val="clear" w:color="auto" w:fill="C6EFCE"/>
            <w:noWrap/>
          </w:tcPr>
          <w:p w14:paraId="08DB9313" w14:textId="77777777" w:rsidR="00C45D59" w:rsidRDefault="009B0962" w:rsidP="00097639">
            <w:pPr>
              <w:pStyle w:val="P68B1DB1-Normal12"/>
              <w:spacing w:after="0" w:line="240" w:lineRule="auto"/>
              <w:rPr>
                <w:rFonts w:eastAsia="Times New Roman"/>
                <w:noProof/>
              </w:rPr>
            </w:pPr>
            <w:r>
              <w:rPr>
                <w:noProof/>
              </w:rPr>
              <w:t>Finalizarea instalării sistemelor interactive</w:t>
            </w:r>
          </w:p>
        </w:tc>
        <w:tc>
          <w:tcPr>
            <w:tcW w:w="2222" w:type="dxa"/>
            <w:shd w:val="clear" w:color="auto" w:fill="C6EFCE"/>
            <w:noWrap/>
          </w:tcPr>
          <w:p w14:paraId="6AA603EF" w14:textId="77777777" w:rsidR="00C45D59" w:rsidRDefault="00C45D59" w:rsidP="00097639">
            <w:pPr>
              <w:spacing w:after="0" w:line="240" w:lineRule="auto"/>
              <w:rPr>
                <w:rFonts w:ascii="Times New Roman" w:eastAsia="Times New Roman" w:hAnsi="Times New Roman" w:cs="Times New Roman"/>
                <w:noProof/>
                <w:color w:val="006100"/>
                <w:sz w:val="18"/>
                <w:szCs w:val="18"/>
              </w:rPr>
            </w:pPr>
          </w:p>
        </w:tc>
        <w:tc>
          <w:tcPr>
            <w:tcW w:w="1154" w:type="dxa"/>
            <w:shd w:val="clear" w:color="auto" w:fill="C6EFCE"/>
            <w:noWrap/>
          </w:tcPr>
          <w:p w14:paraId="7DF1E553" w14:textId="77777777" w:rsidR="00C45D59" w:rsidRDefault="009B0962" w:rsidP="00097639">
            <w:pPr>
              <w:pStyle w:val="P68B1DB1-Normal12"/>
              <w:spacing w:after="0" w:line="240" w:lineRule="auto"/>
              <w:rPr>
                <w:rFonts w:eastAsia="Times New Roman"/>
                <w:noProof/>
              </w:rPr>
            </w:pPr>
            <w:r>
              <w:rPr>
                <w:noProof/>
              </w:rPr>
              <w:t>Numărul de sisteme de învățare interactive instalate</w:t>
            </w:r>
          </w:p>
        </w:tc>
        <w:tc>
          <w:tcPr>
            <w:tcW w:w="857" w:type="dxa"/>
            <w:shd w:val="clear" w:color="auto" w:fill="C6EFCE"/>
            <w:noWrap/>
          </w:tcPr>
          <w:p w14:paraId="43F7AADF" w14:textId="77777777" w:rsidR="00C45D59" w:rsidRDefault="009B0962" w:rsidP="00097639">
            <w:pPr>
              <w:pStyle w:val="P68B1DB1-Normal12"/>
              <w:spacing w:after="0" w:line="240" w:lineRule="auto"/>
              <w:rPr>
                <w:rFonts w:eastAsia="Times New Roman"/>
                <w:noProof/>
              </w:rPr>
            </w:pPr>
            <w:r>
              <w:rPr>
                <w:noProof/>
              </w:rPr>
              <w:t>0</w:t>
            </w:r>
          </w:p>
        </w:tc>
        <w:tc>
          <w:tcPr>
            <w:tcW w:w="771" w:type="dxa"/>
            <w:shd w:val="clear" w:color="auto" w:fill="C6EFCE"/>
            <w:noWrap/>
          </w:tcPr>
          <w:p w14:paraId="0F630176" w14:textId="77777777" w:rsidR="00C45D59" w:rsidRDefault="009B0962" w:rsidP="00097639">
            <w:pPr>
              <w:pStyle w:val="P68B1DB1-Normal12"/>
              <w:spacing w:after="0" w:line="240" w:lineRule="auto"/>
              <w:rPr>
                <w:rFonts w:eastAsia="Times New Roman"/>
                <w:noProof/>
              </w:rPr>
            </w:pPr>
            <w:r>
              <w:rPr>
                <w:noProof/>
              </w:rPr>
              <w:t>36 000</w:t>
            </w:r>
          </w:p>
        </w:tc>
        <w:tc>
          <w:tcPr>
            <w:tcW w:w="851" w:type="dxa"/>
            <w:shd w:val="clear" w:color="auto" w:fill="C6EFCE"/>
            <w:noWrap/>
          </w:tcPr>
          <w:p w14:paraId="643BB42D" w14:textId="77777777" w:rsidR="00C45D59" w:rsidRDefault="009B0962" w:rsidP="00097639">
            <w:pPr>
              <w:pStyle w:val="P68B1DB1-Normal12"/>
              <w:spacing w:after="0" w:line="240" w:lineRule="auto"/>
              <w:rPr>
                <w:rFonts w:eastAsia="Times New Roman"/>
                <w:noProof/>
              </w:rPr>
            </w:pPr>
            <w:r>
              <w:rPr>
                <w:noProof/>
              </w:rPr>
              <w:t>Î2</w:t>
            </w:r>
          </w:p>
        </w:tc>
        <w:tc>
          <w:tcPr>
            <w:tcW w:w="720" w:type="dxa"/>
            <w:shd w:val="clear" w:color="auto" w:fill="C6EFCE"/>
            <w:noWrap/>
          </w:tcPr>
          <w:p w14:paraId="617C17E9" w14:textId="77777777" w:rsidR="00C45D59" w:rsidRDefault="009B0962" w:rsidP="00097639">
            <w:pPr>
              <w:pStyle w:val="P68B1DB1-Normal12"/>
              <w:spacing w:after="0" w:line="240" w:lineRule="auto"/>
              <w:rPr>
                <w:rFonts w:eastAsia="Times New Roman"/>
                <w:noProof/>
              </w:rPr>
            </w:pPr>
            <w:r>
              <w:rPr>
                <w:noProof/>
              </w:rPr>
              <w:t>2024</w:t>
            </w:r>
          </w:p>
        </w:tc>
        <w:tc>
          <w:tcPr>
            <w:tcW w:w="3002" w:type="dxa"/>
            <w:shd w:val="clear" w:color="auto" w:fill="C6EFCE"/>
            <w:noWrap/>
          </w:tcPr>
          <w:p w14:paraId="70AE1F42" w14:textId="77777777" w:rsidR="00C45D59" w:rsidRDefault="009B0962" w:rsidP="00097639">
            <w:pPr>
              <w:pStyle w:val="P68B1DB1-Normal12"/>
              <w:spacing w:after="0" w:line="240" w:lineRule="auto"/>
              <w:rPr>
                <w:rFonts w:eastAsia="Times New Roman"/>
                <w:noProof/>
              </w:rPr>
            </w:pPr>
            <w:r>
              <w:rPr>
                <w:noProof/>
              </w:rPr>
              <w:t>Instalarea a cel puțin 36 000 sisteme interactive de învățare pentru sălile de clasă ale școlilor primare și secundare</w:t>
            </w:r>
          </w:p>
        </w:tc>
      </w:tr>
      <w:tr w:rsidR="00C45D59" w14:paraId="70FE6C76" w14:textId="77777777" w:rsidTr="00097639">
        <w:trPr>
          <w:trHeight w:val="313"/>
        </w:trPr>
        <w:tc>
          <w:tcPr>
            <w:tcW w:w="666" w:type="dxa"/>
            <w:shd w:val="clear" w:color="auto" w:fill="C6EFCE"/>
            <w:noWrap/>
          </w:tcPr>
          <w:p w14:paraId="7A7A93A2" w14:textId="77777777" w:rsidR="00C45D59" w:rsidRDefault="009B0962" w:rsidP="00097639">
            <w:pPr>
              <w:pStyle w:val="P68B1DB1-Normal12"/>
              <w:spacing w:after="0" w:line="240" w:lineRule="auto"/>
              <w:rPr>
                <w:rFonts w:eastAsia="Times New Roman"/>
                <w:noProof/>
              </w:rPr>
            </w:pPr>
            <w:r>
              <w:rPr>
                <w:noProof/>
              </w:rPr>
              <w:t>148a</w:t>
            </w:r>
          </w:p>
        </w:tc>
        <w:tc>
          <w:tcPr>
            <w:tcW w:w="2557" w:type="dxa"/>
            <w:shd w:val="clear" w:color="auto" w:fill="C6EFCE"/>
            <w:noWrap/>
          </w:tcPr>
          <w:p w14:paraId="4B7EA849" w14:textId="77777777" w:rsidR="00C45D59" w:rsidRDefault="009B0962" w:rsidP="00097639">
            <w:pPr>
              <w:pStyle w:val="P68B1DB1-Normal12"/>
              <w:spacing w:after="0" w:line="240" w:lineRule="auto"/>
              <w:rPr>
                <w:rFonts w:eastAsia="Times New Roman"/>
                <w:noProof/>
              </w:rPr>
            </w:pPr>
            <w:r>
              <w:rPr>
                <w:noProof/>
              </w:rPr>
              <w:t>9-3.2. Educație, educație și formare profesională și competențe – 16676_Transformarea digitală a educației</w:t>
            </w:r>
          </w:p>
        </w:tc>
        <w:tc>
          <w:tcPr>
            <w:tcW w:w="1172" w:type="dxa"/>
            <w:shd w:val="clear" w:color="auto" w:fill="C6EFCE"/>
            <w:noWrap/>
          </w:tcPr>
          <w:p w14:paraId="550ACADD" w14:textId="77777777" w:rsidR="00C45D59" w:rsidRDefault="009B0962" w:rsidP="00097639">
            <w:pPr>
              <w:pStyle w:val="P68B1DB1-Normal12"/>
              <w:spacing w:after="0" w:line="240" w:lineRule="auto"/>
              <w:rPr>
                <w:rFonts w:eastAsia="Times New Roman"/>
                <w:noProof/>
              </w:rPr>
            </w:pPr>
            <w:r>
              <w:rPr>
                <w:noProof/>
              </w:rPr>
              <w:t>Etapă</w:t>
            </w:r>
          </w:p>
        </w:tc>
        <w:tc>
          <w:tcPr>
            <w:tcW w:w="2047" w:type="dxa"/>
            <w:shd w:val="clear" w:color="auto" w:fill="C6EFCE"/>
            <w:noWrap/>
          </w:tcPr>
          <w:p w14:paraId="1A157207" w14:textId="77777777" w:rsidR="00C45D59" w:rsidRDefault="009B0962" w:rsidP="00097639">
            <w:pPr>
              <w:pStyle w:val="P68B1DB1-Normal12"/>
              <w:spacing w:after="0" w:line="240" w:lineRule="auto"/>
              <w:rPr>
                <w:rFonts w:eastAsia="Times New Roman"/>
                <w:noProof/>
              </w:rPr>
            </w:pPr>
            <w:r>
              <w:rPr>
                <w:noProof/>
              </w:rPr>
              <w:t>Strategie de actualizare a programelor de învățământ, de raționalizare a serviciilor și de monitorizare a rezultatelor transformării digitale a educației</w:t>
            </w:r>
          </w:p>
        </w:tc>
        <w:tc>
          <w:tcPr>
            <w:tcW w:w="2222" w:type="dxa"/>
            <w:shd w:val="clear" w:color="auto" w:fill="C6EFCE"/>
            <w:noWrap/>
          </w:tcPr>
          <w:p w14:paraId="43C4460B" w14:textId="77777777" w:rsidR="00C45D59" w:rsidRDefault="009B0962" w:rsidP="00097639">
            <w:pPr>
              <w:pStyle w:val="P68B1DB1-Normal12"/>
              <w:spacing w:after="0" w:line="240" w:lineRule="auto"/>
              <w:rPr>
                <w:rFonts w:eastAsia="Times New Roman"/>
                <w:noProof/>
              </w:rPr>
            </w:pPr>
            <w:r>
              <w:rPr>
                <w:noProof/>
              </w:rPr>
              <w:t>Publicarea strategiei de reformă pentru actualizarea programelor de învățământ, raționalizarea serviciilor și definirea metodologiei de monitorizare a rezultatelor transformării digitale a educației</w:t>
            </w:r>
          </w:p>
        </w:tc>
        <w:tc>
          <w:tcPr>
            <w:tcW w:w="1154" w:type="dxa"/>
            <w:shd w:val="clear" w:color="auto" w:fill="C6EFCE"/>
            <w:noWrap/>
          </w:tcPr>
          <w:p w14:paraId="5BBFE31E" w14:textId="77777777" w:rsidR="00C45D59" w:rsidRDefault="00C45D59" w:rsidP="00097639">
            <w:pPr>
              <w:spacing w:after="0" w:line="240" w:lineRule="auto"/>
              <w:rPr>
                <w:rFonts w:ascii="Times New Roman" w:eastAsia="Times New Roman" w:hAnsi="Times New Roman" w:cs="Times New Roman"/>
                <w:noProof/>
                <w:color w:val="006100"/>
                <w:sz w:val="18"/>
                <w:szCs w:val="18"/>
              </w:rPr>
            </w:pPr>
          </w:p>
        </w:tc>
        <w:tc>
          <w:tcPr>
            <w:tcW w:w="857" w:type="dxa"/>
            <w:shd w:val="clear" w:color="auto" w:fill="C6EFCE"/>
            <w:noWrap/>
          </w:tcPr>
          <w:p w14:paraId="6B78EEE8" w14:textId="77777777" w:rsidR="00C45D59" w:rsidRDefault="00C45D59" w:rsidP="00097639">
            <w:pPr>
              <w:spacing w:after="0" w:line="240" w:lineRule="auto"/>
              <w:rPr>
                <w:rFonts w:ascii="Times New Roman" w:eastAsia="Times New Roman" w:hAnsi="Times New Roman" w:cs="Times New Roman"/>
                <w:noProof/>
                <w:color w:val="006100"/>
                <w:sz w:val="18"/>
                <w:szCs w:val="18"/>
              </w:rPr>
            </w:pPr>
          </w:p>
        </w:tc>
        <w:tc>
          <w:tcPr>
            <w:tcW w:w="771" w:type="dxa"/>
            <w:shd w:val="clear" w:color="auto" w:fill="C6EFCE"/>
            <w:noWrap/>
          </w:tcPr>
          <w:p w14:paraId="19722189" w14:textId="77777777" w:rsidR="00C45D59" w:rsidRDefault="00C45D59" w:rsidP="00097639">
            <w:pPr>
              <w:spacing w:after="0" w:line="240" w:lineRule="auto"/>
              <w:rPr>
                <w:rFonts w:ascii="Times New Roman" w:eastAsia="Times New Roman" w:hAnsi="Times New Roman" w:cs="Times New Roman"/>
                <w:noProof/>
                <w:color w:val="006100"/>
                <w:sz w:val="18"/>
                <w:szCs w:val="18"/>
              </w:rPr>
            </w:pPr>
          </w:p>
        </w:tc>
        <w:tc>
          <w:tcPr>
            <w:tcW w:w="851" w:type="dxa"/>
            <w:shd w:val="clear" w:color="auto" w:fill="C6EFCE"/>
            <w:noWrap/>
          </w:tcPr>
          <w:p w14:paraId="4A7D43EF" w14:textId="77777777" w:rsidR="00C45D59" w:rsidRDefault="009B0962" w:rsidP="00097639">
            <w:pPr>
              <w:pStyle w:val="P68B1DB1-Normal12"/>
              <w:spacing w:after="0" w:line="240" w:lineRule="auto"/>
              <w:rPr>
                <w:rFonts w:eastAsia="Times New Roman"/>
                <w:noProof/>
              </w:rPr>
            </w:pPr>
            <w:r>
              <w:rPr>
                <w:noProof/>
              </w:rPr>
              <w:t>Î2</w:t>
            </w:r>
          </w:p>
        </w:tc>
        <w:tc>
          <w:tcPr>
            <w:tcW w:w="720" w:type="dxa"/>
            <w:shd w:val="clear" w:color="auto" w:fill="C6EFCE"/>
            <w:noWrap/>
          </w:tcPr>
          <w:p w14:paraId="42A40662" w14:textId="77777777" w:rsidR="00C45D59" w:rsidRDefault="009B0962" w:rsidP="00097639">
            <w:pPr>
              <w:pStyle w:val="P68B1DB1-Normal12"/>
              <w:spacing w:after="0" w:line="240" w:lineRule="auto"/>
              <w:rPr>
                <w:rFonts w:eastAsia="Times New Roman"/>
                <w:noProof/>
              </w:rPr>
            </w:pPr>
            <w:r>
              <w:rPr>
                <w:noProof/>
              </w:rPr>
              <w:t>2025</w:t>
            </w:r>
          </w:p>
        </w:tc>
        <w:tc>
          <w:tcPr>
            <w:tcW w:w="3002" w:type="dxa"/>
            <w:shd w:val="clear" w:color="auto" w:fill="C6EFCE"/>
            <w:noWrap/>
          </w:tcPr>
          <w:p w14:paraId="2995C049" w14:textId="77777777" w:rsidR="00C45D59" w:rsidRDefault="009B0962" w:rsidP="00097639">
            <w:pPr>
              <w:pStyle w:val="P68B1DB1-Normal12"/>
              <w:spacing w:after="0" w:line="240" w:lineRule="auto"/>
              <w:rPr>
                <w:rFonts w:eastAsia="Times New Roman"/>
                <w:noProof/>
              </w:rPr>
            </w:pPr>
            <w:r>
              <w:rPr>
                <w:noProof/>
              </w:rPr>
              <w:t>Publicarea strategiei de reformă pentru actualizarea programelor de învățământ, raționalizarea serviciilor și definirea metodologiei de monitorizare a rezultatelor transformării digitale a educației</w:t>
            </w:r>
          </w:p>
        </w:tc>
      </w:tr>
      <w:tr w:rsidR="00C45D59" w14:paraId="18CC2849" w14:textId="77777777" w:rsidTr="00097639">
        <w:trPr>
          <w:trHeight w:val="313"/>
        </w:trPr>
        <w:tc>
          <w:tcPr>
            <w:tcW w:w="666" w:type="dxa"/>
            <w:shd w:val="clear" w:color="auto" w:fill="C6EFCE"/>
            <w:noWrap/>
          </w:tcPr>
          <w:p w14:paraId="6B93D0B1" w14:textId="77777777" w:rsidR="00C45D59" w:rsidRDefault="009B0962" w:rsidP="00097639">
            <w:pPr>
              <w:pStyle w:val="P68B1DB1-Normal12"/>
              <w:spacing w:after="0" w:line="240" w:lineRule="auto"/>
              <w:rPr>
                <w:rFonts w:eastAsia="Times New Roman"/>
                <w:noProof/>
              </w:rPr>
            </w:pPr>
            <w:r>
              <w:rPr>
                <w:noProof/>
              </w:rPr>
              <w:t>148b</w:t>
            </w:r>
          </w:p>
        </w:tc>
        <w:tc>
          <w:tcPr>
            <w:tcW w:w="2557" w:type="dxa"/>
            <w:shd w:val="clear" w:color="auto" w:fill="C6EFCE"/>
            <w:noWrap/>
          </w:tcPr>
          <w:p w14:paraId="20BA10D0" w14:textId="77777777" w:rsidR="00C45D59" w:rsidRDefault="009B0962" w:rsidP="00097639">
            <w:pPr>
              <w:pStyle w:val="P68B1DB1-Normal12"/>
              <w:spacing w:after="0" w:line="240" w:lineRule="auto"/>
              <w:rPr>
                <w:rFonts w:eastAsia="Times New Roman"/>
                <w:noProof/>
              </w:rPr>
            </w:pPr>
            <w:r>
              <w:rPr>
                <w:noProof/>
              </w:rPr>
              <w:t>9-3.2. Educație, educație și formare profesională și competențe – 16676_Transformarea digitală a educației</w:t>
            </w:r>
          </w:p>
        </w:tc>
        <w:tc>
          <w:tcPr>
            <w:tcW w:w="1172" w:type="dxa"/>
            <w:shd w:val="clear" w:color="auto" w:fill="C6EFCE"/>
            <w:noWrap/>
          </w:tcPr>
          <w:p w14:paraId="1D23AE71" w14:textId="77777777" w:rsidR="00C45D59" w:rsidRDefault="009B0962" w:rsidP="00097639">
            <w:pPr>
              <w:pStyle w:val="P68B1DB1-Normal12"/>
              <w:spacing w:after="0" w:line="240" w:lineRule="auto"/>
              <w:rPr>
                <w:rFonts w:eastAsia="Times New Roman"/>
                <w:noProof/>
              </w:rPr>
            </w:pPr>
            <w:r>
              <w:rPr>
                <w:noProof/>
              </w:rPr>
              <w:t>Etapă</w:t>
            </w:r>
          </w:p>
        </w:tc>
        <w:tc>
          <w:tcPr>
            <w:tcW w:w="2047" w:type="dxa"/>
            <w:shd w:val="clear" w:color="auto" w:fill="C6EFCE"/>
            <w:noWrap/>
          </w:tcPr>
          <w:p w14:paraId="7CE7E556" w14:textId="77777777" w:rsidR="00C45D59" w:rsidRDefault="009B0962" w:rsidP="00097639">
            <w:pPr>
              <w:pStyle w:val="P68B1DB1-Normal12"/>
              <w:spacing w:after="0" w:line="240" w:lineRule="auto"/>
              <w:rPr>
                <w:rFonts w:eastAsia="Times New Roman"/>
                <w:noProof/>
              </w:rPr>
            </w:pPr>
            <w:r>
              <w:rPr>
                <w:noProof/>
              </w:rPr>
              <w:t>Transformarea digitală a educației</w:t>
            </w:r>
          </w:p>
        </w:tc>
        <w:tc>
          <w:tcPr>
            <w:tcW w:w="2222" w:type="dxa"/>
            <w:shd w:val="clear" w:color="auto" w:fill="C6EFCE"/>
            <w:noWrap/>
          </w:tcPr>
          <w:p w14:paraId="67560E99" w14:textId="77777777" w:rsidR="00C45D59" w:rsidRDefault="009B0962" w:rsidP="00097639">
            <w:pPr>
              <w:pStyle w:val="P68B1DB1-Normal12"/>
              <w:spacing w:after="0" w:line="240" w:lineRule="auto"/>
              <w:rPr>
                <w:noProof/>
              </w:rPr>
            </w:pPr>
            <w:r>
              <w:rPr>
                <w:noProof/>
              </w:rPr>
              <w:t>Realizarea de proiecte digitale în sectorul educației</w:t>
            </w:r>
          </w:p>
        </w:tc>
        <w:tc>
          <w:tcPr>
            <w:tcW w:w="1154" w:type="dxa"/>
            <w:shd w:val="clear" w:color="auto" w:fill="C6EFCE"/>
            <w:noWrap/>
          </w:tcPr>
          <w:p w14:paraId="6B7AF53F" w14:textId="77777777" w:rsidR="00C45D59" w:rsidRDefault="00C45D59" w:rsidP="00097639">
            <w:pPr>
              <w:spacing w:after="0" w:line="240" w:lineRule="auto"/>
              <w:rPr>
                <w:rFonts w:ascii="Times New Roman" w:eastAsia="Times New Roman" w:hAnsi="Times New Roman" w:cs="Times New Roman"/>
                <w:noProof/>
                <w:color w:val="006100"/>
                <w:sz w:val="18"/>
                <w:szCs w:val="18"/>
              </w:rPr>
            </w:pPr>
          </w:p>
        </w:tc>
        <w:tc>
          <w:tcPr>
            <w:tcW w:w="857" w:type="dxa"/>
            <w:shd w:val="clear" w:color="auto" w:fill="C6EFCE"/>
            <w:noWrap/>
          </w:tcPr>
          <w:p w14:paraId="671F60C7" w14:textId="77777777" w:rsidR="00C45D59" w:rsidRDefault="00C45D59" w:rsidP="00097639">
            <w:pPr>
              <w:spacing w:after="0" w:line="240" w:lineRule="auto"/>
              <w:rPr>
                <w:rFonts w:ascii="Times New Roman" w:eastAsia="Times New Roman" w:hAnsi="Times New Roman" w:cs="Times New Roman"/>
                <w:noProof/>
                <w:color w:val="006100"/>
                <w:sz w:val="18"/>
                <w:szCs w:val="18"/>
              </w:rPr>
            </w:pPr>
          </w:p>
        </w:tc>
        <w:tc>
          <w:tcPr>
            <w:tcW w:w="771" w:type="dxa"/>
            <w:shd w:val="clear" w:color="auto" w:fill="C6EFCE"/>
            <w:noWrap/>
          </w:tcPr>
          <w:p w14:paraId="39D0ABE7" w14:textId="77777777" w:rsidR="00C45D59" w:rsidRDefault="00C45D59" w:rsidP="00097639">
            <w:pPr>
              <w:spacing w:after="0" w:line="240" w:lineRule="auto"/>
              <w:rPr>
                <w:rFonts w:ascii="Times New Roman" w:eastAsia="Times New Roman" w:hAnsi="Times New Roman" w:cs="Times New Roman"/>
                <w:noProof/>
                <w:color w:val="006100"/>
                <w:sz w:val="18"/>
                <w:szCs w:val="18"/>
              </w:rPr>
            </w:pPr>
          </w:p>
        </w:tc>
        <w:tc>
          <w:tcPr>
            <w:tcW w:w="851" w:type="dxa"/>
            <w:shd w:val="clear" w:color="auto" w:fill="C6EFCE"/>
            <w:noWrap/>
          </w:tcPr>
          <w:p w14:paraId="155F8F31" w14:textId="77777777" w:rsidR="00C45D59" w:rsidRDefault="009B0962" w:rsidP="00097639">
            <w:pPr>
              <w:pStyle w:val="P68B1DB1-Normal12"/>
              <w:spacing w:after="0" w:line="240" w:lineRule="auto"/>
              <w:rPr>
                <w:rFonts w:eastAsia="Times New Roman"/>
                <w:noProof/>
              </w:rPr>
            </w:pPr>
            <w:r>
              <w:rPr>
                <w:noProof/>
              </w:rPr>
              <w:t>Î4</w:t>
            </w:r>
          </w:p>
        </w:tc>
        <w:tc>
          <w:tcPr>
            <w:tcW w:w="720" w:type="dxa"/>
            <w:shd w:val="clear" w:color="auto" w:fill="C6EFCE"/>
            <w:noWrap/>
          </w:tcPr>
          <w:p w14:paraId="0E050F37" w14:textId="77777777" w:rsidR="00C45D59" w:rsidRDefault="009B0962" w:rsidP="00097639">
            <w:pPr>
              <w:pStyle w:val="P68B1DB1-Normal12"/>
              <w:spacing w:after="0" w:line="240" w:lineRule="auto"/>
              <w:rPr>
                <w:rFonts w:eastAsia="Times New Roman"/>
                <w:noProof/>
              </w:rPr>
            </w:pPr>
            <w:r>
              <w:rPr>
                <w:noProof/>
              </w:rPr>
              <w:t>2025</w:t>
            </w:r>
          </w:p>
        </w:tc>
        <w:tc>
          <w:tcPr>
            <w:tcW w:w="3002" w:type="dxa"/>
            <w:shd w:val="clear" w:color="auto" w:fill="C6EFCE"/>
            <w:noWrap/>
          </w:tcPr>
          <w:p w14:paraId="73255E3C" w14:textId="77777777" w:rsidR="00C45D59" w:rsidRDefault="009B0962" w:rsidP="00097639">
            <w:pPr>
              <w:pStyle w:val="P68B1DB1-paragraph39"/>
              <w:spacing w:before="0" w:beforeAutospacing="0" w:after="0" w:afterAutospacing="0"/>
              <w:textAlignment w:val="baseline"/>
              <w:rPr>
                <w:noProof/>
              </w:rPr>
            </w:pPr>
            <w:r>
              <w:rPr>
                <w:noProof/>
              </w:rPr>
              <w:t>Realizarea următoarelor proiecte:</w:t>
            </w:r>
          </w:p>
          <w:p w14:paraId="5503B800" w14:textId="69B266F8" w:rsidR="00C45D59" w:rsidRDefault="009B0962" w:rsidP="00097639">
            <w:pPr>
              <w:pStyle w:val="P68B1DB1-paragraph37"/>
              <w:numPr>
                <w:ilvl w:val="0"/>
                <w:numId w:val="45"/>
              </w:numPr>
              <w:spacing w:after="0" w:afterAutospacing="0"/>
              <w:ind w:left="414" w:hanging="357"/>
              <w:textAlignment w:val="baseline"/>
              <w:rPr>
                <w:rFonts w:eastAsia="Calibri"/>
                <w:noProof/>
              </w:rPr>
            </w:pPr>
            <w:r>
              <w:rPr>
                <w:noProof/>
              </w:rPr>
              <w:t>5 000 resurse educaționale deschise și subsistemul pentru platforma, registrul și învățarea personalizată de educație digitală</w:t>
            </w:r>
          </w:p>
          <w:p w14:paraId="54D178E3" w14:textId="77777777" w:rsidR="00C45D59" w:rsidRDefault="009B0962" w:rsidP="00097639">
            <w:pPr>
              <w:pStyle w:val="P68B1DB1-paragraph39"/>
              <w:numPr>
                <w:ilvl w:val="0"/>
                <w:numId w:val="45"/>
              </w:numPr>
              <w:spacing w:after="0" w:afterAutospacing="0"/>
              <w:ind w:left="414" w:hanging="357"/>
              <w:textAlignment w:val="baseline"/>
              <w:rPr>
                <w:noProof/>
              </w:rPr>
            </w:pPr>
            <w:r>
              <w:rPr>
                <w:noProof/>
              </w:rPr>
              <w:t xml:space="preserve">Instalare de sisteme interactive de învățare pentru sălile de clasă ale școlilor primare și secundare </w:t>
            </w:r>
          </w:p>
          <w:p w14:paraId="03177901" w14:textId="1007697E" w:rsidR="00C45D59" w:rsidRDefault="009B0962" w:rsidP="00097639">
            <w:pPr>
              <w:pStyle w:val="P68B1DB1-paragraph39"/>
              <w:numPr>
                <w:ilvl w:val="0"/>
                <w:numId w:val="45"/>
              </w:numPr>
              <w:spacing w:after="0" w:afterAutospacing="0"/>
              <w:ind w:left="414" w:hanging="357"/>
              <w:textAlignment w:val="baseline"/>
              <w:rPr>
                <w:noProof/>
              </w:rPr>
            </w:pPr>
            <w:r>
              <w:rPr>
                <w:noProof/>
              </w:rPr>
              <w:t>Furnizarea a 660 000 vouchere în cadrul voucherelor I și II pentru acces digital pentru achiziționarea de echipamente digitale, astfel cum confirmă informațiile de pe platforma electronică aferentă</w:t>
            </w:r>
          </w:p>
          <w:p w14:paraId="3689DB5A" w14:textId="77777777" w:rsidR="00C45D59" w:rsidRDefault="009B0962" w:rsidP="00097639">
            <w:pPr>
              <w:pStyle w:val="P68B1DB1-paragraph39"/>
              <w:numPr>
                <w:ilvl w:val="0"/>
                <w:numId w:val="45"/>
              </w:numPr>
              <w:spacing w:after="0" w:afterAutospacing="0"/>
              <w:ind w:left="414" w:hanging="357"/>
              <w:textAlignment w:val="baseline"/>
              <w:rPr>
                <w:noProof/>
              </w:rPr>
            </w:pPr>
            <w:r>
              <w:rPr>
                <w:noProof/>
              </w:rPr>
              <w:t xml:space="preserve">Punerea la dispoziția școlilor publice a unei infrastructuri de robotică și de învățare STIM </w:t>
            </w:r>
          </w:p>
          <w:p w14:paraId="49E607F5" w14:textId="77777777" w:rsidR="00C45D59" w:rsidRDefault="009B0962" w:rsidP="00097639">
            <w:pPr>
              <w:pStyle w:val="P68B1DB1-paragraph39"/>
              <w:numPr>
                <w:ilvl w:val="0"/>
                <w:numId w:val="45"/>
              </w:numPr>
              <w:spacing w:before="0" w:beforeAutospacing="0" w:after="0" w:afterAutospacing="0"/>
              <w:ind w:left="414" w:hanging="357"/>
              <w:textAlignment w:val="baseline"/>
              <w:rPr>
                <w:noProof/>
              </w:rPr>
            </w:pPr>
            <w:r>
              <w:rPr>
                <w:noProof/>
              </w:rPr>
              <w:t>Modernizarea serviciilor digitale ale școlilor și universităților</w:t>
            </w:r>
          </w:p>
        </w:tc>
      </w:tr>
      <w:tr w:rsidR="00C45D59" w14:paraId="0915B2BA" w14:textId="77777777" w:rsidTr="00097639">
        <w:trPr>
          <w:trHeight w:val="313"/>
        </w:trPr>
        <w:tc>
          <w:tcPr>
            <w:tcW w:w="666" w:type="dxa"/>
            <w:shd w:val="clear" w:color="auto" w:fill="C6EFCE"/>
            <w:noWrap/>
          </w:tcPr>
          <w:p w14:paraId="6B3229AC" w14:textId="77777777" w:rsidR="00C45D59" w:rsidRDefault="009B0962" w:rsidP="00097639">
            <w:pPr>
              <w:pStyle w:val="P68B1DB1-Normal12"/>
              <w:spacing w:after="0" w:line="240" w:lineRule="auto"/>
              <w:rPr>
                <w:rFonts w:eastAsia="Times New Roman"/>
                <w:noProof/>
              </w:rPr>
            </w:pPr>
            <w:r>
              <w:rPr>
                <w:noProof/>
              </w:rPr>
              <w:t>149</w:t>
            </w:r>
          </w:p>
        </w:tc>
        <w:tc>
          <w:tcPr>
            <w:tcW w:w="2557" w:type="dxa"/>
            <w:shd w:val="clear" w:color="auto" w:fill="C6EFCE"/>
            <w:noWrap/>
          </w:tcPr>
          <w:p w14:paraId="7E758B50" w14:textId="2F2B2A94" w:rsidR="00C45D59" w:rsidRDefault="009B0962" w:rsidP="00097639">
            <w:pPr>
              <w:pStyle w:val="P68B1DB1-Normal12"/>
              <w:spacing w:after="0" w:line="240" w:lineRule="auto"/>
              <w:rPr>
                <w:rFonts w:eastAsia="Times New Roman"/>
                <w:noProof/>
              </w:rPr>
            </w:pPr>
            <w:r>
              <w:rPr>
                <w:noProof/>
              </w:rPr>
              <w:t>9-3.2. Educație, educație și formare profesională și competențe – 16933_Modernizarea educației și formării profesionale (EFP): Achiziționarea de echipamente de laborator pentru laboratoarele unităților EFP</w:t>
            </w:r>
          </w:p>
        </w:tc>
        <w:tc>
          <w:tcPr>
            <w:tcW w:w="1172" w:type="dxa"/>
            <w:shd w:val="clear" w:color="auto" w:fill="C6EFCE"/>
            <w:noWrap/>
          </w:tcPr>
          <w:p w14:paraId="7E6E888D" w14:textId="77777777" w:rsidR="00C45D59" w:rsidRDefault="009B0962" w:rsidP="00097639">
            <w:pPr>
              <w:pStyle w:val="P68B1DB1-Normal16"/>
              <w:spacing w:after="0" w:line="240" w:lineRule="auto"/>
              <w:rPr>
                <w:rFonts w:eastAsia="Times New Roman"/>
                <w:noProof/>
                <w:color w:val="006100"/>
              </w:rPr>
            </w:pPr>
            <w:r>
              <w:rPr>
                <w:noProof/>
              </w:rPr>
              <w:t xml:space="preserve"> </w:t>
            </w:r>
            <w:r>
              <w:rPr>
                <w:noProof/>
                <w:color w:val="006100"/>
              </w:rPr>
              <w:t>Etapă</w:t>
            </w:r>
          </w:p>
        </w:tc>
        <w:tc>
          <w:tcPr>
            <w:tcW w:w="2047" w:type="dxa"/>
            <w:shd w:val="clear" w:color="auto" w:fill="C6EFCE"/>
            <w:noWrap/>
          </w:tcPr>
          <w:p w14:paraId="7179793D" w14:textId="2A5BEFEF" w:rsidR="00C45D59" w:rsidRDefault="009B0962" w:rsidP="00097639">
            <w:pPr>
              <w:pStyle w:val="P68B1DB1-Normal12"/>
              <w:spacing w:after="0" w:line="240" w:lineRule="auto"/>
              <w:rPr>
                <w:noProof/>
              </w:rPr>
            </w:pPr>
            <w:r>
              <w:rPr>
                <w:noProof/>
              </w:rPr>
              <w:t>Modernizarea laboratoarelor unităților EFP</w:t>
            </w:r>
          </w:p>
        </w:tc>
        <w:tc>
          <w:tcPr>
            <w:tcW w:w="2222" w:type="dxa"/>
            <w:shd w:val="clear" w:color="auto" w:fill="C6EFCE"/>
            <w:noWrap/>
          </w:tcPr>
          <w:p w14:paraId="5C2D0847" w14:textId="77777777" w:rsidR="00C45D59" w:rsidRDefault="009B0962" w:rsidP="00097639">
            <w:pPr>
              <w:pStyle w:val="P68B1DB1-Normal12"/>
              <w:spacing w:after="0" w:line="240" w:lineRule="auto"/>
              <w:rPr>
                <w:rFonts w:eastAsia="Times New Roman"/>
                <w:noProof/>
              </w:rPr>
            </w:pPr>
            <w:r>
              <w:rPr>
                <w:noProof/>
              </w:rPr>
              <w:t>Achiziționarea de echipamente moderne pentru laboratoarele din unitățile de educație și formare profesională</w:t>
            </w:r>
          </w:p>
        </w:tc>
        <w:tc>
          <w:tcPr>
            <w:tcW w:w="1154" w:type="dxa"/>
            <w:shd w:val="clear" w:color="auto" w:fill="C6EFCE"/>
            <w:noWrap/>
          </w:tcPr>
          <w:p w14:paraId="46A37405" w14:textId="77777777" w:rsidR="00C45D59" w:rsidRDefault="00C45D59" w:rsidP="00097639">
            <w:pPr>
              <w:spacing w:after="0" w:line="240" w:lineRule="auto"/>
              <w:rPr>
                <w:rFonts w:ascii="Times New Roman" w:hAnsi="Times New Roman" w:cs="Times New Roman"/>
                <w:noProof/>
                <w:color w:val="006100"/>
                <w:sz w:val="18"/>
                <w:szCs w:val="18"/>
              </w:rPr>
            </w:pPr>
          </w:p>
        </w:tc>
        <w:tc>
          <w:tcPr>
            <w:tcW w:w="857" w:type="dxa"/>
            <w:shd w:val="clear" w:color="auto" w:fill="C6EFCE"/>
            <w:noWrap/>
          </w:tcPr>
          <w:p w14:paraId="07A6B0B2" w14:textId="77777777" w:rsidR="00C45D59" w:rsidRDefault="00C45D59" w:rsidP="00097639">
            <w:pPr>
              <w:spacing w:after="0" w:line="240" w:lineRule="auto"/>
              <w:rPr>
                <w:rFonts w:ascii="Times New Roman" w:hAnsi="Times New Roman" w:cs="Times New Roman"/>
                <w:noProof/>
                <w:color w:val="006100"/>
                <w:sz w:val="18"/>
                <w:szCs w:val="18"/>
              </w:rPr>
            </w:pPr>
          </w:p>
        </w:tc>
        <w:tc>
          <w:tcPr>
            <w:tcW w:w="771" w:type="dxa"/>
            <w:shd w:val="clear" w:color="auto" w:fill="C6EFCE"/>
            <w:noWrap/>
          </w:tcPr>
          <w:p w14:paraId="20D55E14" w14:textId="77777777" w:rsidR="00C45D59" w:rsidRDefault="00C45D59" w:rsidP="00097639">
            <w:pPr>
              <w:spacing w:after="0" w:line="240" w:lineRule="auto"/>
              <w:rPr>
                <w:rFonts w:ascii="Times New Roman" w:hAnsi="Times New Roman" w:cs="Times New Roman"/>
                <w:noProof/>
                <w:color w:val="006100"/>
                <w:sz w:val="18"/>
                <w:szCs w:val="18"/>
              </w:rPr>
            </w:pPr>
          </w:p>
        </w:tc>
        <w:tc>
          <w:tcPr>
            <w:tcW w:w="851" w:type="dxa"/>
            <w:shd w:val="clear" w:color="auto" w:fill="C6EFCE"/>
            <w:noWrap/>
          </w:tcPr>
          <w:p w14:paraId="3486EEB2" w14:textId="77777777" w:rsidR="00C45D59" w:rsidRDefault="009B0962" w:rsidP="00097639">
            <w:pPr>
              <w:pStyle w:val="P68B1DB1-Normal12"/>
              <w:spacing w:after="0" w:line="240" w:lineRule="auto"/>
              <w:rPr>
                <w:rFonts w:eastAsia="Times New Roman"/>
                <w:noProof/>
              </w:rPr>
            </w:pPr>
            <w:r>
              <w:rPr>
                <w:noProof/>
              </w:rPr>
              <w:t>Î4</w:t>
            </w:r>
          </w:p>
        </w:tc>
        <w:tc>
          <w:tcPr>
            <w:tcW w:w="720" w:type="dxa"/>
            <w:shd w:val="clear" w:color="auto" w:fill="C6EFCE"/>
            <w:noWrap/>
          </w:tcPr>
          <w:p w14:paraId="377FFCCE" w14:textId="77777777" w:rsidR="00C45D59" w:rsidRDefault="009B0962" w:rsidP="00097639">
            <w:pPr>
              <w:pStyle w:val="P68B1DB1-Normal12"/>
              <w:spacing w:after="0" w:line="240" w:lineRule="auto"/>
              <w:rPr>
                <w:rFonts w:eastAsia="Times New Roman"/>
                <w:noProof/>
              </w:rPr>
            </w:pPr>
            <w:r>
              <w:rPr>
                <w:noProof/>
              </w:rPr>
              <w:t>2025</w:t>
            </w:r>
          </w:p>
        </w:tc>
        <w:tc>
          <w:tcPr>
            <w:tcW w:w="3002" w:type="dxa"/>
            <w:shd w:val="clear" w:color="auto" w:fill="C6EFCE"/>
            <w:noWrap/>
          </w:tcPr>
          <w:p w14:paraId="44123205" w14:textId="77777777" w:rsidR="00C45D59" w:rsidRDefault="009B0962" w:rsidP="00097639">
            <w:pPr>
              <w:pStyle w:val="P68B1DB1-Normal12"/>
              <w:spacing w:after="0" w:line="240" w:lineRule="auto"/>
              <w:rPr>
                <w:rFonts w:eastAsia="Times New Roman"/>
                <w:noProof/>
              </w:rPr>
            </w:pPr>
            <w:r>
              <w:rPr>
                <w:noProof/>
              </w:rPr>
              <w:t>Achiziționarea de echipamente moderne pentru 376 laboratoare din unitățile de educație și formare profesională</w:t>
            </w:r>
          </w:p>
        </w:tc>
      </w:tr>
      <w:tr w:rsidR="00C45D59" w14:paraId="01957BD6" w14:textId="77777777" w:rsidTr="00097639">
        <w:trPr>
          <w:trHeight w:val="1612"/>
        </w:trPr>
        <w:tc>
          <w:tcPr>
            <w:tcW w:w="666" w:type="dxa"/>
            <w:shd w:val="clear" w:color="auto" w:fill="C6EFCE"/>
            <w:noWrap/>
          </w:tcPr>
          <w:p w14:paraId="207632EF" w14:textId="77777777" w:rsidR="00C45D59" w:rsidRDefault="009B0962" w:rsidP="00097639">
            <w:pPr>
              <w:pStyle w:val="P68B1DB1-Normal12"/>
              <w:spacing w:after="0" w:line="240" w:lineRule="auto"/>
              <w:rPr>
                <w:rFonts w:eastAsia="Times New Roman"/>
                <w:noProof/>
              </w:rPr>
            </w:pPr>
            <w:r>
              <w:rPr>
                <w:noProof/>
              </w:rPr>
              <w:t>150</w:t>
            </w:r>
          </w:p>
        </w:tc>
        <w:tc>
          <w:tcPr>
            <w:tcW w:w="2557" w:type="dxa"/>
            <w:shd w:val="clear" w:color="auto" w:fill="C6EFCE"/>
            <w:noWrap/>
          </w:tcPr>
          <w:p w14:paraId="718CB87D" w14:textId="77777777" w:rsidR="00C45D59" w:rsidRDefault="009B0962" w:rsidP="00097639">
            <w:pPr>
              <w:pStyle w:val="P68B1DB1-Normal12"/>
              <w:spacing w:after="0" w:line="240" w:lineRule="auto"/>
              <w:rPr>
                <w:rFonts w:eastAsia="Times New Roman"/>
                <w:noProof/>
              </w:rPr>
            </w:pPr>
            <w:r>
              <w:rPr>
                <w:noProof/>
              </w:rPr>
              <w:t>9-3.2. Educație, educație și formare profesională și competențe – 16289_Strategie pentru excelență în universități &amp; inovare</w:t>
            </w:r>
          </w:p>
        </w:tc>
        <w:tc>
          <w:tcPr>
            <w:tcW w:w="1172" w:type="dxa"/>
            <w:shd w:val="clear" w:color="auto" w:fill="C6EFCE"/>
            <w:noWrap/>
          </w:tcPr>
          <w:p w14:paraId="3E8E800E" w14:textId="77777777" w:rsidR="00C45D59" w:rsidRDefault="009B0962" w:rsidP="00097639">
            <w:pPr>
              <w:pStyle w:val="P68B1DB1-Normal12"/>
              <w:spacing w:after="0" w:line="240" w:lineRule="auto"/>
              <w:rPr>
                <w:rFonts w:eastAsia="Times New Roman"/>
                <w:noProof/>
              </w:rPr>
            </w:pPr>
            <w:r>
              <w:rPr>
                <w:noProof/>
              </w:rPr>
              <w:t>Etapă</w:t>
            </w:r>
          </w:p>
        </w:tc>
        <w:tc>
          <w:tcPr>
            <w:tcW w:w="2047" w:type="dxa"/>
            <w:shd w:val="clear" w:color="auto" w:fill="C6EFCE"/>
            <w:noWrap/>
          </w:tcPr>
          <w:p w14:paraId="7BD3819C" w14:textId="77777777" w:rsidR="00C45D59" w:rsidRDefault="009B0962" w:rsidP="00097639">
            <w:pPr>
              <w:pStyle w:val="P68B1DB1-Normal12"/>
              <w:spacing w:after="0" w:line="240" w:lineRule="auto"/>
              <w:rPr>
                <w:noProof/>
              </w:rPr>
            </w:pPr>
            <w:r>
              <w:rPr>
                <w:noProof/>
              </w:rPr>
              <w:t>Executarea proiectelor de cercetare în colaborare și a proiectelor pentru universitățile din Grecia și emiterea deciziilor de aprobare pentru programele postuniversitare</w:t>
            </w:r>
          </w:p>
          <w:p w14:paraId="7C20266B" w14:textId="77777777" w:rsidR="00C45D59" w:rsidRDefault="00C45D59" w:rsidP="00097639">
            <w:pPr>
              <w:spacing w:after="0" w:line="240" w:lineRule="auto"/>
              <w:rPr>
                <w:rFonts w:ascii="Times New Roman" w:eastAsia="Times New Roman" w:hAnsi="Times New Roman" w:cs="Times New Roman"/>
                <w:noProof/>
                <w:color w:val="006100"/>
                <w:sz w:val="18"/>
                <w:szCs w:val="18"/>
              </w:rPr>
            </w:pPr>
          </w:p>
        </w:tc>
        <w:tc>
          <w:tcPr>
            <w:tcW w:w="2222" w:type="dxa"/>
            <w:shd w:val="clear" w:color="auto" w:fill="C6EFCE"/>
            <w:noWrap/>
          </w:tcPr>
          <w:p w14:paraId="786ED4AC" w14:textId="77777777" w:rsidR="00C45D59" w:rsidRDefault="009B0962" w:rsidP="00097639">
            <w:pPr>
              <w:pStyle w:val="P68B1DB1-Normal12"/>
              <w:spacing w:after="0" w:line="240" w:lineRule="auto"/>
              <w:rPr>
                <w:noProof/>
              </w:rPr>
            </w:pPr>
            <w:r>
              <w:rPr>
                <w:noProof/>
              </w:rPr>
              <w:t xml:space="preserve">Executarea proiectelor de cercetare în colaborare și a proiectelor pentru universitățile din Grecia și emiterea deciziilor de aprobare pentru programele postuniversitare </w:t>
            </w:r>
          </w:p>
        </w:tc>
        <w:tc>
          <w:tcPr>
            <w:tcW w:w="1154" w:type="dxa"/>
            <w:shd w:val="clear" w:color="auto" w:fill="C6EFCE"/>
            <w:noWrap/>
          </w:tcPr>
          <w:p w14:paraId="4EE1C9C9" w14:textId="77777777" w:rsidR="00C45D59" w:rsidRDefault="00C45D59" w:rsidP="00097639">
            <w:pPr>
              <w:spacing w:after="0" w:line="240" w:lineRule="auto"/>
              <w:rPr>
                <w:rFonts w:ascii="Times New Roman" w:eastAsia="Times New Roman" w:hAnsi="Times New Roman" w:cs="Times New Roman"/>
                <w:noProof/>
                <w:color w:val="006100"/>
                <w:sz w:val="18"/>
                <w:szCs w:val="18"/>
              </w:rPr>
            </w:pPr>
          </w:p>
        </w:tc>
        <w:tc>
          <w:tcPr>
            <w:tcW w:w="857" w:type="dxa"/>
            <w:shd w:val="clear" w:color="auto" w:fill="C6EFCE"/>
            <w:noWrap/>
          </w:tcPr>
          <w:p w14:paraId="4707153C" w14:textId="77777777" w:rsidR="00C45D59" w:rsidRDefault="00C45D59" w:rsidP="00097639">
            <w:pPr>
              <w:spacing w:after="0" w:line="240" w:lineRule="auto"/>
              <w:rPr>
                <w:rFonts w:ascii="Times New Roman" w:eastAsia="Times New Roman" w:hAnsi="Times New Roman" w:cs="Times New Roman"/>
                <w:noProof/>
                <w:color w:val="006100"/>
                <w:sz w:val="18"/>
                <w:szCs w:val="18"/>
              </w:rPr>
            </w:pPr>
          </w:p>
        </w:tc>
        <w:tc>
          <w:tcPr>
            <w:tcW w:w="771" w:type="dxa"/>
            <w:shd w:val="clear" w:color="auto" w:fill="C6EFCE"/>
            <w:noWrap/>
          </w:tcPr>
          <w:p w14:paraId="75C68A3E" w14:textId="77777777" w:rsidR="00C45D59" w:rsidRDefault="00C45D59" w:rsidP="00097639">
            <w:pPr>
              <w:spacing w:after="0" w:line="240" w:lineRule="auto"/>
              <w:rPr>
                <w:rFonts w:ascii="Times New Roman" w:eastAsia="Times New Roman" w:hAnsi="Times New Roman" w:cs="Times New Roman"/>
                <w:noProof/>
                <w:color w:val="006100"/>
                <w:sz w:val="18"/>
                <w:szCs w:val="18"/>
              </w:rPr>
            </w:pPr>
          </w:p>
        </w:tc>
        <w:tc>
          <w:tcPr>
            <w:tcW w:w="851" w:type="dxa"/>
            <w:shd w:val="clear" w:color="auto" w:fill="C6EFCE"/>
            <w:noWrap/>
          </w:tcPr>
          <w:p w14:paraId="5CB2587E" w14:textId="77777777" w:rsidR="00C45D59" w:rsidRDefault="009B0962" w:rsidP="00097639">
            <w:pPr>
              <w:pStyle w:val="P68B1DB1-Normal12"/>
              <w:spacing w:after="0" w:line="240" w:lineRule="auto"/>
              <w:rPr>
                <w:rFonts w:eastAsia="Times New Roman"/>
                <w:noProof/>
              </w:rPr>
            </w:pPr>
            <w:r>
              <w:rPr>
                <w:noProof/>
              </w:rPr>
              <w:t>Î4</w:t>
            </w:r>
          </w:p>
        </w:tc>
        <w:tc>
          <w:tcPr>
            <w:tcW w:w="720" w:type="dxa"/>
            <w:shd w:val="clear" w:color="auto" w:fill="C6EFCE"/>
            <w:noWrap/>
          </w:tcPr>
          <w:p w14:paraId="40F9D03C" w14:textId="77777777" w:rsidR="00C45D59" w:rsidRDefault="009B0962" w:rsidP="00097639">
            <w:pPr>
              <w:pStyle w:val="P68B1DB1-Normal12"/>
              <w:spacing w:after="0" w:line="240" w:lineRule="auto"/>
              <w:rPr>
                <w:rFonts w:eastAsia="Times New Roman"/>
                <w:noProof/>
              </w:rPr>
            </w:pPr>
            <w:r>
              <w:rPr>
                <w:noProof/>
              </w:rPr>
              <w:t>2025</w:t>
            </w:r>
          </w:p>
        </w:tc>
        <w:tc>
          <w:tcPr>
            <w:tcW w:w="3002" w:type="dxa"/>
            <w:shd w:val="clear" w:color="auto" w:fill="C6EFCE"/>
            <w:noWrap/>
          </w:tcPr>
          <w:p w14:paraId="4AB66E4E" w14:textId="77777777" w:rsidR="00C45D59" w:rsidRDefault="009B0962" w:rsidP="00097639">
            <w:pPr>
              <w:pStyle w:val="P68B1DB1-Normal12"/>
              <w:spacing w:after="0" w:line="240" w:lineRule="auto"/>
              <w:rPr>
                <w:noProof/>
              </w:rPr>
            </w:pPr>
            <w:r>
              <w:rPr>
                <w:noProof/>
              </w:rPr>
              <w:t>a) Executarea a 70 proiecte de cercetare în colaborare (clustere de excelență în cercetare) pentru cadre universitare cu întreprinderi din sectorul privat.</w:t>
            </w:r>
          </w:p>
          <w:p w14:paraId="53B27E60" w14:textId="77777777" w:rsidR="00C45D59" w:rsidRDefault="009B0962" w:rsidP="00097639">
            <w:pPr>
              <w:pStyle w:val="P68B1DB1-Normal12"/>
              <w:spacing w:after="0" w:line="240" w:lineRule="auto"/>
              <w:rPr>
                <w:noProof/>
              </w:rPr>
            </w:pPr>
            <w:r>
              <w:rPr>
                <w:noProof/>
              </w:rPr>
              <w:t>b) Executarea proiectelor legate de infrastructurile universităților elene selectate în contextul măsurii.</w:t>
            </w:r>
          </w:p>
          <w:p w14:paraId="01A71321" w14:textId="77777777" w:rsidR="00C45D59" w:rsidRDefault="009B0962" w:rsidP="00097639">
            <w:pPr>
              <w:pStyle w:val="P68B1DB1-Normal12"/>
              <w:spacing w:after="0" w:line="240" w:lineRule="auto"/>
              <w:rPr>
                <w:rFonts w:eastAsia="Times New Roman"/>
                <w:noProof/>
              </w:rPr>
            </w:pPr>
            <w:r>
              <w:rPr>
                <w:noProof/>
              </w:rPr>
              <w:t>emiterea deciziilor de aprobare pentru finanțarea a 35 de programe de studii postuniversitare comune și/sau duale cu universități străine.</w:t>
            </w:r>
          </w:p>
        </w:tc>
      </w:tr>
      <w:tr w:rsidR="00C45D59" w14:paraId="4174A21F" w14:textId="77777777" w:rsidTr="00097639">
        <w:trPr>
          <w:trHeight w:val="313"/>
        </w:trPr>
        <w:tc>
          <w:tcPr>
            <w:tcW w:w="666" w:type="dxa"/>
            <w:shd w:val="clear" w:color="auto" w:fill="C6EFCE"/>
            <w:noWrap/>
          </w:tcPr>
          <w:p w14:paraId="5EBC5F9D" w14:textId="77777777" w:rsidR="00C45D59" w:rsidRDefault="009B0962" w:rsidP="00097639">
            <w:pPr>
              <w:pStyle w:val="P68B1DB1-Normal12"/>
              <w:spacing w:after="0" w:line="240" w:lineRule="auto"/>
              <w:rPr>
                <w:rFonts w:eastAsia="Times New Roman"/>
                <w:noProof/>
              </w:rPr>
            </w:pPr>
            <w:r>
              <w:rPr>
                <w:noProof/>
              </w:rPr>
              <w:t>152</w:t>
            </w:r>
          </w:p>
        </w:tc>
        <w:tc>
          <w:tcPr>
            <w:tcW w:w="2557" w:type="dxa"/>
            <w:shd w:val="clear" w:color="auto" w:fill="C6EFCE"/>
            <w:noWrap/>
          </w:tcPr>
          <w:p w14:paraId="134445D9" w14:textId="77777777" w:rsidR="00C45D59" w:rsidRDefault="009B0962" w:rsidP="00097639">
            <w:pPr>
              <w:pStyle w:val="P68B1DB1-Normal12"/>
              <w:spacing w:after="0" w:line="240" w:lineRule="auto"/>
              <w:rPr>
                <w:noProof/>
              </w:rPr>
            </w:pPr>
            <w:r>
              <w:rPr>
                <w:noProof/>
              </w:rPr>
              <w:t>9-3.2. Educație, educație și formare profesională și competențe – 16934</w:t>
            </w:r>
          </w:p>
          <w:p w14:paraId="7BACE913" w14:textId="01A0DCD3" w:rsidR="00C45D59" w:rsidRDefault="009B0962" w:rsidP="00097639">
            <w:pPr>
              <w:pStyle w:val="P68B1DB1-Normal12"/>
              <w:spacing w:after="0" w:line="240" w:lineRule="auto"/>
              <w:rPr>
                <w:rFonts w:eastAsia="Times New Roman"/>
                <w:noProof/>
              </w:rPr>
            </w:pPr>
            <w:r>
              <w:rPr>
                <w:noProof/>
              </w:rPr>
              <w:t>_Modernizarea educației și formării profesionale</w:t>
            </w:r>
          </w:p>
        </w:tc>
        <w:tc>
          <w:tcPr>
            <w:tcW w:w="1172" w:type="dxa"/>
            <w:shd w:val="clear" w:color="auto" w:fill="C6EFCE"/>
            <w:noWrap/>
          </w:tcPr>
          <w:p w14:paraId="33768A18" w14:textId="77777777" w:rsidR="00C45D59" w:rsidRDefault="009B0962" w:rsidP="00097639">
            <w:pPr>
              <w:pStyle w:val="P68B1DB1-Normal12"/>
              <w:spacing w:after="0" w:line="240" w:lineRule="auto"/>
              <w:rPr>
                <w:rFonts w:eastAsia="Times New Roman"/>
                <w:noProof/>
              </w:rPr>
            </w:pPr>
            <w:r>
              <w:rPr>
                <w:noProof/>
              </w:rPr>
              <w:t>Etapă</w:t>
            </w:r>
          </w:p>
        </w:tc>
        <w:tc>
          <w:tcPr>
            <w:tcW w:w="2047" w:type="dxa"/>
            <w:shd w:val="clear" w:color="auto" w:fill="C6EFCE"/>
            <w:noWrap/>
          </w:tcPr>
          <w:p w14:paraId="659C8EDC" w14:textId="39A3AF04" w:rsidR="00C45D59" w:rsidRDefault="009B0962" w:rsidP="00097639">
            <w:pPr>
              <w:pStyle w:val="P68B1DB1-Normal12"/>
              <w:spacing w:after="0" w:line="240" w:lineRule="auto"/>
              <w:rPr>
                <w:noProof/>
              </w:rPr>
            </w:pPr>
            <w:r>
              <w:rPr>
                <w:noProof/>
              </w:rPr>
              <w:t>Sistemele de informații ale EOPPEP și dezvoltarea unei platforme de învățare online pentru EFP</w:t>
            </w:r>
          </w:p>
        </w:tc>
        <w:tc>
          <w:tcPr>
            <w:tcW w:w="2222" w:type="dxa"/>
            <w:shd w:val="clear" w:color="auto" w:fill="C6EFCE"/>
            <w:noWrap/>
          </w:tcPr>
          <w:p w14:paraId="42218D73" w14:textId="534F8939" w:rsidR="00C45D59" w:rsidRDefault="009B0962" w:rsidP="00097639">
            <w:pPr>
              <w:pStyle w:val="P68B1DB1-Normal12"/>
              <w:spacing w:after="0" w:line="240" w:lineRule="auto"/>
              <w:rPr>
                <w:noProof/>
              </w:rPr>
            </w:pPr>
            <w:r>
              <w:rPr>
                <w:noProof/>
              </w:rPr>
              <w:t>Realizarea proiectelor</w:t>
            </w:r>
          </w:p>
        </w:tc>
        <w:tc>
          <w:tcPr>
            <w:tcW w:w="1154" w:type="dxa"/>
            <w:shd w:val="clear" w:color="auto" w:fill="C6EFCE"/>
            <w:noWrap/>
          </w:tcPr>
          <w:p w14:paraId="1C3C5477" w14:textId="77777777" w:rsidR="00C45D59" w:rsidRDefault="00C45D59" w:rsidP="00097639">
            <w:pPr>
              <w:spacing w:after="0" w:line="240" w:lineRule="auto"/>
              <w:rPr>
                <w:rFonts w:ascii="Times New Roman" w:eastAsia="Times New Roman" w:hAnsi="Times New Roman" w:cs="Times New Roman"/>
                <w:noProof/>
                <w:color w:val="006100"/>
                <w:sz w:val="18"/>
                <w:szCs w:val="18"/>
              </w:rPr>
            </w:pPr>
          </w:p>
        </w:tc>
        <w:tc>
          <w:tcPr>
            <w:tcW w:w="857" w:type="dxa"/>
            <w:shd w:val="clear" w:color="auto" w:fill="C6EFCE"/>
            <w:noWrap/>
          </w:tcPr>
          <w:p w14:paraId="51810AFB" w14:textId="77777777" w:rsidR="00C45D59" w:rsidRDefault="00C45D59" w:rsidP="00097639">
            <w:pPr>
              <w:spacing w:after="0" w:line="240" w:lineRule="auto"/>
              <w:rPr>
                <w:rFonts w:ascii="Times New Roman" w:eastAsia="Times New Roman" w:hAnsi="Times New Roman" w:cs="Times New Roman"/>
                <w:noProof/>
                <w:color w:val="006100"/>
                <w:sz w:val="18"/>
                <w:szCs w:val="18"/>
              </w:rPr>
            </w:pPr>
          </w:p>
        </w:tc>
        <w:tc>
          <w:tcPr>
            <w:tcW w:w="771" w:type="dxa"/>
            <w:shd w:val="clear" w:color="auto" w:fill="C6EFCE"/>
            <w:noWrap/>
          </w:tcPr>
          <w:p w14:paraId="5E8F3066" w14:textId="77777777" w:rsidR="00C45D59" w:rsidRDefault="00C45D59" w:rsidP="00097639">
            <w:pPr>
              <w:spacing w:after="0" w:line="240" w:lineRule="auto"/>
              <w:rPr>
                <w:rFonts w:ascii="Times New Roman" w:eastAsia="Times New Roman" w:hAnsi="Times New Roman" w:cs="Times New Roman"/>
                <w:noProof/>
                <w:color w:val="006100"/>
                <w:sz w:val="18"/>
                <w:szCs w:val="18"/>
              </w:rPr>
            </w:pPr>
          </w:p>
        </w:tc>
        <w:tc>
          <w:tcPr>
            <w:tcW w:w="851" w:type="dxa"/>
            <w:shd w:val="clear" w:color="auto" w:fill="C6EFCE"/>
            <w:noWrap/>
          </w:tcPr>
          <w:p w14:paraId="3640A481" w14:textId="77777777" w:rsidR="00C45D59" w:rsidRDefault="009B0962" w:rsidP="00097639">
            <w:pPr>
              <w:pStyle w:val="P68B1DB1-Normal12"/>
              <w:spacing w:after="0" w:line="240" w:lineRule="auto"/>
              <w:rPr>
                <w:noProof/>
              </w:rPr>
            </w:pPr>
            <w:r>
              <w:rPr>
                <w:noProof/>
              </w:rPr>
              <w:t>Î4</w:t>
            </w:r>
          </w:p>
          <w:p w14:paraId="68F3AE78" w14:textId="77777777" w:rsidR="00C45D59" w:rsidRDefault="00C45D59" w:rsidP="00097639">
            <w:pPr>
              <w:spacing w:after="0" w:line="240" w:lineRule="auto"/>
              <w:rPr>
                <w:rFonts w:ascii="Times New Roman" w:eastAsia="Times New Roman" w:hAnsi="Times New Roman" w:cs="Times New Roman"/>
                <w:noProof/>
                <w:color w:val="006100"/>
                <w:sz w:val="18"/>
                <w:szCs w:val="18"/>
              </w:rPr>
            </w:pPr>
          </w:p>
        </w:tc>
        <w:tc>
          <w:tcPr>
            <w:tcW w:w="720" w:type="dxa"/>
            <w:shd w:val="clear" w:color="auto" w:fill="C6EFCE"/>
            <w:noWrap/>
          </w:tcPr>
          <w:p w14:paraId="677927FA" w14:textId="77777777" w:rsidR="00C45D59" w:rsidRDefault="009B0962" w:rsidP="00097639">
            <w:pPr>
              <w:pStyle w:val="P68B1DB1-Normal12"/>
              <w:spacing w:after="0" w:line="240" w:lineRule="auto"/>
              <w:rPr>
                <w:rFonts w:eastAsia="Times New Roman"/>
                <w:noProof/>
              </w:rPr>
            </w:pPr>
            <w:r>
              <w:rPr>
                <w:noProof/>
              </w:rPr>
              <w:t>2025</w:t>
            </w:r>
          </w:p>
        </w:tc>
        <w:tc>
          <w:tcPr>
            <w:tcW w:w="3002" w:type="dxa"/>
            <w:shd w:val="clear" w:color="auto" w:fill="C6EFCE"/>
            <w:noWrap/>
          </w:tcPr>
          <w:p w14:paraId="2DFFA1B9" w14:textId="1978F36E" w:rsidR="00C45D59" w:rsidRDefault="009B0962" w:rsidP="00097639">
            <w:pPr>
              <w:pStyle w:val="P68B1DB1-Normal12"/>
              <w:spacing w:after="0" w:line="240" w:lineRule="auto"/>
              <w:rPr>
                <w:noProof/>
              </w:rPr>
            </w:pPr>
            <w:r>
              <w:rPr>
                <w:noProof/>
              </w:rPr>
              <w:t>Realizarea următoarelor proiecte, astfel cum a fost confirmată de protocolul de acceptare al comitetului de monitorizare a proiectelor aferent:</w:t>
            </w:r>
          </w:p>
          <w:p w14:paraId="170DFB6A" w14:textId="77777777" w:rsidR="00C45D59" w:rsidRDefault="00C45D59" w:rsidP="00097639">
            <w:pPr>
              <w:spacing w:after="0" w:line="240" w:lineRule="auto"/>
              <w:rPr>
                <w:rFonts w:ascii="Times New Roman" w:hAnsi="Times New Roman" w:cs="Times New Roman"/>
                <w:noProof/>
                <w:color w:val="006100"/>
                <w:sz w:val="18"/>
                <w:szCs w:val="18"/>
              </w:rPr>
            </w:pPr>
          </w:p>
          <w:p w14:paraId="3D5E030F" w14:textId="42E03607" w:rsidR="00C45D59" w:rsidRDefault="009B0962" w:rsidP="00097639">
            <w:pPr>
              <w:pStyle w:val="P68B1DB1-Normal12"/>
              <w:spacing w:after="0" w:line="240" w:lineRule="auto"/>
              <w:rPr>
                <w:noProof/>
              </w:rPr>
            </w:pPr>
            <w:r>
              <w:rPr>
                <w:noProof/>
              </w:rPr>
              <w:t>— Proiectarea și dezvoltarea sistemelor informatice ale Organizației Naționale pentru Certificarea Calificărilor și Orientare Profesională (EOPPEP)</w:t>
            </w:r>
          </w:p>
          <w:p w14:paraId="3880D4E8" w14:textId="507B67CB" w:rsidR="00C45D59" w:rsidRDefault="009B0962" w:rsidP="00097639">
            <w:pPr>
              <w:pStyle w:val="P68B1DB1-ListParagraph34"/>
              <w:numPr>
                <w:ilvl w:val="0"/>
                <w:numId w:val="40"/>
              </w:numPr>
              <w:spacing w:after="0" w:line="240" w:lineRule="auto"/>
              <w:ind w:left="0"/>
              <w:rPr>
                <w:noProof/>
              </w:rPr>
            </w:pPr>
            <w:r>
              <w:rPr>
                <w:noProof/>
              </w:rPr>
              <w:t>— Dezvoltarea unei platforme electronice pentru educație și formare profesională (EFP)</w:t>
            </w:r>
          </w:p>
        </w:tc>
      </w:tr>
    </w:tbl>
    <w:p w14:paraId="327C50EF" w14:textId="4725BDEE" w:rsidR="00C45D59" w:rsidRDefault="00097639">
      <w:pPr>
        <w:spacing w:before="120" w:after="120" w:line="240" w:lineRule="auto"/>
        <w:ind w:left="709"/>
        <w:jc w:val="both"/>
        <w:rPr>
          <w:rFonts w:ascii="Times New Roman" w:hAnsi="Times New Roman" w:cs="Times New Roman"/>
          <w:noProof/>
          <w:sz w:val="24"/>
        </w:rPr>
        <w:sectPr w:rsidR="00C45D59">
          <w:headerReference w:type="even" r:id="rId198"/>
          <w:headerReference w:type="default" r:id="rId199"/>
          <w:footerReference w:type="even" r:id="rId200"/>
          <w:footerReference w:type="default" r:id="rId201"/>
          <w:headerReference w:type="first" r:id="rId202"/>
          <w:footerReference w:type="first" r:id="rId203"/>
          <w:pgSz w:w="16839" w:h="11907" w:orient="landscape"/>
          <w:pgMar w:top="1134" w:right="1134" w:bottom="1134" w:left="1134" w:header="567" w:footer="567" w:gutter="0"/>
          <w:cols w:space="720"/>
          <w:docGrid w:linePitch="360"/>
        </w:sectPr>
      </w:pPr>
      <w:r>
        <w:rPr>
          <w:rFonts w:ascii="Times New Roman" w:hAnsi="Times New Roman" w:cs="Times New Roman"/>
          <w:noProof/>
          <w:sz w:val="24"/>
        </w:rPr>
        <w:br w:type="textWrapping" w:clear="all"/>
      </w:r>
    </w:p>
    <w:p w14:paraId="6639BA36" w14:textId="77777777" w:rsidR="00C45D59" w:rsidRDefault="009B0962">
      <w:pPr>
        <w:pStyle w:val="P68B1DB1-Normal17"/>
        <w:spacing w:before="120" w:after="120" w:line="240" w:lineRule="auto"/>
        <w:ind w:firstLine="6"/>
        <w:jc w:val="both"/>
        <w:outlineLvl w:val="3"/>
        <w:rPr>
          <w:rFonts w:cs="Times New Roman"/>
          <w:bCs/>
          <w:noProof/>
        </w:rPr>
      </w:pPr>
      <w:r>
        <w:rPr>
          <w:noProof/>
        </w:rPr>
        <w:t>J. COMPONENTA 3.3: ÎMBUNĂTĂȚIREA REZILIENȚEI, ACCESIBILITĂȚII ȘI SUSTENABILITĂȚII SISTEMULUI DE ÎNGRIJIRI DE SĂNĂTATE</w:t>
      </w:r>
    </w:p>
    <w:p w14:paraId="4FA99E34" w14:textId="77777777" w:rsidR="00C45D59" w:rsidRDefault="009B0962">
      <w:pPr>
        <w:pStyle w:val="P68B1DB1-Normal5"/>
        <w:spacing w:before="120" w:after="120" w:line="240" w:lineRule="auto"/>
        <w:jc w:val="both"/>
        <w:rPr>
          <w:rFonts w:cs="Times New Roman"/>
          <w:noProof/>
        </w:rPr>
      </w:pPr>
      <w:r>
        <w:rPr>
          <w:noProof/>
        </w:rPr>
        <w:t>Această componentă a planului de redresare și reziliență al Greciei se axează pe creșterea rezilienței sistemului de sănătate prin diverse intervenții. O parte dintre aceste măsuri se axează pe îmbunătățiri ale infrastructurii, atât fizice, cât și digitale, precum și pe îmbunătățiri operaționale pentru modernizarea și actualizarea sistemului spitalicesc și a rețelei de centre medicale. Altele vizează sprijinirea și îmbunătățirea accesului, a eficienței și a rezilienței sectorului asistenței medicale. Mai precis, acestea includ măsuri de consolidare a sănătății publice și a prevenției, de creștere a capacității sistemului de sănătate de a furniza servicii de sănătate mintală și de îngrijire la domiciliu, de sprijinire a tranziției către un sector al asistenței medicale primare mai puternic și de raționalizare a cheltuielilor farmaceutice și de sprijinire a C &amp; D. Planul privind digitalizarea sistemelor și serviciilor de sănătate are obiectivul de a promova eficiența, de a îmbunătăți accesul și de a spori transparența generală și calitatea cheltuielilor publice din sistem. Se preconizează că nicio măsură din cadrul acestei componente nu prejudiciază în mod semnificativ obiectivele de mediu în sensul articolului 17 din Regulamentul (UE) 2020/852, ținând seama de descrierea măsurilor și a etapelor de atenuare prevăzute în planul de redresare și reziliență în conformitate cu Orientările tehnice privind aplicarea principiului de „a nu prejudicia în mod semnificativ” (2021/C58/01).</w:t>
      </w:r>
    </w:p>
    <w:p w14:paraId="39272302" w14:textId="77777777" w:rsidR="00C45D59" w:rsidRDefault="009B0962">
      <w:pPr>
        <w:pStyle w:val="P68B1DB1-Normal6"/>
        <w:spacing w:before="120" w:after="120" w:line="240" w:lineRule="auto"/>
        <w:jc w:val="both"/>
        <w:rPr>
          <w:rFonts w:cs="Times New Roman"/>
          <w:bCs/>
          <w:i/>
          <w:iCs/>
          <w:noProof/>
          <w:color w:val="4F81BD"/>
        </w:rPr>
      </w:pPr>
      <w:r>
        <w:rPr>
          <w:noProof/>
        </w:rPr>
        <w:t>J.1. Descrierea reformelor și a investițiilor pentru sprijinul financiar nerambursabil</w:t>
      </w:r>
    </w:p>
    <w:p w14:paraId="2D76CFB5" w14:textId="77777777" w:rsidR="00C45D59" w:rsidRDefault="009B0962">
      <w:pPr>
        <w:pStyle w:val="P68B1DB1-Normal5"/>
        <w:spacing w:before="120" w:after="120" w:line="240" w:lineRule="auto"/>
        <w:jc w:val="both"/>
        <w:rPr>
          <w:rFonts w:cs="Times New Roman"/>
          <w:noProof/>
        </w:rPr>
      </w:pPr>
      <w:r>
        <w:rPr>
          <w:b/>
          <w:noProof/>
        </w:rPr>
        <w:t>Reformă:</w:t>
      </w:r>
      <w:r>
        <w:rPr>
          <w:noProof/>
        </w:rPr>
        <w:t xml:space="preserve"> Reducerea recuperării și raționalizarea cheltuielilor cu asistența medicală (identificatorul măsurii: 16816)</w:t>
      </w:r>
    </w:p>
    <w:p w14:paraId="420B0D46" w14:textId="77777777" w:rsidR="00C45D59" w:rsidRDefault="009B0962">
      <w:pPr>
        <w:pStyle w:val="P68B1DB1-Normal7"/>
        <w:spacing w:before="120" w:after="120" w:line="240" w:lineRule="auto"/>
        <w:jc w:val="both"/>
        <w:rPr>
          <w:rFonts w:eastAsia="Times New Roman" w:cs="Times New Roman"/>
          <w:noProof/>
        </w:rPr>
      </w:pPr>
      <w:r>
        <w:rPr>
          <w:noProof/>
        </w:rPr>
        <w:t>Obiectivul măsurii este reducerea recuperării și controlul cheltuielilor farmaceutice. Reforma constă în stabilirea unui obiectiv obligatoriu de reducere a recuperării pentru anii 2022-2025 și a unei compensări parțiale a obligațiilor de recuperare ale întreprinderilor prin studii clinice intervenționale, C &amp; D sau alte cheltuieli de investiții pentru anii 2021 și ulterior.</w:t>
      </w:r>
    </w:p>
    <w:p w14:paraId="3D090AF3" w14:textId="77777777" w:rsidR="00C45D59" w:rsidRDefault="009B0962">
      <w:pPr>
        <w:pStyle w:val="P68B1DB1-Normal5"/>
        <w:spacing w:before="120" w:after="120" w:line="240" w:lineRule="auto"/>
        <w:jc w:val="both"/>
        <w:rPr>
          <w:rFonts w:cs="Times New Roman"/>
          <w:noProof/>
        </w:rPr>
      </w:pPr>
      <w:r>
        <w:rPr>
          <w:b/>
          <w:noProof/>
        </w:rPr>
        <w:t>Reformă:</w:t>
      </w:r>
      <w:r>
        <w:rPr>
          <w:noProof/>
        </w:rPr>
        <w:t xml:space="preserve"> Reforma sistemului de asistență medicală primară (identificatorul măsurii: 16755)</w:t>
      </w:r>
    </w:p>
    <w:p w14:paraId="1EF5E1EC" w14:textId="77777777" w:rsidR="00C45D59" w:rsidRDefault="009B0962">
      <w:pPr>
        <w:pStyle w:val="P68B1DB1-Normal7"/>
        <w:spacing w:before="120" w:after="120" w:line="240" w:lineRule="auto"/>
        <w:jc w:val="both"/>
        <w:rPr>
          <w:rFonts w:cs="Times New Roman"/>
          <w:noProof/>
        </w:rPr>
      </w:pPr>
      <w:r>
        <w:rPr>
          <w:noProof/>
        </w:rPr>
        <w:t>Obiectivul măsurii este de a moderniza infrastructura și echipamentele medicale ale unităților de asistență medicală primară și de a reorganiza sistemul de asistență medicală primară prin recalificarea personalului pentru a acționa ca asistență medicală de primă linie. Măsura constă în renovarea unităților de asistență medicală primară pentru eficiență energetică și livrarea de echipamente medicale. Aceasta constă, de asemenea, în prezentarea de propuneri de reformă a asistenței medicale primare (PHC), un mecanism-pilot de sesizare, cursuri de formare pentru personalul PHC și o platformă digitală pentru procesul decizional privind PHC. În cele din urmă, aceasta include extinderea disponibilității programelor de medicină de familie în programele medicale și crearea de unități de gestionare a bolilor cronice.</w:t>
      </w:r>
    </w:p>
    <w:p w14:paraId="59E8E5D0" w14:textId="77777777" w:rsidR="00C45D59" w:rsidRDefault="009B0962">
      <w:pPr>
        <w:pStyle w:val="P68B1DB1-Normal5"/>
        <w:spacing w:before="120" w:after="120" w:line="240" w:lineRule="auto"/>
        <w:jc w:val="both"/>
        <w:rPr>
          <w:rFonts w:cs="Times New Roman"/>
          <w:noProof/>
        </w:rPr>
      </w:pPr>
      <w:r>
        <w:rPr>
          <w:b/>
          <w:noProof/>
        </w:rPr>
        <w:t>Reformă:</w:t>
      </w:r>
      <w:r>
        <w:rPr>
          <w:noProof/>
        </w:rPr>
        <w:t xml:space="preserve"> Punerea în aplicare a Programului național de prevenire a sănătății publice „Spiros Doxiadis” (NPP „SD”) (ID măsură: 16783)</w:t>
      </w:r>
    </w:p>
    <w:p w14:paraId="56C5368D" w14:textId="77777777" w:rsidR="00C45D59" w:rsidRDefault="009B0962">
      <w:pPr>
        <w:pStyle w:val="P68B1DB1-Normal7"/>
        <w:spacing w:before="120" w:after="120" w:line="240" w:lineRule="auto"/>
        <w:jc w:val="both"/>
        <w:rPr>
          <w:rFonts w:cs="Times New Roman"/>
          <w:noProof/>
        </w:rPr>
      </w:pPr>
      <w:r>
        <w:rPr>
          <w:noProof/>
        </w:rPr>
        <w:t xml:space="preserve">Obiectivul măsurii este de a crea un sistem cuprinzător de prevenire primară și secundară în materie de sănătate. Măsura constă în intervenții de prevenire în domeniul sănătății și intervenții de screening al populației, precum și într-un sistem de monitorizare a sănătății. </w:t>
      </w:r>
    </w:p>
    <w:p w14:paraId="66CA9ED4" w14:textId="77777777" w:rsidR="00C45D59" w:rsidRDefault="009B0962">
      <w:pPr>
        <w:pStyle w:val="P68B1DB1-Normal7"/>
        <w:spacing w:before="120" w:after="120" w:line="240" w:lineRule="auto"/>
        <w:jc w:val="both"/>
        <w:rPr>
          <w:rFonts w:cs="Times New Roman"/>
          <w:noProof/>
        </w:rPr>
      </w:pPr>
      <w:r>
        <w:rPr>
          <w:b/>
          <w:noProof/>
        </w:rPr>
        <w:t>Reformă:</w:t>
      </w:r>
      <w:r>
        <w:rPr>
          <w:noProof/>
        </w:rPr>
        <w:t xml:space="preserve"> Reforma în domeniul sănătății mintale și al dependenței (identificatorul măsurii: 16820)</w:t>
      </w:r>
    </w:p>
    <w:p w14:paraId="063C2288" w14:textId="77777777" w:rsidR="00C45D59" w:rsidRDefault="009B0962">
      <w:pPr>
        <w:pStyle w:val="P68B1DB1-Normal7"/>
        <w:spacing w:before="120" w:after="120" w:line="240" w:lineRule="auto"/>
        <w:jc w:val="both"/>
        <w:rPr>
          <w:noProof/>
        </w:rPr>
      </w:pPr>
      <w:r>
        <w:rPr>
          <w:noProof/>
        </w:rPr>
        <w:t>Această reformă urmărește să asigure accesul la servicii de sănătate mintală de calitate pentru anumite populații care suferă de boli mintale și de dependență, pentru a preveni marginalizarea sau instituționalizarea acestora. Aceasta constă în extinderea serviciilor de sănătate mintală prin intermediul unităților de sănătate mintală pentru pacienții cu demență și boala Alzheimer, precum și pentru pacienții cu autism și pentru pacienții din grupa de vârstă a copiilor, adolescenților și tinerilor adulți, precum și al serviciilor de sănătate mintală pentru persoanele cu dependențe. Acest lucru este însoțit de dezvoltarea aplicațiilor web și de digitalizarea serviciilor de sănătate mintală. Punerea în aplicare a reformei se finalizează până la 31 decembrie 2023.</w:t>
      </w:r>
    </w:p>
    <w:p w14:paraId="4C056404" w14:textId="77777777" w:rsidR="00C45D59" w:rsidRDefault="009B0962">
      <w:pPr>
        <w:pStyle w:val="P68B1DB1-Normal7"/>
        <w:spacing w:before="120" w:after="0" w:line="240" w:lineRule="auto"/>
        <w:jc w:val="both"/>
        <w:rPr>
          <w:rFonts w:cs="Times New Roman"/>
          <w:noProof/>
        </w:rPr>
      </w:pPr>
      <w:r>
        <w:rPr>
          <w:b/>
          <w:noProof/>
        </w:rPr>
        <w:t>Reformă:</w:t>
      </w:r>
      <w:r>
        <w:rPr>
          <w:noProof/>
        </w:rPr>
        <w:t xml:space="preserve"> Reforme organizaționale în sistemul de sănătate (identificatorul măsurii: 16756)</w:t>
      </w:r>
    </w:p>
    <w:p w14:paraId="05DAD888" w14:textId="77777777" w:rsidR="00C45D59" w:rsidRDefault="009B0962">
      <w:pPr>
        <w:pStyle w:val="P68B1DB1-Normal7"/>
        <w:spacing w:before="120" w:after="0" w:line="240" w:lineRule="auto"/>
        <w:jc w:val="both"/>
        <w:rPr>
          <w:noProof/>
        </w:rPr>
      </w:pPr>
      <w:r>
        <w:rPr>
          <w:noProof/>
        </w:rPr>
        <w:t xml:space="preserve">Obiectivul măsurii este de a raționaliza rambursarea costurilor procedurilor medicale spitalicești. Măsura constă în 1) crearea de platforme pentru Institutul elen pentru grupuri legate de diagnostic (DRG) (KETEKNY), 2) crearea unei hărți naționale de sănătate care să înregistreze cererea și oferta de servicii în sistemul de sănătate, 3) reducerea listei de așteptare pentru intervenții chirurgicale elective și 4) crearea de instrumente și servicii pentru a-i ajuta pe cetățeni să navigheze în sistemul de sănătate. </w:t>
      </w:r>
    </w:p>
    <w:p w14:paraId="37B17C2C" w14:textId="77777777" w:rsidR="00C45D59" w:rsidRDefault="009B0962">
      <w:pPr>
        <w:pStyle w:val="P68B1DB1-Normal7"/>
        <w:spacing w:before="120" w:after="0" w:line="240" w:lineRule="auto"/>
        <w:jc w:val="both"/>
        <w:rPr>
          <w:rFonts w:cs="Times New Roman"/>
          <w:noProof/>
        </w:rPr>
      </w:pPr>
      <w:r>
        <w:rPr>
          <w:b/>
          <w:noProof/>
        </w:rPr>
        <w:t>Investiții:</w:t>
      </w:r>
      <w:r>
        <w:rPr>
          <w:noProof/>
        </w:rPr>
        <w:t xml:space="preserve"> Infrastructura de sănătate (identificatorul măsurii: 16795)</w:t>
      </w:r>
    </w:p>
    <w:p w14:paraId="2EF5889D" w14:textId="386AD60C" w:rsidR="00C45D59" w:rsidRDefault="009B0962">
      <w:pPr>
        <w:pStyle w:val="NormalWeb"/>
        <w:spacing w:before="120" w:after="0" w:line="240" w:lineRule="auto"/>
        <w:jc w:val="both"/>
        <w:rPr>
          <w:noProof/>
        </w:rPr>
      </w:pPr>
      <w:r>
        <w:rPr>
          <w:noProof/>
        </w:rPr>
        <w:t>Obiectivul măsurii este de a renova infrastructura și instrumentele necesare pentru o mai bună furnizare a serviciilor de sănătate. Măsura constă în renovarea și/sau construirea de spitale pe întreg teritoriul Greciei (inclusiv cu lucrări de eficiență energetică).</w:t>
      </w:r>
    </w:p>
    <w:p w14:paraId="1C86C6B4" w14:textId="77777777" w:rsidR="00C45D59" w:rsidRDefault="009B0962">
      <w:pPr>
        <w:pStyle w:val="P68B1DB1-Normal7"/>
        <w:spacing w:before="120" w:after="0" w:line="240" w:lineRule="auto"/>
        <w:jc w:val="both"/>
        <w:rPr>
          <w:rFonts w:cs="Times New Roman"/>
          <w:noProof/>
        </w:rPr>
      </w:pPr>
      <w:r>
        <w:rPr>
          <w:b/>
          <w:noProof/>
        </w:rPr>
        <w:t>Investiții:</w:t>
      </w:r>
      <w:r>
        <w:rPr>
          <w:noProof/>
        </w:rPr>
        <w:t xml:space="preserve"> Transformarea digitală a sănătății (DigHealth) (identificatorul măsurii: 16752)</w:t>
      </w:r>
    </w:p>
    <w:p w14:paraId="7981AECB" w14:textId="77777777" w:rsidR="00C45D59" w:rsidRDefault="009B0962">
      <w:pPr>
        <w:pStyle w:val="P68B1DB1-Normal7"/>
        <w:spacing w:before="120" w:after="0" w:line="240" w:lineRule="auto"/>
        <w:jc w:val="both"/>
        <w:rPr>
          <w:noProof/>
        </w:rPr>
      </w:pPr>
      <w:r>
        <w:rPr>
          <w:noProof/>
        </w:rPr>
        <w:t xml:space="preserve">Obiectivul măsurii este digitalizarea sistemului național de sănătate. Măsura constă în realizarea de proiecte digitale în sectorul asistenței medicale. </w:t>
      </w:r>
    </w:p>
    <w:p w14:paraId="7F1BA5EB" w14:textId="77777777" w:rsidR="00C45D59" w:rsidRDefault="009B0962">
      <w:pPr>
        <w:pStyle w:val="P68B1DB1-Normal5"/>
        <w:spacing w:before="120" w:after="0" w:line="240" w:lineRule="auto"/>
        <w:jc w:val="both"/>
        <w:rPr>
          <w:rFonts w:cs="Times New Roman"/>
          <w:noProof/>
        </w:rPr>
      </w:pPr>
      <w:r>
        <w:rPr>
          <w:b/>
          <w:noProof/>
        </w:rPr>
        <w:t>Investiții:</w:t>
      </w:r>
      <w:r>
        <w:rPr>
          <w:noProof/>
        </w:rPr>
        <w:t xml:space="preserve"> Centrul de radioterapie din cadrul Spitalului de boli toracice „Sotiria” din Atena (măsură ID: 16757)</w:t>
      </w:r>
    </w:p>
    <w:p w14:paraId="62B91218" w14:textId="1DCFA385" w:rsidR="00C45D59" w:rsidRDefault="009B0962">
      <w:pPr>
        <w:pStyle w:val="P68B1DB1-Normal7"/>
        <w:spacing w:before="120" w:after="0" w:line="240" w:lineRule="auto"/>
        <w:jc w:val="both"/>
        <w:rPr>
          <w:rFonts w:cs="Times New Roman"/>
          <w:noProof/>
        </w:rPr>
      </w:pPr>
      <w:r>
        <w:rPr>
          <w:noProof/>
        </w:rPr>
        <w:t xml:space="preserve">Obiectivul măsurii este construirea și încorporarea unui centru de radioterapie în Spitalul Sotiria pentru a contribui la satisfacerea nevoilor pacienților bolnavi de cancer din țară. Măsura constă într-o clădire nouă construită la Spitalul Sotiria pentru a găzdui noul departament de radioterapie, precum și în infrastructura spitalicească construită și/sau renovată. </w:t>
      </w:r>
    </w:p>
    <w:p w14:paraId="70F807F2" w14:textId="77777777" w:rsidR="00C45D59" w:rsidRDefault="009B0962">
      <w:pPr>
        <w:pStyle w:val="P68B1DB1-Normal5"/>
        <w:spacing w:before="120" w:after="0" w:line="240" w:lineRule="auto"/>
        <w:jc w:val="both"/>
        <w:rPr>
          <w:rFonts w:cs="Times New Roman"/>
          <w:noProof/>
        </w:rPr>
      </w:pPr>
      <w:r>
        <w:rPr>
          <w:b/>
          <w:noProof/>
        </w:rPr>
        <w:t>Investiții:</w:t>
      </w:r>
      <w:r>
        <w:rPr>
          <w:noProof/>
        </w:rPr>
        <w:t xml:space="preserve"> Înființarea sistemelor de asistență medicală la domiciliu &amp; de spitalizare la domiciliu (identificatorul măsurii: 16753)</w:t>
      </w:r>
    </w:p>
    <w:p w14:paraId="7655B7F6" w14:textId="2AEC0380" w:rsidR="00C45D59" w:rsidRDefault="009B0962">
      <w:pPr>
        <w:pStyle w:val="P68B1DB1-Normal7"/>
        <w:spacing w:before="120" w:after="0" w:line="240" w:lineRule="auto"/>
        <w:jc w:val="both"/>
        <w:rPr>
          <w:noProof/>
        </w:rPr>
      </w:pPr>
      <w:r>
        <w:rPr>
          <w:noProof/>
        </w:rPr>
        <w:t xml:space="preserve">Obiectivul măsurii este de a institui un sistem de îngrijire la domiciliu pentru pacienții cu handicap cronic. Măsura constă în opt centre de referință pentru asistență medicală la domiciliu cărora li s-a acordat participarea, în aplicații și echipamente de telemedicină livrate, într-un registru național pentru pacienții tratați prin asistență medicală la domiciliu și în protocoale și standarde de calitate stabilite pentru „asistența medicală spitalicească la domiciliu”. </w:t>
      </w:r>
    </w:p>
    <w:p w14:paraId="517F4BAE" w14:textId="77777777" w:rsidR="00C45D59" w:rsidRDefault="009B0962">
      <w:pPr>
        <w:pStyle w:val="P68B1DB1-Normal5"/>
        <w:spacing w:before="120" w:after="0" w:line="240" w:lineRule="auto"/>
        <w:jc w:val="both"/>
        <w:rPr>
          <w:rFonts w:cs="Times New Roman"/>
          <w:noProof/>
        </w:rPr>
      </w:pPr>
      <w:r>
        <w:rPr>
          <w:b/>
          <w:noProof/>
        </w:rPr>
        <w:t>Investiții:</w:t>
      </w:r>
      <w:r>
        <w:rPr>
          <w:noProof/>
        </w:rPr>
        <w:t xml:space="preserve"> Celule &amp; gene Therapies and Hematology Clinic Laboratories within the General Hospital of Thessaloniki «Papanikolaou» (Laboratoarele Clinice de Therapie și Hematologie din cadrul Spitalului General din Salonic «Papanikolaou») (identificatorul măsurii: 16793). </w:t>
      </w:r>
    </w:p>
    <w:p w14:paraId="1B874108" w14:textId="77777777" w:rsidR="00C45D59" w:rsidRDefault="009B0962">
      <w:pPr>
        <w:pStyle w:val="P68B1DB1-Normal7"/>
        <w:spacing w:before="120" w:after="0" w:line="240" w:lineRule="auto"/>
        <w:jc w:val="both"/>
        <w:rPr>
          <w:rFonts w:cs="Times New Roman"/>
          <w:noProof/>
        </w:rPr>
      </w:pPr>
      <w:r>
        <w:rPr>
          <w:noProof/>
        </w:rPr>
        <w:t>Obiectivul măsurii este de a contribui la îndeplinirea cerințelor sporite de îngrijire a pacienților cu boli hematologice maligne. Măsura constă într-o nouă clădire construită la Spitalul Papanikolaou pentru a găzdui Laboratoarele Clinicii de Therapie și Hematologie Cell &amp; Gene.</w:t>
      </w:r>
    </w:p>
    <w:p w14:paraId="2ED69C2F" w14:textId="77777777" w:rsidR="00C45D59" w:rsidRDefault="009B0962">
      <w:pPr>
        <w:pStyle w:val="P68B1DB1-Normal5"/>
        <w:spacing w:before="120" w:after="0" w:line="240" w:lineRule="auto"/>
        <w:jc w:val="both"/>
        <w:rPr>
          <w:rFonts w:cs="Times New Roman"/>
          <w:noProof/>
        </w:rPr>
      </w:pPr>
      <w:r>
        <w:rPr>
          <w:b/>
          <w:noProof/>
        </w:rPr>
        <w:t>Reformă:</w:t>
      </w:r>
      <w:r>
        <w:rPr>
          <w:noProof/>
        </w:rPr>
        <w:t xml:space="preserve"> Reforma medicilor personali (măsura ID: 16984)</w:t>
      </w:r>
    </w:p>
    <w:p w14:paraId="7A328D77" w14:textId="77777777" w:rsidR="00C45D59" w:rsidRDefault="009B0962">
      <w:pPr>
        <w:pStyle w:val="P68B1DB1-Default40"/>
        <w:jc w:val="both"/>
        <w:rPr>
          <w:rFonts w:cs="Times New Roman"/>
          <w:noProof/>
        </w:rPr>
        <w:sectPr w:rsidR="00C45D59">
          <w:headerReference w:type="even" r:id="rId204"/>
          <w:headerReference w:type="default" r:id="rId205"/>
          <w:footerReference w:type="even" r:id="rId206"/>
          <w:footerReference w:type="default" r:id="rId207"/>
          <w:headerReference w:type="first" r:id="rId208"/>
          <w:footerReference w:type="first" r:id="rId209"/>
          <w:pgSz w:w="11906" w:h="16838"/>
          <w:pgMar w:top="1134" w:right="1134" w:bottom="1134" w:left="1134" w:header="567" w:footer="567" w:gutter="0"/>
          <w:cols w:space="708"/>
          <w:docGrid w:linePitch="360"/>
        </w:sectPr>
      </w:pPr>
      <w:r>
        <w:rPr>
          <w:noProof/>
        </w:rPr>
        <w:t>Obiectivul măsurii este de a crește numărul de medici personali înscriși în sistemul medical personal pentru a realiza acoperirea demografică și înregistrarea populației. Măsura constă într-un nou cadru legislativ pentru înscrierea medicilor din mediul rural actuali ca medici personali, creând noi posturi similare cu cele ale medicilor personali și introducând un mecanism de stimulare a medicilor să devină rezidenți în medicina generală/de familie sau în medicina internă. Aceasta include, de asemenea, activarea sistemelor de înregistrare și de trimitere.</w:t>
      </w:r>
    </w:p>
    <w:p w14:paraId="0069F8A2" w14:textId="77777777" w:rsidR="00C45D59" w:rsidRDefault="009B0962">
      <w:pPr>
        <w:pStyle w:val="P68B1DB1-Normal6"/>
        <w:spacing w:before="120" w:after="120" w:line="240" w:lineRule="auto"/>
        <w:jc w:val="both"/>
        <w:rPr>
          <w:noProof/>
        </w:rPr>
      </w:pPr>
      <w:r>
        <w:rPr>
          <w:noProof/>
        </w:rPr>
        <w:t>J.2. Jaloane, ținte, indicatori și calendarul de monitorizare și implementare aplicabile sprijinului financiar nerambursabil</w:t>
      </w:r>
    </w:p>
    <w:p w14:paraId="7C740FA0" w14:textId="77777777" w:rsidR="00C45D59" w:rsidRDefault="009B0962">
      <w:pPr>
        <w:pStyle w:val="P68B1DB1-Normal9"/>
        <w:keepNext/>
        <w:keepLines/>
        <w:spacing w:before="40" w:after="0" w:line="240" w:lineRule="auto"/>
        <w:jc w:val="both"/>
        <w:outlineLvl w:val="4"/>
        <w:rPr>
          <w:noProof/>
        </w:rPr>
      </w:pPr>
      <w:r>
        <w:rPr>
          <w:noProof/>
        </w:rPr>
        <w:t>Reforma cheie 7: Reforme și accelerarea investițiilor în sectorul asistenței medicale – Reducerea și raționalizarea cheltuielilor cu asistența medicală (ID: 16816)</w:t>
      </w:r>
    </w:p>
    <w:tbl>
      <w:tblPr>
        <w:tblW w:w="157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2"/>
        <w:gridCol w:w="1689"/>
        <w:gridCol w:w="1088"/>
        <w:gridCol w:w="1350"/>
        <w:gridCol w:w="1717"/>
        <w:gridCol w:w="1194"/>
        <w:gridCol w:w="896"/>
        <w:gridCol w:w="866"/>
        <w:gridCol w:w="1006"/>
        <w:gridCol w:w="992"/>
        <w:gridCol w:w="4501"/>
      </w:tblGrid>
      <w:tr w:rsidR="00C45D59" w14:paraId="5B2217D0" w14:textId="77777777">
        <w:trPr>
          <w:trHeight w:val="759"/>
          <w:tblHeader/>
          <w:jc w:val="center"/>
        </w:trPr>
        <w:tc>
          <w:tcPr>
            <w:tcW w:w="592" w:type="dxa"/>
            <w:vMerge w:val="restart"/>
            <w:shd w:val="clear" w:color="auto" w:fill="BDD7EE"/>
            <w:vAlign w:val="center"/>
            <w:hideMark/>
          </w:tcPr>
          <w:p w14:paraId="0B8876D9" w14:textId="617B5ECE" w:rsidR="00C45D59" w:rsidRDefault="009B0962">
            <w:pPr>
              <w:pStyle w:val="P68B1DB1-Normal10"/>
              <w:spacing w:after="0" w:line="240" w:lineRule="auto"/>
              <w:jc w:val="center"/>
              <w:rPr>
                <w:rFonts w:eastAsia="Times New Roman" w:cs="Times New Roman"/>
                <w:bCs/>
                <w:noProof/>
                <w:szCs w:val="18"/>
              </w:rPr>
            </w:pPr>
            <w:r>
              <w:rPr>
                <w:noProof/>
              </w:rPr>
              <w:t>Nr</w:t>
            </w:r>
            <w:r w:rsidR="00097639">
              <w:rPr>
                <w:noProof/>
              </w:rPr>
              <w:t>.</w:t>
            </w:r>
            <w:r>
              <w:rPr>
                <w:noProof/>
              </w:rPr>
              <w:t xml:space="preserve"> </w:t>
            </w:r>
            <w:r>
              <w:rPr>
                <w:noProof/>
              </w:rPr>
              <w:br/>
            </w:r>
            <w:r w:rsidR="00097639">
              <w:rPr>
                <w:noProof/>
              </w:rPr>
              <w:t>crt</w:t>
            </w:r>
            <w:r>
              <w:rPr>
                <w:noProof/>
              </w:rPr>
              <w:t>.</w:t>
            </w:r>
          </w:p>
        </w:tc>
        <w:tc>
          <w:tcPr>
            <w:tcW w:w="1689" w:type="dxa"/>
            <w:vMerge w:val="restart"/>
            <w:shd w:val="clear" w:color="auto" w:fill="BDD7EE"/>
            <w:vAlign w:val="center"/>
            <w:hideMark/>
          </w:tcPr>
          <w:p w14:paraId="0D441F27" w14:textId="77777777" w:rsidR="00C45D59" w:rsidRDefault="009B0962">
            <w:pPr>
              <w:pStyle w:val="P68B1DB1-Normal41"/>
              <w:spacing w:after="0" w:line="240" w:lineRule="auto"/>
              <w:jc w:val="center"/>
              <w:rPr>
                <w:rFonts w:eastAsia="Times New Roman" w:cs="Times New Roman"/>
                <w:bCs/>
                <w:noProof/>
              </w:rPr>
            </w:pPr>
            <w:r>
              <w:rPr>
                <w:noProof/>
              </w:rPr>
              <w:t>Măsură conexă (reformă sau investiții)</w:t>
            </w:r>
          </w:p>
        </w:tc>
        <w:tc>
          <w:tcPr>
            <w:tcW w:w="1088" w:type="dxa"/>
            <w:vMerge w:val="restart"/>
            <w:shd w:val="clear" w:color="auto" w:fill="BDD7EE"/>
            <w:vAlign w:val="center"/>
            <w:hideMark/>
          </w:tcPr>
          <w:p w14:paraId="096BD71D" w14:textId="54F0EABD" w:rsidR="00C45D59" w:rsidRDefault="009B0962">
            <w:pPr>
              <w:pStyle w:val="P68B1DB1-Normal41"/>
              <w:spacing w:after="0" w:line="240" w:lineRule="auto"/>
              <w:jc w:val="center"/>
              <w:rPr>
                <w:rFonts w:eastAsia="Times New Roman" w:cs="Times New Roman"/>
                <w:bCs/>
                <w:noProof/>
              </w:rPr>
            </w:pPr>
            <w:r>
              <w:rPr>
                <w:noProof/>
              </w:rPr>
              <w:t>Etapă/</w:t>
            </w:r>
            <w:r w:rsidR="00097639">
              <w:rPr>
                <w:noProof/>
              </w:rPr>
              <w:t xml:space="preserve"> </w:t>
            </w:r>
            <w:r>
              <w:rPr>
                <w:noProof/>
              </w:rPr>
              <w:t>Obiectiv</w:t>
            </w:r>
          </w:p>
        </w:tc>
        <w:tc>
          <w:tcPr>
            <w:tcW w:w="1350" w:type="dxa"/>
            <w:vMerge w:val="restart"/>
            <w:shd w:val="clear" w:color="auto" w:fill="BDD7EE"/>
            <w:vAlign w:val="center"/>
            <w:hideMark/>
          </w:tcPr>
          <w:p w14:paraId="09283301" w14:textId="54A8AFE4" w:rsidR="00C45D59" w:rsidRDefault="00097639">
            <w:pPr>
              <w:pStyle w:val="P68B1DB1-Normal41"/>
              <w:spacing w:after="0" w:line="240" w:lineRule="auto"/>
              <w:jc w:val="center"/>
              <w:rPr>
                <w:rFonts w:eastAsia="Times New Roman" w:cs="Times New Roman"/>
                <w:bCs/>
                <w:noProof/>
              </w:rPr>
            </w:pPr>
            <w:r>
              <w:rPr>
                <w:noProof/>
              </w:rPr>
              <w:t>Denumire</w:t>
            </w:r>
          </w:p>
        </w:tc>
        <w:tc>
          <w:tcPr>
            <w:tcW w:w="1717" w:type="dxa"/>
            <w:vMerge w:val="restart"/>
            <w:shd w:val="clear" w:color="auto" w:fill="BDD7EE"/>
            <w:vAlign w:val="center"/>
            <w:hideMark/>
          </w:tcPr>
          <w:p w14:paraId="66395B11" w14:textId="77777777" w:rsidR="00C45D59" w:rsidRDefault="009B0962">
            <w:pPr>
              <w:pStyle w:val="P68B1DB1-Normal41"/>
              <w:spacing w:after="0" w:line="240" w:lineRule="auto"/>
              <w:jc w:val="center"/>
              <w:rPr>
                <w:rFonts w:eastAsia="Times New Roman" w:cs="Times New Roman"/>
                <w:bCs/>
                <w:noProof/>
              </w:rPr>
            </w:pPr>
            <w:r>
              <w:rPr>
                <w:noProof/>
              </w:rPr>
              <w:t>Indicatori calitativi (pentru obiectivele de etapă)</w:t>
            </w:r>
          </w:p>
        </w:tc>
        <w:tc>
          <w:tcPr>
            <w:tcW w:w="2828" w:type="dxa"/>
            <w:gridSpan w:val="3"/>
            <w:shd w:val="clear" w:color="auto" w:fill="BDD7EE"/>
            <w:vAlign w:val="center"/>
            <w:hideMark/>
          </w:tcPr>
          <w:p w14:paraId="416793BC" w14:textId="77777777" w:rsidR="00C45D59" w:rsidRDefault="009B0962">
            <w:pPr>
              <w:pStyle w:val="P68B1DB1-Normal41"/>
              <w:spacing w:after="0" w:line="240" w:lineRule="auto"/>
              <w:jc w:val="center"/>
              <w:rPr>
                <w:rFonts w:eastAsia="Times New Roman" w:cs="Times New Roman"/>
                <w:bCs/>
                <w:noProof/>
              </w:rPr>
            </w:pPr>
            <w:r>
              <w:rPr>
                <w:noProof/>
              </w:rPr>
              <w:t xml:space="preserve">Indicatori cantitativi </w:t>
            </w:r>
            <w:r>
              <w:rPr>
                <w:noProof/>
              </w:rPr>
              <w:br/>
              <w:t xml:space="preserve"> (pentru obiective)</w:t>
            </w:r>
          </w:p>
        </w:tc>
        <w:tc>
          <w:tcPr>
            <w:tcW w:w="1965" w:type="dxa"/>
            <w:gridSpan w:val="2"/>
            <w:shd w:val="clear" w:color="auto" w:fill="BDD7EE"/>
            <w:vAlign w:val="center"/>
            <w:hideMark/>
          </w:tcPr>
          <w:p w14:paraId="3D9B771A" w14:textId="77777777" w:rsidR="00C45D59" w:rsidRDefault="009B0962">
            <w:pPr>
              <w:pStyle w:val="P68B1DB1-Normal41"/>
              <w:spacing w:after="0" w:line="240" w:lineRule="auto"/>
              <w:jc w:val="center"/>
              <w:rPr>
                <w:rFonts w:eastAsia="Times New Roman" w:cs="Times New Roman"/>
                <w:bCs/>
                <w:noProof/>
              </w:rPr>
            </w:pPr>
            <w:r>
              <w:rPr>
                <w:noProof/>
              </w:rPr>
              <w:t xml:space="preserve">Calendar orientativ pentru finalizare </w:t>
            </w:r>
          </w:p>
        </w:tc>
        <w:tc>
          <w:tcPr>
            <w:tcW w:w="4501" w:type="dxa"/>
            <w:vMerge w:val="restart"/>
            <w:shd w:val="clear" w:color="auto" w:fill="BDD7EE"/>
            <w:vAlign w:val="center"/>
            <w:hideMark/>
          </w:tcPr>
          <w:p w14:paraId="1034F831" w14:textId="77777777" w:rsidR="00C45D59" w:rsidRDefault="009B0962">
            <w:pPr>
              <w:pStyle w:val="P68B1DB1-Normal41"/>
              <w:spacing w:after="0" w:line="240" w:lineRule="auto"/>
              <w:jc w:val="center"/>
              <w:rPr>
                <w:rFonts w:eastAsia="Times New Roman" w:cs="Times New Roman"/>
                <w:bCs/>
                <w:noProof/>
              </w:rPr>
            </w:pPr>
            <w:r>
              <w:rPr>
                <w:noProof/>
              </w:rPr>
              <w:t>Descrierea fiecărui jalon și a fiecărei ținte</w:t>
            </w:r>
          </w:p>
        </w:tc>
      </w:tr>
      <w:tr w:rsidR="00C45D59" w14:paraId="4E0979F8" w14:textId="77777777">
        <w:trPr>
          <w:trHeight w:val="532"/>
          <w:tblHeader/>
          <w:jc w:val="center"/>
        </w:trPr>
        <w:tc>
          <w:tcPr>
            <w:tcW w:w="592" w:type="dxa"/>
            <w:vMerge/>
            <w:vAlign w:val="center"/>
            <w:hideMark/>
          </w:tcPr>
          <w:p w14:paraId="45F86040" w14:textId="77777777" w:rsidR="00C45D59" w:rsidRDefault="00C45D59">
            <w:pPr>
              <w:spacing w:after="0" w:line="240" w:lineRule="auto"/>
              <w:rPr>
                <w:rFonts w:ascii="Times New Roman" w:eastAsia="Times New Roman" w:hAnsi="Times New Roman" w:cs="Times New Roman"/>
                <w:b/>
                <w:bCs/>
                <w:noProof/>
                <w:sz w:val="18"/>
                <w:szCs w:val="18"/>
              </w:rPr>
            </w:pPr>
          </w:p>
        </w:tc>
        <w:tc>
          <w:tcPr>
            <w:tcW w:w="1689" w:type="dxa"/>
            <w:vMerge/>
            <w:vAlign w:val="center"/>
            <w:hideMark/>
          </w:tcPr>
          <w:p w14:paraId="64916159" w14:textId="77777777" w:rsidR="00C45D59" w:rsidRDefault="00C45D59">
            <w:pPr>
              <w:spacing w:after="0" w:line="240" w:lineRule="auto"/>
              <w:rPr>
                <w:rFonts w:ascii="Times New Roman" w:eastAsia="Times New Roman" w:hAnsi="Times New Roman" w:cs="Times New Roman"/>
                <w:b/>
                <w:bCs/>
                <w:noProof/>
                <w:sz w:val="18"/>
                <w:szCs w:val="18"/>
              </w:rPr>
            </w:pPr>
          </w:p>
        </w:tc>
        <w:tc>
          <w:tcPr>
            <w:tcW w:w="1088" w:type="dxa"/>
            <w:vMerge/>
            <w:vAlign w:val="center"/>
            <w:hideMark/>
          </w:tcPr>
          <w:p w14:paraId="385074F7" w14:textId="77777777" w:rsidR="00C45D59" w:rsidRDefault="00C45D59">
            <w:pPr>
              <w:spacing w:after="0" w:line="240" w:lineRule="auto"/>
              <w:rPr>
                <w:rFonts w:ascii="Times New Roman" w:eastAsia="Times New Roman" w:hAnsi="Times New Roman" w:cs="Times New Roman"/>
                <w:b/>
                <w:bCs/>
                <w:noProof/>
                <w:sz w:val="18"/>
                <w:szCs w:val="18"/>
              </w:rPr>
            </w:pPr>
          </w:p>
        </w:tc>
        <w:tc>
          <w:tcPr>
            <w:tcW w:w="1350" w:type="dxa"/>
            <w:vMerge/>
            <w:vAlign w:val="center"/>
            <w:hideMark/>
          </w:tcPr>
          <w:p w14:paraId="01A3F536" w14:textId="77777777" w:rsidR="00C45D59" w:rsidRDefault="00C45D59">
            <w:pPr>
              <w:spacing w:after="0" w:line="240" w:lineRule="auto"/>
              <w:rPr>
                <w:rFonts w:ascii="Times New Roman" w:eastAsia="Times New Roman" w:hAnsi="Times New Roman" w:cs="Times New Roman"/>
                <w:b/>
                <w:bCs/>
                <w:noProof/>
                <w:sz w:val="18"/>
                <w:szCs w:val="18"/>
              </w:rPr>
            </w:pPr>
          </w:p>
        </w:tc>
        <w:tc>
          <w:tcPr>
            <w:tcW w:w="1717" w:type="dxa"/>
            <w:vMerge/>
            <w:vAlign w:val="center"/>
            <w:hideMark/>
          </w:tcPr>
          <w:p w14:paraId="0A02C50E" w14:textId="77777777" w:rsidR="00C45D59" w:rsidRDefault="00C45D59">
            <w:pPr>
              <w:spacing w:after="0" w:line="240" w:lineRule="auto"/>
              <w:rPr>
                <w:rFonts w:ascii="Times New Roman" w:eastAsia="Times New Roman" w:hAnsi="Times New Roman" w:cs="Times New Roman"/>
                <w:b/>
                <w:bCs/>
                <w:noProof/>
                <w:sz w:val="18"/>
                <w:szCs w:val="18"/>
              </w:rPr>
            </w:pPr>
          </w:p>
        </w:tc>
        <w:tc>
          <w:tcPr>
            <w:tcW w:w="1194" w:type="dxa"/>
            <w:shd w:val="clear" w:color="auto" w:fill="BDD7EE"/>
            <w:vAlign w:val="center"/>
            <w:hideMark/>
          </w:tcPr>
          <w:p w14:paraId="274E528D" w14:textId="77777777" w:rsidR="00C45D59" w:rsidRDefault="009B0962">
            <w:pPr>
              <w:pStyle w:val="P68B1DB1-Normal41"/>
              <w:spacing w:after="0" w:line="240" w:lineRule="auto"/>
              <w:jc w:val="center"/>
              <w:rPr>
                <w:rFonts w:eastAsia="Times New Roman" w:cs="Times New Roman"/>
                <w:bCs/>
                <w:noProof/>
              </w:rPr>
            </w:pPr>
            <w:r>
              <w:rPr>
                <w:noProof/>
              </w:rPr>
              <w:t>Unitatea de măsură</w:t>
            </w:r>
          </w:p>
        </w:tc>
        <w:tc>
          <w:tcPr>
            <w:tcW w:w="870" w:type="dxa"/>
            <w:shd w:val="clear" w:color="auto" w:fill="BDD7EE"/>
            <w:vAlign w:val="center"/>
            <w:hideMark/>
          </w:tcPr>
          <w:p w14:paraId="02C1AD80" w14:textId="77777777" w:rsidR="00C45D59" w:rsidRDefault="009B0962">
            <w:pPr>
              <w:pStyle w:val="P68B1DB1-Normal41"/>
              <w:spacing w:after="0" w:line="240" w:lineRule="auto"/>
              <w:jc w:val="center"/>
              <w:rPr>
                <w:rFonts w:eastAsia="Times New Roman" w:cs="Times New Roman"/>
                <w:bCs/>
                <w:noProof/>
              </w:rPr>
            </w:pPr>
            <w:r>
              <w:rPr>
                <w:noProof/>
              </w:rPr>
              <w:t xml:space="preserve">Situația de referință </w:t>
            </w:r>
          </w:p>
        </w:tc>
        <w:tc>
          <w:tcPr>
            <w:tcW w:w="764" w:type="dxa"/>
            <w:shd w:val="clear" w:color="auto" w:fill="BDD7EE"/>
            <w:vAlign w:val="center"/>
            <w:hideMark/>
          </w:tcPr>
          <w:p w14:paraId="5B29C128" w14:textId="77777777" w:rsidR="00C45D59" w:rsidRDefault="009B0962">
            <w:pPr>
              <w:pStyle w:val="P68B1DB1-Normal41"/>
              <w:spacing w:after="0" w:line="240" w:lineRule="auto"/>
              <w:jc w:val="center"/>
              <w:rPr>
                <w:rFonts w:eastAsia="Times New Roman" w:cs="Times New Roman"/>
                <w:bCs/>
                <w:noProof/>
              </w:rPr>
            </w:pPr>
            <w:r>
              <w:rPr>
                <w:noProof/>
              </w:rPr>
              <w:t xml:space="preserve">Obiectiv </w:t>
            </w:r>
          </w:p>
        </w:tc>
        <w:tc>
          <w:tcPr>
            <w:tcW w:w="973" w:type="dxa"/>
            <w:shd w:val="clear" w:color="auto" w:fill="BDD7EE"/>
            <w:vAlign w:val="center"/>
            <w:hideMark/>
          </w:tcPr>
          <w:p w14:paraId="6BE3FFD3" w14:textId="77777777" w:rsidR="00C45D59" w:rsidRDefault="009B0962">
            <w:pPr>
              <w:pStyle w:val="P68B1DB1-Normal41"/>
              <w:spacing w:after="0" w:line="240" w:lineRule="auto"/>
              <w:jc w:val="center"/>
              <w:rPr>
                <w:rFonts w:eastAsia="Times New Roman" w:cs="Times New Roman"/>
                <w:bCs/>
                <w:noProof/>
              </w:rPr>
            </w:pPr>
            <w:r>
              <w:rPr>
                <w:noProof/>
              </w:rPr>
              <w:t>Trimestru</w:t>
            </w:r>
          </w:p>
        </w:tc>
        <w:tc>
          <w:tcPr>
            <w:tcW w:w="992" w:type="dxa"/>
            <w:shd w:val="clear" w:color="auto" w:fill="BDD7EE"/>
            <w:vAlign w:val="center"/>
            <w:hideMark/>
          </w:tcPr>
          <w:p w14:paraId="24DA241C" w14:textId="77777777" w:rsidR="00C45D59" w:rsidRDefault="009B0962">
            <w:pPr>
              <w:pStyle w:val="P68B1DB1-Normal41"/>
              <w:spacing w:after="0" w:line="240" w:lineRule="auto"/>
              <w:jc w:val="center"/>
              <w:rPr>
                <w:rFonts w:eastAsia="Times New Roman" w:cs="Times New Roman"/>
                <w:bCs/>
                <w:noProof/>
              </w:rPr>
            </w:pPr>
            <w:r>
              <w:rPr>
                <w:noProof/>
              </w:rPr>
              <w:t>Anul</w:t>
            </w:r>
          </w:p>
        </w:tc>
        <w:tc>
          <w:tcPr>
            <w:tcW w:w="4501" w:type="dxa"/>
            <w:vMerge/>
            <w:vAlign w:val="center"/>
            <w:hideMark/>
          </w:tcPr>
          <w:p w14:paraId="5FA813B9" w14:textId="77777777" w:rsidR="00C45D59" w:rsidRDefault="00C45D59">
            <w:pPr>
              <w:spacing w:after="0" w:line="240" w:lineRule="auto"/>
              <w:rPr>
                <w:rFonts w:ascii="Times New Roman" w:eastAsia="Times New Roman" w:hAnsi="Times New Roman" w:cs="Times New Roman"/>
                <w:b/>
                <w:bCs/>
                <w:noProof/>
                <w:sz w:val="18"/>
                <w:szCs w:val="18"/>
              </w:rPr>
            </w:pPr>
          </w:p>
        </w:tc>
      </w:tr>
      <w:tr w:rsidR="00C45D59" w14:paraId="095A8483" w14:textId="77777777">
        <w:trPr>
          <w:trHeight w:val="309"/>
          <w:jc w:val="center"/>
        </w:trPr>
        <w:tc>
          <w:tcPr>
            <w:tcW w:w="592" w:type="dxa"/>
            <w:shd w:val="clear" w:color="auto" w:fill="C6EFCE"/>
            <w:noWrap/>
          </w:tcPr>
          <w:p w14:paraId="5C991029" w14:textId="77777777" w:rsidR="00C45D59" w:rsidRDefault="009B0962">
            <w:pPr>
              <w:pStyle w:val="P68B1DB1-Normal12"/>
              <w:spacing w:after="0" w:line="240" w:lineRule="auto"/>
              <w:rPr>
                <w:rFonts w:eastAsia="Times New Roman"/>
                <w:noProof/>
              </w:rPr>
            </w:pPr>
            <w:r>
              <w:rPr>
                <w:noProof/>
              </w:rPr>
              <w:t>153</w:t>
            </w:r>
          </w:p>
        </w:tc>
        <w:tc>
          <w:tcPr>
            <w:tcW w:w="1689" w:type="dxa"/>
            <w:shd w:val="clear" w:color="auto" w:fill="C6EFCE"/>
            <w:noWrap/>
          </w:tcPr>
          <w:p w14:paraId="770DD267" w14:textId="77777777" w:rsidR="00C45D59" w:rsidRDefault="009B0962">
            <w:pPr>
              <w:pStyle w:val="P68B1DB1-Normal12"/>
              <w:spacing w:after="0" w:line="240" w:lineRule="auto"/>
              <w:rPr>
                <w:rFonts w:eastAsia="Times New Roman"/>
                <w:noProof/>
              </w:rPr>
            </w:pPr>
            <w:r>
              <w:rPr>
                <w:noProof/>
              </w:rPr>
              <w:t>10-3.3. Îmbunătățirea rezilienței, a accesibilității și a sustenabilității asistenței medicale – 16816_ Reducerea și raționalizarea cheltuielilor cu asistența medicală</w:t>
            </w:r>
          </w:p>
        </w:tc>
        <w:tc>
          <w:tcPr>
            <w:tcW w:w="1088" w:type="dxa"/>
            <w:shd w:val="clear" w:color="auto" w:fill="C6EFCE"/>
            <w:noWrap/>
          </w:tcPr>
          <w:p w14:paraId="684DADA1" w14:textId="77777777" w:rsidR="00C45D59" w:rsidRDefault="009B0962">
            <w:pPr>
              <w:pStyle w:val="P68B1DB1-Normal12"/>
              <w:spacing w:after="0" w:line="240" w:lineRule="auto"/>
              <w:rPr>
                <w:rFonts w:eastAsia="Times New Roman"/>
                <w:noProof/>
              </w:rPr>
            </w:pPr>
            <w:r>
              <w:rPr>
                <w:noProof/>
              </w:rPr>
              <w:t>Etapă</w:t>
            </w:r>
          </w:p>
        </w:tc>
        <w:tc>
          <w:tcPr>
            <w:tcW w:w="1350" w:type="dxa"/>
            <w:shd w:val="clear" w:color="auto" w:fill="C6EFCE"/>
            <w:noWrap/>
          </w:tcPr>
          <w:p w14:paraId="070AEF34" w14:textId="77777777" w:rsidR="00C45D59" w:rsidRDefault="009B0962">
            <w:pPr>
              <w:pStyle w:val="P68B1DB1-Normal12"/>
              <w:spacing w:after="0" w:line="240" w:lineRule="auto"/>
              <w:rPr>
                <w:rFonts w:eastAsia="Times New Roman"/>
                <w:noProof/>
              </w:rPr>
            </w:pPr>
            <w:r>
              <w:rPr>
                <w:noProof/>
              </w:rPr>
              <w:t>Recuperare – intrarea în vigoare a legislației</w:t>
            </w:r>
          </w:p>
        </w:tc>
        <w:tc>
          <w:tcPr>
            <w:tcW w:w="1717" w:type="dxa"/>
            <w:shd w:val="clear" w:color="auto" w:fill="C6EFCE"/>
            <w:noWrap/>
          </w:tcPr>
          <w:p w14:paraId="49875F14" w14:textId="77777777" w:rsidR="00C45D59" w:rsidRDefault="009B0962">
            <w:pPr>
              <w:pStyle w:val="P68B1DB1-Normal12"/>
              <w:spacing w:after="0" w:line="240" w:lineRule="auto"/>
              <w:rPr>
                <w:rFonts w:eastAsia="Times New Roman"/>
                <w:noProof/>
              </w:rPr>
            </w:pPr>
            <w:r>
              <w:rPr>
                <w:noProof/>
              </w:rPr>
              <w:t xml:space="preserve">Intrarea în vigoare a legislației revizuite care introduce partajarea riscurilor și obiectivele obligatorii de reducere minimă a recuperării în conformitate cu calendarul prezentat în descriere. </w:t>
            </w:r>
          </w:p>
        </w:tc>
        <w:tc>
          <w:tcPr>
            <w:tcW w:w="1194" w:type="dxa"/>
            <w:shd w:val="clear" w:color="auto" w:fill="C6EFCE"/>
            <w:noWrap/>
          </w:tcPr>
          <w:p w14:paraId="69575D27"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70" w:type="dxa"/>
            <w:shd w:val="clear" w:color="auto" w:fill="C6EFCE"/>
            <w:noWrap/>
          </w:tcPr>
          <w:p w14:paraId="579D87AB"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764" w:type="dxa"/>
            <w:shd w:val="clear" w:color="auto" w:fill="C6EFCE"/>
            <w:noWrap/>
          </w:tcPr>
          <w:p w14:paraId="516A978B"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973" w:type="dxa"/>
            <w:shd w:val="clear" w:color="auto" w:fill="C6EFCE"/>
            <w:noWrap/>
          </w:tcPr>
          <w:p w14:paraId="014482F8" w14:textId="77777777" w:rsidR="00C45D59" w:rsidRDefault="009B0962">
            <w:pPr>
              <w:pStyle w:val="P68B1DB1-Normal12"/>
              <w:spacing w:after="0" w:line="240" w:lineRule="auto"/>
              <w:rPr>
                <w:rFonts w:eastAsia="Times New Roman"/>
                <w:noProof/>
              </w:rPr>
            </w:pPr>
            <w:r>
              <w:rPr>
                <w:noProof/>
              </w:rPr>
              <w:t>Î3</w:t>
            </w:r>
          </w:p>
        </w:tc>
        <w:tc>
          <w:tcPr>
            <w:tcW w:w="992" w:type="dxa"/>
            <w:shd w:val="clear" w:color="auto" w:fill="C6EFCE"/>
            <w:noWrap/>
          </w:tcPr>
          <w:p w14:paraId="3C6124E8" w14:textId="77777777" w:rsidR="00C45D59" w:rsidRDefault="009B0962">
            <w:pPr>
              <w:pStyle w:val="P68B1DB1-Normal12"/>
              <w:spacing w:after="0" w:line="240" w:lineRule="auto"/>
              <w:rPr>
                <w:rFonts w:eastAsia="Times New Roman"/>
                <w:noProof/>
              </w:rPr>
            </w:pPr>
            <w:r>
              <w:rPr>
                <w:noProof/>
              </w:rPr>
              <w:t>2021</w:t>
            </w:r>
          </w:p>
        </w:tc>
        <w:tc>
          <w:tcPr>
            <w:tcW w:w="4501" w:type="dxa"/>
            <w:shd w:val="clear" w:color="auto" w:fill="C6EFCE"/>
            <w:noWrap/>
          </w:tcPr>
          <w:p w14:paraId="1CEA836D" w14:textId="77777777" w:rsidR="00C45D59" w:rsidRDefault="009B0962">
            <w:pPr>
              <w:pStyle w:val="P68B1DB1-Normal12"/>
              <w:spacing w:after="0" w:line="240" w:lineRule="auto"/>
              <w:rPr>
                <w:noProof/>
              </w:rPr>
            </w:pPr>
            <w:r>
              <w:rPr>
                <w:noProof/>
              </w:rPr>
              <w:t xml:space="preserve">Intrarea în vigoare a unui cadru juridic (dreptul primar) pentru partajarea riscurilor în calcularea recuperării prin stabilirea unui obiectiv obligatoriu de reducere a recuperării în următorii ani. Reforma vizează o reducere minimă a sumelor de recuperat cu 50 000 000 EUR (2022), 150 000 000 EUR (2023), 300 000 000 EUR (2024) și, respectiv, 400 000 000 EUR (2025), față de nivelurile din 2020. </w:t>
            </w:r>
          </w:p>
          <w:p w14:paraId="75D1B6B0" w14:textId="604D9F70" w:rsidR="00C45D59" w:rsidRDefault="009B0962">
            <w:pPr>
              <w:pStyle w:val="P68B1DB1-Normal12"/>
              <w:spacing w:after="0" w:line="240" w:lineRule="auto"/>
              <w:rPr>
                <w:rFonts w:eastAsia="Times New Roman"/>
                <w:noProof/>
              </w:rPr>
            </w:pPr>
            <w:r>
              <w:rPr>
                <w:noProof/>
              </w:rPr>
              <w:t>În măsura în care acest lucru nu este realizat, diferența dintre reducerea vizată și reducerea efectivă pentru fiecare an nu este recuperată de la industria farmaceutică, iar suma relevantă este suportată de la bugetul de stat până la reducerea vizată a sumelor recuperate.</w:t>
            </w:r>
          </w:p>
        </w:tc>
      </w:tr>
      <w:tr w:rsidR="00C45D59" w14:paraId="67FE9A48" w14:textId="77777777">
        <w:trPr>
          <w:trHeight w:val="309"/>
          <w:jc w:val="center"/>
        </w:trPr>
        <w:tc>
          <w:tcPr>
            <w:tcW w:w="592" w:type="dxa"/>
            <w:shd w:val="clear" w:color="auto" w:fill="C6EFCE"/>
            <w:noWrap/>
          </w:tcPr>
          <w:p w14:paraId="709A51C1" w14:textId="77777777" w:rsidR="00C45D59" w:rsidRDefault="009B0962">
            <w:pPr>
              <w:pStyle w:val="P68B1DB1-Normal12"/>
              <w:spacing w:after="0" w:line="240" w:lineRule="auto"/>
              <w:rPr>
                <w:rFonts w:eastAsia="Times New Roman"/>
                <w:noProof/>
              </w:rPr>
            </w:pPr>
            <w:r>
              <w:rPr>
                <w:noProof/>
              </w:rPr>
              <w:t>154</w:t>
            </w:r>
          </w:p>
        </w:tc>
        <w:tc>
          <w:tcPr>
            <w:tcW w:w="1689" w:type="dxa"/>
            <w:shd w:val="clear" w:color="auto" w:fill="C6EFCE"/>
            <w:noWrap/>
          </w:tcPr>
          <w:p w14:paraId="6B3F53D8" w14:textId="77777777" w:rsidR="00C45D59" w:rsidRDefault="009B0962">
            <w:pPr>
              <w:pStyle w:val="P68B1DB1-Normal12"/>
              <w:spacing w:after="0" w:line="240" w:lineRule="auto"/>
              <w:rPr>
                <w:rFonts w:eastAsia="Times New Roman"/>
                <w:noProof/>
              </w:rPr>
            </w:pPr>
            <w:r>
              <w:rPr>
                <w:noProof/>
              </w:rPr>
              <w:t>10-3.3. Îmbunătățirea rezilienței, a accesibilității și a sustenabilității asistenței medicale – 16816_ Reducerea și raționalizarea cheltuielilor cu asistența medicală</w:t>
            </w:r>
          </w:p>
        </w:tc>
        <w:tc>
          <w:tcPr>
            <w:tcW w:w="1088" w:type="dxa"/>
            <w:shd w:val="clear" w:color="auto" w:fill="C6EFCE"/>
            <w:noWrap/>
          </w:tcPr>
          <w:p w14:paraId="778073AF" w14:textId="77777777" w:rsidR="00C45D59" w:rsidRDefault="009B0962">
            <w:pPr>
              <w:pStyle w:val="P68B1DB1-Normal12"/>
              <w:spacing w:after="0" w:line="240" w:lineRule="auto"/>
              <w:rPr>
                <w:rFonts w:eastAsia="Times New Roman"/>
                <w:noProof/>
              </w:rPr>
            </w:pPr>
            <w:r>
              <w:rPr>
                <w:noProof/>
              </w:rPr>
              <w:t>Țintă</w:t>
            </w:r>
          </w:p>
        </w:tc>
        <w:tc>
          <w:tcPr>
            <w:tcW w:w="1350" w:type="dxa"/>
            <w:shd w:val="clear" w:color="auto" w:fill="C6EFCE"/>
            <w:noWrap/>
          </w:tcPr>
          <w:p w14:paraId="15E30846" w14:textId="77777777" w:rsidR="00C45D59" w:rsidRDefault="009B0962">
            <w:pPr>
              <w:pStyle w:val="P68B1DB1-Normal12"/>
              <w:spacing w:after="0" w:line="240" w:lineRule="auto"/>
              <w:rPr>
                <w:rFonts w:eastAsia="Times New Roman"/>
                <w:noProof/>
              </w:rPr>
            </w:pPr>
            <w:r>
              <w:rPr>
                <w:noProof/>
              </w:rPr>
              <w:t>Reducerea recuperării 50 000 000 – etapa 1</w:t>
            </w:r>
          </w:p>
        </w:tc>
        <w:tc>
          <w:tcPr>
            <w:tcW w:w="1717" w:type="dxa"/>
            <w:shd w:val="clear" w:color="auto" w:fill="C6EFCE"/>
            <w:noWrap/>
          </w:tcPr>
          <w:p w14:paraId="41C1171B"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194" w:type="dxa"/>
            <w:shd w:val="clear" w:color="auto" w:fill="C6EFCE"/>
            <w:noWrap/>
          </w:tcPr>
          <w:p w14:paraId="27A0510F" w14:textId="77777777" w:rsidR="00C45D59" w:rsidRDefault="009B0962">
            <w:pPr>
              <w:pStyle w:val="P68B1DB1-Normal12"/>
              <w:spacing w:after="0" w:line="240" w:lineRule="auto"/>
              <w:rPr>
                <w:rFonts w:eastAsia="Times New Roman"/>
                <w:noProof/>
              </w:rPr>
            </w:pPr>
            <w:r>
              <w:rPr>
                <w:noProof/>
              </w:rPr>
              <w:t>Scăderea cuantumului recuperării în comparație cu nivelurile din 2020 (milioane EUR)</w:t>
            </w:r>
          </w:p>
        </w:tc>
        <w:tc>
          <w:tcPr>
            <w:tcW w:w="870" w:type="dxa"/>
            <w:shd w:val="clear" w:color="auto" w:fill="C6EFCE"/>
            <w:noWrap/>
          </w:tcPr>
          <w:p w14:paraId="4C5275A7" w14:textId="77777777" w:rsidR="00C45D59" w:rsidRDefault="009B0962">
            <w:pPr>
              <w:pStyle w:val="P68B1DB1-Normal12"/>
              <w:spacing w:after="0" w:line="240" w:lineRule="auto"/>
              <w:rPr>
                <w:rFonts w:eastAsia="Times New Roman"/>
                <w:noProof/>
              </w:rPr>
            </w:pPr>
            <w:r>
              <w:rPr>
                <w:noProof/>
              </w:rPr>
              <w:t>0</w:t>
            </w:r>
          </w:p>
        </w:tc>
        <w:tc>
          <w:tcPr>
            <w:tcW w:w="764" w:type="dxa"/>
            <w:shd w:val="clear" w:color="auto" w:fill="C6EFCE"/>
            <w:noWrap/>
          </w:tcPr>
          <w:p w14:paraId="12787345" w14:textId="77777777" w:rsidR="00C45D59" w:rsidRDefault="009B0962">
            <w:pPr>
              <w:pStyle w:val="P68B1DB1-Normal12"/>
              <w:spacing w:after="0" w:line="240" w:lineRule="auto"/>
              <w:rPr>
                <w:rFonts w:eastAsia="Times New Roman"/>
                <w:noProof/>
              </w:rPr>
            </w:pPr>
            <w:r>
              <w:rPr>
                <w:noProof/>
              </w:rPr>
              <w:t>50</w:t>
            </w:r>
          </w:p>
        </w:tc>
        <w:tc>
          <w:tcPr>
            <w:tcW w:w="973" w:type="dxa"/>
            <w:shd w:val="clear" w:color="auto" w:fill="C6EFCE"/>
            <w:noWrap/>
          </w:tcPr>
          <w:p w14:paraId="31EACB40" w14:textId="77777777" w:rsidR="00C45D59" w:rsidRDefault="009B0962">
            <w:pPr>
              <w:pStyle w:val="P68B1DB1-Normal12"/>
              <w:spacing w:after="0" w:line="240" w:lineRule="auto"/>
              <w:rPr>
                <w:rFonts w:eastAsia="Times New Roman"/>
                <w:noProof/>
              </w:rPr>
            </w:pPr>
            <w:r>
              <w:rPr>
                <w:noProof/>
              </w:rPr>
              <w:t>Î2</w:t>
            </w:r>
          </w:p>
        </w:tc>
        <w:tc>
          <w:tcPr>
            <w:tcW w:w="992" w:type="dxa"/>
            <w:shd w:val="clear" w:color="auto" w:fill="C6EFCE"/>
            <w:noWrap/>
          </w:tcPr>
          <w:p w14:paraId="17841E09" w14:textId="77777777" w:rsidR="00C45D59" w:rsidRDefault="009B0962">
            <w:pPr>
              <w:pStyle w:val="P68B1DB1-Normal12"/>
              <w:spacing w:after="0" w:line="240" w:lineRule="auto"/>
              <w:rPr>
                <w:rFonts w:eastAsia="Times New Roman"/>
                <w:noProof/>
              </w:rPr>
            </w:pPr>
            <w:r>
              <w:rPr>
                <w:noProof/>
              </w:rPr>
              <w:t>2023</w:t>
            </w:r>
          </w:p>
        </w:tc>
        <w:tc>
          <w:tcPr>
            <w:tcW w:w="4501" w:type="dxa"/>
            <w:shd w:val="clear" w:color="auto" w:fill="C6EFCE"/>
            <w:noWrap/>
          </w:tcPr>
          <w:p w14:paraId="4280F332" w14:textId="77777777" w:rsidR="00C45D59" w:rsidRDefault="009B0962">
            <w:pPr>
              <w:pStyle w:val="P68B1DB1-Normal12"/>
              <w:spacing w:after="0" w:line="240" w:lineRule="auto"/>
              <w:rPr>
                <w:rFonts w:eastAsia="Times New Roman"/>
                <w:noProof/>
              </w:rPr>
            </w:pPr>
            <w:r>
              <w:rPr>
                <w:noProof/>
              </w:rPr>
              <w:t xml:space="preserve">Să pună în aplicare măsurile de creștere a eficienței adoptate anterior pentru a obține o reducere cu 2 022 EUR a recuperării produselor farmaceutice în 50 000 000, atât pentru produsele farmaceutice în ambulatoriu, cât și pentru cele spitalicești, comparativ cu nivelurile din 2020. În măsura în care acest lucru nu este realizat, diferența dintre reducerea vizată și reducerea efectivă pentru fiecare an nu se recuperează de la industria farmaceutică, iar suma relevantă este suportată de la bugetul de stat până la 50 000 000 EUR. </w:t>
            </w:r>
          </w:p>
        </w:tc>
      </w:tr>
      <w:tr w:rsidR="00C45D59" w14:paraId="3BA64BD8" w14:textId="77777777">
        <w:trPr>
          <w:trHeight w:val="309"/>
          <w:jc w:val="center"/>
        </w:trPr>
        <w:tc>
          <w:tcPr>
            <w:tcW w:w="592" w:type="dxa"/>
            <w:shd w:val="clear" w:color="auto" w:fill="C6EFCE"/>
            <w:noWrap/>
          </w:tcPr>
          <w:p w14:paraId="2D71A32F" w14:textId="77777777" w:rsidR="00C45D59" w:rsidRDefault="009B0962">
            <w:pPr>
              <w:pStyle w:val="P68B1DB1-Normal12"/>
              <w:spacing w:after="0" w:line="240" w:lineRule="auto"/>
              <w:rPr>
                <w:rFonts w:eastAsia="Times New Roman"/>
                <w:noProof/>
              </w:rPr>
            </w:pPr>
            <w:r>
              <w:rPr>
                <w:noProof/>
              </w:rPr>
              <w:t>155</w:t>
            </w:r>
          </w:p>
        </w:tc>
        <w:tc>
          <w:tcPr>
            <w:tcW w:w="1689" w:type="dxa"/>
            <w:shd w:val="clear" w:color="auto" w:fill="C6EFCE"/>
            <w:noWrap/>
          </w:tcPr>
          <w:p w14:paraId="7B8E128B" w14:textId="77777777" w:rsidR="00C45D59" w:rsidRDefault="009B0962">
            <w:pPr>
              <w:pStyle w:val="P68B1DB1-Normal12"/>
              <w:spacing w:after="0" w:line="240" w:lineRule="auto"/>
              <w:rPr>
                <w:rFonts w:eastAsia="Times New Roman"/>
                <w:noProof/>
              </w:rPr>
            </w:pPr>
            <w:r>
              <w:rPr>
                <w:noProof/>
              </w:rPr>
              <w:t>10-3.3. Îmbunătățirea rezilienței, a accesibilității și a sustenabilității asistenței medicale – 16816_ Reducerea și raționalizarea cheltuielilor cu asistența medicală</w:t>
            </w:r>
          </w:p>
        </w:tc>
        <w:tc>
          <w:tcPr>
            <w:tcW w:w="1088" w:type="dxa"/>
            <w:shd w:val="clear" w:color="auto" w:fill="C6EFCE"/>
            <w:noWrap/>
          </w:tcPr>
          <w:p w14:paraId="146A61D9" w14:textId="77777777" w:rsidR="00C45D59" w:rsidRDefault="009B0962">
            <w:pPr>
              <w:pStyle w:val="P68B1DB1-Normal12"/>
              <w:spacing w:after="0" w:line="240" w:lineRule="auto"/>
              <w:rPr>
                <w:rFonts w:eastAsia="Times New Roman"/>
                <w:noProof/>
              </w:rPr>
            </w:pPr>
            <w:r>
              <w:rPr>
                <w:noProof/>
              </w:rPr>
              <w:t>Țintă</w:t>
            </w:r>
          </w:p>
        </w:tc>
        <w:tc>
          <w:tcPr>
            <w:tcW w:w="1350" w:type="dxa"/>
            <w:shd w:val="clear" w:color="auto" w:fill="C6EFCE"/>
            <w:noWrap/>
          </w:tcPr>
          <w:p w14:paraId="50388557" w14:textId="77777777" w:rsidR="00C45D59" w:rsidRDefault="009B0962">
            <w:pPr>
              <w:pStyle w:val="P68B1DB1-Normal12"/>
              <w:spacing w:after="0" w:line="240" w:lineRule="auto"/>
              <w:rPr>
                <w:rFonts w:eastAsia="Times New Roman"/>
                <w:noProof/>
              </w:rPr>
            </w:pPr>
            <w:r>
              <w:rPr>
                <w:noProof/>
              </w:rPr>
              <w:t>Reducerea recuperării 150 000 000 – etapa 2</w:t>
            </w:r>
          </w:p>
        </w:tc>
        <w:tc>
          <w:tcPr>
            <w:tcW w:w="1717" w:type="dxa"/>
            <w:shd w:val="clear" w:color="auto" w:fill="C6EFCE"/>
            <w:noWrap/>
          </w:tcPr>
          <w:p w14:paraId="23604DB3"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194" w:type="dxa"/>
            <w:shd w:val="clear" w:color="auto" w:fill="C6EFCE"/>
            <w:noWrap/>
          </w:tcPr>
          <w:p w14:paraId="40917F81" w14:textId="77777777" w:rsidR="00C45D59" w:rsidRDefault="009B0962">
            <w:pPr>
              <w:pStyle w:val="P68B1DB1-Normal12"/>
              <w:spacing w:after="0" w:line="240" w:lineRule="auto"/>
              <w:rPr>
                <w:rFonts w:eastAsia="Times New Roman"/>
                <w:noProof/>
              </w:rPr>
            </w:pPr>
            <w:r>
              <w:rPr>
                <w:noProof/>
              </w:rPr>
              <w:t>Scăderea cuantumului recuperării în comparație cu nivelurile din 2020 (milioane EUR)</w:t>
            </w:r>
          </w:p>
        </w:tc>
        <w:tc>
          <w:tcPr>
            <w:tcW w:w="870" w:type="dxa"/>
            <w:shd w:val="clear" w:color="auto" w:fill="C6EFCE"/>
            <w:noWrap/>
          </w:tcPr>
          <w:p w14:paraId="28D54989" w14:textId="77777777" w:rsidR="00C45D59" w:rsidRDefault="009B0962">
            <w:pPr>
              <w:pStyle w:val="P68B1DB1-Normal12"/>
              <w:spacing w:after="0" w:line="240" w:lineRule="auto"/>
              <w:rPr>
                <w:rFonts w:eastAsia="Times New Roman"/>
                <w:noProof/>
              </w:rPr>
            </w:pPr>
            <w:r>
              <w:rPr>
                <w:noProof/>
              </w:rPr>
              <w:t>0</w:t>
            </w:r>
          </w:p>
        </w:tc>
        <w:tc>
          <w:tcPr>
            <w:tcW w:w="764" w:type="dxa"/>
            <w:shd w:val="clear" w:color="auto" w:fill="C6EFCE"/>
            <w:noWrap/>
          </w:tcPr>
          <w:p w14:paraId="1972E629" w14:textId="77777777" w:rsidR="00C45D59" w:rsidRDefault="009B0962">
            <w:pPr>
              <w:pStyle w:val="P68B1DB1-Normal12"/>
              <w:spacing w:after="0" w:line="240" w:lineRule="auto"/>
              <w:rPr>
                <w:rFonts w:eastAsia="Times New Roman"/>
                <w:noProof/>
              </w:rPr>
            </w:pPr>
            <w:r>
              <w:rPr>
                <w:noProof/>
              </w:rPr>
              <w:t>150</w:t>
            </w:r>
          </w:p>
        </w:tc>
        <w:tc>
          <w:tcPr>
            <w:tcW w:w="973" w:type="dxa"/>
            <w:shd w:val="clear" w:color="auto" w:fill="C6EFCE"/>
            <w:noWrap/>
          </w:tcPr>
          <w:p w14:paraId="67F4811E" w14:textId="77777777" w:rsidR="00C45D59" w:rsidRDefault="009B0962">
            <w:pPr>
              <w:pStyle w:val="P68B1DB1-Normal12"/>
              <w:spacing w:after="0" w:line="240" w:lineRule="auto"/>
              <w:rPr>
                <w:rFonts w:eastAsia="Times New Roman"/>
                <w:noProof/>
              </w:rPr>
            </w:pPr>
            <w:r>
              <w:rPr>
                <w:noProof/>
              </w:rPr>
              <w:t>Î2</w:t>
            </w:r>
          </w:p>
        </w:tc>
        <w:tc>
          <w:tcPr>
            <w:tcW w:w="992" w:type="dxa"/>
            <w:shd w:val="clear" w:color="auto" w:fill="C6EFCE"/>
            <w:noWrap/>
          </w:tcPr>
          <w:p w14:paraId="2A0A4E04" w14:textId="77777777" w:rsidR="00C45D59" w:rsidRDefault="009B0962">
            <w:pPr>
              <w:pStyle w:val="P68B1DB1-Normal12"/>
              <w:spacing w:after="0" w:line="240" w:lineRule="auto"/>
              <w:rPr>
                <w:rFonts w:eastAsia="Times New Roman"/>
                <w:noProof/>
              </w:rPr>
            </w:pPr>
            <w:r>
              <w:rPr>
                <w:noProof/>
              </w:rPr>
              <w:t>2024</w:t>
            </w:r>
          </w:p>
        </w:tc>
        <w:tc>
          <w:tcPr>
            <w:tcW w:w="4501" w:type="dxa"/>
            <w:shd w:val="clear" w:color="auto" w:fill="C6EFCE"/>
            <w:noWrap/>
          </w:tcPr>
          <w:p w14:paraId="685FBB6E" w14:textId="77777777" w:rsidR="00C45D59" w:rsidRDefault="009B0962">
            <w:pPr>
              <w:pStyle w:val="P68B1DB1-Normal12"/>
              <w:spacing w:after="0" w:line="240" w:lineRule="auto"/>
              <w:rPr>
                <w:rFonts w:eastAsia="Times New Roman"/>
                <w:noProof/>
              </w:rPr>
            </w:pPr>
            <w:r>
              <w:rPr>
                <w:noProof/>
              </w:rPr>
              <w:t>Să pună în aplicare măsurile adoptate anterior de sporire a eficienței pentru a obține o reducere a recuperării produselor farmaceutice din 2023, atât pentru produsele farmaceutice ambulatorii, cât și pentru cele spitalicești, cu 150 000 000 EUR față de nivelurile din 2020, sprijinind reziliența sistemului de sănătate. În măsura în care acest lucru nu este realizat, diferența dintre reducerea vizată și reducerea efectivă pentru fiecare an nu se recuperează de la industria farmaceutică, iar suma relevantă este suportată de la bugetul de stat până la 150 000 000 EUR.</w:t>
            </w:r>
          </w:p>
        </w:tc>
      </w:tr>
      <w:tr w:rsidR="00C45D59" w14:paraId="1405974F" w14:textId="77777777">
        <w:trPr>
          <w:trHeight w:val="309"/>
          <w:jc w:val="center"/>
        </w:trPr>
        <w:tc>
          <w:tcPr>
            <w:tcW w:w="592" w:type="dxa"/>
            <w:shd w:val="clear" w:color="auto" w:fill="C6EFCE"/>
            <w:noWrap/>
          </w:tcPr>
          <w:p w14:paraId="75B871FC" w14:textId="77777777" w:rsidR="00C45D59" w:rsidRDefault="009B0962">
            <w:pPr>
              <w:pStyle w:val="P68B1DB1-Normal12"/>
              <w:spacing w:after="0" w:line="240" w:lineRule="auto"/>
              <w:rPr>
                <w:rFonts w:eastAsia="Times New Roman"/>
                <w:noProof/>
              </w:rPr>
            </w:pPr>
            <w:r>
              <w:rPr>
                <w:noProof/>
              </w:rPr>
              <w:t>156</w:t>
            </w:r>
          </w:p>
        </w:tc>
        <w:tc>
          <w:tcPr>
            <w:tcW w:w="1689" w:type="dxa"/>
            <w:shd w:val="clear" w:color="auto" w:fill="C6EFCE"/>
            <w:noWrap/>
          </w:tcPr>
          <w:p w14:paraId="3FF9CC8E" w14:textId="77777777" w:rsidR="00C45D59" w:rsidRDefault="009B0962">
            <w:pPr>
              <w:pStyle w:val="P68B1DB1-Normal12"/>
              <w:spacing w:after="0" w:line="240" w:lineRule="auto"/>
              <w:rPr>
                <w:rFonts w:eastAsia="Times New Roman"/>
                <w:noProof/>
              </w:rPr>
            </w:pPr>
            <w:r>
              <w:rPr>
                <w:noProof/>
              </w:rPr>
              <w:t>10-3.3. Îmbunătățirea rezilienței, a accesibilității și a sustenabilității asistenței medicale – 16816_ Reducerea și raționalizarea cheltuielilor cu asistența medicală</w:t>
            </w:r>
          </w:p>
        </w:tc>
        <w:tc>
          <w:tcPr>
            <w:tcW w:w="1088" w:type="dxa"/>
            <w:shd w:val="clear" w:color="auto" w:fill="C6EFCE"/>
            <w:noWrap/>
          </w:tcPr>
          <w:p w14:paraId="6D292EBD" w14:textId="77777777" w:rsidR="00C45D59" w:rsidRDefault="009B0962">
            <w:pPr>
              <w:pStyle w:val="P68B1DB1-Normal12"/>
              <w:spacing w:after="0" w:line="240" w:lineRule="auto"/>
              <w:rPr>
                <w:rFonts w:eastAsia="Times New Roman"/>
                <w:noProof/>
              </w:rPr>
            </w:pPr>
            <w:r>
              <w:rPr>
                <w:noProof/>
              </w:rPr>
              <w:t>Țintă</w:t>
            </w:r>
          </w:p>
        </w:tc>
        <w:tc>
          <w:tcPr>
            <w:tcW w:w="1350" w:type="dxa"/>
            <w:shd w:val="clear" w:color="auto" w:fill="C6EFCE"/>
            <w:noWrap/>
          </w:tcPr>
          <w:p w14:paraId="5FF2E99E" w14:textId="77777777" w:rsidR="00C45D59" w:rsidRDefault="009B0962">
            <w:pPr>
              <w:pStyle w:val="P68B1DB1-Normal12"/>
              <w:spacing w:after="0" w:line="240" w:lineRule="auto"/>
              <w:rPr>
                <w:rFonts w:eastAsia="Times New Roman"/>
                <w:noProof/>
              </w:rPr>
            </w:pPr>
            <w:r>
              <w:rPr>
                <w:noProof/>
              </w:rPr>
              <w:t>C &amp; D privind investițiile farmaceutice – etapa 1</w:t>
            </w:r>
          </w:p>
        </w:tc>
        <w:tc>
          <w:tcPr>
            <w:tcW w:w="1717" w:type="dxa"/>
            <w:shd w:val="clear" w:color="auto" w:fill="C6EFCE"/>
            <w:noWrap/>
          </w:tcPr>
          <w:p w14:paraId="04F92E0A"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194" w:type="dxa"/>
            <w:shd w:val="clear" w:color="auto" w:fill="C6EFCE"/>
            <w:noWrap/>
          </w:tcPr>
          <w:p w14:paraId="6667EEBA" w14:textId="77777777" w:rsidR="00C45D59" w:rsidRDefault="009B0962">
            <w:pPr>
              <w:pStyle w:val="P68B1DB1-Normal12"/>
              <w:spacing w:after="0" w:line="240" w:lineRule="auto"/>
              <w:rPr>
                <w:rFonts w:eastAsia="Times New Roman"/>
                <w:noProof/>
              </w:rPr>
            </w:pPr>
            <w:r>
              <w:rPr>
                <w:noProof/>
              </w:rPr>
              <w:t>Investiții (în milioane EUR), aplicate prin compensări cu o sumă echivalentă cu sumele recuperate</w:t>
            </w:r>
          </w:p>
        </w:tc>
        <w:tc>
          <w:tcPr>
            <w:tcW w:w="870" w:type="dxa"/>
            <w:shd w:val="clear" w:color="auto" w:fill="C6EFCE"/>
            <w:noWrap/>
          </w:tcPr>
          <w:p w14:paraId="3C3E3F25" w14:textId="77777777" w:rsidR="00C45D59" w:rsidRDefault="009B0962">
            <w:pPr>
              <w:pStyle w:val="P68B1DB1-Normal12"/>
              <w:spacing w:after="0" w:line="240" w:lineRule="auto"/>
              <w:rPr>
                <w:rFonts w:eastAsia="Times New Roman"/>
                <w:noProof/>
              </w:rPr>
            </w:pPr>
            <w:r>
              <w:rPr>
                <w:noProof/>
              </w:rPr>
              <w:t>0</w:t>
            </w:r>
          </w:p>
        </w:tc>
        <w:tc>
          <w:tcPr>
            <w:tcW w:w="764" w:type="dxa"/>
            <w:shd w:val="clear" w:color="auto" w:fill="C6EFCE"/>
            <w:noWrap/>
          </w:tcPr>
          <w:p w14:paraId="3B0945A9" w14:textId="77777777" w:rsidR="00C45D59" w:rsidRDefault="009B0962">
            <w:pPr>
              <w:pStyle w:val="P68B1DB1-Normal12"/>
              <w:spacing w:after="0" w:line="240" w:lineRule="auto"/>
              <w:rPr>
                <w:rFonts w:eastAsia="Times New Roman"/>
                <w:noProof/>
              </w:rPr>
            </w:pPr>
            <w:r>
              <w:rPr>
                <w:noProof/>
              </w:rPr>
              <w:t>117</w:t>
            </w:r>
          </w:p>
        </w:tc>
        <w:tc>
          <w:tcPr>
            <w:tcW w:w="973" w:type="dxa"/>
            <w:shd w:val="clear" w:color="auto" w:fill="C6EFCE"/>
            <w:noWrap/>
          </w:tcPr>
          <w:p w14:paraId="6DC2285A" w14:textId="77777777" w:rsidR="00C45D59" w:rsidRDefault="009B0962">
            <w:pPr>
              <w:pStyle w:val="P68B1DB1-Normal12"/>
              <w:spacing w:after="0" w:line="240" w:lineRule="auto"/>
              <w:rPr>
                <w:rFonts w:eastAsia="Times New Roman"/>
                <w:noProof/>
              </w:rPr>
            </w:pPr>
            <w:r>
              <w:rPr>
                <w:noProof/>
              </w:rPr>
              <w:t>Î2</w:t>
            </w:r>
          </w:p>
        </w:tc>
        <w:tc>
          <w:tcPr>
            <w:tcW w:w="992" w:type="dxa"/>
            <w:shd w:val="clear" w:color="auto" w:fill="C6EFCE"/>
            <w:noWrap/>
          </w:tcPr>
          <w:p w14:paraId="4C92FB3B" w14:textId="77777777" w:rsidR="00C45D59" w:rsidRDefault="009B0962">
            <w:pPr>
              <w:pStyle w:val="P68B1DB1-Normal12"/>
              <w:spacing w:after="0" w:line="240" w:lineRule="auto"/>
              <w:rPr>
                <w:rFonts w:eastAsia="Times New Roman"/>
                <w:noProof/>
              </w:rPr>
            </w:pPr>
            <w:r>
              <w:rPr>
                <w:noProof/>
              </w:rPr>
              <w:t>2024</w:t>
            </w:r>
          </w:p>
        </w:tc>
        <w:tc>
          <w:tcPr>
            <w:tcW w:w="4501" w:type="dxa"/>
            <w:shd w:val="clear" w:color="auto" w:fill="C6EFCE"/>
            <w:noWrap/>
          </w:tcPr>
          <w:p w14:paraId="3DBCEE0F" w14:textId="234C80CA" w:rsidR="00C45D59" w:rsidRDefault="009B0962">
            <w:pPr>
              <w:pStyle w:val="P68B1DB1-Normal12"/>
              <w:spacing w:after="0" w:line="240" w:lineRule="auto"/>
              <w:rPr>
                <w:rFonts w:eastAsia="Times New Roman"/>
                <w:noProof/>
              </w:rPr>
            </w:pPr>
            <w:r>
              <w:rPr>
                <w:noProof/>
              </w:rPr>
              <w:t>Efectuarea de investiții în C &amp; D în domeniul farmaceutic în valoare de 117 000 000 EUR. Investițiile sunt confirmate prin emiterea de către autoritatea competentă a unor certificate de recuperare compensatorie în valoare de 117 000 000 EUR.</w:t>
            </w:r>
          </w:p>
        </w:tc>
      </w:tr>
      <w:tr w:rsidR="00C45D59" w14:paraId="2EFD18C3" w14:textId="77777777">
        <w:trPr>
          <w:trHeight w:val="309"/>
          <w:jc w:val="center"/>
        </w:trPr>
        <w:tc>
          <w:tcPr>
            <w:tcW w:w="592" w:type="dxa"/>
            <w:shd w:val="clear" w:color="auto" w:fill="C6EFCE"/>
            <w:noWrap/>
          </w:tcPr>
          <w:p w14:paraId="358A6DB8" w14:textId="77777777" w:rsidR="00C45D59" w:rsidRDefault="009B0962">
            <w:pPr>
              <w:pStyle w:val="P68B1DB1-Normal12"/>
              <w:spacing w:line="240" w:lineRule="auto"/>
              <w:rPr>
                <w:noProof/>
              </w:rPr>
            </w:pPr>
            <w:r>
              <w:rPr>
                <w:noProof/>
              </w:rPr>
              <w:t>156a</w:t>
            </w:r>
          </w:p>
        </w:tc>
        <w:tc>
          <w:tcPr>
            <w:tcW w:w="1689" w:type="dxa"/>
            <w:shd w:val="clear" w:color="auto" w:fill="C6EFCE"/>
            <w:noWrap/>
          </w:tcPr>
          <w:p w14:paraId="1A9FF247" w14:textId="77777777" w:rsidR="00C45D59" w:rsidRDefault="009B0962">
            <w:pPr>
              <w:pStyle w:val="P68B1DB1-Normal12"/>
              <w:spacing w:after="0" w:line="240" w:lineRule="auto"/>
              <w:rPr>
                <w:rFonts w:eastAsia="Times New Roman"/>
                <w:noProof/>
              </w:rPr>
            </w:pPr>
            <w:r>
              <w:rPr>
                <w:noProof/>
              </w:rPr>
              <w:t>10-3.3. Îmbunătățirea rezilienței, a accesibilității și a sustenabilității asistenței medicale – 16816_ Reducerea și raționalizarea cheltuielilor cu asistența medicală</w:t>
            </w:r>
          </w:p>
        </w:tc>
        <w:tc>
          <w:tcPr>
            <w:tcW w:w="1088" w:type="dxa"/>
            <w:shd w:val="clear" w:color="auto" w:fill="C6EFCE"/>
            <w:noWrap/>
          </w:tcPr>
          <w:p w14:paraId="051E5DBF" w14:textId="77777777" w:rsidR="00C45D59" w:rsidRDefault="009B0962">
            <w:pPr>
              <w:pStyle w:val="P68B1DB1-Normal12"/>
              <w:spacing w:after="0" w:line="240" w:lineRule="auto"/>
              <w:rPr>
                <w:rFonts w:eastAsia="Times New Roman"/>
                <w:noProof/>
              </w:rPr>
            </w:pPr>
            <w:r>
              <w:rPr>
                <w:noProof/>
              </w:rPr>
              <w:t>Țintă</w:t>
            </w:r>
          </w:p>
        </w:tc>
        <w:tc>
          <w:tcPr>
            <w:tcW w:w="1350" w:type="dxa"/>
            <w:shd w:val="clear" w:color="auto" w:fill="C6EFCE"/>
            <w:noWrap/>
          </w:tcPr>
          <w:p w14:paraId="78FF1497" w14:textId="77777777" w:rsidR="00C45D59" w:rsidRDefault="009B0962">
            <w:pPr>
              <w:pStyle w:val="P68B1DB1-Normal12"/>
              <w:spacing w:after="0" w:line="240" w:lineRule="auto"/>
              <w:rPr>
                <w:rFonts w:eastAsia="Times New Roman"/>
                <w:noProof/>
              </w:rPr>
            </w:pPr>
            <w:r>
              <w:rPr>
                <w:noProof/>
              </w:rPr>
              <w:t>C &amp; D privind investițiile farmaceutice – etapa 2</w:t>
            </w:r>
          </w:p>
        </w:tc>
        <w:tc>
          <w:tcPr>
            <w:tcW w:w="1717" w:type="dxa"/>
            <w:shd w:val="clear" w:color="auto" w:fill="C6EFCE"/>
            <w:noWrap/>
          </w:tcPr>
          <w:p w14:paraId="6CC5EB80"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194" w:type="dxa"/>
            <w:shd w:val="clear" w:color="auto" w:fill="C6EFCE"/>
            <w:noWrap/>
          </w:tcPr>
          <w:p w14:paraId="7FE87712" w14:textId="77777777" w:rsidR="00C45D59" w:rsidRDefault="009B0962">
            <w:pPr>
              <w:pStyle w:val="P68B1DB1-Normal12"/>
              <w:spacing w:after="0" w:line="240" w:lineRule="auto"/>
              <w:rPr>
                <w:rFonts w:eastAsia="Times New Roman"/>
                <w:noProof/>
              </w:rPr>
            </w:pPr>
            <w:r>
              <w:rPr>
                <w:noProof/>
              </w:rPr>
              <w:t>Investiții (în milioane EUR), aplicate prin compensări cu o sumă echivalentă cu sumele recuperate</w:t>
            </w:r>
          </w:p>
        </w:tc>
        <w:tc>
          <w:tcPr>
            <w:tcW w:w="870" w:type="dxa"/>
            <w:shd w:val="clear" w:color="auto" w:fill="C6EFCE"/>
            <w:noWrap/>
          </w:tcPr>
          <w:p w14:paraId="142CEB32" w14:textId="77777777" w:rsidR="00C45D59" w:rsidRDefault="009B0962">
            <w:pPr>
              <w:pStyle w:val="P68B1DB1-Normal12"/>
              <w:spacing w:after="0" w:line="240" w:lineRule="auto"/>
              <w:rPr>
                <w:rFonts w:eastAsia="Times New Roman"/>
                <w:noProof/>
              </w:rPr>
            </w:pPr>
            <w:r>
              <w:rPr>
                <w:noProof/>
              </w:rPr>
              <w:t>117</w:t>
            </w:r>
          </w:p>
        </w:tc>
        <w:tc>
          <w:tcPr>
            <w:tcW w:w="764" w:type="dxa"/>
            <w:shd w:val="clear" w:color="auto" w:fill="C6EFCE"/>
            <w:noWrap/>
          </w:tcPr>
          <w:p w14:paraId="1A47A82B" w14:textId="77777777" w:rsidR="00C45D59" w:rsidRDefault="009B0962">
            <w:pPr>
              <w:pStyle w:val="P68B1DB1-Normal12"/>
              <w:spacing w:after="0" w:line="240" w:lineRule="auto"/>
              <w:rPr>
                <w:rFonts w:eastAsia="Times New Roman"/>
                <w:noProof/>
              </w:rPr>
            </w:pPr>
            <w:r>
              <w:rPr>
                <w:noProof/>
              </w:rPr>
              <w:t>250</w:t>
            </w:r>
          </w:p>
        </w:tc>
        <w:tc>
          <w:tcPr>
            <w:tcW w:w="973" w:type="dxa"/>
            <w:shd w:val="clear" w:color="auto" w:fill="C6EFCE"/>
            <w:noWrap/>
          </w:tcPr>
          <w:p w14:paraId="4A0B4CA4" w14:textId="77777777" w:rsidR="00C45D59" w:rsidRDefault="009B0962">
            <w:pPr>
              <w:pStyle w:val="P68B1DB1-Normal12"/>
              <w:spacing w:after="0" w:line="240" w:lineRule="auto"/>
              <w:rPr>
                <w:rFonts w:eastAsia="Times New Roman"/>
                <w:noProof/>
              </w:rPr>
            </w:pPr>
            <w:r>
              <w:rPr>
                <w:noProof/>
              </w:rPr>
              <w:t>Î4</w:t>
            </w:r>
          </w:p>
        </w:tc>
        <w:tc>
          <w:tcPr>
            <w:tcW w:w="992" w:type="dxa"/>
            <w:shd w:val="clear" w:color="auto" w:fill="C6EFCE"/>
            <w:noWrap/>
          </w:tcPr>
          <w:p w14:paraId="2E88134F" w14:textId="77777777" w:rsidR="00C45D59" w:rsidRDefault="009B0962">
            <w:pPr>
              <w:pStyle w:val="P68B1DB1-Normal12"/>
              <w:spacing w:after="0" w:line="240" w:lineRule="auto"/>
              <w:rPr>
                <w:rFonts w:eastAsia="Times New Roman"/>
                <w:noProof/>
              </w:rPr>
            </w:pPr>
            <w:r>
              <w:rPr>
                <w:noProof/>
              </w:rPr>
              <w:t>2025</w:t>
            </w:r>
          </w:p>
        </w:tc>
        <w:tc>
          <w:tcPr>
            <w:tcW w:w="4501" w:type="dxa"/>
            <w:shd w:val="clear" w:color="auto" w:fill="C6EFCE"/>
            <w:noWrap/>
          </w:tcPr>
          <w:p w14:paraId="47BB8A74" w14:textId="5189C49D" w:rsidR="00C45D59" w:rsidRDefault="009B0962">
            <w:pPr>
              <w:pStyle w:val="P68B1DB1-Normal12"/>
              <w:spacing w:after="0" w:line="240" w:lineRule="auto"/>
              <w:rPr>
                <w:noProof/>
              </w:rPr>
            </w:pPr>
            <w:r>
              <w:rPr>
                <w:noProof/>
              </w:rPr>
              <w:t xml:space="preserve">Realizarea de investiții în produse farmaceutice, C &amp; D sau alte investiții eligibile pentru o sumă suplimentară de 133 000 000 EUR pentru a atinge valoarea totală a investițiilor de 250 000 000 EUR (cumulativ etapele 1 și 2). </w:t>
            </w:r>
          </w:p>
          <w:p w14:paraId="00BB5D76" w14:textId="76F908E5" w:rsidR="00C45D59" w:rsidRDefault="009B0962">
            <w:pPr>
              <w:pStyle w:val="P68B1DB1-Normal12"/>
              <w:spacing w:after="0" w:line="240" w:lineRule="auto"/>
              <w:rPr>
                <w:noProof/>
              </w:rPr>
            </w:pPr>
            <w:r>
              <w:rPr>
                <w:noProof/>
              </w:rPr>
              <w:t>Investițiile sunt confirmate prin emiterea de către autoritatea competentă a unor certificate de recuperare compensatorie în valoare de 133 000 000 EUR.</w:t>
            </w:r>
          </w:p>
        </w:tc>
      </w:tr>
      <w:tr w:rsidR="00C45D59" w14:paraId="66C66DFB" w14:textId="77777777">
        <w:trPr>
          <w:trHeight w:val="309"/>
          <w:jc w:val="center"/>
        </w:trPr>
        <w:tc>
          <w:tcPr>
            <w:tcW w:w="592" w:type="dxa"/>
            <w:shd w:val="clear" w:color="auto" w:fill="C6EFCE"/>
            <w:noWrap/>
          </w:tcPr>
          <w:p w14:paraId="3EABC0B7" w14:textId="77777777" w:rsidR="00C45D59" w:rsidRDefault="009B0962">
            <w:pPr>
              <w:pStyle w:val="P68B1DB1-Normal12"/>
              <w:spacing w:after="0" w:line="240" w:lineRule="auto"/>
              <w:rPr>
                <w:rFonts w:eastAsia="Times New Roman"/>
                <w:noProof/>
              </w:rPr>
            </w:pPr>
            <w:r>
              <w:rPr>
                <w:noProof/>
              </w:rPr>
              <w:t>157</w:t>
            </w:r>
          </w:p>
        </w:tc>
        <w:tc>
          <w:tcPr>
            <w:tcW w:w="1689" w:type="dxa"/>
            <w:shd w:val="clear" w:color="auto" w:fill="C6EFCE"/>
            <w:noWrap/>
          </w:tcPr>
          <w:p w14:paraId="5E0D0395" w14:textId="77777777" w:rsidR="00C45D59" w:rsidRDefault="009B0962">
            <w:pPr>
              <w:pStyle w:val="P68B1DB1-Normal12"/>
              <w:spacing w:after="0" w:line="240" w:lineRule="auto"/>
              <w:rPr>
                <w:rFonts w:eastAsia="Times New Roman"/>
                <w:noProof/>
              </w:rPr>
            </w:pPr>
            <w:r>
              <w:rPr>
                <w:noProof/>
              </w:rPr>
              <w:t>10-3.3. Îmbunătățirea rezilienței, a accesibilității și a sustenabilității asistenței medicale – 16816_ Reducerea și raționalizarea cheltuielilor cu asistența medicală</w:t>
            </w:r>
          </w:p>
        </w:tc>
        <w:tc>
          <w:tcPr>
            <w:tcW w:w="1088" w:type="dxa"/>
            <w:shd w:val="clear" w:color="auto" w:fill="C6EFCE"/>
            <w:noWrap/>
          </w:tcPr>
          <w:p w14:paraId="344F5E38" w14:textId="77777777" w:rsidR="00C45D59" w:rsidRDefault="009B0962">
            <w:pPr>
              <w:pStyle w:val="P68B1DB1-Normal12"/>
              <w:spacing w:after="0" w:line="240" w:lineRule="auto"/>
              <w:rPr>
                <w:rFonts w:eastAsia="Times New Roman"/>
                <w:noProof/>
              </w:rPr>
            </w:pPr>
            <w:r>
              <w:rPr>
                <w:noProof/>
              </w:rPr>
              <w:t>Țintă</w:t>
            </w:r>
          </w:p>
        </w:tc>
        <w:tc>
          <w:tcPr>
            <w:tcW w:w="1350" w:type="dxa"/>
            <w:shd w:val="clear" w:color="auto" w:fill="C6EFCE"/>
            <w:noWrap/>
          </w:tcPr>
          <w:p w14:paraId="63DE642E" w14:textId="77777777" w:rsidR="00C45D59" w:rsidRDefault="009B0962">
            <w:pPr>
              <w:pStyle w:val="P68B1DB1-Normal12"/>
              <w:spacing w:after="0" w:line="240" w:lineRule="auto"/>
              <w:rPr>
                <w:rFonts w:eastAsia="Times New Roman"/>
                <w:noProof/>
              </w:rPr>
            </w:pPr>
            <w:r>
              <w:rPr>
                <w:noProof/>
              </w:rPr>
              <w:t>Reducerea recuperării 300 000 000 – etapa 3</w:t>
            </w:r>
          </w:p>
        </w:tc>
        <w:tc>
          <w:tcPr>
            <w:tcW w:w="1717" w:type="dxa"/>
            <w:shd w:val="clear" w:color="auto" w:fill="C6EFCE"/>
            <w:noWrap/>
          </w:tcPr>
          <w:p w14:paraId="65B630BE"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194" w:type="dxa"/>
            <w:shd w:val="clear" w:color="auto" w:fill="C6EFCE"/>
            <w:noWrap/>
          </w:tcPr>
          <w:p w14:paraId="1978E8C7" w14:textId="77777777" w:rsidR="00C45D59" w:rsidRDefault="009B0962">
            <w:pPr>
              <w:pStyle w:val="P68B1DB1-Normal12"/>
              <w:spacing w:after="0" w:line="240" w:lineRule="auto"/>
              <w:rPr>
                <w:rFonts w:eastAsia="Times New Roman"/>
                <w:noProof/>
              </w:rPr>
            </w:pPr>
            <w:r>
              <w:rPr>
                <w:noProof/>
              </w:rPr>
              <w:t>Scăderea cuantumului recuperării în comparație cu nivelurile din 2020 (milioane EUR)</w:t>
            </w:r>
          </w:p>
        </w:tc>
        <w:tc>
          <w:tcPr>
            <w:tcW w:w="870" w:type="dxa"/>
            <w:shd w:val="clear" w:color="auto" w:fill="C6EFCE"/>
            <w:noWrap/>
          </w:tcPr>
          <w:p w14:paraId="4E86E884" w14:textId="77777777" w:rsidR="00C45D59" w:rsidRDefault="009B0962">
            <w:pPr>
              <w:pStyle w:val="P68B1DB1-Normal12"/>
              <w:spacing w:after="0" w:line="240" w:lineRule="auto"/>
              <w:rPr>
                <w:rFonts w:eastAsia="Times New Roman"/>
                <w:noProof/>
              </w:rPr>
            </w:pPr>
            <w:r>
              <w:rPr>
                <w:noProof/>
              </w:rPr>
              <w:t>0</w:t>
            </w:r>
          </w:p>
        </w:tc>
        <w:tc>
          <w:tcPr>
            <w:tcW w:w="764" w:type="dxa"/>
            <w:shd w:val="clear" w:color="auto" w:fill="C6EFCE"/>
            <w:noWrap/>
          </w:tcPr>
          <w:p w14:paraId="28930212" w14:textId="77777777" w:rsidR="00C45D59" w:rsidRDefault="009B0962">
            <w:pPr>
              <w:pStyle w:val="P68B1DB1-Normal12"/>
              <w:spacing w:after="0" w:line="240" w:lineRule="auto"/>
              <w:rPr>
                <w:rFonts w:eastAsia="Times New Roman"/>
                <w:noProof/>
              </w:rPr>
            </w:pPr>
            <w:r>
              <w:rPr>
                <w:noProof/>
              </w:rPr>
              <w:t>300</w:t>
            </w:r>
          </w:p>
        </w:tc>
        <w:tc>
          <w:tcPr>
            <w:tcW w:w="973" w:type="dxa"/>
            <w:shd w:val="clear" w:color="auto" w:fill="C6EFCE"/>
            <w:noWrap/>
          </w:tcPr>
          <w:p w14:paraId="2AC33885" w14:textId="77777777" w:rsidR="00C45D59" w:rsidRDefault="009B0962">
            <w:pPr>
              <w:pStyle w:val="P68B1DB1-Normal12"/>
              <w:spacing w:after="0" w:line="240" w:lineRule="auto"/>
              <w:rPr>
                <w:rFonts w:eastAsia="Times New Roman"/>
                <w:noProof/>
              </w:rPr>
            </w:pPr>
            <w:r>
              <w:rPr>
                <w:noProof/>
              </w:rPr>
              <w:t>Î2</w:t>
            </w:r>
          </w:p>
        </w:tc>
        <w:tc>
          <w:tcPr>
            <w:tcW w:w="992" w:type="dxa"/>
            <w:shd w:val="clear" w:color="auto" w:fill="C6EFCE"/>
            <w:noWrap/>
          </w:tcPr>
          <w:p w14:paraId="1E5C00D6" w14:textId="77777777" w:rsidR="00C45D59" w:rsidRDefault="009B0962">
            <w:pPr>
              <w:pStyle w:val="P68B1DB1-Normal12"/>
              <w:spacing w:after="0" w:line="240" w:lineRule="auto"/>
              <w:rPr>
                <w:rFonts w:eastAsia="Times New Roman"/>
                <w:noProof/>
              </w:rPr>
            </w:pPr>
            <w:r>
              <w:rPr>
                <w:noProof/>
              </w:rPr>
              <w:t>2025</w:t>
            </w:r>
          </w:p>
        </w:tc>
        <w:tc>
          <w:tcPr>
            <w:tcW w:w="4501" w:type="dxa"/>
            <w:shd w:val="clear" w:color="auto" w:fill="C6EFCE"/>
            <w:noWrap/>
          </w:tcPr>
          <w:p w14:paraId="4A98E643" w14:textId="6B1309CA" w:rsidR="00C45D59" w:rsidRDefault="009B0962">
            <w:pPr>
              <w:pStyle w:val="P68B1DB1-Normal12"/>
              <w:spacing w:after="0" w:line="240" w:lineRule="auto"/>
              <w:rPr>
                <w:rFonts w:eastAsia="Times New Roman"/>
                <w:noProof/>
              </w:rPr>
            </w:pPr>
            <w:r>
              <w:rPr>
                <w:noProof/>
              </w:rPr>
              <w:t>Reducerea cu 300 000 000 EUR a sumelor de recuperat în sectorul farmaceutic în 2024 comparativ cu nivelurile din 2020. În cazul în care nu se realizează acest lucru, diferența dintre reducerea vizată și reducerea efectivă nu se recuperează de la industria farmaceutică, iar suma relevantă este suportată de la bugetul de stat până la 300 000 000 EUR.</w:t>
            </w:r>
          </w:p>
        </w:tc>
      </w:tr>
      <w:tr w:rsidR="00C45D59" w14:paraId="202F7B0C" w14:textId="77777777">
        <w:trPr>
          <w:trHeight w:val="309"/>
          <w:jc w:val="center"/>
        </w:trPr>
        <w:tc>
          <w:tcPr>
            <w:tcW w:w="592" w:type="dxa"/>
            <w:shd w:val="clear" w:color="auto" w:fill="C6EFCE"/>
            <w:noWrap/>
          </w:tcPr>
          <w:p w14:paraId="657627A0" w14:textId="77777777" w:rsidR="00C45D59" w:rsidRDefault="009B0962">
            <w:pPr>
              <w:pStyle w:val="P68B1DB1-Normal12"/>
              <w:spacing w:after="0" w:line="240" w:lineRule="auto"/>
              <w:rPr>
                <w:rFonts w:eastAsia="Times New Roman"/>
                <w:noProof/>
              </w:rPr>
            </w:pPr>
            <w:r>
              <w:rPr>
                <w:noProof/>
              </w:rPr>
              <w:t>158</w:t>
            </w:r>
          </w:p>
        </w:tc>
        <w:tc>
          <w:tcPr>
            <w:tcW w:w="1689" w:type="dxa"/>
            <w:shd w:val="clear" w:color="auto" w:fill="C6EFCE"/>
            <w:noWrap/>
          </w:tcPr>
          <w:p w14:paraId="00DAFF1E" w14:textId="77777777" w:rsidR="00C45D59" w:rsidRDefault="009B0962">
            <w:pPr>
              <w:pStyle w:val="P68B1DB1-Normal12"/>
              <w:spacing w:after="0" w:line="240" w:lineRule="auto"/>
              <w:rPr>
                <w:rFonts w:eastAsia="Times New Roman"/>
                <w:noProof/>
              </w:rPr>
            </w:pPr>
            <w:r>
              <w:rPr>
                <w:noProof/>
              </w:rPr>
              <w:t>10-3.3. Îmbunătățirea rezilienței, a accesibilității și a sustenabilității asistenței medicale – 16816_ Reducerea și raționalizarea cheltuielilor cu asistența medicală</w:t>
            </w:r>
          </w:p>
        </w:tc>
        <w:tc>
          <w:tcPr>
            <w:tcW w:w="1088" w:type="dxa"/>
            <w:shd w:val="clear" w:color="auto" w:fill="C6EFCE"/>
            <w:noWrap/>
          </w:tcPr>
          <w:p w14:paraId="6C79DB24" w14:textId="77777777" w:rsidR="00C45D59" w:rsidRDefault="009B0962">
            <w:pPr>
              <w:pStyle w:val="P68B1DB1-Normal12"/>
              <w:spacing w:after="0" w:line="240" w:lineRule="auto"/>
              <w:rPr>
                <w:rFonts w:eastAsia="Times New Roman"/>
                <w:noProof/>
              </w:rPr>
            </w:pPr>
            <w:r>
              <w:rPr>
                <w:noProof/>
              </w:rPr>
              <w:t>Țintă</w:t>
            </w:r>
          </w:p>
        </w:tc>
        <w:tc>
          <w:tcPr>
            <w:tcW w:w="1350" w:type="dxa"/>
            <w:shd w:val="clear" w:color="auto" w:fill="C6EFCE"/>
            <w:noWrap/>
          </w:tcPr>
          <w:p w14:paraId="19D8EB98" w14:textId="77777777" w:rsidR="00C45D59" w:rsidRDefault="009B0962">
            <w:pPr>
              <w:pStyle w:val="P68B1DB1-Normal12"/>
              <w:spacing w:after="0" w:line="240" w:lineRule="auto"/>
              <w:rPr>
                <w:rFonts w:eastAsia="Times New Roman"/>
                <w:noProof/>
              </w:rPr>
            </w:pPr>
            <w:r>
              <w:rPr>
                <w:noProof/>
              </w:rPr>
              <w:t>Reducerea recuperării 400 000 000 – etapa 4</w:t>
            </w:r>
          </w:p>
        </w:tc>
        <w:tc>
          <w:tcPr>
            <w:tcW w:w="1717" w:type="dxa"/>
            <w:shd w:val="clear" w:color="auto" w:fill="C6EFCE"/>
            <w:noWrap/>
          </w:tcPr>
          <w:p w14:paraId="31D2DA72"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194" w:type="dxa"/>
            <w:shd w:val="clear" w:color="auto" w:fill="C6EFCE"/>
            <w:noWrap/>
          </w:tcPr>
          <w:p w14:paraId="0113120C" w14:textId="77777777" w:rsidR="00C45D59" w:rsidRDefault="009B0962">
            <w:pPr>
              <w:pStyle w:val="P68B1DB1-Normal12"/>
              <w:spacing w:after="0" w:line="240" w:lineRule="auto"/>
              <w:rPr>
                <w:rFonts w:eastAsia="Times New Roman"/>
                <w:noProof/>
              </w:rPr>
            </w:pPr>
            <w:r>
              <w:rPr>
                <w:noProof/>
              </w:rPr>
              <w:t>Scăderea cuantumului recuperării în comparație cu nivelurile din 2020 (milioane EUR)</w:t>
            </w:r>
          </w:p>
        </w:tc>
        <w:tc>
          <w:tcPr>
            <w:tcW w:w="870" w:type="dxa"/>
            <w:shd w:val="clear" w:color="auto" w:fill="C6EFCE"/>
            <w:noWrap/>
          </w:tcPr>
          <w:p w14:paraId="53A8068A" w14:textId="77777777" w:rsidR="00C45D59" w:rsidRDefault="009B0962">
            <w:pPr>
              <w:pStyle w:val="P68B1DB1-Normal12"/>
              <w:spacing w:after="0" w:line="240" w:lineRule="auto"/>
              <w:rPr>
                <w:rFonts w:eastAsia="Times New Roman"/>
                <w:noProof/>
              </w:rPr>
            </w:pPr>
            <w:r>
              <w:rPr>
                <w:noProof/>
              </w:rPr>
              <w:t>0</w:t>
            </w:r>
          </w:p>
        </w:tc>
        <w:tc>
          <w:tcPr>
            <w:tcW w:w="764" w:type="dxa"/>
            <w:shd w:val="clear" w:color="auto" w:fill="C6EFCE"/>
            <w:noWrap/>
          </w:tcPr>
          <w:p w14:paraId="700FAE1A" w14:textId="77777777" w:rsidR="00C45D59" w:rsidRDefault="009B0962">
            <w:pPr>
              <w:pStyle w:val="P68B1DB1-Normal12"/>
              <w:spacing w:after="0" w:line="240" w:lineRule="auto"/>
              <w:rPr>
                <w:rFonts w:eastAsia="Times New Roman"/>
                <w:noProof/>
              </w:rPr>
            </w:pPr>
            <w:r>
              <w:rPr>
                <w:noProof/>
              </w:rPr>
              <w:t>400</w:t>
            </w:r>
          </w:p>
        </w:tc>
        <w:tc>
          <w:tcPr>
            <w:tcW w:w="973" w:type="dxa"/>
            <w:shd w:val="clear" w:color="auto" w:fill="C6EFCE"/>
            <w:noWrap/>
          </w:tcPr>
          <w:p w14:paraId="24971C2D" w14:textId="77777777" w:rsidR="00C45D59" w:rsidRDefault="009B0962">
            <w:pPr>
              <w:pStyle w:val="P68B1DB1-Normal12"/>
              <w:spacing w:after="0" w:line="240" w:lineRule="auto"/>
              <w:rPr>
                <w:rFonts w:eastAsia="Times New Roman"/>
                <w:noProof/>
              </w:rPr>
            </w:pPr>
            <w:r>
              <w:rPr>
                <w:noProof/>
              </w:rPr>
              <w:t>Î2</w:t>
            </w:r>
          </w:p>
        </w:tc>
        <w:tc>
          <w:tcPr>
            <w:tcW w:w="992" w:type="dxa"/>
            <w:shd w:val="clear" w:color="auto" w:fill="C6EFCE"/>
            <w:noWrap/>
          </w:tcPr>
          <w:p w14:paraId="5420A038" w14:textId="77777777" w:rsidR="00C45D59" w:rsidRDefault="009B0962">
            <w:pPr>
              <w:pStyle w:val="P68B1DB1-Normal12"/>
              <w:spacing w:after="0" w:line="240" w:lineRule="auto"/>
              <w:rPr>
                <w:rFonts w:eastAsia="Times New Roman"/>
                <w:noProof/>
              </w:rPr>
            </w:pPr>
            <w:r>
              <w:rPr>
                <w:noProof/>
              </w:rPr>
              <w:t>2026</w:t>
            </w:r>
          </w:p>
        </w:tc>
        <w:tc>
          <w:tcPr>
            <w:tcW w:w="4501" w:type="dxa"/>
            <w:shd w:val="clear" w:color="auto" w:fill="C6EFCE"/>
            <w:noWrap/>
          </w:tcPr>
          <w:p w14:paraId="02AF7531" w14:textId="546B7F7F" w:rsidR="00C45D59" w:rsidRDefault="009B0962">
            <w:pPr>
              <w:pStyle w:val="P68B1DB1-Normal12"/>
              <w:spacing w:after="0" w:line="240" w:lineRule="auto"/>
              <w:rPr>
                <w:rFonts w:eastAsia="Times New Roman"/>
                <w:noProof/>
              </w:rPr>
            </w:pPr>
            <w:r>
              <w:rPr>
                <w:noProof/>
              </w:rPr>
              <w:t>Reducerea cu 400 000 000 EUR a sumelor de recuperat în sectorul farmaceutic în 2025 comparativ cu nivelurile din 2020. În cazul în care nu se realizează acest lucru, diferența dintre reducerea vizată și reducerea efectivă nu se recuperează de la industria farmaceutică, iar suma relevantă este suportată de la bugetul de stat până la 400 000 000 EUR.</w:t>
            </w:r>
          </w:p>
        </w:tc>
      </w:tr>
    </w:tbl>
    <w:p w14:paraId="58902F36" w14:textId="77777777" w:rsidR="00C45D59" w:rsidRDefault="00C45D59">
      <w:pPr>
        <w:spacing w:before="120" w:after="120" w:line="240" w:lineRule="auto"/>
        <w:ind w:left="709"/>
        <w:jc w:val="both"/>
        <w:rPr>
          <w:rFonts w:ascii="Times New Roman" w:hAnsi="Times New Roman" w:cs="Times New Roman"/>
          <w:noProof/>
          <w:sz w:val="24"/>
          <w:szCs w:val="24"/>
        </w:rPr>
        <w:sectPr w:rsidR="00C45D59">
          <w:headerReference w:type="even" r:id="rId210"/>
          <w:headerReference w:type="default" r:id="rId211"/>
          <w:footerReference w:type="even" r:id="rId212"/>
          <w:footerReference w:type="default" r:id="rId213"/>
          <w:headerReference w:type="first" r:id="rId214"/>
          <w:footerReference w:type="first" r:id="rId215"/>
          <w:pgSz w:w="16839" w:h="11907" w:orient="landscape"/>
          <w:pgMar w:top="1134" w:right="1134" w:bottom="1134" w:left="1134" w:header="567" w:footer="567" w:gutter="0"/>
          <w:cols w:space="720"/>
          <w:docGrid w:linePitch="360"/>
        </w:sectPr>
      </w:pPr>
    </w:p>
    <w:p w14:paraId="2E700FC6" w14:textId="77777777" w:rsidR="00C45D59" w:rsidRDefault="009B0962">
      <w:pPr>
        <w:pStyle w:val="P68B1DB1-Normal9"/>
        <w:keepNext/>
        <w:keepLines/>
        <w:spacing w:before="40" w:after="0" w:line="240" w:lineRule="auto"/>
        <w:jc w:val="both"/>
        <w:outlineLvl w:val="4"/>
        <w:rPr>
          <w:rFonts w:eastAsia="Times New Roman"/>
          <w:noProof/>
        </w:rPr>
      </w:pPr>
      <w:r>
        <w:rPr>
          <w:noProof/>
        </w:rPr>
        <w:t>Grupul 13: Îmbunătățirea rezilienței, accesibilității și sustenabilității sistemului de îngrijiri de sănătate</w:t>
      </w:r>
    </w:p>
    <w:p w14:paraId="1C19DAA6" w14:textId="77777777" w:rsidR="00C45D59" w:rsidRDefault="009B0962">
      <w:pPr>
        <w:pStyle w:val="P68B1DB1-Normal5"/>
        <w:numPr>
          <w:ilvl w:val="0"/>
          <w:numId w:val="46"/>
        </w:numPr>
        <w:tabs>
          <w:tab w:val="left" w:pos="8364"/>
        </w:tabs>
        <w:spacing w:before="120" w:after="0" w:line="240" w:lineRule="auto"/>
        <w:jc w:val="both"/>
        <w:rPr>
          <w:rFonts w:cs="Times New Roman"/>
          <w:noProof/>
        </w:rPr>
      </w:pPr>
      <w:r>
        <w:rPr>
          <w:noProof/>
        </w:rPr>
        <w:t>Reforme organizaționale în sistemul de sănătate (ID: 16756)</w:t>
      </w:r>
    </w:p>
    <w:p w14:paraId="26E5E33B" w14:textId="77777777" w:rsidR="00C45D59" w:rsidRDefault="009B0962">
      <w:pPr>
        <w:pStyle w:val="P68B1DB1-Normal5"/>
        <w:numPr>
          <w:ilvl w:val="0"/>
          <w:numId w:val="46"/>
        </w:numPr>
        <w:tabs>
          <w:tab w:val="left" w:pos="8364"/>
        </w:tabs>
        <w:spacing w:before="120" w:after="0" w:line="240" w:lineRule="auto"/>
        <w:jc w:val="both"/>
        <w:rPr>
          <w:rFonts w:cs="Times New Roman"/>
          <w:noProof/>
        </w:rPr>
      </w:pPr>
      <w:r>
        <w:rPr>
          <w:noProof/>
        </w:rPr>
        <w:t>Reforma în domeniul sănătății mintale și al dependenței (ID: 16820)</w:t>
      </w:r>
    </w:p>
    <w:p w14:paraId="5C4B0880" w14:textId="77777777" w:rsidR="00C45D59" w:rsidRDefault="009B0962">
      <w:pPr>
        <w:pStyle w:val="P68B1DB1-Normal5"/>
        <w:numPr>
          <w:ilvl w:val="0"/>
          <w:numId w:val="46"/>
        </w:numPr>
        <w:tabs>
          <w:tab w:val="left" w:pos="8364"/>
        </w:tabs>
        <w:spacing w:before="120" w:after="0" w:line="240" w:lineRule="auto"/>
        <w:jc w:val="both"/>
        <w:rPr>
          <w:rFonts w:cs="Times New Roman"/>
          <w:noProof/>
        </w:rPr>
      </w:pPr>
      <w:r>
        <w:rPr>
          <w:noProof/>
        </w:rPr>
        <w:t>Reforma sistemului de asistență medicală primară (ID: 16755)</w:t>
      </w:r>
    </w:p>
    <w:p w14:paraId="45920DF0" w14:textId="77777777" w:rsidR="00C45D59" w:rsidRDefault="009B0962">
      <w:pPr>
        <w:pStyle w:val="P68B1DB1-Normal5"/>
        <w:numPr>
          <w:ilvl w:val="0"/>
          <w:numId w:val="46"/>
        </w:numPr>
        <w:tabs>
          <w:tab w:val="left" w:pos="8364"/>
        </w:tabs>
        <w:spacing w:before="120" w:after="120" w:line="240" w:lineRule="auto"/>
        <w:jc w:val="both"/>
        <w:rPr>
          <w:rFonts w:cs="Times New Roman"/>
          <w:noProof/>
        </w:rPr>
      </w:pPr>
      <w:r>
        <w:rPr>
          <w:noProof/>
        </w:rPr>
        <w:t>Punerea în aplicare a programului național de prevenire a sănătății publice „Spiros Doxiadis” (ID: 16783)</w:t>
      </w:r>
    </w:p>
    <w:p w14:paraId="0F2D7832" w14:textId="77777777" w:rsidR="00C45D59" w:rsidRDefault="009B0962">
      <w:pPr>
        <w:pStyle w:val="P68B1DB1-Normal5"/>
        <w:numPr>
          <w:ilvl w:val="0"/>
          <w:numId w:val="46"/>
        </w:numPr>
        <w:tabs>
          <w:tab w:val="left" w:pos="8364"/>
        </w:tabs>
        <w:spacing w:before="120" w:after="120" w:line="240" w:lineRule="auto"/>
        <w:jc w:val="both"/>
        <w:rPr>
          <w:rFonts w:cs="Times New Roman"/>
          <w:noProof/>
        </w:rPr>
      </w:pPr>
      <w:r>
        <w:rPr>
          <w:noProof/>
        </w:rPr>
        <w:t>Reforma medicilor personali (ID: 16984)</w:t>
      </w:r>
    </w:p>
    <w:tbl>
      <w:tblPr>
        <w:tblW w:w="162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7"/>
        <w:gridCol w:w="2085"/>
        <w:gridCol w:w="969"/>
        <w:gridCol w:w="1293"/>
        <w:gridCol w:w="1707"/>
        <w:gridCol w:w="1335"/>
        <w:gridCol w:w="1050"/>
        <w:gridCol w:w="975"/>
        <w:gridCol w:w="1078"/>
        <w:gridCol w:w="810"/>
        <w:gridCol w:w="4269"/>
      </w:tblGrid>
      <w:tr w:rsidR="00C45D59" w14:paraId="2F09CD99" w14:textId="77777777" w:rsidTr="008A4BFA">
        <w:trPr>
          <w:trHeight w:val="631"/>
          <w:tblHeader/>
          <w:jc w:val="center"/>
        </w:trPr>
        <w:tc>
          <w:tcPr>
            <w:tcW w:w="717" w:type="dxa"/>
            <w:vMerge w:val="restart"/>
            <w:shd w:val="clear" w:color="auto" w:fill="BDD7EE"/>
            <w:vAlign w:val="center"/>
            <w:hideMark/>
          </w:tcPr>
          <w:p w14:paraId="5E68DEFE" w14:textId="087DE939" w:rsidR="00C45D59" w:rsidRDefault="009B0962">
            <w:pPr>
              <w:pStyle w:val="P68B1DB1-Normal10"/>
              <w:spacing w:after="0" w:line="240" w:lineRule="auto"/>
              <w:ind w:right="-670"/>
              <w:rPr>
                <w:rFonts w:eastAsia="Times New Roman" w:cs="Times New Roman"/>
                <w:bCs/>
                <w:noProof/>
                <w:szCs w:val="18"/>
              </w:rPr>
            </w:pPr>
            <w:r>
              <w:rPr>
                <w:noProof/>
              </w:rPr>
              <w:t>Nr</w:t>
            </w:r>
            <w:r w:rsidR="00097639">
              <w:rPr>
                <w:noProof/>
              </w:rPr>
              <w:t>.</w:t>
            </w:r>
            <w:r>
              <w:rPr>
                <w:noProof/>
              </w:rPr>
              <w:t xml:space="preserve"> </w:t>
            </w:r>
            <w:r>
              <w:rPr>
                <w:noProof/>
              </w:rPr>
              <w:br/>
            </w:r>
            <w:r w:rsidR="00097639">
              <w:rPr>
                <w:noProof/>
              </w:rPr>
              <w:t>crt</w:t>
            </w:r>
            <w:r>
              <w:rPr>
                <w:noProof/>
              </w:rPr>
              <w:t>.</w:t>
            </w:r>
          </w:p>
        </w:tc>
        <w:tc>
          <w:tcPr>
            <w:tcW w:w="2085" w:type="dxa"/>
            <w:vMerge w:val="restart"/>
            <w:shd w:val="clear" w:color="auto" w:fill="BDD7EE"/>
            <w:vAlign w:val="center"/>
            <w:hideMark/>
          </w:tcPr>
          <w:p w14:paraId="783FA564" w14:textId="77777777" w:rsidR="00C45D59" w:rsidRDefault="009B0962">
            <w:pPr>
              <w:pStyle w:val="P68B1DB1-Normal15"/>
              <w:spacing w:after="0" w:line="240" w:lineRule="auto"/>
              <w:ind w:right="-670"/>
              <w:rPr>
                <w:noProof/>
              </w:rPr>
            </w:pPr>
            <w:r>
              <w:rPr>
                <w:noProof/>
              </w:rPr>
              <w:t>Măsură conexă</w:t>
            </w:r>
          </w:p>
          <w:p w14:paraId="3CB8D57B" w14:textId="77777777" w:rsidR="00C45D59" w:rsidRDefault="009B0962">
            <w:pPr>
              <w:pStyle w:val="P68B1DB1-Normal15"/>
              <w:spacing w:after="0" w:line="240" w:lineRule="auto"/>
              <w:ind w:right="-670"/>
              <w:rPr>
                <w:rFonts w:eastAsia="Times New Roman"/>
                <w:bCs/>
                <w:noProof/>
              </w:rPr>
            </w:pPr>
            <w:r>
              <w:rPr>
                <w:noProof/>
              </w:rPr>
              <w:t>(Reformă sau investiție)</w:t>
            </w:r>
          </w:p>
        </w:tc>
        <w:tc>
          <w:tcPr>
            <w:tcW w:w="969" w:type="dxa"/>
            <w:vMerge w:val="restart"/>
            <w:shd w:val="clear" w:color="auto" w:fill="BDD7EE"/>
            <w:vAlign w:val="center"/>
            <w:hideMark/>
          </w:tcPr>
          <w:p w14:paraId="19E295BF" w14:textId="77777777" w:rsidR="00C45D59" w:rsidRDefault="009B0962">
            <w:pPr>
              <w:pStyle w:val="P68B1DB1-Normal15"/>
              <w:spacing w:after="0" w:line="240" w:lineRule="auto"/>
              <w:ind w:right="-670"/>
              <w:rPr>
                <w:noProof/>
              </w:rPr>
            </w:pPr>
            <w:r>
              <w:rPr>
                <w:noProof/>
              </w:rPr>
              <w:t>Kilometraje/</w:t>
            </w:r>
          </w:p>
          <w:p w14:paraId="24976D7F" w14:textId="77777777" w:rsidR="00C45D59" w:rsidRDefault="009B0962">
            <w:pPr>
              <w:pStyle w:val="P68B1DB1-Normal15"/>
              <w:spacing w:after="0" w:line="240" w:lineRule="auto"/>
              <w:ind w:right="-670"/>
              <w:rPr>
                <w:rFonts w:eastAsia="Times New Roman"/>
                <w:bCs/>
                <w:noProof/>
              </w:rPr>
            </w:pPr>
            <w:r>
              <w:rPr>
                <w:noProof/>
              </w:rPr>
              <w:t>Țintă</w:t>
            </w:r>
          </w:p>
        </w:tc>
        <w:tc>
          <w:tcPr>
            <w:tcW w:w="1293" w:type="dxa"/>
            <w:vMerge w:val="restart"/>
            <w:shd w:val="clear" w:color="auto" w:fill="BDD7EE"/>
            <w:vAlign w:val="center"/>
            <w:hideMark/>
          </w:tcPr>
          <w:p w14:paraId="605061F3" w14:textId="4ED31324" w:rsidR="00C45D59" w:rsidRDefault="008A4BFA">
            <w:pPr>
              <w:pStyle w:val="P68B1DB1-Normal15"/>
              <w:spacing w:after="0" w:line="240" w:lineRule="auto"/>
              <w:ind w:left="447" w:right="-670" w:hanging="447"/>
              <w:rPr>
                <w:rFonts w:eastAsia="Times New Roman"/>
                <w:bCs/>
                <w:noProof/>
              </w:rPr>
            </w:pPr>
            <w:r>
              <w:rPr>
                <w:noProof/>
              </w:rPr>
              <w:t>Denumire</w:t>
            </w:r>
          </w:p>
        </w:tc>
        <w:tc>
          <w:tcPr>
            <w:tcW w:w="1707" w:type="dxa"/>
            <w:vMerge w:val="restart"/>
            <w:shd w:val="clear" w:color="auto" w:fill="BDD7EE"/>
            <w:vAlign w:val="center"/>
            <w:hideMark/>
          </w:tcPr>
          <w:p w14:paraId="06CA85B1" w14:textId="77777777" w:rsidR="00C45D59" w:rsidRDefault="009B0962">
            <w:pPr>
              <w:pStyle w:val="P68B1DB1-Normal15"/>
              <w:spacing w:after="0" w:line="240" w:lineRule="auto"/>
              <w:ind w:left="447" w:right="-670" w:hanging="447"/>
              <w:rPr>
                <w:noProof/>
              </w:rPr>
            </w:pPr>
            <w:r>
              <w:rPr>
                <w:noProof/>
              </w:rPr>
              <w:t>Indicatori calitativi</w:t>
            </w:r>
          </w:p>
          <w:p w14:paraId="227785AF" w14:textId="77777777" w:rsidR="00C45D59" w:rsidRDefault="009B0962">
            <w:pPr>
              <w:pStyle w:val="P68B1DB1-Normal15"/>
              <w:spacing w:after="0" w:line="240" w:lineRule="auto"/>
              <w:ind w:left="447" w:right="-670" w:hanging="447"/>
              <w:rPr>
                <w:rFonts w:eastAsia="Times New Roman"/>
                <w:bCs/>
                <w:noProof/>
              </w:rPr>
            </w:pPr>
            <w:r>
              <w:rPr>
                <w:noProof/>
              </w:rPr>
              <w:t>(pentru jaloane)</w:t>
            </w:r>
          </w:p>
        </w:tc>
        <w:tc>
          <w:tcPr>
            <w:tcW w:w="3360" w:type="dxa"/>
            <w:gridSpan w:val="3"/>
            <w:shd w:val="clear" w:color="auto" w:fill="BDD7EE"/>
            <w:vAlign w:val="center"/>
            <w:hideMark/>
          </w:tcPr>
          <w:p w14:paraId="5E504EC2" w14:textId="77777777" w:rsidR="00C45D59" w:rsidRDefault="009B0962">
            <w:pPr>
              <w:pStyle w:val="P68B1DB1-Normal15"/>
              <w:tabs>
                <w:tab w:val="left" w:pos="176"/>
                <w:tab w:val="left" w:pos="582"/>
              </w:tabs>
              <w:spacing w:after="0" w:line="240" w:lineRule="auto"/>
              <w:ind w:left="-108" w:right="-670" w:firstLine="108"/>
              <w:jc w:val="center"/>
              <w:rPr>
                <w:noProof/>
              </w:rPr>
            </w:pPr>
            <w:r>
              <w:rPr>
                <w:noProof/>
              </w:rPr>
              <w:t>Indicatori cantitativi</w:t>
            </w:r>
          </w:p>
          <w:p w14:paraId="49EA4D8E" w14:textId="77777777" w:rsidR="00C45D59" w:rsidRDefault="009B0962">
            <w:pPr>
              <w:pStyle w:val="P68B1DB1-Normal15"/>
              <w:spacing w:after="0" w:line="240" w:lineRule="auto"/>
              <w:ind w:right="-670"/>
              <w:jc w:val="center"/>
              <w:rPr>
                <w:rFonts w:eastAsia="Times New Roman"/>
                <w:bCs/>
                <w:noProof/>
              </w:rPr>
            </w:pPr>
            <w:r>
              <w:rPr>
                <w:noProof/>
              </w:rPr>
              <w:t>(pentru obiective)</w:t>
            </w:r>
          </w:p>
        </w:tc>
        <w:tc>
          <w:tcPr>
            <w:tcW w:w="1888" w:type="dxa"/>
            <w:gridSpan w:val="2"/>
            <w:shd w:val="clear" w:color="auto" w:fill="BDD7EE"/>
            <w:vAlign w:val="center"/>
            <w:hideMark/>
          </w:tcPr>
          <w:p w14:paraId="3CAE1BB3" w14:textId="77777777" w:rsidR="00C45D59" w:rsidRDefault="009B0962">
            <w:pPr>
              <w:pStyle w:val="P68B1DB1-Normal15"/>
              <w:spacing w:after="0" w:line="240" w:lineRule="auto"/>
              <w:ind w:right="-670"/>
              <w:rPr>
                <w:rFonts w:eastAsia="Times New Roman"/>
                <w:bCs/>
                <w:noProof/>
              </w:rPr>
            </w:pPr>
            <w:r>
              <w:rPr>
                <w:noProof/>
              </w:rPr>
              <w:t>Calendar orientativ pentru finalizare</w:t>
            </w:r>
          </w:p>
        </w:tc>
        <w:tc>
          <w:tcPr>
            <w:tcW w:w="4269" w:type="dxa"/>
            <w:vMerge w:val="restart"/>
            <w:shd w:val="clear" w:color="auto" w:fill="BDD7EE"/>
            <w:vAlign w:val="center"/>
            <w:hideMark/>
          </w:tcPr>
          <w:p w14:paraId="7E697711" w14:textId="77777777" w:rsidR="00C45D59" w:rsidRDefault="009B0962">
            <w:pPr>
              <w:pStyle w:val="P68B1DB1-Normal15"/>
              <w:spacing w:after="0" w:line="240" w:lineRule="auto"/>
              <w:ind w:left="253" w:right="-670"/>
              <w:rPr>
                <w:rFonts w:eastAsia="Times New Roman"/>
                <w:bCs/>
                <w:noProof/>
              </w:rPr>
            </w:pPr>
            <w:r>
              <w:rPr>
                <w:noProof/>
              </w:rPr>
              <w:t>Descrierea fiecărui jalon și a fiecărei ținte</w:t>
            </w:r>
          </w:p>
        </w:tc>
      </w:tr>
      <w:tr w:rsidR="00C45D59" w14:paraId="0E4D8D21" w14:textId="77777777" w:rsidTr="008A4BFA">
        <w:trPr>
          <w:trHeight w:val="532"/>
          <w:tblHeader/>
          <w:jc w:val="center"/>
        </w:trPr>
        <w:tc>
          <w:tcPr>
            <w:tcW w:w="717" w:type="dxa"/>
            <w:vMerge/>
            <w:vAlign w:val="center"/>
            <w:hideMark/>
          </w:tcPr>
          <w:p w14:paraId="26213B54" w14:textId="77777777" w:rsidR="00C45D59" w:rsidRDefault="00C45D59">
            <w:pPr>
              <w:spacing w:after="0" w:line="240" w:lineRule="auto"/>
              <w:rPr>
                <w:rFonts w:ascii="Times New Roman" w:eastAsia="Times New Roman" w:hAnsi="Times New Roman" w:cs="Times New Roman"/>
                <w:b/>
                <w:bCs/>
                <w:noProof/>
                <w:sz w:val="18"/>
                <w:szCs w:val="18"/>
              </w:rPr>
            </w:pPr>
          </w:p>
        </w:tc>
        <w:tc>
          <w:tcPr>
            <w:tcW w:w="2085" w:type="dxa"/>
            <w:vMerge/>
            <w:vAlign w:val="center"/>
            <w:hideMark/>
          </w:tcPr>
          <w:p w14:paraId="63EDC9B3" w14:textId="77777777" w:rsidR="00C45D59" w:rsidRDefault="00C45D59">
            <w:pPr>
              <w:spacing w:after="0" w:line="240" w:lineRule="auto"/>
              <w:rPr>
                <w:rFonts w:ascii="Times New Roman" w:eastAsia="Times New Roman" w:hAnsi="Times New Roman" w:cs="Times New Roman"/>
                <w:b/>
                <w:bCs/>
                <w:noProof/>
                <w:sz w:val="18"/>
                <w:szCs w:val="18"/>
              </w:rPr>
            </w:pPr>
          </w:p>
        </w:tc>
        <w:tc>
          <w:tcPr>
            <w:tcW w:w="969" w:type="dxa"/>
            <w:vMerge/>
            <w:vAlign w:val="center"/>
            <w:hideMark/>
          </w:tcPr>
          <w:p w14:paraId="345FBD1B" w14:textId="77777777" w:rsidR="00C45D59" w:rsidRDefault="00C45D59">
            <w:pPr>
              <w:spacing w:after="0" w:line="240" w:lineRule="auto"/>
              <w:rPr>
                <w:rFonts w:ascii="Times New Roman" w:eastAsia="Times New Roman" w:hAnsi="Times New Roman" w:cs="Times New Roman"/>
                <w:b/>
                <w:bCs/>
                <w:noProof/>
                <w:sz w:val="18"/>
                <w:szCs w:val="18"/>
              </w:rPr>
            </w:pPr>
          </w:p>
        </w:tc>
        <w:tc>
          <w:tcPr>
            <w:tcW w:w="1293" w:type="dxa"/>
            <w:vMerge/>
            <w:vAlign w:val="center"/>
            <w:hideMark/>
          </w:tcPr>
          <w:p w14:paraId="57E68FEC" w14:textId="77777777" w:rsidR="00C45D59" w:rsidRDefault="00C45D59">
            <w:pPr>
              <w:spacing w:after="0" w:line="240" w:lineRule="auto"/>
              <w:rPr>
                <w:rFonts w:ascii="Times New Roman" w:eastAsia="Times New Roman" w:hAnsi="Times New Roman" w:cs="Times New Roman"/>
                <w:b/>
                <w:bCs/>
                <w:noProof/>
                <w:sz w:val="18"/>
                <w:szCs w:val="18"/>
              </w:rPr>
            </w:pPr>
          </w:p>
        </w:tc>
        <w:tc>
          <w:tcPr>
            <w:tcW w:w="1707" w:type="dxa"/>
            <w:vMerge/>
            <w:vAlign w:val="center"/>
            <w:hideMark/>
          </w:tcPr>
          <w:p w14:paraId="432C25C7" w14:textId="77777777" w:rsidR="00C45D59" w:rsidRDefault="00C45D59">
            <w:pPr>
              <w:spacing w:after="0" w:line="240" w:lineRule="auto"/>
              <w:rPr>
                <w:rFonts w:ascii="Times New Roman" w:eastAsia="Times New Roman" w:hAnsi="Times New Roman" w:cs="Times New Roman"/>
                <w:b/>
                <w:bCs/>
                <w:noProof/>
                <w:sz w:val="18"/>
                <w:szCs w:val="18"/>
              </w:rPr>
            </w:pPr>
          </w:p>
        </w:tc>
        <w:tc>
          <w:tcPr>
            <w:tcW w:w="1335" w:type="dxa"/>
            <w:shd w:val="clear" w:color="auto" w:fill="BDD7EE"/>
            <w:vAlign w:val="center"/>
            <w:hideMark/>
          </w:tcPr>
          <w:p w14:paraId="0FB2235B" w14:textId="77777777" w:rsidR="00C45D59" w:rsidRDefault="009B0962">
            <w:pPr>
              <w:pStyle w:val="P68B1DB1-Normal15"/>
              <w:spacing w:after="0" w:line="240" w:lineRule="auto"/>
              <w:jc w:val="center"/>
              <w:rPr>
                <w:rFonts w:eastAsia="Times New Roman"/>
                <w:bCs/>
                <w:noProof/>
              </w:rPr>
            </w:pPr>
            <w:r>
              <w:rPr>
                <w:noProof/>
              </w:rPr>
              <w:t>Unitatea de măsură</w:t>
            </w:r>
          </w:p>
        </w:tc>
        <w:tc>
          <w:tcPr>
            <w:tcW w:w="1050" w:type="dxa"/>
            <w:shd w:val="clear" w:color="auto" w:fill="BDD7EE"/>
            <w:vAlign w:val="center"/>
            <w:hideMark/>
          </w:tcPr>
          <w:p w14:paraId="4003084A" w14:textId="77777777" w:rsidR="00C45D59" w:rsidRDefault="009B0962">
            <w:pPr>
              <w:pStyle w:val="P68B1DB1-Normal15"/>
              <w:spacing w:after="0" w:line="240" w:lineRule="auto"/>
              <w:jc w:val="center"/>
              <w:rPr>
                <w:rFonts w:eastAsia="Times New Roman"/>
                <w:bCs/>
                <w:noProof/>
              </w:rPr>
            </w:pPr>
            <w:r>
              <w:rPr>
                <w:noProof/>
              </w:rPr>
              <w:t xml:space="preserve">Situația de referință </w:t>
            </w:r>
          </w:p>
        </w:tc>
        <w:tc>
          <w:tcPr>
            <w:tcW w:w="975" w:type="dxa"/>
            <w:shd w:val="clear" w:color="auto" w:fill="BDD7EE"/>
            <w:vAlign w:val="center"/>
            <w:hideMark/>
          </w:tcPr>
          <w:p w14:paraId="4F61DB7E" w14:textId="77777777" w:rsidR="00C45D59" w:rsidRDefault="009B0962">
            <w:pPr>
              <w:pStyle w:val="P68B1DB1-Normal15"/>
              <w:spacing w:after="0" w:line="240" w:lineRule="auto"/>
              <w:jc w:val="center"/>
              <w:rPr>
                <w:rFonts w:eastAsia="Times New Roman"/>
                <w:bCs/>
                <w:noProof/>
              </w:rPr>
            </w:pPr>
            <w:r>
              <w:rPr>
                <w:noProof/>
              </w:rPr>
              <w:t xml:space="preserve">Obiectiv </w:t>
            </w:r>
          </w:p>
        </w:tc>
        <w:tc>
          <w:tcPr>
            <w:tcW w:w="1078" w:type="dxa"/>
            <w:shd w:val="clear" w:color="auto" w:fill="BDD7EE"/>
            <w:vAlign w:val="center"/>
            <w:hideMark/>
          </w:tcPr>
          <w:p w14:paraId="782E5E17" w14:textId="77777777" w:rsidR="00C45D59" w:rsidRDefault="009B0962">
            <w:pPr>
              <w:pStyle w:val="P68B1DB1-Normal15"/>
              <w:spacing w:after="0" w:line="240" w:lineRule="auto"/>
              <w:jc w:val="center"/>
              <w:rPr>
                <w:rFonts w:eastAsia="Times New Roman"/>
                <w:bCs/>
                <w:noProof/>
              </w:rPr>
            </w:pPr>
            <w:r>
              <w:rPr>
                <w:noProof/>
              </w:rPr>
              <w:t>Trimestru</w:t>
            </w:r>
          </w:p>
        </w:tc>
        <w:tc>
          <w:tcPr>
            <w:tcW w:w="810" w:type="dxa"/>
            <w:shd w:val="clear" w:color="auto" w:fill="BDD7EE"/>
            <w:vAlign w:val="center"/>
            <w:hideMark/>
          </w:tcPr>
          <w:p w14:paraId="25DC9916" w14:textId="77777777" w:rsidR="00C45D59" w:rsidRDefault="009B0962">
            <w:pPr>
              <w:pStyle w:val="P68B1DB1-Normal15"/>
              <w:spacing w:after="0" w:line="240" w:lineRule="auto"/>
              <w:jc w:val="center"/>
              <w:rPr>
                <w:rFonts w:eastAsia="Times New Roman"/>
                <w:bCs/>
                <w:noProof/>
              </w:rPr>
            </w:pPr>
            <w:r>
              <w:rPr>
                <w:noProof/>
              </w:rPr>
              <w:t>Anul</w:t>
            </w:r>
          </w:p>
        </w:tc>
        <w:tc>
          <w:tcPr>
            <w:tcW w:w="4269" w:type="dxa"/>
            <w:vMerge/>
            <w:vAlign w:val="center"/>
            <w:hideMark/>
          </w:tcPr>
          <w:p w14:paraId="1AE996DE" w14:textId="77777777" w:rsidR="00C45D59" w:rsidRDefault="00C45D59">
            <w:pPr>
              <w:spacing w:after="0" w:line="240" w:lineRule="auto"/>
              <w:rPr>
                <w:rFonts w:ascii="Times New Roman" w:eastAsia="Times New Roman" w:hAnsi="Times New Roman" w:cs="Times New Roman"/>
                <w:b/>
                <w:bCs/>
                <w:noProof/>
                <w:sz w:val="18"/>
                <w:szCs w:val="18"/>
              </w:rPr>
            </w:pPr>
          </w:p>
        </w:tc>
      </w:tr>
      <w:tr w:rsidR="00C45D59" w14:paraId="0C9069CC" w14:textId="77777777" w:rsidTr="008A4BFA">
        <w:trPr>
          <w:trHeight w:val="313"/>
          <w:jc w:val="center"/>
        </w:trPr>
        <w:tc>
          <w:tcPr>
            <w:tcW w:w="717" w:type="dxa"/>
            <w:shd w:val="clear" w:color="auto" w:fill="C6EFCE"/>
            <w:noWrap/>
          </w:tcPr>
          <w:p w14:paraId="502BF398" w14:textId="77777777" w:rsidR="00C45D59" w:rsidRDefault="009B0962">
            <w:pPr>
              <w:pStyle w:val="P68B1DB1-Normal12"/>
              <w:spacing w:after="0" w:line="240" w:lineRule="auto"/>
              <w:rPr>
                <w:rFonts w:eastAsia="Times New Roman"/>
                <w:noProof/>
              </w:rPr>
            </w:pPr>
            <w:r>
              <w:rPr>
                <w:noProof/>
              </w:rPr>
              <w:t>159</w:t>
            </w:r>
          </w:p>
        </w:tc>
        <w:tc>
          <w:tcPr>
            <w:tcW w:w="2085" w:type="dxa"/>
            <w:shd w:val="clear" w:color="auto" w:fill="C6EFCE"/>
            <w:noWrap/>
          </w:tcPr>
          <w:p w14:paraId="412CE86F" w14:textId="77777777" w:rsidR="00C45D59" w:rsidRDefault="009B0962">
            <w:pPr>
              <w:pStyle w:val="P68B1DB1-Normal12"/>
              <w:spacing w:after="0" w:line="240" w:lineRule="auto"/>
              <w:rPr>
                <w:rFonts w:eastAsia="Times New Roman"/>
                <w:noProof/>
              </w:rPr>
            </w:pPr>
            <w:r>
              <w:rPr>
                <w:noProof/>
              </w:rPr>
              <w:t>10-3.3. Îmbunătățirea rezilienței, a accesibilității și a sustenabilității asistenței medicale -16755_Reforma sistemului de asistență medicală primară</w:t>
            </w:r>
          </w:p>
        </w:tc>
        <w:tc>
          <w:tcPr>
            <w:tcW w:w="969" w:type="dxa"/>
            <w:shd w:val="clear" w:color="auto" w:fill="C6EFCE"/>
            <w:noWrap/>
          </w:tcPr>
          <w:p w14:paraId="72DDB879" w14:textId="77777777" w:rsidR="00C45D59" w:rsidRDefault="009B0962">
            <w:pPr>
              <w:pStyle w:val="P68B1DB1-Normal12"/>
              <w:spacing w:after="0" w:line="240" w:lineRule="auto"/>
              <w:rPr>
                <w:rFonts w:eastAsia="Times New Roman"/>
                <w:noProof/>
              </w:rPr>
            </w:pPr>
            <w:r>
              <w:rPr>
                <w:noProof/>
              </w:rPr>
              <w:t>Etapă</w:t>
            </w:r>
          </w:p>
        </w:tc>
        <w:tc>
          <w:tcPr>
            <w:tcW w:w="1293" w:type="dxa"/>
            <w:shd w:val="clear" w:color="auto" w:fill="C6EFCE"/>
            <w:noWrap/>
          </w:tcPr>
          <w:p w14:paraId="3EFAE51B" w14:textId="77777777" w:rsidR="00C45D59" w:rsidRDefault="009B0962">
            <w:pPr>
              <w:pStyle w:val="P68B1DB1-Normal12"/>
              <w:spacing w:after="0" w:line="240" w:lineRule="auto"/>
              <w:rPr>
                <w:rFonts w:eastAsia="Times New Roman"/>
                <w:noProof/>
              </w:rPr>
            </w:pPr>
            <w:r>
              <w:rPr>
                <w:noProof/>
              </w:rPr>
              <w:t xml:space="preserve">Activarea programelor de medicină de familie în domeniul asistenței medicale primare </w:t>
            </w:r>
          </w:p>
        </w:tc>
        <w:tc>
          <w:tcPr>
            <w:tcW w:w="1707" w:type="dxa"/>
            <w:shd w:val="clear" w:color="auto" w:fill="C6EFCE"/>
            <w:noWrap/>
          </w:tcPr>
          <w:p w14:paraId="3A340D0F" w14:textId="3B070161" w:rsidR="00C45D59" w:rsidRDefault="009B0962">
            <w:pPr>
              <w:pStyle w:val="P68B1DB1-Normal12"/>
              <w:spacing w:after="0" w:line="240" w:lineRule="auto"/>
              <w:rPr>
                <w:rFonts w:eastAsia="Times New Roman"/>
                <w:noProof/>
              </w:rPr>
            </w:pPr>
            <w:r>
              <w:rPr>
                <w:noProof/>
              </w:rPr>
              <w:t>Dovada începerii cursurilor pentru toate programele academice nou activate în medicina de familie și a includerii unui modul de medicină de familie în toate programele medicale</w:t>
            </w:r>
          </w:p>
        </w:tc>
        <w:tc>
          <w:tcPr>
            <w:tcW w:w="1335" w:type="dxa"/>
            <w:shd w:val="clear" w:color="auto" w:fill="C6EFCE"/>
            <w:noWrap/>
          </w:tcPr>
          <w:p w14:paraId="79E5C087"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050" w:type="dxa"/>
            <w:shd w:val="clear" w:color="auto" w:fill="C6EFCE"/>
            <w:noWrap/>
          </w:tcPr>
          <w:p w14:paraId="7E17F134" w14:textId="77777777" w:rsidR="00C45D59" w:rsidRDefault="00C45D59">
            <w:pPr>
              <w:spacing w:after="0" w:line="240" w:lineRule="auto"/>
              <w:ind w:left="-692" w:right="631"/>
              <w:rPr>
                <w:rFonts w:ascii="Times New Roman" w:eastAsia="Times New Roman" w:hAnsi="Times New Roman" w:cs="Times New Roman"/>
                <w:noProof/>
                <w:color w:val="006100"/>
                <w:sz w:val="18"/>
                <w:szCs w:val="18"/>
              </w:rPr>
            </w:pPr>
          </w:p>
        </w:tc>
        <w:tc>
          <w:tcPr>
            <w:tcW w:w="975" w:type="dxa"/>
            <w:shd w:val="clear" w:color="auto" w:fill="C6EFCE"/>
            <w:noWrap/>
          </w:tcPr>
          <w:p w14:paraId="778D42F6"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078" w:type="dxa"/>
            <w:shd w:val="clear" w:color="auto" w:fill="C6EFCE"/>
            <w:noWrap/>
          </w:tcPr>
          <w:p w14:paraId="014EC6F1" w14:textId="77777777" w:rsidR="00C45D59" w:rsidRDefault="009B0962">
            <w:pPr>
              <w:pStyle w:val="P68B1DB1-Normal12"/>
              <w:spacing w:after="0" w:line="240" w:lineRule="auto"/>
              <w:rPr>
                <w:rFonts w:eastAsia="Times New Roman"/>
                <w:noProof/>
              </w:rPr>
            </w:pPr>
            <w:r>
              <w:rPr>
                <w:noProof/>
              </w:rPr>
              <w:t>Î4</w:t>
            </w:r>
          </w:p>
        </w:tc>
        <w:tc>
          <w:tcPr>
            <w:tcW w:w="810" w:type="dxa"/>
            <w:shd w:val="clear" w:color="auto" w:fill="C6EFCE"/>
            <w:noWrap/>
          </w:tcPr>
          <w:p w14:paraId="4632AA7F" w14:textId="77777777" w:rsidR="00C45D59" w:rsidRDefault="009B0962">
            <w:pPr>
              <w:pStyle w:val="P68B1DB1-Normal12"/>
              <w:spacing w:after="0" w:line="240" w:lineRule="auto"/>
              <w:rPr>
                <w:rFonts w:eastAsia="Times New Roman"/>
                <w:noProof/>
              </w:rPr>
            </w:pPr>
            <w:r>
              <w:rPr>
                <w:noProof/>
              </w:rPr>
              <w:t>2022</w:t>
            </w:r>
          </w:p>
        </w:tc>
        <w:tc>
          <w:tcPr>
            <w:tcW w:w="4269" w:type="dxa"/>
            <w:shd w:val="clear" w:color="auto" w:fill="C6EFCE"/>
            <w:noWrap/>
          </w:tcPr>
          <w:p w14:paraId="20C3A4A7" w14:textId="7E88B43A" w:rsidR="00C45D59" w:rsidRDefault="009B0962">
            <w:pPr>
              <w:pStyle w:val="P68B1DB1-Normal12"/>
              <w:spacing w:after="0" w:line="240" w:lineRule="auto"/>
              <w:rPr>
                <w:rFonts w:eastAsia="Times New Roman"/>
                <w:noProof/>
              </w:rPr>
            </w:pPr>
            <w:r>
              <w:rPr>
                <w:noProof/>
              </w:rPr>
              <w:t>Extinderea numărului de programe academice active în medicina de familie la cel puțin 75 % din școlile medicale din Grecia și includerea unui modul obligatoriu în medicina de familie în toate programele medicale. Aceasta include documentarea, pentru universitățile afectate, evidențiind noua arhitectură a diplomelor: 1) programe de învățământ nou stabilite și 2) includerea modulului obligatoriu în medicina de familie în programele de învățământ existente.</w:t>
            </w:r>
          </w:p>
        </w:tc>
      </w:tr>
      <w:tr w:rsidR="00C45D59" w14:paraId="6EEE975B" w14:textId="77777777" w:rsidTr="008A4BFA">
        <w:trPr>
          <w:trHeight w:val="313"/>
          <w:jc w:val="center"/>
        </w:trPr>
        <w:tc>
          <w:tcPr>
            <w:tcW w:w="717" w:type="dxa"/>
            <w:shd w:val="clear" w:color="auto" w:fill="C6EFCE"/>
            <w:noWrap/>
          </w:tcPr>
          <w:p w14:paraId="1B376365" w14:textId="77777777" w:rsidR="00C45D59" w:rsidRDefault="009B0962">
            <w:pPr>
              <w:pStyle w:val="P68B1DB1-Normal12"/>
              <w:spacing w:after="0" w:line="240" w:lineRule="auto"/>
              <w:rPr>
                <w:rFonts w:eastAsia="Times New Roman"/>
                <w:noProof/>
              </w:rPr>
            </w:pPr>
            <w:r>
              <w:rPr>
                <w:noProof/>
              </w:rPr>
              <w:t>160</w:t>
            </w:r>
          </w:p>
        </w:tc>
        <w:tc>
          <w:tcPr>
            <w:tcW w:w="2085" w:type="dxa"/>
            <w:shd w:val="clear" w:color="auto" w:fill="C6EFCE"/>
            <w:noWrap/>
          </w:tcPr>
          <w:p w14:paraId="378A4525" w14:textId="48562C69" w:rsidR="00C45D59" w:rsidRDefault="009B0962">
            <w:pPr>
              <w:pStyle w:val="P68B1DB1-Normal12"/>
              <w:spacing w:after="0" w:line="240" w:lineRule="auto"/>
              <w:rPr>
                <w:rFonts w:eastAsia="Times New Roman"/>
                <w:noProof/>
              </w:rPr>
            </w:pPr>
            <w:r>
              <w:rPr>
                <w:noProof/>
              </w:rPr>
              <w:t>10-3.3. Îmbunătățirea rezilienței, a accesibilității și a sustenabilității asistenței medicale – 16820_Reforma în domeniul sănătății mintale și al dependenței</w:t>
            </w:r>
          </w:p>
        </w:tc>
        <w:tc>
          <w:tcPr>
            <w:tcW w:w="969" w:type="dxa"/>
            <w:shd w:val="clear" w:color="auto" w:fill="C6EFCE"/>
            <w:noWrap/>
          </w:tcPr>
          <w:p w14:paraId="4E8B6D10" w14:textId="77777777" w:rsidR="00C45D59" w:rsidRDefault="009B0962">
            <w:pPr>
              <w:pStyle w:val="P68B1DB1-Normal12"/>
              <w:spacing w:after="0" w:line="240" w:lineRule="auto"/>
              <w:rPr>
                <w:rFonts w:eastAsia="Times New Roman"/>
                <w:noProof/>
              </w:rPr>
            </w:pPr>
            <w:r>
              <w:rPr>
                <w:noProof/>
              </w:rPr>
              <w:t>Țintă</w:t>
            </w:r>
          </w:p>
        </w:tc>
        <w:tc>
          <w:tcPr>
            <w:tcW w:w="1293" w:type="dxa"/>
            <w:shd w:val="clear" w:color="auto" w:fill="C6EFCE"/>
            <w:noWrap/>
          </w:tcPr>
          <w:p w14:paraId="55E3E9BC" w14:textId="77777777" w:rsidR="00C45D59" w:rsidRDefault="009B0962">
            <w:pPr>
              <w:pStyle w:val="P68B1DB1-Normal12"/>
              <w:spacing w:after="0" w:line="240" w:lineRule="auto"/>
              <w:rPr>
                <w:rFonts w:eastAsia="Times New Roman"/>
                <w:noProof/>
              </w:rPr>
            </w:pPr>
            <w:r>
              <w:rPr>
                <w:noProof/>
              </w:rPr>
              <w:t>Sănătate mintală – 50 unități deschise – etapa 1 din 2</w:t>
            </w:r>
          </w:p>
        </w:tc>
        <w:tc>
          <w:tcPr>
            <w:tcW w:w="1707" w:type="dxa"/>
            <w:shd w:val="clear" w:color="auto" w:fill="C6EFCE"/>
            <w:noWrap/>
          </w:tcPr>
          <w:p w14:paraId="238AB2DB"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335" w:type="dxa"/>
            <w:shd w:val="clear" w:color="auto" w:fill="C6EFCE"/>
            <w:noWrap/>
          </w:tcPr>
          <w:p w14:paraId="1AFC4212" w14:textId="77777777" w:rsidR="00C45D59" w:rsidRDefault="009B0962">
            <w:pPr>
              <w:pStyle w:val="P68B1DB1-Normal12"/>
              <w:spacing w:after="0" w:line="240" w:lineRule="auto"/>
              <w:rPr>
                <w:rFonts w:eastAsia="Times New Roman"/>
                <w:noProof/>
              </w:rPr>
            </w:pPr>
            <w:r>
              <w:rPr>
                <w:noProof/>
              </w:rPr>
              <w:t>Numărul de unități de sănătate mintală finalizate și operaționale</w:t>
            </w:r>
          </w:p>
        </w:tc>
        <w:tc>
          <w:tcPr>
            <w:tcW w:w="1050" w:type="dxa"/>
            <w:shd w:val="clear" w:color="auto" w:fill="C6EFCE"/>
            <w:noWrap/>
          </w:tcPr>
          <w:p w14:paraId="5A7F5D17" w14:textId="77777777" w:rsidR="00C45D59" w:rsidRDefault="009B0962">
            <w:pPr>
              <w:pStyle w:val="P68B1DB1-Normal12"/>
              <w:spacing w:after="0" w:line="240" w:lineRule="auto"/>
              <w:rPr>
                <w:rFonts w:eastAsia="Times New Roman"/>
                <w:noProof/>
              </w:rPr>
            </w:pPr>
            <w:r>
              <w:rPr>
                <w:noProof/>
              </w:rPr>
              <w:t>0</w:t>
            </w:r>
          </w:p>
        </w:tc>
        <w:tc>
          <w:tcPr>
            <w:tcW w:w="975" w:type="dxa"/>
            <w:shd w:val="clear" w:color="auto" w:fill="C6EFCE"/>
            <w:noWrap/>
          </w:tcPr>
          <w:p w14:paraId="6323302B" w14:textId="77777777" w:rsidR="00C45D59" w:rsidRDefault="009B0962">
            <w:pPr>
              <w:pStyle w:val="P68B1DB1-Normal12"/>
              <w:spacing w:after="0" w:line="240" w:lineRule="auto"/>
              <w:rPr>
                <w:rFonts w:eastAsia="Times New Roman"/>
                <w:noProof/>
              </w:rPr>
            </w:pPr>
            <w:r>
              <w:rPr>
                <w:noProof/>
              </w:rPr>
              <w:t>50</w:t>
            </w:r>
          </w:p>
        </w:tc>
        <w:tc>
          <w:tcPr>
            <w:tcW w:w="1078" w:type="dxa"/>
            <w:shd w:val="clear" w:color="auto" w:fill="C6EFCE"/>
            <w:noWrap/>
          </w:tcPr>
          <w:p w14:paraId="57FBC247" w14:textId="77777777" w:rsidR="00C45D59" w:rsidRDefault="009B0962">
            <w:pPr>
              <w:pStyle w:val="P68B1DB1-Normal12"/>
              <w:spacing w:after="0" w:line="240" w:lineRule="auto"/>
              <w:rPr>
                <w:rFonts w:eastAsia="Times New Roman"/>
                <w:noProof/>
              </w:rPr>
            </w:pPr>
            <w:r>
              <w:rPr>
                <w:noProof/>
              </w:rPr>
              <w:t>Î4</w:t>
            </w:r>
          </w:p>
        </w:tc>
        <w:tc>
          <w:tcPr>
            <w:tcW w:w="810" w:type="dxa"/>
            <w:shd w:val="clear" w:color="auto" w:fill="C6EFCE"/>
            <w:noWrap/>
          </w:tcPr>
          <w:p w14:paraId="705903C5" w14:textId="77777777" w:rsidR="00C45D59" w:rsidRDefault="009B0962">
            <w:pPr>
              <w:pStyle w:val="P68B1DB1-Normal12"/>
              <w:spacing w:after="0" w:line="240" w:lineRule="auto"/>
              <w:rPr>
                <w:rFonts w:eastAsia="Times New Roman"/>
                <w:noProof/>
              </w:rPr>
            </w:pPr>
            <w:r>
              <w:rPr>
                <w:noProof/>
              </w:rPr>
              <w:t>2022</w:t>
            </w:r>
          </w:p>
        </w:tc>
        <w:tc>
          <w:tcPr>
            <w:tcW w:w="4269" w:type="dxa"/>
            <w:shd w:val="clear" w:color="auto" w:fill="C6EFCE"/>
            <w:noWrap/>
          </w:tcPr>
          <w:p w14:paraId="21F27E93" w14:textId="77777777" w:rsidR="00C45D59" w:rsidRDefault="009B0962">
            <w:pPr>
              <w:pStyle w:val="P68B1DB1-Normal12"/>
              <w:spacing w:after="0" w:line="240" w:lineRule="auto"/>
              <w:rPr>
                <w:rFonts w:eastAsia="Times New Roman"/>
                <w:noProof/>
              </w:rPr>
            </w:pPr>
            <w:r>
              <w:rPr>
                <w:noProof/>
              </w:rPr>
              <w:t>Înființarea și funcționarea deplină a 50 unități de sănătate mintală (puse în aplicare prin renovarea unităților existente) sprijinite de Planul strategic național pentru sprijinirea sănătății mintale (dintr-un total de 106 de unități de sănătate mintală)</w:t>
            </w:r>
          </w:p>
        </w:tc>
      </w:tr>
      <w:tr w:rsidR="00C45D59" w14:paraId="65ED51F2" w14:textId="77777777" w:rsidTr="008A4BFA">
        <w:trPr>
          <w:trHeight w:val="313"/>
          <w:jc w:val="center"/>
        </w:trPr>
        <w:tc>
          <w:tcPr>
            <w:tcW w:w="717" w:type="dxa"/>
            <w:shd w:val="clear" w:color="auto" w:fill="C6EFCE"/>
            <w:noWrap/>
          </w:tcPr>
          <w:p w14:paraId="5231629D" w14:textId="77777777" w:rsidR="00C45D59" w:rsidRDefault="009B0962">
            <w:pPr>
              <w:pStyle w:val="P68B1DB1-Normal12"/>
              <w:spacing w:after="0" w:line="240" w:lineRule="auto"/>
              <w:rPr>
                <w:rFonts w:eastAsia="Times New Roman"/>
                <w:noProof/>
              </w:rPr>
            </w:pPr>
            <w:r>
              <w:rPr>
                <w:noProof/>
              </w:rPr>
              <w:t>162</w:t>
            </w:r>
          </w:p>
        </w:tc>
        <w:tc>
          <w:tcPr>
            <w:tcW w:w="2085" w:type="dxa"/>
            <w:shd w:val="clear" w:color="auto" w:fill="C6EFCE"/>
            <w:noWrap/>
          </w:tcPr>
          <w:p w14:paraId="4BA0F1E2" w14:textId="77777777" w:rsidR="00C45D59" w:rsidRDefault="009B0962">
            <w:pPr>
              <w:pStyle w:val="P68B1DB1-Normal12"/>
              <w:spacing w:after="0" w:line="240" w:lineRule="auto"/>
              <w:rPr>
                <w:rFonts w:eastAsia="Times New Roman"/>
                <w:noProof/>
              </w:rPr>
            </w:pPr>
            <w:r>
              <w:rPr>
                <w:noProof/>
              </w:rPr>
              <w:t>10-3.3. Îmbunătățirea rezilienței, a accesibilității și a sustenabilității asistenței medicale – 16820_Reforma în domeniul sănătății mintale și al dependenței</w:t>
            </w:r>
          </w:p>
        </w:tc>
        <w:tc>
          <w:tcPr>
            <w:tcW w:w="969" w:type="dxa"/>
            <w:shd w:val="clear" w:color="auto" w:fill="C6EFCE"/>
            <w:noWrap/>
          </w:tcPr>
          <w:p w14:paraId="786C4490" w14:textId="77777777" w:rsidR="00C45D59" w:rsidRDefault="009B0962">
            <w:pPr>
              <w:pStyle w:val="P68B1DB1-Normal12"/>
              <w:spacing w:after="0" w:line="240" w:lineRule="auto"/>
              <w:rPr>
                <w:rFonts w:eastAsia="Times New Roman"/>
                <w:noProof/>
              </w:rPr>
            </w:pPr>
            <w:r>
              <w:rPr>
                <w:noProof/>
              </w:rPr>
              <w:t>Țintă</w:t>
            </w:r>
          </w:p>
        </w:tc>
        <w:tc>
          <w:tcPr>
            <w:tcW w:w="1293" w:type="dxa"/>
            <w:shd w:val="clear" w:color="auto" w:fill="C6EFCE"/>
            <w:noWrap/>
          </w:tcPr>
          <w:p w14:paraId="6C8F43DE" w14:textId="77777777" w:rsidR="00C45D59" w:rsidRDefault="009B0962">
            <w:pPr>
              <w:pStyle w:val="P68B1DB1-Normal12"/>
              <w:spacing w:after="0" w:line="240" w:lineRule="auto"/>
              <w:rPr>
                <w:rFonts w:eastAsia="Times New Roman"/>
                <w:noProof/>
              </w:rPr>
            </w:pPr>
            <w:r>
              <w:rPr>
                <w:noProof/>
              </w:rPr>
              <w:t>Sănătate mintală – 106 unități deschise – etapa 2 din 2</w:t>
            </w:r>
          </w:p>
        </w:tc>
        <w:tc>
          <w:tcPr>
            <w:tcW w:w="1707" w:type="dxa"/>
            <w:shd w:val="clear" w:color="auto" w:fill="C6EFCE"/>
            <w:noWrap/>
          </w:tcPr>
          <w:p w14:paraId="4F2B89B8"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335" w:type="dxa"/>
            <w:shd w:val="clear" w:color="auto" w:fill="C6EFCE"/>
            <w:noWrap/>
          </w:tcPr>
          <w:p w14:paraId="544F2B3D" w14:textId="77777777" w:rsidR="00C45D59" w:rsidRDefault="009B0962">
            <w:pPr>
              <w:pStyle w:val="P68B1DB1-Normal12"/>
              <w:spacing w:after="0" w:line="240" w:lineRule="auto"/>
              <w:rPr>
                <w:rFonts w:eastAsia="Times New Roman"/>
                <w:noProof/>
              </w:rPr>
            </w:pPr>
            <w:r>
              <w:rPr>
                <w:noProof/>
              </w:rPr>
              <w:t>Numărul de unități de sănătate mintală înființate sau renovate</w:t>
            </w:r>
          </w:p>
        </w:tc>
        <w:tc>
          <w:tcPr>
            <w:tcW w:w="1050" w:type="dxa"/>
            <w:shd w:val="clear" w:color="auto" w:fill="C6EFCE"/>
            <w:noWrap/>
          </w:tcPr>
          <w:p w14:paraId="7C3AA35D" w14:textId="77777777" w:rsidR="00C45D59" w:rsidRDefault="009B0962">
            <w:pPr>
              <w:pStyle w:val="P68B1DB1-Normal12"/>
              <w:spacing w:after="0" w:line="240" w:lineRule="auto"/>
              <w:rPr>
                <w:rFonts w:eastAsia="Times New Roman"/>
                <w:noProof/>
              </w:rPr>
            </w:pPr>
            <w:r>
              <w:rPr>
                <w:noProof/>
              </w:rPr>
              <w:t>50</w:t>
            </w:r>
          </w:p>
        </w:tc>
        <w:tc>
          <w:tcPr>
            <w:tcW w:w="975" w:type="dxa"/>
            <w:shd w:val="clear" w:color="auto" w:fill="C6EFCE"/>
            <w:noWrap/>
          </w:tcPr>
          <w:p w14:paraId="709A2FAD" w14:textId="77777777" w:rsidR="00C45D59" w:rsidRDefault="009B0962">
            <w:pPr>
              <w:pStyle w:val="P68B1DB1-Normal12"/>
              <w:spacing w:after="0" w:line="240" w:lineRule="auto"/>
              <w:rPr>
                <w:rFonts w:eastAsia="Times New Roman"/>
                <w:noProof/>
              </w:rPr>
            </w:pPr>
            <w:r>
              <w:rPr>
                <w:noProof/>
              </w:rPr>
              <w:t>106</w:t>
            </w:r>
          </w:p>
          <w:p w14:paraId="6623FAA7"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078" w:type="dxa"/>
            <w:shd w:val="clear" w:color="auto" w:fill="C6EFCE"/>
            <w:noWrap/>
          </w:tcPr>
          <w:p w14:paraId="0D53CDC9" w14:textId="77777777" w:rsidR="00C45D59" w:rsidRDefault="009B0962">
            <w:pPr>
              <w:pStyle w:val="P68B1DB1-Normal12"/>
              <w:spacing w:after="0" w:line="240" w:lineRule="auto"/>
              <w:rPr>
                <w:rFonts w:eastAsia="Times New Roman"/>
                <w:noProof/>
              </w:rPr>
            </w:pPr>
            <w:r>
              <w:rPr>
                <w:noProof/>
              </w:rPr>
              <w:t>Î4</w:t>
            </w:r>
          </w:p>
        </w:tc>
        <w:tc>
          <w:tcPr>
            <w:tcW w:w="810" w:type="dxa"/>
            <w:shd w:val="clear" w:color="auto" w:fill="C6EFCE"/>
            <w:noWrap/>
          </w:tcPr>
          <w:p w14:paraId="630A47D2" w14:textId="77777777" w:rsidR="00C45D59" w:rsidRDefault="009B0962">
            <w:pPr>
              <w:pStyle w:val="P68B1DB1-Normal12"/>
              <w:spacing w:after="0" w:line="240" w:lineRule="auto"/>
              <w:rPr>
                <w:rFonts w:eastAsia="Times New Roman"/>
                <w:noProof/>
              </w:rPr>
            </w:pPr>
            <w:r>
              <w:rPr>
                <w:noProof/>
              </w:rPr>
              <w:t>2023</w:t>
            </w:r>
          </w:p>
        </w:tc>
        <w:tc>
          <w:tcPr>
            <w:tcW w:w="4269" w:type="dxa"/>
            <w:shd w:val="clear" w:color="auto" w:fill="C6EFCE"/>
            <w:noWrap/>
          </w:tcPr>
          <w:p w14:paraId="1C723F26" w14:textId="77777777" w:rsidR="00C45D59" w:rsidRDefault="009B0962">
            <w:pPr>
              <w:pStyle w:val="P68B1DB1-Normal12"/>
              <w:spacing w:after="0" w:line="240" w:lineRule="auto"/>
              <w:rPr>
                <w:rFonts w:eastAsia="Times New Roman"/>
                <w:noProof/>
              </w:rPr>
            </w:pPr>
            <w:r>
              <w:rPr>
                <w:noProof/>
              </w:rPr>
              <w:t xml:space="preserve">Înființarea și începerea operațiunilor a 25 de noi unități de sănătate mintală și renovarea a 31 de unități de sănătate mintală existente sprijinite de Planul strategic național pentru sprijinirea sănătății mintale, precum și dezvoltarea de aplicații web și digitalizarea serviciilor de sănătate mintală (constând într-o hartă digitală a unităților de sănătate mintală și o platformă digitală pentru supravegherea entităților non-profit care furnizează servicii de sănătate mintală) </w:t>
            </w:r>
          </w:p>
        </w:tc>
      </w:tr>
      <w:tr w:rsidR="00C45D59" w14:paraId="22189C50" w14:textId="77777777" w:rsidTr="008A4BFA">
        <w:trPr>
          <w:trHeight w:val="313"/>
          <w:jc w:val="center"/>
        </w:trPr>
        <w:tc>
          <w:tcPr>
            <w:tcW w:w="717" w:type="dxa"/>
            <w:shd w:val="clear" w:color="auto" w:fill="C6EFCE"/>
            <w:noWrap/>
          </w:tcPr>
          <w:p w14:paraId="5C6D9325" w14:textId="77777777" w:rsidR="00C45D59" w:rsidRDefault="009B0962">
            <w:pPr>
              <w:pStyle w:val="P68B1DB1-Normal12"/>
              <w:spacing w:after="0" w:line="240" w:lineRule="auto"/>
              <w:rPr>
                <w:rFonts w:eastAsia="Times New Roman"/>
                <w:noProof/>
              </w:rPr>
            </w:pPr>
            <w:r>
              <w:rPr>
                <w:noProof/>
              </w:rPr>
              <w:t>163</w:t>
            </w:r>
          </w:p>
        </w:tc>
        <w:tc>
          <w:tcPr>
            <w:tcW w:w="2085" w:type="dxa"/>
            <w:shd w:val="clear" w:color="auto" w:fill="C6EFCE"/>
            <w:noWrap/>
          </w:tcPr>
          <w:p w14:paraId="72B2D14C" w14:textId="77777777" w:rsidR="00C45D59" w:rsidRDefault="009B0962">
            <w:pPr>
              <w:pStyle w:val="P68B1DB1-Normal12"/>
              <w:spacing w:after="0" w:line="240" w:lineRule="auto"/>
              <w:rPr>
                <w:rFonts w:eastAsia="Times New Roman"/>
                <w:noProof/>
              </w:rPr>
            </w:pPr>
            <w:r>
              <w:rPr>
                <w:noProof/>
              </w:rPr>
              <w:t xml:space="preserve">10-3.3. Îmbunătățirea rezilienței, a accesibilității și a sustenabilității asistenței medicale – 16756_Reforme organizaționale în sistemul de sănătate </w:t>
            </w:r>
          </w:p>
        </w:tc>
        <w:tc>
          <w:tcPr>
            <w:tcW w:w="969" w:type="dxa"/>
            <w:shd w:val="clear" w:color="auto" w:fill="C6EFCE"/>
            <w:noWrap/>
          </w:tcPr>
          <w:p w14:paraId="51144F2A" w14:textId="77777777" w:rsidR="00C45D59" w:rsidRDefault="009B0962">
            <w:pPr>
              <w:pStyle w:val="P68B1DB1-Normal12"/>
              <w:spacing w:after="0" w:line="240" w:lineRule="auto"/>
              <w:rPr>
                <w:rFonts w:eastAsia="Times New Roman"/>
                <w:noProof/>
              </w:rPr>
            </w:pPr>
            <w:r>
              <w:rPr>
                <w:noProof/>
              </w:rPr>
              <w:t>Etapă</w:t>
            </w:r>
          </w:p>
        </w:tc>
        <w:tc>
          <w:tcPr>
            <w:tcW w:w="1293" w:type="dxa"/>
            <w:shd w:val="clear" w:color="auto" w:fill="C6EFCE"/>
            <w:noWrap/>
          </w:tcPr>
          <w:p w14:paraId="132DD028" w14:textId="77777777" w:rsidR="00C45D59" w:rsidRDefault="009B0962">
            <w:pPr>
              <w:pStyle w:val="P68B1DB1-Normal16"/>
              <w:spacing w:after="0" w:line="240" w:lineRule="auto"/>
              <w:rPr>
                <w:rFonts w:eastAsia="Times New Roman"/>
                <w:noProof/>
                <w:color w:val="006100"/>
              </w:rPr>
            </w:pPr>
            <w:r>
              <w:rPr>
                <w:noProof/>
                <w:color w:val="006100"/>
              </w:rPr>
              <w:t>Institutul elen DRG KETEKNY și noua</w:t>
            </w:r>
            <w:r>
              <w:rPr>
                <w:noProof/>
              </w:rPr>
              <w:t xml:space="preserve"> </w:t>
            </w:r>
            <w:r>
              <w:rPr>
                <w:noProof/>
                <w:color w:val="006100"/>
              </w:rPr>
              <w:t xml:space="preserve">Agenție pentru Asigurarea Calității în Asistența Medicală ODIPY </w:t>
            </w:r>
          </w:p>
        </w:tc>
        <w:tc>
          <w:tcPr>
            <w:tcW w:w="1707" w:type="dxa"/>
            <w:shd w:val="clear" w:color="auto" w:fill="C6EFCE"/>
            <w:noWrap/>
          </w:tcPr>
          <w:p w14:paraId="5F975676" w14:textId="060CC663" w:rsidR="00C45D59" w:rsidRDefault="009B0962">
            <w:pPr>
              <w:pStyle w:val="P68B1DB1-Normal12"/>
              <w:spacing w:after="0" w:line="240" w:lineRule="auto"/>
              <w:rPr>
                <w:rFonts w:eastAsia="Times New Roman"/>
                <w:noProof/>
              </w:rPr>
            </w:pPr>
            <w:r>
              <w:rPr>
                <w:noProof/>
              </w:rPr>
              <w:t xml:space="preserve">Platformele sunt online și accesibile, strategia și cadrul legislativ au intrat în vigoare </w:t>
            </w:r>
          </w:p>
        </w:tc>
        <w:tc>
          <w:tcPr>
            <w:tcW w:w="1335" w:type="dxa"/>
            <w:shd w:val="clear" w:color="auto" w:fill="C6EFCE"/>
            <w:noWrap/>
          </w:tcPr>
          <w:p w14:paraId="4BDCD518"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050" w:type="dxa"/>
            <w:shd w:val="clear" w:color="auto" w:fill="C6EFCE"/>
            <w:noWrap/>
          </w:tcPr>
          <w:p w14:paraId="71E7C698"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975" w:type="dxa"/>
            <w:shd w:val="clear" w:color="auto" w:fill="C6EFCE"/>
            <w:noWrap/>
          </w:tcPr>
          <w:p w14:paraId="63BA9CFE"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078" w:type="dxa"/>
            <w:shd w:val="clear" w:color="auto" w:fill="C6EFCE"/>
            <w:noWrap/>
          </w:tcPr>
          <w:p w14:paraId="0925AC25" w14:textId="77777777" w:rsidR="00C45D59" w:rsidRDefault="009B0962">
            <w:pPr>
              <w:pStyle w:val="P68B1DB1-Normal12"/>
              <w:spacing w:after="0" w:line="240" w:lineRule="auto"/>
              <w:rPr>
                <w:rFonts w:eastAsia="Times New Roman"/>
                <w:noProof/>
              </w:rPr>
            </w:pPr>
            <w:r>
              <w:rPr>
                <w:noProof/>
              </w:rPr>
              <w:t>Î2</w:t>
            </w:r>
          </w:p>
        </w:tc>
        <w:tc>
          <w:tcPr>
            <w:tcW w:w="810" w:type="dxa"/>
            <w:shd w:val="clear" w:color="auto" w:fill="C6EFCE"/>
            <w:noWrap/>
          </w:tcPr>
          <w:p w14:paraId="0549C230" w14:textId="77777777" w:rsidR="00C45D59" w:rsidRDefault="009B0962">
            <w:pPr>
              <w:pStyle w:val="P68B1DB1-Normal12"/>
              <w:spacing w:after="0" w:line="240" w:lineRule="auto"/>
              <w:rPr>
                <w:rFonts w:eastAsia="Times New Roman"/>
                <w:noProof/>
              </w:rPr>
            </w:pPr>
            <w:r>
              <w:rPr>
                <w:noProof/>
              </w:rPr>
              <w:t>2025</w:t>
            </w:r>
          </w:p>
        </w:tc>
        <w:tc>
          <w:tcPr>
            <w:tcW w:w="4269" w:type="dxa"/>
            <w:shd w:val="clear" w:color="auto" w:fill="C6EFCE"/>
            <w:noWrap/>
          </w:tcPr>
          <w:p w14:paraId="79AB6E7F" w14:textId="2CF29AC0" w:rsidR="00C45D59" w:rsidRDefault="009B0962">
            <w:pPr>
              <w:pStyle w:val="P68B1DB1-Normal23"/>
              <w:spacing w:after="0" w:line="240" w:lineRule="auto"/>
              <w:rPr>
                <w:noProof/>
              </w:rPr>
            </w:pPr>
            <w:r>
              <w:rPr>
                <w:noProof/>
              </w:rPr>
              <w:t xml:space="preserve">Îndeplinirea acestui jalon necesită: </w:t>
            </w:r>
          </w:p>
          <w:p w14:paraId="5E40DE02" w14:textId="77777777" w:rsidR="00C45D59" w:rsidRDefault="009B0962">
            <w:pPr>
              <w:pStyle w:val="P68B1DB1-ListParagraph34"/>
              <w:numPr>
                <w:ilvl w:val="0"/>
                <w:numId w:val="47"/>
              </w:numPr>
              <w:spacing w:after="0" w:line="240" w:lineRule="auto"/>
              <w:ind w:left="343" w:hanging="343"/>
              <w:rPr>
                <w:rFonts w:eastAsia="Times New Roman"/>
                <w:noProof/>
              </w:rPr>
            </w:pPr>
            <w:r>
              <w:rPr>
                <w:noProof/>
              </w:rPr>
              <w:t>Extinderea interoperabilității – interfețele de programare a aplicațiilor (API) de codificare DRG este online și accesibilă</w:t>
            </w:r>
          </w:p>
          <w:p w14:paraId="7991D016" w14:textId="77777777" w:rsidR="00C45D59" w:rsidRDefault="009B0962">
            <w:pPr>
              <w:pStyle w:val="P68B1DB1-ListParagraph42"/>
              <w:numPr>
                <w:ilvl w:val="0"/>
                <w:numId w:val="47"/>
              </w:numPr>
              <w:spacing w:after="0" w:line="240" w:lineRule="auto"/>
              <w:ind w:left="343" w:hanging="343"/>
              <w:rPr>
                <w:rFonts w:eastAsia="Times New Roman"/>
                <w:noProof/>
                <w:color w:val="006100"/>
              </w:rPr>
            </w:pPr>
            <w:r>
              <w:rPr>
                <w:noProof/>
                <w:color w:val="006100"/>
              </w:rPr>
              <w:t>platforma consultativă privind clasificarea internațională a bolilor (ICD) &amp; clasificarea procedurilor medicale elene (ETIP) este online și accesibilă</w:t>
            </w:r>
          </w:p>
          <w:p w14:paraId="69E8C244" w14:textId="77777777" w:rsidR="00C45D59" w:rsidRDefault="009B0962">
            <w:pPr>
              <w:pStyle w:val="P68B1DB1-ListParagraph34"/>
              <w:numPr>
                <w:ilvl w:val="0"/>
                <w:numId w:val="47"/>
              </w:numPr>
              <w:spacing w:after="0" w:line="240" w:lineRule="auto"/>
              <w:ind w:left="343" w:hanging="343"/>
              <w:rPr>
                <w:rFonts w:eastAsia="Times New Roman"/>
                <w:noProof/>
              </w:rPr>
            </w:pPr>
            <w:r>
              <w:rPr>
                <w:noProof/>
              </w:rPr>
              <w:t xml:space="preserve">platforma de colectare a datelor financiare și contabile este online și accesibilă </w:t>
            </w:r>
          </w:p>
          <w:p w14:paraId="2171A8A9" w14:textId="77777777" w:rsidR="00C45D59" w:rsidRDefault="009B0962">
            <w:pPr>
              <w:pStyle w:val="P68B1DB1-ListParagraph34"/>
              <w:numPr>
                <w:ilvl w:val="0"/>
                <w:numId w:val="47"/>
              </w:numPr>
              <w:spacing w:after="0" w:line="240" w:lineRule="auto"/>
              <w:ind w:left="343" w:hanging="343"/>
              <w:rPr>
                <w:rFonts w:eastAsia="Times New Roman"/>
                <w:noProof/>
              </w:rPr>
            </w:pPr>
            <w:r>
              <w:rPr>
                <w:noProof/>
              </w:rPr>
              <w:t>harta națională de sănătate (pentru cererea și oferta de servicii în sistemul de sănătate) este online și accesibilă</w:t>
            </w:r>
          </w:p>
          <w:p w14:paraId="20601BD6" w14:textId="2DCD0062" w:rsidR="00C45D59" w:rsidRDefault="009B0962">
            <w:pPr>
              <w:pStyle w:val="P68B1DB1-ListParagraph34"/>
              <w:numPr>
                <w:ilvl w:val="0"/>
                <w:numId w:val="47"/>
              </w:numPr>
              <w:spacing w:after="0" w:line="240" w:lineRule="auto"/>
              <w:ind w:left="343" w:hanging="343"/>
              <w:rPr>
                <w:rFonts w:eastAsia="Times New Roman"/>
                <w:noProof/>
              </w:rPr>
            </w:pPr>
            <w:r>
              <w:rPr>
                <w:noProof/>
              </w:rPr>
              <w:t xml:space="preserve">intrarea în vigoare a (a) cadrului legislativ pentru asigurarea calității, siguranța pacienților și implicarea pacienților, politicile de îngrijire și siguranță și (b) a strategiei naționale aferente </w:t>
            </w:r>
          </w:p>
        </w:tc>
      </w:tr>
      <w:tr w:rsidR="00C45D59" w14:paraId="273B549F" w14:textId="77777777" w:rsidTr="008A4BFA">
        <w:trPr>
          <w:trHeight w:val="313"/>
          <w:jc w:val="center"/>
        </w:trPr>
        <w:tc>
          <w:tcPr>
            <w:tcW w:w="717" w:type="dxa"/>
            <w:shd w:val="clear" w:color="auto" w:fill="C6EFCE"/>
            <w:noWrap/>
          </w:tcPr>
          <w:p w14:paraId="25316C0D" w14:textId="77777777" w:rsidR="00C45D59" w:rsidRDefault="009B0962">
            <w:pPr>
              <w:pStyle w:val="P68B1DB1-Normal12"/>
              <w:spacing w:after="0" w:line="240" w:lineRule="auto"/>
              <w:rPr>
                <w:rFonts w:eastAsia="Times New Roman"/>
                <w:noProof/>
              </w:rPr>
            </w:pPr>
            <w:r>
              <w:rPr>
                <w:noProof/>
              </w:rPr>
              <w:t>164</w:t>
            </w:r>
          </w:p>
        </w:tc>
        <w:tc>
          <w:tcPr>
            <w:tcW w:w="2085" w:type="dxa"/>
            <w:shd w:val="clear" w:color="auto" w:fill="C6EFCE"/>
            <w:noWrap/>
          </w:tcPr>
          <w:p w14:paraId="740AF108" w14:textId="77777777" w:rsidR="00C45D59" w:rsidRDefault="009B0962">
            <w:pPr>
              <w:pStyle w:val="P68B1DB1-Normal12"/>
              <w:spacing w:after="0" w:line="240" w:lineRule="auto"/>
              <w:rPr>
                <w:rFonts w:eastAsia="Times New Roman"/>
                <w:noProof/>
              </w:rPr>
            </w:pPr>
            <w:r>
              <w:rPr>
                <w:noProof/>
              </w:rPr>
              <w:t xml:space="preserve">10-3.3. Îmbunătățirea rezilienței, a accesibilității și a sustenabilității asistenței medicale – 16756_Reforme organizaționale în sistemul de sănătate </w:t>
            </w:r>
          </w:p>
        </w:tc>
        <w:tc>
          <w:tcPr>
            <w:tcW w:w="969" w:type="dxa"/>
            <w:shd w:val="clear" w:color="auto" w:fill="C6EFCE"/>
            <w:noWrap/>
          </w:tcPr>
          <w:p w14:paraId="62CDB697" w14:textId="77777777" w:rsidR="00C45D59" w:rsidRDefault="009B0962">
            <w:pPr>
              <w:pStyle w:val="P68B1DB1-Normal12"/>
              <w:spacing w:after="0" w:line="240" w:lineRule="auto"/>
              <w:rPr>
                <w:rFonts w:eastAsia="Times New Roman"/>
                <w:noProof/>
              </w:rPr>
            </w:pPr>
            <w:r>
              <w:rPr>
                <w:noProof/>
              </w:rPr>
              <w:t>Țintă</w:t>
            </w:r>
          </w:p>
        </w:tc>
        <w:tc>
          <w:tcPr>
            <w:tcW w:w="1293" w:type="dxa"/>
            <w:shd w:val="clear" w:color="auto" w:fill="C6EFCE"/>
            <w:noWrap/>
          </w:tcPr>
          <w:p w14:paraId="08E2B446" w14:textId="77777777" w:rsidR="00C45D59" w:rsidRDefault="009B0962">
            <w:pPr>
              <w:pStyle w:val="P68B1DB1-Normal12"/>
              <w:spacing w:after="0" w:line="240" w:lineRule="auto"/>
              <w:rPr>
                <w:rFonts w:eastAsia="Times New Roman"/>
                <w:noProof/>
              </w:rPr>
            </w:pPr>
            <w:r>
              <w:rPr>
                <w:noProof/>
              </w:rPr>
              <w:t xml:space="preserve">Sistemul de sănătate – Formare de tip KETEKNY </w:t>
            </w:r>
          </w:p>
        </w:tc>
        <w:tc>
          <w:tcPr>
            <w:tcW w:w="1707" w:type="dxa"/>
            <w:shd w:val="clear" w:color="auto" w:fill="C6EFCE"/>
            <w:noWrap/>
          </w:tcPr>
          <w:p w14:paraId="7C2A86BE"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335" w:type="dxa"/>
            <w:shd w:val="clear" w:color="auto" w:fill="C6EFCE"/>
            <w:noWrap/>
          </w:tcPr>
          <w:p w14:paraId="06801266" w14:textId="77777777" w:rsidR="00C45D59" w:rsidRDefault="009B0962">
            <w:pPr>
              <w:pStyle w:val="P68B1DB1-Normal12"/>
              <w:spacing w:after="0" w:line="240" w:lineRule="auto"/>
              <w:rPr>
                <w:rFonts w:eastAsia="Times New Roman"/>
                <w:noProof/>
              </w:rPr>
            </w:pPr>
            <w:r>
              <w:rPr>
                <w:noProof/>
              </w:rPr>
              <w:t xml:space="preserve">Numărul de profesioniști din domeniul sănătății certificați pentru formare în domeniul codificării clinice și al facturării </w:t>
            </w:r>
          </w:p>
        </w:tc>
        <w:tc>
          <w:tcPr>
            <w:tcW w:w="1050" w:type="dxa"/>
            <w:shd w:val="clear" w:color="auto" w:fill="C6EFCE"/>
            <w:noWrap/>
          </w:tcPr>
          <w:p w14:paraId="7A4E91C4" w14:textId="77777777" w:rsidR="00C45D59" w:rsidRDefault="009B0962">
            <w:pPr>
              <w:pStyle w:val="P68B1DB1-Normal12"/>
              <w:spacing w:after="0" w:line="240" w:lineRule="auto"/>
              <w:rPr>
                <w:rFonts w:eastAsia="Times New Roman"/>
                <w:noProof/>
              </w:rPr>
            </w:pPr>
            <w:r>
              <w:rPr>
                <w:noProof/>
              </w:rPr>
              <w:t>0</w:t>
            </w:r>
          </w:p>
        </w:tc>
        <w:tc>
          <w:tcPr>
            <w:tcW w:w="975" w:type="dxa"/>
            <w:shd w:val="clear" w:color="auto" w:fill="C6EFCE"/>
            <w:noWrap/>
          </w:tcPr>
          <w:p w14:paraId="333B0DAE" w14:textId="05458C3D" w:rsidR="00C45D59" w:rsidRDefault="009B0962">
            <w:pPr>
              <w:pStyle w:val="P68B1DB1-Normal12"/>
              <w:spacing w:after="0" w:line="240" w:lineRule="auto"/>
              <w:rPr>
                <w:rFonts w:eastAsia="Times New Roman"/>
                <w:noProof/>
              </w:rPr>
            </w:pPr>
            <w:r>
              <w:rPr>
                <w:noProof/>
              </w:rPr>
              <w:t xml:space="preserve">3 462 </w:t>
            </w:r>
          </w:p>
        </w:tc>
        <w:tc>
          <w:tcPr>
            <w:tcW w:w="1078" w:type="dxa"/>
            <w:shd w:val="clear" w:color="auto" w:fill="C6EFCE"/>
            <w:noWrap/>
          </w:tcPr>
          <w:p w14:paraId="7B88A140" w14:textId="77777777" w:rsidR="00C45D59" w:rsidRDefault="009B0962">
            <w:pPr>
              <w:pStyle w:val="P68B1DB1-Normal12"/>
              <w:spacing w:after="0" w:line="240" w:lineRule="auto"/>
              <w:rPr>
                <w:rFonts w:eastAsia="Times New Roman"/>
                <w:noProof/>
              </w:rPr>
            </w:pPr>
            <w:r>
              <w:rPr>
                <w:noProof/>
              </w:rPr>
              <w:t>Î2</w:t>
            </w:r>
          </w:p>
        </w:tc>
        <w:tc>
          <w:tcPr>
            <w:tcW w:w="810" w:type="dxa"/>
            <w:shd w:val="clear" w:color="auto" w:fill="C6EFCE"/>
            <w:noWrap/>
          </w:tcPr>
          <w:p w14:paraId="439F1AAC" w14:textId="77777777" w:rsidR="00C45D59" w:rsidRDefault="009B0962">
            <w:pPr>
              <w:pStyle w:val="P68B1DB1-Normal12"/>
              <w:spacing w:after="0" w:line="240" w:lineRule="auto"/>
              <w:rPr>
                <w:rFonts w:eastAsia="Times New Roman"/>
                <w:noProof/>
              </w:rPr>
            </w:pPr>
            <w:r>
              <w:rPr>
                <w:noProof/>
              </w:rPr>
              <w:t>2025</w:t>
            </w:r>
          </w:p>
        </w:tc>
        <w:tc>
          <w:tcPr>
            <w:tcW w:w="4269" w:type="dxa"/>
            <w:shd w:val="clear" w:color="auto" w:fill="C6EFCE"/>
            <w:noWrap/>
          </w:tcPr>
          <w:p w14:paraId="49CF0D3A" w14:textId="29BAFB40" w:rsidR="00C45D59" w:rsidRDefault="009B0962">
            <w:pPr>
              <w:pStyle w:val="P68B1DB1-Normal12"/>
              <w:spacing w:after="0" w:line="240" w:lineRule="auto"/>
              <w:rPr>
                <w:rFonts w:eastAsia="Times New Roman"/>
                <w:noProof/>
              </w:rPr>
            </w:pPr>
            <w:r>
              <w:rPr>
                <w:noProof/>
              </w:rPr>
              <w:t>Certificarea a 3 462 de profesioniști din domeniul sănătății pentru formare în domeniul codării și facturării clinice (clinical Coding &amp; Billing).</w:t>
            </w:r>
          </w:p>
        </w:tc>
      </w:tr>
      <w:tr w:rsidR="00C45D59" w14:paraId="554F801D" w14:textId="77777777" w:rsidTr="008A4BFA">
        <w:trPr>
          <w:trHeight w:val="313"/>
          <w:jc w:val="center"/>
        </w:trPr>
        <w:tc>
          <w:tcPr>
            <w:tcW w:w="717" w:type="dxa"/>
            <w:shd w:val="clear" w:color="auto" w:fill="C6EFCE"/>
            <w:noWrap/>
          </w:tcPr>
          <w:p w14:paraId="2A2A167A" w14:textId="77777777" w:rsidR="00C45D59" w:rsidRDefault="009B0962">
            <w:pPr>
              <w:pStyle w:val="P68B1DB1-Normal12"/>
              <w:spacing w:after="0" w:line="240" w:lineRule="auto"/>
              <w:rPr>
                <w:noProof/>
              </w:rPr>
            </w:pPr>
            <w:r>
              <w:rPr>
                <w:noProof/>
              </w:rPr>
              <w:t>164a</w:t>
            </w:r>
          </w:p>
        </w:tc>
        <w:tc>
          <w:tcPr>
            <w:tcW w:w="2085" w:type="dxa"/>
            <w:shd w:val="clear" w:color="auto" w:fill="C6EFCE"/>
            <w:noWrap/>
          </w:tcPr>
          <w:p w14:paraId="2BAD216F" w14:textId="77777777" w:rsidR="00C45D59" w:rsidRDefault="009B0962">
            <w:pPr>
              <w:pStyle w:val="P68B1DB1-Normal12"/>
              <w:spacing w:after="0" w:line="240" w:lineRule="auto"/>
              <w:rPr>
                <w:noProof/>
              </w:rPr>
            </w:pPr>
            <w:r>
              <w:rPr>
                <w:noProof/>
              </w:rPr>
              <w:t>10-3.3. Îmbunătățirea rezilienței, a accesibilității și a sustenabilității asistenței medicale – 16 756_Reforme organizaționale în sistemul de sănătate</w:t>
            </w:r>
          </w:p>
        </w:tc>
        <w:tc>
          <w:tcPr>
            <w:tcW w:w="969" w:type="dxa"/>
            <w:shd w:val="clear" w:color="auto" w:fill="C6EFCE"/>
            <w:noWrap/>
          </w:tcPr>
          <w:p w14:paraId="2BE8745F" w14:textId="77777777" w:rsidR="00C45D59" w:rsidRDefault="009B0962">
            <w:pPr>
              <w:pStyle w:val="P68B1DB1-Normal12"/>
              <w:spacing w:after="0" w:line="240" w:lineRule="auto"/>
              <w:rPr>
                <w:noProof/>
              </w:rPr>
            </w:pPr>
            <w:r>
              <w:rPr>
                <w:noProof/>
              </w:rPr>
              <w:t>Țintă</w:t>
            </w:r>
          </w:p>
        </w:tc>
        <w:tc>
          <w:tcPr>
            <w:tcW w:w="1293" w:type="dxa"/>
            <w:shd w:val="clear" w:color="auto" w:fill="C6EFCE"/>
            <w:noWrap/>
          </w:tcPr>
          <w:p w14:paraId="0FC51A36" w14:textId="77777777" w:rsidR="00C45D59" w:rsidRDefault="009B0962">
            <w:pPr>
              <w:pStyle w:val="P68B1DB1-Normal12"/>
              <w:spacing w:after="0" w:line="240" w:lineRule="auto"/>
              <w:rPr>
                <w:noProof/>
              </w:rPr>
            </w:pPr>
            <w:r>
              <w:rPr>
                <w:noProof/>
              </w:rPr>
              <w:t>Reducerea listei de așteptare pentru intervenții chirurgicale</w:t>
            </w:r>
          </w:p>
        </w:tc>
        <w:tc>
          <w:tcPr>
            <w:tcW w:w="1707" w:type="dxa"/>
            <w:shd w:val="clear" w:color="auto" w:fill="C6EFCE"/>
            <w:noWrap/>
          </w:tcPr>
          <w:p w14:paraId="178B37DA"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335" w:type="dxa"/>
            <w:shd w:val="clear" w:color="auto" w:fill="C6EFCE"/>
            <w:noWrap/>
          </w:tcPr>
          <w:p w14:paraId="52EA5C71" w14:textId="77777777" w:rsidR="00C45D59" w:rsidRDefault="009B0962">
            <w:pPr>
              <w:pStyle w:val="P68B1DB1-Normal12"/>
              <w:spacing w:after="0" w:line="240" w:lineRule="auto"/>
              <w:rPr>
                <w:noProof/>
              </w:rPr>
            </w:pPr>
            <w:r>
              <w:rPr>
                <w:noProof/>
              </w:rPr>
              <w:t>Numărul de intervenții chirurgicale efectuate la pacienți care au așteptat mai mult de patru luni.</w:t>
            </w:r>
          </w:p>
        </w:tc>
        <w:tc>
          <w:tcPr>
            <w:tcW w:w="1050" w:type="dxa"/>
            <w:shd w:val="clear" w:color="auto" w:fill="C6EFCE"/>
            <w:noWrap/>
          </w:tcPr>
          <w:p w14:paraId="03E94860" w14:textId="77777777" w:rsidR="00C45D59" w:rsidRDefault="009B0962">
            <w:pPr>
              <w:pStyle w:val="P68B1DB1-Normal12"/>
              <w:spacing w:after="0" w:line="240" w:lineRule="auto"/>
              <w:rPr>
                <w:noProof/>
              </w:rPr>
            </w:pPr>
            <w:r>
              <w:rPr>
                <w:noProof/>
              </w:rPr>
              <w:t>0</w:t>
            </w:r>
          </w:p>
        </w:tc>
        <w:tc>
          <w:tcPr>
            <w:tcW w:w="975" w:type="dxa"/>
            <w:shd w:val="clear" w:color="auto" w:fill="C6EFCE"/>
            <w:noWrap/>
          </w:tcPr>
          <w:p w14:paraId="278A3EE1" w14:textId="77777777" w:rsidR="00C45D59" w:rsidRDefault="009B0962">
            <w:pPr>
              <w:pStyle w:val="P68B1DB1-Normal12"/>
              <w:spacing w:after="0" w:line="240" w:lineRule="auto"/>
              <w:rPr>
                <w:noProof/>
              </w:rPr>
            </w:pPr>
            <w:r>
              <w:rPr>
                <w:noProof/>
              </w:rPr>
              <w:t>20 000</w:t>
            </w:r>
          </w:p>
        </w:tc>
        <w:tc>
          <w:tcPr>
            <w:tcW w:w="1078" w:type="dxa"/>
            <w:shd w:val="clear" w:color="auto" w:fill="C6EFCE"/>
            <w:noWrap/>
          </w:tcPr>
          <w:p w14:paraId="7D9AF375" w14:textId="77777777" w:rsidR="00C45D59" w:rsidRDefault="009B0962">
            <w:pPr>
              <w:pStyle w:val="P68B1DB1-Normal12"/>
              <w:spacing w:after="0" w:line="240" w:lineRule="auto"/>
              <w:rPr>
                <w:noProof/>
              </w:rPr>
            </w:pPr>
            <w:r>
              <w:rPr>
                <w:noProof/>
              </w:rPr>
              <w:t>Î4</w:t>
            </w:r>
          </w:p>
        </w:tc>
        <w:tc>
          <w:tcPr>
            <w:tcW w:w="810" w:type="dxa"/>
            <w:shd w:val="clear" w:color="auto" w:fill="C6EFCE"/>
            <w:noWrap/>
          </w:tcPr>
          <w:p w14:paraId="3C7AD8C6" w14:textId="77777777" w:rsidR="00C45D59" w:rsidRDefault="009B0962">
            <w:pPr>
              <w:pStyle w:val="P68B1DB1-Normal12"/>
              <w:spacing w:after="0" w:line="240" w:lineRule="auto"/>
              <w:rPr>
                <w:noProof/>
              </w:rPr>
            </w:pPr>
            <w:r>
              <w:rPr>
                <w:noProof/>
              </w:rPr>
              <w:t>2025</w:t>
            </w:r>
          </w:p>
        </w:tc>
        <w:tc>
          <w:tcPr>
            <w:tcW w:w="4269" w:type="dxa"/>
            <w:shd w:val="clear" w:color="auto" w:fill="C6EFCE"/>
            <w:noWrap/>
          </w:tcPr>
          <w:p w14:paraId="4FDAF4C7" w14:textId="5E0DD846" w:rsidR="00C45D59" w:rsidRDefault="009B0962">
            <w:pPr>
              <w:pStyle w:val="P68B1DB1-Normal12"/>
              <w:spacing w:after="0" w:line="240" w:lineRule="auto"/>
              <w:rPr>
                <w:noProof/>
              </w:rPr>
            </w:pPr>
            <w:r>
              <w:rPr>
                <w:noProof/>
              </w:rPr>
              <w:t xml:space="preserve">Reducerea întârzierilor cu cel puțin 90 % din numărul total de intervenții chirurgicale în așteptare pentru pacienții care au așteptat mai mult de patru luni pe lista digitală unică a intervențiilor chirurgicale (pe baza statutului listei la 16 octombrie 2024) și reducerea numărului de intervenții chirurgicale pentru pacienții care au așteptat mai mult de patru luni pe lista digitală unică a intervențiilor chirurgicale cu cel puțin 50 % până la sfârșitul programului de intervenții chirurgicale de după-amiază. </w:t>
            </w:r>
          </w:p>
          <w:p w14:paraId="1DED4FC2" w14:textId="77777777" w:rsidR="00C45D59" w:rsidRDefault="00C45D59">
            <w:pPr>
              <w:spacing w:after="0" w:line="240" w:lineRule="auto"/>
              <w:rPr>
                <w:rFonts w:ascii="Times New Roman" w:hAnsi="Times New Roman" w:cs="Times New Roman"/>
                <w:noProof/>
                <w:color w:val="006100"/>
                <w:sz w:val="18"/>
                <w:szCs w:val="18"/>
              </w:rPr>
            </w:pPr>
          </w:p>
          <w:p w14:paraId="34199AAC" w14:textId="77777777" w:rsidR="00C45D59" w:rsidRDefault="009B0962">
            <w:pPr>
              <w:pStyle w:val="P68B1DB1-Normal16"/>
              <w:spacing w:after="0" w:line="240" w:lineRule="auto"/>
              <w:rPr>
                <w:noProof/>
                <w:color w:val="006100"/>
              </w:rPr>
            </w:pPr>
            <w:r>
              <w:rPr>
                <w:noProof/>
                <w:color w:val="006100"/>
              </w:rPr>
              <w:t>Efectuați cel puțin 20 000 intervenții chirurgicale la pacienții care au așteptat mai mult de patru luni, inclusiv cel puțin 8 000 intervenții chirurgicale la pacienții care au așteptat mai mult de 8 luni.</w:t>
            </w:r>
            <w:r>
              <w:rPr>
                <w:noProof/>
              </w:rPr>
              <w:t xml:space="preserve"> </w:t>
            </w:r>
            <w:r>
              <w:rPr>
                <w:noProof/>
                <w:color w:val="006100"/>
              </w:rPr>
              <w:t>Aceste intervenții chirurgicale implică beneficiari atât din lista de stare din 16 octombrie 2024, cât și pe cei care au devenit eligibili de atunci.</w:t>
            </w:r>
          </w:p>
        </w:tc>
      </w:tr>
      <w:tr w:rsidR="00C45D59" w14:paraId="6DD25D69" w14:textId="77777777" w:rsidTr="008A4BFA">
        <w:trPr>
          <w:trHeight w:val="313"/>
          <w:jc w:val="center"/>
        </w:trPr>
        <w:tc>
          <w:tcPr>
            <w:tcW w:w="717" w:type="dxa"/>
            <w:shd w:val="clear" w:color="auto" w:fill="C6EFCE"/>
            <w:noWrap/>
          </w:tcPr>
          <w:p w14:paraId="65F2CB40" w14:textId="77777777" w:rsidR="00C45D59" w:rsidRDefault="009B0962">
            <w:pPr>
              <w:pStyle w:val="P68B1DB1-Normal12"/>
              <w:spacing w:after="0" w:line="240" w:lineRule="auto"/>
              <w:rPr>
                <w:noProof/>
              </w:rPr>
            </w:pPr>
            <w:r>
              <w:rPr>
                <w:noProof/>
              </w:rPr>
              <w:t>164b</w:t>
            </w:r>
          </w:p>
        </w:tc>
        <w:tc>
          <w:tcPr>
            <w:tcW w:w="2085" w:type="dxa"/>
            <w:shd w:val="clear" w:color="auto" w:fill="C6EFCE"/>
            <w:noWrap/>
          </w:tcPr>
          <w:p w14:paraId="2E6C339D" w14:textId="77777777" w:rsidR="00C45D59" w:rsidRDefault="009B0962">
            <w:pPr>
              <w:pStyle w:val="P68B1DB1-Normal12"/>
              <w:spacing w:after="0" w:line="240" w:lineRule="auto"/>
              <w:rPr>
                <w:noProof/>
              </w:rPr>
            </w:pPr>
            <w:r>
              <w:rPr>
                <w:noProof/>
              </w:rPr>
              <w:t>10-3.3. Îmbunătățirea rezilienței, a accesibilității și a sustenabilității asistenței medicale – 16 756_Reforme organizaționale în sistemul de sănătate</w:t>
            </w:r>
          </w:p>
        </w:tc>
        <w:tc>
          <w:tcPr>
            <w:tcW w:w="969" w:type="dxa"/>
            <w:shd w:val="clear" w:color="auto" w:fill="C6EFCE"/>
            <w:noWrap/>
          </w:tcPr>
          <w:p w14:paraId="0804CDF4" w14:textId="77777777" w:rsidR="00C45D59" w:rsidRDefault="009B0962">
            <w:pPr>
              <w:pStyle w:val="P68B1DB1-Normal12"/>
              <w:spacing w:after="0" w:line="240" w:lineRule="auto"/>
              <w:rPr>
                <w:noProof/>
              </w:rPr>
            </w:pPr>
            <w:r>
              <w:rPr>
                <w:noProof/>
              </w:rPr>
              <w:t>Etapă</w:t>
            </w:r>
          </w:p>
        </w:tc>
        <w:tc>
          <w:tcPr>
            <w:tcW w:w="1293" w:type="dxa"/>
            <w:shd w:val="clear" w:color="auto" w:fill="C6EFCE"/>
            <w:noWrap/>
          </w:tcPr>
          <w:p w14:paraId="3B5DBACB" w14:textId="77777777" w:rsidR="00C45D59" w:rsidRDefault="009B0962">
            <w:pPr>
              <w:pStyle w:val="P68B1DB1-Normal12"/>
              <w:spacing w:after="0" w:line="240" w:lineRule="auto"/>
              <w:rPr>
                <w:noProof/>
              </w:rPr>
            </w:pPr>
            <w:r>
              <w:rPr>
                <w:noProof/>
              </w:rPr>
              <w:t>Navigarea în sistemul de sănătate și orientări pentru cetățeni</w:t>
            </w:r>
          </w:p>
        </w:tc>
        <w:tc>
          <w:tcPr>
            <w:tcW w:w="1707" w:type="dxa"/>
            <w:shd w:val="clear" w:color="auto" w:fill="C6EFCE"/>
            <w:noWrap/>
          </w:tcPr>
          <w:p w14:paraId="15D3DD95" w14:textId="77777777" w:rsidR="00C45D59" w:rsidRDefault="009B0962">
            <w:pPr>
              <w:pStyle w:val="P68B1DB1-Normal23"/>
              <w:spacing w:after="0" w:line="240" w:lineRule="auto"/>
              <w:rPr>
                <w:noProof/>
              </w:rPr>
            </w:pPr>
            <w:r>
              <w:rPr>
                <w:noProof/>
              </w:rPr>
              <w:t>Instrumente și servicii de navigație și orientare pentru cetățeni</w:t>
            </w:r>
          </w:p>
        </w:tc>
        <w:tc>
          <w:tcPr>
            <w:tcW w:w="1335" w:type="dxa"/>
            <w:shd w:val="clear" w:color="auto" w:fill="C6EFCE"/>
            <w:noWrap/>
          </w:tcPr>
          <w:p w14:paraId="7BE85CD1" w14:textId="77777777" w:rsidR="00C45D59" w:rsidRDefault="00C45D59">
            <w:pPr>
              <w:spacing w:after="0" w:line="240" w:lineRule="auto"/>
              <w:rPr>
                <w:rFonts w:ascii="Times New Roman" w:hAnsi="Times New Roman" w:cs="Times New Roman"/>
                <w:noProof/>
                <w:color w:val="006100"/>
                <w:sz w:val="18"/>
                <w:szCs w:val="18"/>
              </w:rPr>
            </w:pPr>
          </w:p>
        </w:tc>
        <w:tc>
          <w:tcPr>
            <w:tcW w:w="1050" w:type="dxa"/>
            <w:shd w:val="clear" w:color="auto" w:fill="C6EFCE"/>
            <w:noWrap/>
          </w:tcPr>
          <w:p w14:paraId="1C3DA6E7" w14:textId="77777777" w:rsidR="00C45D59" w:rsidRDefault="00C45D59">
            <w:pPr>
              <w:spacing w:after="0" w:line="240" w:lineRule="auto"/>
              <w:rPr>
                <w:rFonts w:ascii="Times New Roman" w:hAnsi="Times New Roman" w:cs="Times New Roman"/>
                <w:noProof/>
                <w:color w:val="006100"/>
                <w:sz w:val="18"/>
                <w:szCs w:val="18"/>
              </w:rPr>
            </w:pPr>
          </w:p>
        </w:tc>
        <w:tc>
          <w:tcPr>
            <w:tcW w:w="975" w:type="dxa"/>
            <w:shd w:val="clear" w:color="auto" w:fill="C6EFCE"/>
            <w:noWrap/>
          </w:tcPr>
          <w:p w14:paraId="0438B1D4" w14:textId="77777777" w:rsidR="00C45D59" w:rsidRDefault="00C45D59">
            <w:pPr>
              <w:spacing w:after="0" w:line="240" w:lineRule="auto"/>
              <w:rPr>
                <w:rFonts w:ascii="Times New Roman" w:hAnsi="Times New Roman" w:cs="Times New Roman"/>
                <w:noProof/>
                <w:color w:val="006100"/>
                <w:sz w:val="18"/>
                <w:szCs w:val="18"/>
              </w:rPr>
            </w:pPr>
          </w:p>
        </w:tc>
        <w:tc>
          <w:tcPr>
            <w:tcW w:w="1078" w:type="dxa"/>
            <w:shd w:val="clear" w:color="auto" w:fill="C6EFCE"/>
            <w:noWrap/>
          </w:tcPr>
          <w:p w14:paraId="0E0AD78D" w14:textId="77777777" w:rsidR="00C45D59" w:rsidRDefault="009B0962">
            <w:pPr>
              <w:pStyle w:val="P68B1DB1-Normal12"/>
              <w:spacing w:after="0" w:line="240" w:lineRule="auto"/>
              <w:rPr>
                <w:noProof/>
              </w:rPr>
            </w:pPr>
            <w:r>
              <w:rPr>
                <w:noProof/>
              </w:rPr>
              <w:t>Î2</w:t>
            </w:r>
          </w:p>
        </w:tc>
        <w:tc>
          <w:tcPr>
            <w:tcW w:w="810" w:type="dxa"/>
            <w:shd w:val="clear" w:color="auto" w:fill="C6EFCE"/>
            <w:noWrap/>
          </w:tcPr>
          <w:p w14:paraId="50FC0547" w14:textId="77777777" w:rsidR="00C45D59" w:rsidRDefault="009B0962">
            <w:pPr>
              <w:pStyle w:val="P68B1DB1-Normal12"/>
              <w:spacing w:after="0" w:line="240" w:lineRule="auto"/>
              <w:rPr>
                <w:noProof/>
              </w:rPr>
            </w:pPr>
            <w:r>
              <w:rPr>
                <w:noProof/>
              </w:rPr>
              <w:t>2026</w:t>
            </w:r>
          </w:p>
        </w:tc>
        <w:tc>
          <w:tcPr>
            <w:tcW w:w="4269" w:type="dxa"/>
            <w:shd w:val="clear" w:color="auto" w:fill="C6EFCE"/>
            <w:noWrap/>
          </w:tcPr>
          <w:p w14:paraId="6F635273" w14:textId="5821A64C" w:rsidR="00C45D59" w:rsidRDefault="009B0962">
            <w:pPr>
              <w:pStyle w:val="P68B1DB1-Normal12"/>
              <w:spacing w:after="0" w:line="240" w:lineRule="auto"/>
              <w:rPr>
                <w:noProof/>
              </w:rPr>
            </w:pPr>
            <w:r>
              <w:rPr>
                <w:noProof/>
              </w:rPr>
              <w:t>Linia telefonică gratuită (1 566) pentru cererile cetățenilor este în uz.</w:t>
            </w:r>
          </w:p>
          <w:p w14:paraId="505F07ED" w14:textId="77777777" w:rsidR="00C45D59" w:rsidRDefault="00C45D59">
            <w:pPr>
              <w:spacing w:after="0" w:line="240" w:lineRule="auto"/>
              <w:rPr>
                <w:rFonts w:ascii="Times New Roman" w:hAnsi="Times New Roman" w:cs="Times New Roman"/>
                <w:noProof/>
                <w:color w:val="006100"/>
                <w:sz w:val="18"/>
                <w:szCs w:val="18"/>
              </w:rPr>
            </w:pPr>
          </w:p>
          <w:p w14:paraId="68BFFC91" w14:textId="77777777" w:rsidR="00C45D59" w:rsidRDefault="009B0962">
            <w:pPr>
              <w:pStyle w:val="P68B1DB1-Normal12"/>
              <w:spacing w:after="0" w:line="240" w:lineRule="auto"/>
              <w:rPr>
                <w:noProof/>
              </w:rPr>
            </w:pPr>
            <w:r>
              <w:rPr>
                <w:noProof/>
              </w:rPr>
              <w:t>Un site web cu capacități de asistență digitală și o aplicație pentru dispozitive mobile pentru gestionarea și prelucrarea cererilor cetățenilor sunt online și accesibile.</w:t>
            </w:r>
          </w:p>
          <w:p w14:paraId="1A9C00AB" w14:textId="77777777" w:rsidR="00C45D59" w:rsidRDefault="009B0962">
            <w:pPr>
              <w:pStyle w:val="P68B1DB1-Normal12"/>
              <w:spacing w:after="0" w:line="240" w:lineRule="auto"/>
              <w:rPr>
                <w:noProof/>
              </w:rPr>
            </w:pPr>
            <w:r>
              <w:rPr>
                <w:noProof/>
              </w:rPr>
              <w:t>Se creează o rețea de ofițeri de teren instruiți pentru a furniza servicii de orientare și navigație pentru cetățeni în cadrul structurilor și serviciilor de sănătate.</w:t>
            </w:r>
          </w:p>
        </w:tc>
      </w:tr>
      <w:tr w:rsidR="00C45D59" w14:paraId="728C08EC" w14:textId="77777777" w:rsidTr="008A4BFA">
        <w:trPr>
          <w:trHeight w:val="313"/>
          <w:jc w:val="center"/>
        </w:trPr>
        <w:tc>
          <w:tcPr>
            <w:tcW w:w="717" w:type="dxa"/>
            <w:shd w:val="clear" w:color="auto" w:fill="C6EFCE"/>
            <w:noWrap/>
          </w:tcPr>
          <w:p w14:paraId="3A567550" w14:textId="77777777" w:rsidR="00C45D59" w:rsidRDefault="009B0962">
            <w:pPr>
              <w:pStyle w:val="P68B1DB1-Normal12"/>
              <w:spacing w:after="0" w:line="240" w:lineRule="auto"/>
              <w:rPr>
                <w:rFonts w:eastAsia="Times New Roman"/>
                <w:noProof/>
              </w:rPr>
            </w:pPr>
            <w:r>
              <w:rPr>
                <w:noProof/>
              </w:rPr>
              <w:t>165</w:t>
            </w:r>
          </w:p>
        </w:tc>
        <w:tc>
          <w:tcPr>
            <w:tcW w:w="2085" w:type="dxa"/>
            <w:shd w:val="clear" w:color="auto" w:fill="C6EFCE"/>
            <w:noWrap/>
          </w:tcPr>
          <w:p w14:paraId="21DF54C2" w14:textId="77777777" w:rsidR="00C45D59" w:rsidRDefault="009B0962">
            <w:pPr>
              <w:pStyle w:val="P68B1DB1-Normal12"/>
              <w:spacing w:after="0" w:line="240" w:lineRule="auto"/>
              <w:rPr>
                <w:rFonts w:eastAsia="Times New Roman"/>
                <w:noProof/>
              </w:rPr>
            </w:pPr>
            <w:r>
              <w:rPr>
                <w:noProof/>
              </w:rPr>
              <w:t>10-3.3. Îmbunătățirea rezilienței, accesibilității și sustenabilității asistenței medicale – 16783_Punerea în aplicare a Programului național de prevenire a sănătății publice „Spiros Doxiadis” (NPP „SD”)</w:t>
            </w:r>
          </w:p>
        </w:tc>
        <w:tc>
          <w:tcPr>
            <w:tcW w:w="969" w:type="dxa"/>
            <w:shd w:val="clear" w:color="auto" w:fill="C6EFCE"/>
            <w:noWrap/>
          </w:tcPr>
          <w:p w14:paraId="0FC35006" w14:textId="77777777" w:rsidR="00C45D59" w:rsidRDefault="009B0962">
            <w:pPr>
              <w:pStyle w:val="P68B1DB1-Normal12"/>
              <w:spacing w:after="0" w:line="240" w:lineRule="auto"/>
              <w:rPr>
                <w:rFonts w:eastAsia="Times New Roman"/>
                <w:noProof/>
              </w:rPr>
            </w:pPr>
            <w:r>
              <w:rPr>
                <w:noProof/>
              </w:rPr>
              <w:t>Etapă</w:t>
            </w:r>
          </w:p>
        </w:tc>
        <w:tc>
          <w:tcPr>
            <w:tcW w:w="1293" w:type="dxa"/>
            <w:shd w:val="clear" w:color="auto" w:fill="C6EFCE"/>
            <w:noWrap/>
          </w:tcPr>
          <w:p w14:paraId="52E1BCD6" w14:textId="77777777" w:rsidR="00C45D59" w:rsidRDefault="009B0962">
            <w:pPr>
              <w:pStyle w:val="P68B1DB1-Normal12"/>
              <w:spacing w:after="0" w:line="240" w:lineRule="auto"/>
              <w:rPr>
                <w:rFonts w:eastAsia="Times New Roman"/>
                <w:noProof/>
              </w:rPr>
            </w:pPr>
            <w:r>
              <w:rPr>
                <w:noProof/>
              </w:rPr>
              <w:t xml:space="preserve">Programul național de prevenire a sănătății publice „Spiros Doxiadis” – Prevenire primară </w:t>
            </w:r>
          </w:p>
        </w:tc>
        <w:tc>
          <w:tcPr>
            <w:tcW w:w="1707" w:type="dxa"/>
            <w:shd w:val="clear" w:color="auto" w:fill="C6EFCE"/>
            <w:noWrap/>
          </w:tcPr>
          <w:p w14:paraId="39164299" w14:textId="77777777" w:rsidR="00C45D59" w:rsidRDefault="009B0962">
            <w:pPr>
              <w:pStyle w:val="P68B1DB1-Normal12"/>
              <w:spacing w:after="0" w:line="240" w:lineRule="auto"/>
              <w:rPr>
                <w:rFonts w:eastAsia="Times New Roman"/>
                <w:noProof/>
              </w:rPr>
            </w:pPr>
            <w:r>
              <w:rPr>
                <w:noProof/>
              </w:rPr>
              <w:t>Intervenții de prevenire primară și dispoziții din actul juridic care indică intrarea în vigoare a actului juridic.</w:t>
            </w:r>
          </w:p>
        </w:tc>
        <w:tc>
          <w:tcPr>
            <w:tcW w:w="1335" w:type="dxa"/>
            <w:shd w:val="clear" w:color="auto" w:fill="C6EFCE"/>
            <w:noWrap/>
          </w:tcPr>
          <w:p w14:paraId="2605ADCB"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050" w:type="dxa"/>
            <w:shd w:val="clear" w:color="auto" w:fill="C6EFCE"/>
            <w:noWrap/>
          </w:tcPr>
          <w:p w14:paraId="42E8FFCA"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975" w:type="dxa"/>
            <w:shd w:val="clear" w:color="auto" w:fill="C6EFCE"/>
            <w:noWrap/>
          </w:tcPr>
          <w:p w14:paraId="7FA9C750"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078" w:type="dxa"/>
            <w:shd w:val="clear" w:color="auto" w:fill="C6EFCE"/>
            <w:noWrap/>
          </w:tcPr>
          <w:p w14:paraId="2F504D96" w14:textId="77777777" w:rsidR="00C45D59" w:rsidRDefault="009B0962">
            <w:pPr>
              <w:pStyle w:val="P68B1DB1-Normal12"/>
              <w:spacing w:after="0" w:line="240" w:lineRule="auto"/>
              <w:rPr>
                <w:rFonts w:eastAsia="Times New Roman"/>
                <w:noProof/>
              </w:rPr>
            </w:pPr>
            <w:r>
              <w:rPr>
                <w:noProof/>
              </w:rPr>
              <w:t>Î4</w:t>
            </w:r>
          </w:p>
        </w:tc>
        <w:tc>
          <w:tcPr>
            <w:tcW w:w="810" w:type="dxa"/>
            <w:shd w:val="clear" w:color="auto" w:fill="C6EFCE"/>
            <w:noWrap/>
          </w:tcPr>
          <w:p w14:paraId="36BD4158" w14:textId="77777777" w:rsidR="00C45D59" w:rsidRDefault="009B0962">
            <w:pPr>
              <w:pStyle w:val="P68B1DB1-Normal12"/>
              <w:spacing w:after="0" w:line="240" w:lineRule="auto"/>
              <w:rPr>
                <w:rFonts w:eastAsia="Times New Roman"/>
                <w:noProof/>
              </w:rPr>
            </w:pPr>
            <w:r>
              <w:rPr>
                <w:noProof/>
              </w:rPr>
              <w:t>2025</w:t>
            </w:r>
          </w:p>
        </w:tc>
        <w:tc>
          <w:tcPr>
            <w:tcW w:w="4269" w:type="dxa"/>
            <w:shd w:val="clear" w:color="auto" w:fill="C6EFCE"/>
            <w:noWrap/>
          </w:tcPr>
          <w:p w14:paraId="15809C3F" w14:textId="77777777" w:rsidR="00C45D59" w:rsidRDefault="009B0962">
            <w:pPr>
              <w:pStyle w:val="P68B1DB1-Normal12"/>
              <w:spacing w:after="0" w:line="240" w:lineRule="auto"/>
              <w:rPr>
                <w:noProof/>
              </w:rPr>
            </w:pPr>
            <w:r>
              <w:rPr>
                <w:noProof/>
              </w:rPr>
              <w:t>Îndeplinirea acestui jalon necesită:</w:t>
            </w:r>
          </w:p>
          <w:p w14:paraId="01F6D71C" w14:textId="77777777" w:rsidR="00C45D59" w:rsidRDefault="00C45D59">
            <w:pPr>
              <w:spacing w:after="0" w:line="240" w:lineRule="auto"/>
              <w:rPr>
                <w:rFonts w:ascii="Times New Roman" w:hAnsi="Times New Roman" w:cs="Times New Roman"/>
                <w:noProof/>
                <w:color w:val="006100"/>
                <w:sz w:val="18"/>
                <w:szCs w:val="18"/>
              </w:rPr>
            </w:pPr>
          </w:p>
          <w:p w14:paraId="75A705D1" w14:textId="77777777" w:rsidR="00C45D59" w:rsidRDefault="009B0962">
            <w:pPr>
              <w:pStyle w:val="P68B1DB1-Normal12"/>
              <w:spacing w:after="0" w:line="240" w:lineRule="auto"/>
              <w:rPr>
                <w:noProof/>
              </w:rPr>
            </w:pPr>
            <w:r>
              <w:rPr>
                <w:noProof/>
              </w:rPr>
              <w:t>I) Intervenții pentru promovarea exercițiilor fizice și a alimentației sănătoase:</w:t>
            </w:r>
          </w:p>
          <w:p w14:paraId="74433EAA" w14:textId="082A0164" w:rsidR="00C45D59" w:rsidRDefault="009B0962">
            <w:pPr>
              <w:pStyle w:val="P68B1DB1-Normal12"/>
              <w:spacing w:after="0" w:line="240" w:lineRule="auto"/>
              <w:rPr>
                <w:noProof/>
              </w:rPr>
            </w:pPr>
            <w:r>
              <w:rPr>
                <w:noProof/>
              </w:rPr>
              <w:t>a) intrarea în vigoare a unui act juridic pentru o alimentație sănătoasă în cantinele școlare,</w:t>
            </w:r>
          </w:p>
          <w:p w14:paraId="52C80521" w14:textId="75FAE12D" w:rsidR="00C45D59" w:rsidRDefault="009B0962">
            <w:pPr>
              <w:spacing w:after="0" w:line="240" w:lineRule="auto"/>
              <w:rPr>
                <w:rFonts w:ascii="Times New Roman" w:hAnsi="Times New Roman" w:cs="Times New Roman"/>
                <w:noProof/>
                <w:color w:val="006100"/>
                <w:sz w:val="18"/>
                <w:szCs w:val="18"/>
              </w:rPr>
            </w:pPr>
            <w:r>
              <w:rPr>
                <w:rFonts w:ascii="Times New Roman" w:hAnsi="Times New Roman" w:cs="Times New Roman"/>
                <w:noProof/>
                <w:color w:val="006100"/>
                <w:sz w:val="18"/>
                <w:szCs w:val="18"/>
              </w:rPr>
              <w:t xml:space="preserve">b) </w:t>
            </w:r>
            <w:r>
              <w:rPr>
                <w:rFonts w:ascii="Times New Roman" w:eastAsia="Times New Roman" w:hAnsi="Times New Roman" w:cs="Times New Roman"/>
                <w:noProof/>
                <w:color w:val="006100"/>
                <w:sz w:val="18"/>
                <w:szCs w:val="18"/>
              </w:rPr>
              <w:t>furnizarea a 4 de seturi de instrumente de materiale educaționale pentru o alimentație sănătoasă și emiterea unui document de orientare ministerial oficial pentru a informa toate școlile primare și secundare din întreaga țară cu privire la disponibilitatea seturilor de instrumente și la modul în care acestea pot fi încorporate în diferite programe</w:t>
            </w:r>
            <w:r>
              <w:rPr>
                <w:rFonts w:ascii="Times New Roman" w:hAnsi="Times New Roman" w:cs="Times New Roman"/>
                <w:noProof/>
                <w:color w:val="006100"/>
                <w:sz w:val="18"/>
                <w:szCs w:val="18"/>
              </w:rPr>
              <w:t xml:space="preserve"> școlare</w:t>
            </w:r>
            <w:r>
              <w:rPr>
                <w:rFonts w:asciiTheme="minorHAnsi" w:eastAsiaTheme="minorEastAsia" w:hAnsiTheme="minorHAnsi" w:cstheme="minorBidi"/>
                <w:noProof/>
                <w:color w:val="006100"/>
                <w:sz w:val="18"/>
                <w:szCs w:val="18"/>
              </w:rPr>
              <w:t xml:space="preserve">; </w:t>
            </w:r>
          </w:p>
          <w:p w14:paraId="5E79A91D" w14:textId="77777777" w:rsidR="00C45D59" w:rsidRDefault="009B0962">
            <w:pPr>
              <w:pStyle w:val="P68B1DB1-Normal43"/>
              <w:spacing w:after="0" w:line="240" w:lineRule="auto"/>
              <w:rPr>
                <w:rFonts w:ascii="Times New Roman" w:hAnsi="Times New Roman" w:cs="Times New Roman"/>
                <w:noProof/>
              </w:rPr>
            </w:pPr>
            <w:r>
              <w:rPr>
                <w:rFonts w:asciiTheme="minorHAnsi" w:eastAsiaTheme="minorEastAsia" w:hAnsiTheme="minorHAnsi" w:cstheme="minorBidi"/>
                <w:noProof/>
              </w:rPr>
              <w:t xml:space="preserve">c) </w:t>
            </w:r>
            <w:r>
              <w:rPr>
                <w:rFonts w:ascii="Times New Roman" w:hAnsi="Times New Roman" w:cs="Times New Roman"/>
                <w:noProof/>
              </w:rPr>
              <w:t>acțiuni comunitare și acțiuni de sensibilizare</w:t>
            </w:r>
          </w:p>
          <w:p w14:paraId="75C9EAD6" w14:textId="629E6921" w:rsidR="00C45D59" w:rsidRDefault="009B0962">
            <w:pPr>
              <w:pStyle w:val="P68B1DB1-Normal12"/>
              <w:spacing w:after="0" w:line="240" w:lineRule="auto"/>
              <w:rPr>
                <w:noProof/>
              </w:rPr>
            </w:pPr>
            <w:r>
              <w:rPr>
                <w:noProof/>
              </w:rPr>
              <w:t>d) înființarea Centrului european pentru obezitate;</w:t>
            </w:r>
          </w:p>
          <w:p w14:paraId="7C59AD7A" w14:textId="488F731E" w:rsidR="00C45D59" w:rsidRDefault="009B0962">
            <w:pPr>
              <w:pStyle w:val="P68B1DB1-Normal12"/>
              <w:spacing w:after="0" w:line="240" w:lineRule="auto"/>
              <w:rPr>
                <w:noProof/>
              </w:rPr>
            </w:pPr>
            <w:r>
              <w:rPr>
                <w:noProof/>
              </w:rPr>
              <w:t>și</w:t>
            </w:r>
          </w:p>
          <w:p w14:paraId="17610966" w14:textId="227760D5" w:rsidR="00C45D59" w:rsidRDefault="009B0962">
            <w:pPr>
              <w:pStyle w:val="P68B1DB1-Normal12"/>
              <w:spacing w:after="0" w:line="240" w:lineRule="auto"/>
              <w:rPr>
                <w:noProof/>
              </w:rPr>
            </w:pPr>
            <w:r>
              <w:rPr>
                <w:noProof/>
              </w:rPr>
              <w:t xml:space="preserve">e) furnizarea de instrumente digitale; </w:t>
            </w:r>
          </w:p>
          <w:p w14:paraId="5EFF1BD1" w14:textId="77777777" w:rsidR="00C45D59" w:rsidRDefault="00C45D59">
            <w:pPr>
              <w:spacing w:after="0" w:line="240" w:lineRule="auto"/>
              <w:rPr>
                <w:rFonts w:ascii="Times New Roman" w:hAnsi="Times New Roman" w:cs="Times New Roman"/>
                <w:noProof/>
                <w:color w:val="006100"/>
                <w:sz w:val="18"/>
                <w:szCs w:val="18"/>
              </w:rPr>
            </w:pPr>
          </w:p>
          <w:p w14:paraId="1DB2E1C5" w14:textId="4BACAA56" w:rsidR="00C45D59" w:rsidRDefault="009B0962">
            <w:pPr>
              <w:pStyle w:val="P68B1DB1-Normal35"/>
              <w:rPr>
                <w:rFonts w:ascii="Times New Roman" w:hAnsi="Times New Roman" w:cs="Times New Roman"/>
                <w:noProof/>
                <w:sz w:val="18"/>
                <w:szCs w:val="18"/>
              </w:rPr>
            </w:pPr>
            <w:r>
              <w:rPr>
                <w:rFonts w:ascii="Times New Roman" w:hAnsi="Times New Roman" w:cs="Times New Roman"/>
                <w:noProof/>
                <w:sz w:val="18"/>
                <w:szCs w:val="18"/>
              </w:rPr>
              <w:t xml:space="preserve">II) a) intervenții pentru prevenirea problemelor psihosociale la copii </w:t>
            </w:r>
            <w:r>
              <w:rPr>
                <w:rFonts w:ascii="Times New Roman" w:eastAsia="Times New Roman" w:hAnsi="Times New Roman" w:cs="Times New Roman"/>
                <w:noProof/>
                <w:sz w:val="18"/>
                <w:szCs w:val="18"/>
              </w:rPr>
              <w:t>și</w:t>
            </w:r>
            <w:r>
              <w:rPr>
                <w:rFonts w:ascii="Times New Roman" w:eastAsia="Times New Roman" w:hAnsi="Times New Roman" w:cs="Times New Roman"/>
                <w:noProof/>
                <w:sz w:val="20"/>
                <w:szCs w:val="20"/>
              </w:rPr>
              <w:t xml:space="preserve"> familiile acestora</w:t>
            </w:r>
            <w:r>
              <w:rPr>
                <w:rFonts w:ascii="Times New Roman" w:hAnsi="Times New Roman" w:cs="Times New Roman"/>
                <w:noProof/>
                <w:sz w:val="18"/>
                <w:szCs w:val="18"/>
              </w:rPr>
              <w:t>, b) intervenții pentru promovarea sănătății adolescenților prin sensibilizarea și alfabetizarea cu privire la sănătatea menstruală; c) înființarea unui model de centru comunitar pentru prevenirea și abordarea fenomenului autovătămării în rândul tinerilor și d) intervenții pentru creșterea gradului de conștientizare cu privire la sănătatea mintală a familiei.</w:t>
            </w:r>
          </w:p>
        </w:tc>
      </w:tr>
      <w:tr w:rsidR="00C45D59" w14:paraId="176FD3C9" w14:textId="77777777" w:rsidTr="008A4BFA">
        <w:trPr>
          <w:trHeight w:val="313"/>
          <w:jc w:val="center"/>
        </w:trPr>
        <w:tc>
          <w:tcPr>
            <w:tcW w:w="717" w:type="dxa"/>
            <w:shd w:val="clear" w:color="auto" w:fill="C6EFCE"/>
            <w:noWrap/>
          </w:tcPr>
          <w:p w14:paraId="013F3515" w14:textId="77777777" w:rsidR="00C45D59" w:rsidRDefault="009B0962">
            <w:pPr>
              <w:pStyle w:val="P68B1DB1-Normal12"/>
              <w:spacing w:after="0" w:line="240" w:lineRule="auto"/>
              <w:rPr>
                <w:noProof/>
              </w:rPr>
            </w:pPr>
            <w:r>
              <w:rPr>
                <w:noProof/>
              </w:rPr>
              <w:t>165a</w:t>
            </w:r>
          </w:p>
        </w:tc>
        <w:tc>
          <w:tcPr>
            <w:tcW w:w="2085" w:type="dxa"/>
            <w:shd w:val="clear" w:color="auto" w:fill="C6EFCE"/>
            <w:noWrap/>
          </w:tcPr>
          <w:p w14:paraId="70E4171B" w14:textId="77777777" w:rsidR="00C45D59" w:rsidRDefault="009B0962">
            <w:pPr>
              <w:pStyle w:val="P68B1DB1-Normal12"/>
              <w:spacing w:after="0" w:line="240" w:lineRule="auto"/>
              <w:rPr>
                <w:noProof/>
              </w:rPr>
            </w:pPr>
            <w:r>
              <w:rPr>
                <w:noProof/>
              </w:rPr>
              <w:t>10-3.3. Îmbunătățirea rezilienței, accesibilității și sustenabilității asistenței medicale – 16783_Punerea în aplicare a Programului național de prevenire a sănătății publice „Spiros Doxiadis” (NPP „SD”)</w:t>
            </w:r>
          </w:p>
        </w:tc>
        <w:tc>
          <w:tcPr>
            <w:tcW w:w="969" w:type="dxa"/>
            <w:shd w:val="clear" w:color="auto" w:fill="C6EFCE"/>
            <w:noWrap/>
          </w:tcPr>
          <w:p w14:paraId="795754A7" w14:textId="77777777" w:rsidR="00C45D59" w:rsidRDefault="009B0962">
            <w:pPr>
              <w:pStyle w:val="P68B1DB1-Normal12"/>
              <w:spacing w:after="0" w:line="240" w:lineRule="auto"/>
              <w:rPr>
                <w:noProof/>
              </w:rPr>
            </w:pPr>
            <w:r>
              <w:rPr>
                <w:noProof/>
              </w:rPr>
              <w:t>Etapă</w:t>
            </w:r>
          </w:p>
        </w:tc>
        <w:tc>
          <w:tcPr>
            <w:tcW w:w="1293" w:type="dxa"/>
            <w:shd w:val="clear" w:color="auto" w:fill="C6EFCE"/>
            <w:noWrap/>
          </w:tcPr>
          <w:p w14:paraId="26577AFD" w14:textId="77777777" w:rsidR="00C45D59" w:rsidRDefault="009B0962">
            <w:pPr>
              <w:pStyle w:val="P68B1DB1-Normal12"/>
              <w:spacing w:after="0" w:line="240" w:lineRule="auto"/>
              <w:rPr>
                <w:noProof/>
              </w:rPr>
            </w:pPr>
            <w:r>
              <w:rPr>
                <w:noProof/>
              </w:rPr>
              <w:t>Programul național de prevenire a sănătății publice „Spiros Doxiadis” – Prevenire secundară</w:t>
            </w:r>
          </w:p>
        </w:tc>
        <w:tc>
          <w:tcPr>
            <w:tcW w:w="1707" w:type="dxa"/>
            <w:shd w:val="clear" w:color="auto" w:fill="C6EFCE"/>
            <w:noWrap/>
          </w:tcPr>
          <w:p w14:paraId="0515FA2E" w14:textId="77777777" w:rsidR="00C45D59" w:rsidRDefault="009B0962">
            <w:pPr>
              <w:pStyle w:val="P68B1DB1-Normal12"/>
              <w:spacing w:after="0" w:line="240" w:lineRule="auto"/>
              <w:rPr>
                <w:noProof/>
              </w:rPr>
            </w:pPr>
            <w:r>
              <w:rPr>
                <w:noProof/>
              </w:rPr>
              <w:t>Intervenții de screening preventiv</w:t>
            </w:r>
          </w:p>
        </w:tc>
        <w:tc>
          <w:tcPr>
            <w:tcW w:w="1335" w:type="dxa"/>
            <w:shd w:val="clear" w:color="auto" w:fill="C6EFCE"/>
            <w:noWrap/>
          </w:tcPr>
          <w:p w14:paraId="372B6804"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050" w:type="dxa"/>
            <w:shd w:val="clear" w:color="auto" w:fill="C6EFCE"/>
            <w:noWrap/>
          </w:tcPr>
          <w:p w14:paraId="174228DD"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975" w:type="dxa"/>
            <w:shd w:val="clear" w:color="auto" w:fill="C6EFCE"/>
            <w:noWrap/>
          </w:tcPr>
          <w:p w14:paraId="60265DBB"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078" w:type="dxa"/>
            <w:shd w:val="clear" w:color="auto" w:fill="C6EFCE"/>
            <w:noWrap/>
          </w:tcPr>
          <w:p w14:paraId="3AE6B8A8" w14:textId="77777777" w:rsidR="00C45D59" w:rsidRDefault="009B0962">
            <w:pPr>
              <w:pStyle w:val="P68B1DB1-Normal12"/>
              <w:spacing w:after="0" w:line="240" w:lineRule="auto"/>
              <w:rPr>
                <w:noProof/>
              </w:rPr>
            </w:pPr>
            <w:r>
              <w:rPr>
                <w:noProof/>
              </w:rPr>
              <w:t>Î4</w:t>
            </w:r>
          </w:p>
        </w:tc>
        <w:tc>
          <w:tcPr>
            <w:tcW w:w="810" w:type="dxa"/>
            <w:shd w:val="clear" w:color="auto" w:fill="C6EFCE"/>
            <w:noWrap/>
          </w:tcPr>
          <w:p w14:paraId="4046EA2F" w14:textId="77777777" w:rsidR="00C45D59" w:rsidRDefault="009B0962">
            <w:pPr>
              <w:pStyle w:val="P68B1DB1-Normal12"/>
              <w:spacing w:after="0" w:line="240" w:lineRule="auto"/>
              <w:rPr>
                <w:noProof/>
              </w:rPr>
            </w:pPr>
            <w:r>
              <w:rPr>
                <w:noProof/>
              </w:rPr>
              <w:t>2025</w:t>
            </w:r>
          </w:p>
        </w:tc>
        <w:tc>
          <w:tcPr>
            <w:tcW w:w="4269" w:type="dxa"/>
            <w:shd w:val="clear" w:color="auto" w:fill="C6EFCE"/>
            <w:noWrap/>
          </w:tcPr>
          <w:p w14:paraId="0D7E1C94" w14:textId="72914E50" w:rsidR="00C45D59" w:rsidRDefault="009B0962">
            <w:pPr>
              <w:pStyle w:val="P68B1DB1-Normal12"/>
              <w:spacing w:after="0" w:line="240" w:lineRule="auto"/>
              <w:rPr>
                <w:noProof/>
              </w:rPr>
            </w:pPr>
            <w:r>
              <w:rPr>
                <w:noProof/>
              </w:rPr>
              <w:t>Intervenții de depistare preventivă a cancerului de sân, a cancerului de col uterin, a cancerului colorectal și a bolilor cardiovasculare (BCV), care acoperă:</w:t>
            </w:r>
          </w:p>
          <w:p w14:paraId="3A1B047A" w14:textId="77777777" w:rsidR="00C45D59" w:rsidRDefault="00C45D59">
            <w:pPr>
              <w:spacing w:after="0" w:line="240" w:lineRule="auto"/>
              <w:rPr>
                <w:rFonts w:ascii="Times New Roman" w:hAnsi="Times New Roman" w:cs="Times New Roman"/>
                <w:noProof/>
                <w:color w:val="006100"/>
                <w:sz w:val="18"/>
                <w:szCs w:val="18"/>
              </w:rPr>
            </w:pPr>
          </w:p>
          <w:p w14:paraId="39878454" w14:textId="3D559ADF" w:rsidR="00C45D59" w:rsidRDefault="009B0962">
            <w:pPr>
              <w:pStyle w:val="P68B1DB1-ListParagraph34"/>
              <w:numPr>
                <w:ilvl w:val="0"/>
                <w:numId w:val="40"/>
              </w:numPr>
              <w:spacing w:after="0" w:line="240" w:lineRule="auto"/>
              <w:rPr>
                <w:noProof/>
              </w:rPr>
            </w:pPr>
            <w:r>
              <w:rPr>
                <w:noProof/>
              </w:rPr>
              <w:t xml:space="preserve">Executarea a cel puțin 1 850 000 intervenții de screening pentru depistarea cancerului de col uterin. </w:t>
            </w:r>
          </w:p>
          <w:p w14:paraId="1EEC5359" w14:textId="77777777" w:rsidR="00C45D59" w:rsidRDefault="00C45D59">
            <w:pPr>
              <w:pStyle w:val="ListParagraph"/>
              <w:spacing w:after="0" w:line="240" w:lineRule="auto"/>
              <w:rPr>
                <w:rFonts w:ascii="Times New Roman" w:hAnsi="Times New Roman" w:cs="Times New Roman"/>
                <w:noProof/>
                <w:color w:val="006100"/>
                <w:sz w:val="18"/>
                <w:szCs w:val="18"/>
              </w:rPr>
            </w:pPr>
          </w:p>
          <w:p w14:paraId="6B464616" w14:textId="7EDB0247" w:rsidR="00C45D59" w:rsidRDefault="009B0962">
            <w:pPr>
              <w:pStyle w:val="P68B1DB1-ListParagraph34"/>
              <w:numPr>
                <w:ilvl w:val="0"/>
                <w:numId w:val="40"/>
              </w:numPr>
              <w:spacing w:after="0" w:line="240" w:lineRule="auto"/>
              <w:rPr>
                <w:noProof/>
              </w:rPr>
            </w:pPr>
            <w:bookmarkStart w:id="5" w:name="_Hlk234256932"/>
            <w:r>
              <w:rPr>
                <w:noProof/>
              </w:rPr>
              <w:t>Cel puțin 4 150 0000 de intervenții de screening efectuate pentru boli cardiovasculare.</w:t>
            </w:r>
          </w:p>
          <w:bookmarkEnd w:id="5"/>
          <w:p w14:paraId="01FBA226" w14:textId="77777777" w:rsidR="00C45D59" w:rsidRDefault="00C45D59">
            <w:pPr>
              <w:pStyle w:val="ListParagraph"/>
              <w:spacing w:after="0" w:line="240" w:lineRule="auto"/>
              <w:rPr>
                <w:rFonts w:ascii="Times New Roman" w:hAnsi="Times New Roman" w:cs="Times New Roman"/>
                <w:noProof/>
                <w:color w:val="006100"/>
                <w:sz w:val="18"/>
                <w:szCs w:val="18"/>
              </w:rPr>
            </w:pPr>
          </w:p>
          <w:p w14:paraId="2D882B80" w14:textId="17B37FA4" w:rsidR="00C45D59" w:rsidRDefault="009B0962">
            <w:pPr>
              <w:pStyle w:val="P68B1DB1-ListParagraph34"/>
              <w:numPr>
                <w:ilvl w:val="0"/>
                <w:numId w:val="40"/>
              </w:numPr>
              <w:spacing w:after="0" w:line="240" w:lineRule="auto"/>
              <w:rPr>
                <w:noProof/>
              </w:rPr>
            </w:pPr>
            <w:r>
              <w:rPr>
                <w:noProof/>
              </w:rPr>
              <w:t>Executarea a cel puțin 1 250 000 intervenții de screening pentru depistarea cancerului de sân.</w:t>
            </w:r>
          </w:p>
          <w:p w14:paraId="5BF9A0F9" w14:textId="77777777" w:rsidR="00C45D59" w:rsidRDefault="00C45D59">
            <w:pPr>
              <w:pStyle w:val="ListParagraph"/>
              <w:spacing w:after="0" w:line="240" w:lineRule="auto"/>
              <w:rPr>
                <w:rFonts w:ascii="Times New Roman" w:hAnsi="Times New Roman" w:cs="Times New Roman"/>
                <w:noProof/>
                <w:color w:val="006100"/>
                <w:sz w:val="18"/>
                <w:szCs w:val="18"/>
              </w:rPr>
            </w:pPr>
          </w:p>
          <w:p w14:paraId="28F6999D" w14:textId="6F1055D7" w:rsidR="00C45D59" w:rsidRDefault="009B0962">
            <w:pPr>
              <w:pStyle w:val="P68B1DB1-ListParagraph34"/>
              <w:numPr>
                <w:ilvl w:val="0"/>
                <w:numId w:val="40"/>
              </w:numPr>
              <w:spacing w:after="0" w:line="240" w:lineRule="auto"/>
              <w:rPr>
                <w:noProof/>
                <w:color w:val="006000"/>
              </w:rPr>
            </w:pPr>
            <w:r>
              <w:rPr>
                <w:noProof/>
              </w:rPr>
              <w:t xml:space="preserve">Efectuarea a cel puțin 1 060 000 intervenții de screening pentru depistarea cancerului colorectal. </w:t>
            </w:r>
          </w:p>
        </w:tc>
      </w:tr>
      <w:tr w:rsidR="00C45D59" w14:paraId="11EA2871" w14:textId="77777777" w:rsidTr="008A4BFA">
        <w:trPr>
          <w:trHeight w:val="2206"/>
          <w:jc w:val="center"/>
        </w:trPr>
        <w:tc>
          <w:tcPr>
            <w:tcW w:w="717" w:type="dxa"/>
            <w:shd w:val="clear" w:color="auto" w:fill="C6EFCE"/>
            <w:noWrap/>
          </w:tcPr>
          <w:p w14:paraId="381C7EE4" w14:textId="77777777" w:rsidR="00C45D59" w:rsidRDefault="009B0962">
            <w:pPr>
              <w:pStyle w:val="P68B1DB1-Normal12"/>
              <w:spacing w:after="0" w:line="240" w:lineRule="auto"/>
              <w:rPr>
                <w:noProof/>
              </w:rPr>
            </w:pPr>
            <w:r>
              <w:rPr>
                <w:noProof/>
              </w:rPr>
              <w:t>165b</w:t>
            </w:r>
          </w:p>
        </w:tc>
        <w:tc>
          <w:tcPr>
            <w:tcW w:w="2085" w:type="dxa"/>
            <w:shd w:val="clear" w:color="auto" w:fill="C6EFCE"/>
            <w:noWrap/>
          </w:tcPr>
          <w:p w14:paraId="383CC57F" w14:textId="77777777" w:rsidR="00C45D59" w:rsidRDefault="009B0962">
            <w:pPr>
              <w:pStyle w:val="P68B1DB1-Normal12"/>
              <w:spacing w:after="0" w:line="240" w:lineRule="auto"/>
              <w:rPr>
                <w:rFonts w:eastAsia="Times New Roman"/>
                <w:noProof/>
              </w:rPr>
            </w:pPr>
            <w:r>
              <w:rPr>
                <w:noProof/>
              </w:rPr>
              <w:t>10-3.3. Îmbunătățirea rezilienței, accesibilității și sustenabilității asistenței medicale – 16783_Punerea în aplicare a Programului național de prevenire a sănătății publice „Spiros Doxiadis” (NPP „SD”)</w:t>
            </w:r>
          </w:p>
        </w:tc>
        <w:tc>
          <w:tcPr>
            <w:tcW w:w="969" w:type="dxa"/>
            <w:shd w:val="clear" w:color="auto" w:fill="C6EFCE"/>
            <w:noWrap/>
          </w:tcPr>
          <w:p w14:paraId="0E717CB8" w14:textId="77777777" w:rsidR="00C45D59" w:rsidRDefault="009B0962">
            <w:pPr>
              <w:pStyle w:val="P68B1DB1-Normal12"/>
              <w:spacing w:after="0" w:line="240" w:lineRule="auto"/>
              <w:rPr>
                <w:noProof/>
              </w:rPr>
            </w:pPr>
            <w:r>
              <w:rPr>
                <w:noProof/>
              </w:rPr>
              <w:t>Etapă</w:t>
            </w:r>
          </w:p>
        </w:tc>
        <w:tc>
          <w:tcPr>
            <w:tcW w:w="1293" w:type="dxa"/>
            <w:shd w:val="clear" w:color="auto" w:fill="C6EFCE"/>
            <w:noWrap/>
          </w:tcPr>
          <w:p w14:paraId="32CA61AE" w14:textId="77777777" w:rsidR="00C45D59" w:rsidRDefault="009B0962">
            <w:pPr>
              <w:pStyle w:val="P68B1DB1-Normal12"/>
              <w:spacing w:after="0" w:line="240" w:lineRule="auto"/>
              <w:rPr>
                <w:noProof/>
              </w:rPr>
            </w:pPr>
            <w:r>
              <w:rPr>
                <w:noProof/>
              </w:rPr>
              <w:t>Monitorizarea sănătății</w:t>
            </w:r>
          </w:p>
        </w:tc>
        <w:tc>
          <w:tcPr>
            <w:tcW w:w="1707" w:type="dxa"/>
            <w:shd w:val="clear" w:color="auto" w:fill="C6EFCE"/>
            <w:noWrap/>
          </w:tcPr>
          <w:p w14:paraId="19122AF4" w14:textId="77777777" w:rsidR="00C45D59" w:rsidRDefault="009B0962">
            <w:pPr>
              <w:pStyle w:val="P68B1DB1-Normal12"/>
              <w:spacing w:after="0" w:line="240" w:lineRule="auto"/>
              <w:rPr>
                <w:noProof/>
              </w:rPr>
            </w:pPr>
            <w:r>
              <w:rPr>
                <w:noProof/>
              </w:rPr>
              <w:t>Platforma pentru utilizarea secundară a datelor privind sănătatea este online și accesibilă.</w:t>
            </w:r>
          </w:p>
        </w:tc>
        <w:tc>
          <w:tcPr>
            <w:tcW w:w="1335" w:type="dxa"/>
            <w:shd w:val="clear" w:color="auto" w:fill="C6EFCE"/>
            <w:noWrap/>
          </w:tcPr>
          <w:p w14:paraId="690684D7"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050" w:type="dxa"/>
            <w:shd w:val="clear" w:color="auto" w:fill="C6EFCE"/>
            <w:noWrap/>
          </w:tcPr>
          <w:p w14:paraId="3A2320C5"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975" w:type="dxa"/>
            <w:shd w:val="clear" w:color="auto" w:fill="C6EFCE"/>
            <w:noWrap/>
          </w:tcPr>
          <w:p w14:paraId="70ACF849"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078" w:type="dxa"/>
            <w:shd w:val="clear" w:color="auto" w:fill="C6EFCE"/>
            <w:noWrap/>
          </w:tcPr>
          <w:p w14:paraId="36BDF6BD" w14:textId="77777777" w:rsidR="00C45D59" w:rsidRDefault="009B0962">
            <w:pPr>
              <w:pStyle w:val="P68B1DB1-Normal12"/>
              <w:spacing w:after="0" w:line="240" w:lineRule="auto"/>
              <w:rPr>
                <w:noProof/>
              </w:rPr>
            </w:pPr>
            <w:r>
              <w:rPr>
                <w:noProof/>
              </w:rPr>
              <w:t>Î2</w:t>
            </w:r>
          </w:p>
        </w:tc>
        <w:tc>
          <w:tcPr>
            <w:tcW w:w="810" w:type="dxa"/>
            <w:shd w:val="clear" w:color="auto" w:fill="C6EFCE"/>
            <w:noWrap/>
          </w:tcPr>
          <w:p w14:paraId="30AF91FE" w14:textId="77777777" w:rsidR="00C45D59" w:rsidRDefault="009B0962">
            <w:pPr>
              <w:pStyle w:val="P68B1DB1-Normal12"/>
              <w:spacing w:after="0" w:line="240" w:lineRule="auto"/>
              <w:rPr>
                <w:noProof/>
              </w:rPr>
            </w:pPr>
            <w:r>
              <w:rPr>
                <w:noProof/>
              </w:rPr>
              <w:t>2026</w:t>
            </w:r>
          </w:p>
        </w:tc>
        <w:tc>
          <w:tcPr>
            <w:tcW w:w="4269" w:type="dxa"/>
            <w:shd w:val="clear" w:color="auto" w:fill="C6EFCE"/>
            <w:noWrap/>
          </w:tcPr>
          <w:p w14:paraId="5A80953D" w14:textId="3DC4341B" w:rsidR="00C45D59" w:rsidRDefault="009B0962">
            <w:pPr>
              <w:pStyle w:val="P68B1DB1-Normal12"/>
              <w:spacing w:after="0" w:line="240" w:lineRule="auto"/>
              <w:rPr>
                <w:i/>
                <w:iCs/>
                <w:noProof/>
              </w:rPr>
            </w:pPr>
            <w:r>
              <w:rPr>
                <w:noProof/>
              </w:rPr>
              <w:t>Platforma pentru utilizarea secundară a datelor privind sănătatea este online și accesibilă, inclusiv IA/SB, cazurile de utilizare și analiza.</w:t>
            </w:r>
          </w:p>
        </w:tc>
      </w:tr>
      <w:tr w:rsidR="00C45D59" w14:paraId="1D86A079" w14:textId="77777777" w:rsidTr="008A4BFA">
        <w:trPr>
          <w:trHeight w:val="313"/>
          <w:jc w:val="center"/>
        </w:trPr>
        <w:tc>
          <w:tcPr>
            <w:tcW w:w="717" w:type="dxa"/>
            <w:shd w:val="clear" w:color="auto" w:fill="C6EFCE"/>
            <w:noWrap/>
          </w:tcPr>
          <w:p w14:paraId="5F1E4460" w14:textId="77777777" w:rsidR="00C45D59" w:rsidRDefault="009B0962">
            <w:pPr>
              <w:pStyle w:val="P68B1DB1-Normal12"/>
              <w:spacing w:after="0" w:line="240" w:lineRule="auto"/>
              <w:rPr>
                <w:rFonts w:eastAsia="Times New Roman"/>
                <w:noProof/>
              </w:rPr>
            </w:pPr>
            <w:r>
              <w:rPr>
                <w:noProof/>
              </w:rPr>
              <w:t>166</w:t>
            </w:r>
          </w:p>
        </w:tc>
        <w:tc>
          <w:tcPr>
            <w:tcW w:w="2085" w:type="dxa"/>
            <w:shd w:val="clear" w:color="auto" w:fill="C6EFCE"/>
            <w:noWrap/>
          </w:tcPr>
          <w:p w14:paraId="27320219" w14:textId="77777777" w:rsidR="00C45D59" w:rsidRDefault="009B0962">
            <w:pPr>
              <w:pStyle w:val="P68B1DB1-Normal12"/>
              <w:spacing w:after="0" w:line="240" w:lineRule="auto"/>
              <w:rPr>
                <w:rFonts w:eastAsia="Times New Roman"/>
                <w:noProof/>
              </w:rPr>
            </w:pPr>
            <w:r>
              <w:rPr>
                <w:noProof/>
              </w:rPr>
              <w:t>10-3.3. Îmbunătățirea rezilienței, a accesibilității și a sustenabilității asistenței medicale – 16755_Investiții verzi – Reforma sistemului de asistență medicală primară</w:t>
            </w:r>
          </w:p>
        </w:tc>
        <w:tc>
          <w:tcPr>
            <w:tcW w:w="969" w:type="dxa"/>
            <w:shd w:val="clear" w:color="auto" w:fill="C6EFCE"/>
            <w:noWrap/>
          </w:tcPr>
          <w:p w14:paraId="44875026" w14:textId="77777777" w:rsidR="00C45D59" w:rsidRDefault="009B0962">
            <w:pPr>
              <w:pStyle w:val="P68B1DB1-Normal12"/>
              <w:spacing w:after="0" w:line="240" w:lineRule="auto"/>
              <w:rPr>
                <w:rFonts w:eastAsia="Times New Roman"/>
                <w:noProof/>
              </w:rPr>
            </w:pPr>
            <w:r>
              <w:rPr>
                <w:noProof/>
              </w:rPr>
              <w:t>Țintă</w:t>
            </w:r>
          </w:p>
        </w:tc>
        <w:tc>
          <w:tcPr>
            <w:tcW w:w="1293" w:type="dxa"/>
            <w:shd w:val="clear" w:color="auto" w:fill="C6EFCE"/>
            <w:noWrap/>
          </w:tcPr>
          <w:p w14:paraId="161A9E32" w14:textId="77777777" w:rsidR="00C45D59" w:rsidRDefault="009B0962">
            <w:pPr>
              <w:pStyle w:val="P68B1DB1-Normal12"/>
              <w:spacing w:after="0" w:line="240" w:lineRule="auto"/>
              <w:rPr>
                <w:rFonts w:eastAsia="Times New Roman"/>
                <w:noProof/>
              </w:rPr>
            </w:pPr>
            <w:r>
              <w:rPr>
                <w:noProof/>
              </w:rPr>
              <w:t>PHC – unități de asistență medicală primară cu infrastructură renovată – etapa 1</w:t>
            </w:r>
          </w:p>
        </w:tc>
        <w:tc>
          <w:tcPr>
            <w:tcW w:w="1707" w:type="dxa"/>
            <w:shd w:val="clear" w:color="auto" w:fill="C6EFCE"/>
            <w:noWrap/>
          </w:tcPr>
          <w:p w14:paraId="16339638"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335" w:type="dxa"/>
            <w:shd w:val="clear" w:color="auto" w:fill="C6EFCE"/>
            <w:noWrap/>
          </w:tcPr>
          <w:p w14:paraId="5416A2B5" w14:textId="77777777" w:rsidR="00C45D59" w:rsidRDefault="009B0962">
            <w:pPr>
              <w:pStyle w:val="P68B1DB1-Normal12"/>
              <w:spacing w:after="0" w:line="240" w:lineRule="auto"/>
              <w:rPr>
                <w:rFonts w:eastAsia="Times New Roman"/>
                <w:noProof/>
              </w:rPr>
            </w:pPr>
            <w:r>
              <w:rPr>
                <w:noProof/>
              </w:rPr>
              <w:t xml:space="preserve">Numărul de unități de asistență medicală primară în care este renovată infrastructura </w:t>
            </w:r>
          </w:p>
        </w:tc>
        <w:tc>
          <w:tcPr>
            <w:tcW w:w="1050" w:type="dxa"/>
            <w:shd w:val="clear" w:color="auto" w:fill="C6EFCE"/>
            <w:noWrap/>
          </w:tcPr>
          <w:p w14:paraId="036CD4B9" w14:textId="77777777" w:rsidR="00C45D59" w:rsidRDefault="009B0962">
            <w:pPr>
              <w:pStyle w:val="P68B1DB1-Normal12"/>
              <w:spacing w:after="0" w:line="240" w:lineRule="auto"/>
              <w:rPr>
                <w:rFonts w:eastAsia="Times New Roman"/>
                <w:noProof/>
              </w:rPr>
            </w:pPr>
            <w:r>
              <w:rPr>
                <w:noProof/>
              </w:rPr>
              <w:t>0</w:t>
            </w:r>
          </w:p>
        </w:tc>
        <w:tc>
          <w:tcPr>
            <w:tcW w:w="975" w:type="dxa"/>
            <w:shd w:val="clear" w:color="auto" w:fill="C6EFCE"/>
            <w:noWrap/>
          </w:tcPr>
          <w:p w14:paraId="01295DF4" w14:textId="77777777" w:rsidR="00C45D59" w:rsidRDefault="009B0962">
            <w:pPr>
              <w:pStyle w:val="P68B1DB1-Normal12"/>
              <w:spacing w:after="0" w:line="240" w:lineRule="auto"/>
              <w:rPr>
                <w:rFonts w:eastAsia="Times New Roman"/>
                <w:noProof/>
              </w:rPr>
            </w:pPr>
            <w:r>
              <w:rPr>
                <w:noProof/>
              </w:rPr>
              <w:t>15</w:t>
            </w:r>
          </w:p>
        </w:tc>
        <w:tc>
          <w:tcPr>
            <w:tcW w:w="1078" w:type="dxa"/>
            <w:shd w:val="clear" w:color="auto" w:fill="C6EFCE"/>
            <w:noWrap/>
          </w:tcPr>
          <w:p w14:paraId="2B061B94" w14:textId="77777777" w:rsidR="00C45D59" w:rsidRDefault="009B0962">
            <w:pPr>
              <w:pStyle w:val="P68B1DB1-Normal12"/>
              <w:spacing w:after="0" w:line="240" w:lineRule="auto"/>
              <w:rPr>
                <w:rFonts w:eastAsia="Times New Roman"/>
                <w:noProof/>
              </w:rPr>
            </w:pPr>
            <w:r>
              <w:rPr>
                <w:noProof/>
              </w:rPr>
              <w:t>Î4</w:t>
            </w:r>
          </w:p>
        </w:tc>
        <w:tc>
          <w:tcPr>
            <w:tcW w:w="810" w:type="dxa"/>
            <w:shd w:val="clear" w:color="auto" w:fill="C6EFCE"/>
            <w:noWrap/>
          </w:tcPr>
          <w:p w14:paraId="245CD09D" w14:textId="77777777" w:rsidR="00C45D59" w:rsidRDefault="009B0962">
            <w:pPr>
              <w:pStyle w:val="P68B1DB1-Normal12"/>
              <w:spacing w:after="0" w:line="240" w:lineRule="auto"/>
              <w:rPr>
                <w:rFonts w:eastAsia="Times New Roman"/>
                <w:noProof/>
              </w:rPr>
            </w:pPr>
            <w:r>
              <w:rPr>
                <w:noProof/>
              </w:rPr>
              <w:t>2025</w:t>
            </w:r>
          </w:p>
        </w:tc>
        <w:tc>
          <w:tcPr>
            <w:tcW w:w="4269" w:type="dxa"/>
            <w:shd w:val="clear" w:color="auto" w:fill="C6EFCE"/>
            <w:noWrap/>
          </w:tcPr>
          <w:p w14:paraId="17BBDFD5" w14:textId="77777777" w:rsidR="00C45D59" w:rsidRDefault="009B0962">
            <w:pPr>
              <w:pStyle w:val="P68B1DB1-Normal12"/>
              <w:spacing w:after="0" w:line="240" w:lineRule="auto"/>
              <w:rPr>
                <w:noProof/>
              </w:rPr>
            </w:pPr>
            <w:r>
              <w:rPr>
                <w:noProof/>
              </w:rPr>
              <w:t xml:space="preserve">Pentru cel puțin 15 unități de asistență medicală primară, renovarea infrastructurii pentru eficiența energetică și crearea unei unități de gestionare a bolilor cronice în fiecare unitate de asistență medicală primară. </w:t>
            </w:r>
          </w:p>
        </w:tc>
      </w:tr>
      <w:tr w:rsidR="00C45D59" w14:paraId="59C3B63C" w14:textId="77777777" w:rsidTr="008A4BFA">
        <w:trPr>
          <w:trHeight w:val="313"/>
          <w:jc w:val="center"/>
        </w:trPr>
        <w:tc>
          <w:tcPr>
            <w:tcW w:w="717" w:type="dxa"/>
            <w:shd w:val="clear" w:color="auto" w:fill="C6EFCE"/>
            <w:noWrap/>
          </w:tcPr>
          <w:p w14:paraId="50C6F29F" w14:textId="77777777" w:rsidR="00C45D59" w:rsidRDefault="009B0962">
            <w:pPr>
              <w:pStyle w:val="P68B1DB1-Normal12"/>
              <w:spacing w:after="0" w:line="240" w:lineRule="auto"/>
              <w:rPr>
                <w:noProof/>
              </w:rPr>
            </w:pPr>
            <w:r>
              <w:rPr>
                <w:noProof/>
              </w:rPr>
              <w:t>166a</w:t>
            </w:r>
          </w:p>
        </w:tc>
        <w:tc>
          <w:tcPr>
            <w:tcW w:w="2085" w:type="dxa"/>
            <w:shd w:val="clear" w:color="auto" w:fill="C6EFCE"/>
            <w:noWrap/>
          </w:tcPr>
          <w:p w14:paraId="7B56A9D8" w14:textId="77777777" w:rsidR="00C45D59" w:rsidRDefault="009B0962">
            <w:pPr>
              <w:pStyle w:val="P68B1DB1-Normal12"/>
              <w:spacing w:after="0" w:line="240" w:lineRule="auto"/>
              <w:rPr>
                <w:noProof/>
              </w:rPr>
            </w:pPr>
            <w:r>
              <w:rPr>
                <w:noProof/>
              </w:rPr>
              <w:t>10-3.3. Îmbunătățirea rezilienței, a accesibilității și a sustenabilității asistenței medicale – 16755_Investiții verzi – Reforma sistemului de asistență medicală primară</w:t>
            </w:r>
          </w:p>
        </w:tc>
        <w:tc>
          <w:tcPr>
            <w:tcW w:w="969" w:type="dxa"/>
            <w:shd w:val="clear" w:color="auto" w:fill="C6EFCE"/>
            <w:noWrap/>
          </w:tcPr>
          <w:p w14:paraId="46BEB12A" w14:textId="77777777" w:rsidR="00C45D59" w:rsidRDefault="009B0962">
            <w:pPr>
              <w:pStyle w:val="P68B1DB1-Normal12"/>
              <w:spacing w:after="0" w:line="240" w:lineRule="auto"/>
              <w:rPr>
                <w:noProof/>
              </w:rPr>
            </w:pPr>
            <w:r>
              <w:rPr>
                <w:noProof/>
              </w:rPr>
              <w:t>Țintă</w:t>
            </w:r>
          </w:p>
        </w:tc>
        <w:tc>
          <w:tcPr>
            <w:tcW w:w="1293" w:type="dxa"/>
            <w:shd w:val="clear" w:color="auto" w:fill="C6EFCE"/>
            <w:noWrap/>
          </w:tcPr>
          <w:p w14:paraId="1C9F6F1A" w14:textId="3FE79BEF" w:rsidR="00C45D59" w:rsidRDefault="009B0962">
            <w:pPr>
              <w:pStyle w:val="P68B1DB1-Normal12"/>
              <w:spacing w:after="0" w:line="240" w:lineRule="auto"/>
              <w:rPr>
                <w:noProof/>
              </w:rPr>
            </w:pPr>
            <w:r>
              <w:rPr>
                <w:noProof/>
              </w:rPr>
              <w:t>PHC – unități de asistență medicală primară cu infrastructură renovată – etapa 2</w:t>
            </w:r>
          </w:p>
        </w:tc>
        <w:tc>
          <w:tcPr>
            <w:tcW w:w="1707" w:type="dxa"/>
            <w:shd w:val="clear" w:color="auto" w:fill="C6EFCE"/>
            <w:noWrap/>
          </w:tcPr>
          <w:p w14:paraId="2B75FFEE"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335" w:type="dxa"/>
            <w:shd w:val="clear" w:color="auto" w:fill="C6EFCE"/>
            <w:noWrap/>
          </w:tcPr>
          <w:p w14:paraId="68E80BE0" w14:textId="77777777" w:rsidR="00C45D59" w:rsidRDefault="009B0962">
            <w:pPr>
              <w:pStyle w:val="P68B1DB1-Normal12"/>
              <w:spacing w:after="0" w:line="240" w:lineRule="auto"/>
              <w:rPr>
                <w:noProof/>
              </w:rPr>
            </w:pPr>
            <w:r>
              <w:rPr>
                <w:noProof/>
              </w:rPr>
              <w:t xml:space="preserve">Numărul de unități de asistență medicală primară în care este renovată infrastructura </w:t>
            </w:r>
          </w:p>
        </w:tc>
        <w:tc>
          <w:tcPr>
            <w:tcW w:w="1050" w:type="dxa"/>
            <w:shd w:val="clear" w:color="auto" w:fill="C6EFCE"/>
            <w:noWrap/>
          </w:tcPr>
          <w:p w14:paraId="291C75FB" w14:textId="77777777" w:rsidR="00C45D59" w:rsidRDefault="009B0962">
            <w:pPr>
              <w:pStyle w:val="P68B1DB1-Normal12"/>
              <w:spacing w:after="0" w:line="240" w:lineRule="auto"/>
              <w:rPr>
                <w:noProof/>
              </w:rPr>
            </w:pPr>
            <w:r>
              <w:rPr>
                <w:noProof/>
              </w:rPr>
              <w:t>15</w:t>
            </w:r>
          </w:p>
        </w:tc>
        <w:tc>
          <w:tcPr>
            <w:tcW w:w="975" w:type="dxa"/>
            <w:shd w:val="clear" w:color="auto" w:fill="C6EFCE"/>
            <w:noWrap/>
          </w:tcPr>
          <w:p w14:paraId="43E6DD59" w14:textId="77777777" w:rsidR="00C45D59" w:rsidRDefault="009B0962">
            <w:pPr>
              <w:pStyle w:val="P68B1DB1-Normal12"/>
              <w:spacing w:after="0" w:line="240" w:lineRule="auto"/>
              <w:rPr>
                <w:noProof/>
              </w:rPr>
            </w:pPr>
            <w:r>
              <w:rPr>
                <w:noProof/>
              </w:rPr>
              <w:t>55</w:t>
            </w:r>
          </w:p>
        </w:tc>
        <w:tc>
          <w:tcPr>
            <w:tcW w:w="1078" w:type="dxa"/>
            <w:shd w:val="clear" w:color="auto" w:fill="C6EFCE"/>
            <w:noWrap/>
          </w:tcPr>
          <w:p w14:paraId="0AC67DE5" w14:textId="77777777" w:rsidR="00C45D59" w:rsidRDefault="009B0962">
            <w:pPr>
              <w:pStyle w:val="P68B1DB1-Normal12"/>
              <w:spacing w:after="0" w:line="240" w:lineRule="auto"/>
              <w:rPr>
                <w:noProof/>
              </w:rPr>
            </w:pPr>
            <w:r>
              <w:rPr>
                <w:noProof/>
              </w:rPr>
              <w:t>Î1</w:t>
            </w:r>
          </w:p>
        </w:tc>
        <w:tc>
          <w:tcPr>
            <w:tcW w:w="810" w:type="dxa"/>
            <w:shd w:val="clear" w:color="auto" w:fill="C6EFCE"/>
            <w:noWrap/>
          </w:tcPr>
          <w:p w14:paraId="7BD87681" w14:textId="77777777" w:rsidR="00C45D59" w:rsidRDefault="009B0962">
            <w:pPr>
              <w:pStyle w:val="P68B1DB1-Normal12"/>
              <w:spacing w:after="0" w:line="240" w:lineRule="auto"/>
              <w:rPr>
                <w:noProof/>
              </w:rPr>
            </w:pPr>
            <w:r>
              <w:rPr>
                <w:noProof/>
              </w:rPr>
              <w:t>2026</w:t>
            </w:r>
          </w:p>
        </w:tc>
        <w:tc>
          <w:tcPr>
            <w:tcW w:w="4269" w:type="dxa"/>
            <w:shd w:val="clear" w:color="auto" w:fill="C6EFCE"/>
            <w:noWrap/>
          </w:tcPr>
          <w:p w14:paraId="4069F35A" w14:textId="77777777" w:rsidR="00C45D59" w:rsidRDefault="009B0962">
            <w:pPr>
              <w:pStyle w:val="P68B1DB1-Normal12"/>
              <w:spacing w:after="0" w:line="240" w:lineRule="auto"/>
              <w:rPr>
                <w:noProof/>
              </w:rPr>
            </w:pPr>
            <w:r>
              <w:rPr>
                <w:noProof/>
              </w:rPr>
              <w:t xml:space="preserve">Pentru cel puțin încă 40 de unități de asistență medicală primară, renovări ale infrastructurii pentru eficiență energetică. </w:t>
            </w:r>
          </w:p>
          <w:p w14:paraId="74ABA6D6" w14:textId="77777777" w:rsidR="00C45D59" w:rsidRDefault="00C45D59">
            <w:pPr>
              <w:spacing w:after="0" w:line="240" w:lineRule="auto"/>
              <w:rPr>
                <w:rFonts w:ascii="Times New Roman" w:hAnsi="Times New Roman" w:cs="Times New Roman"/>
                <w:noProof/>
                <w:color w:val="006100"/>
                <w:sz w:val="18"/>
                <w:szCs w:val="18"/>
              </w:rPr>
            </w:pPr>
          </w:p>
          <w:p w14:paraId="3A473B88" w14:textId="782C5228" w:rsidR="00C45D59" w:rsidRDefault="009B0962">
            <w:pPr>
              <w:pStyle w:val="P68B1DB1-Normal12"/>
              <w:spacing w:after="0" w:line="240" w:lineRule="auto"/>
              <w:rPr>
                <w:noProof/>
              </w:rPr>
            </w:pPr>
            <w:r>
              <w:rPr>
                <w:noProof/>
              </w:rPr>
              <w:t>Crearea unei unități de gestionare a bolilor cronice într-un număr egal de unități de asistență medicală primară.</w:t>
            </w:r>
          </w:p>
        </w:tc>
      </w:tr>
      <w:tr w:rsidR="00C45D59" w14:paraId="426A877B" w14:textId="77777777" w:rsidTr="008A4BFA">
        <w:trPr>
          <w:trHeight w:val="313"/>
          <w:jc w:val="center"/>
        </w:trPr>
        <w:tc>
          <w:tcPr>
            <w:tcW w:w="717" w:type="dxa"/>
            <w:shd w:val="clear" w:color="auto" w:fill="C6EFCE"/>
            <w:noWrap/>
          </w:tcPr>
          <w:p w14:paraId="4432EFDE" w14:textId="77777777" w:rsidR="00C45D59" w:rsidRDefault="009B0962">
            <w:pPr>
              <w:pStyle w:val="P68B1DB1-Normal12"/>
              <w:spacing w:after="0" w:line="240" w:lineRule="auto"/>
              <w:rPr>
                <w:noProof/>
              </w:rPr>
            </w:pPr>
            <w:r>
              <w:rPr>
                <w:noProof/>
              </w:rPr>
              <w:t>166b</w:t>
            </w:r>
          </w:p>
        </w:tc>
        <w:tc>
          <w:tcPr>
            <w:tcW w:w="2085" w:type="dxa"/>
            <w:shd w:val="clear" w:color="auto" w:fill="C6EFCE"/>
            <w:noWrap/>
          </w:tcPr>
          <w:p w14:paraId="7128E9D8" w14:textId="77777777" w:rsidR="00C45D59" w:rsidRDefault="009B0962">
            <w:pPr>
              <w:pStyle w:val="P68B1DB1-Normal12"/>
              <w:spacing w:after="0" w:line="240" w:lineRule="auto"/>
              <w:rPr>
                <w:noProof/>
              </w:rPr>
            </w:pPr>
            <w:r>
              <w:rPr>
                <w:noProof/>
              </w:rPr>
              <w:t>10-3.3. Îmbunătățirea rezilienței, a accesibilității și a sustenabilității asistenței medicale – 16755_Investiții verzi – Reforma sistemului de asistență medicală primară</w:t>
            </w:r>
          </w:p>
        </w:tc>
        <w:tc>
          <w:tcPr>
            <w:tcW w:w="969" w:type="dxa"/>
            <w:shd w:val="clear" w:color="auto" w:fill="C6EFCE"/>
            <w:noWrap/>
          </w:tcPr>
          <w:p w14:paraId="499FE746" w14:textId="77777777" w:rsidR="00C45D59" w:rsidRDefault="009B0962">
            <w:pPr>
              <w:pStyle w:val="P68B1DB1-Normal12"/>
              <w:spacing w:after="0" w:line="240" w:lineRule="auto"/>
              <w:rPr>
                <w:noProof/>
              </w:rPr>
            </w:pPr>
            <w:r>
              <w:rPr>
                <w:noProof/>
              </w:rPr>
              <w:t>Țintă</w:t>
            </w:r>
          </w:p>
        </w:tc>
        <w:tc>
          <w:tcPr>
            <w:tcW w:w="1293" w:type="dxa"/>
            <w:shd w:val="clear" w:color="auto" w:fill="C6EFCE"/>
            <w:noWrap/>
          </w:tcPr>
          <w:p w14:paraId="1678402C" w14:textId="77777777" w:rsidR="00C45D59" w:rsidRDefault="009B0962">
            <w:pPr>
              <w:pStyle w:val="P68B1DB1-Normal12"/>
              <w:spacing w:after="0" w:line="240" w:lineRule="auto"/>
              <w:rPr>
                <w:noProof/>
              </w:rPr>
            </w:pPr>
            <w:r>
              <w:rPr>
                <w:noProof/>
              </w:rPr>
              <w:t>PHC – unități de asistență medicală primară cu infrastructură renovată – etapa 3</w:t>
            </w:r>
          </w:p>
        </w:tc>
        <w:tc>
          <w:tcPr>
            <w:tcW w:w="1707" w:type="dxa"/>
            <w:shd w:val="clear" w:color="auto" w:fill="C6EFCE"/>
            <w:noWrap/>
          </w:tcPr>
          <w:p w14:paraId="1E42A65D"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335" w:type="dxa"/>
            <w:shd w:val="clear" w:color="auto" w:fill="C6EFCE"/>
            <w:noWrap/>
          </w:tcPr>
          <w:p w14:paraId="7DF4F11C" w14:textId="77777777" w:rsidR="00C45D59" w:rsidRDefault="009B0962">
            <w:pPr>
              <w:pStyle w:val="P68B1DB1-Normal12"/>
              <w:spacing w:after="0" w:line="240" w:lineRule="auto"/>
              <w:rPr>
                <w:noProof/>
              </w:rPr>
            </w:pPr>
            <w:r>
              <w:rPr>
                <w:noProof/>
              </w:rPr>
              <w:t xml:space="preserve">Numărul de unități de asistență medicală primară în care este renovată infrastructura </w:t>
            </w:r>
          </w:p>
        </w:tc>
        <w:tc>
          <w:tcPr>
            <w:tcW w:w="1050" w:type="dxa"/>
            <w:shd w:val="clear" w:color="auto" w:fill="C6EFCE"/>
            <w:noWrap/>
          </w:tcPr>
          <w:p w14:paraId="38D2A945" w14:textId="77777777" w:rsidR="00C45D59" w:rsidRDefault="009B0962">
            <w:pPr>
              <w:pStyle w:val="P68B1DB1-Normal12"/>
              <w:spacing w:after="0" w:line="240" w:lineRule="auto"/>
              <w:rPr>
                <w:noProof/>
              </w:rPr>
            </w:pPr>
            <w:r>
              <w:rPr>
                <w:noProof/>
              </w:rPr>
              <w:t>55</w:t>
            </w:r>
          </w:p>
        </w:tc>
        <w:tc>
          <w:tcPr>
            <w:tcW w:w="975" w:type="dxa"/>
            <w:shd w:val="clear" w:color="auto" w:fill="C6EFCE"/>
            <w:noWrap/>
          </w:tcPr>
          <w:p w14:paraId="04B49DB4" w14:textId="2A96EDE7" w:rsidR="00C45D59" w:rsidRDefault="009B0962">
            <w:pPr>
              <w:pStyle w:val="P68B1DB1-Normal12"/>
              <w:spacing w:after="0" w:line="240" w:lineRule="auto"/>
              <w:rPr>
                <w:noProof/>
              </w:rPr>
            </w:pPr>
            <w:r>
              <w:rPr>
                <w:noProof/>
              </w:rPr>
              <w:t>146</w:t>
            </w:r>
          </w:p>
        </w:tc>
        <w:tc>
          <w:tcPr>
            <w:tcW w:w="1078" w:type="dxa"/>
            <w:shd w:val="clear" w:color="auto" w:fill="C6EFCE"/>
            <w:noWrap/>
          </w:tcPr>
          <w:p w14:paraId="2012A981" w14:textId="77777777" w:rsidR="00C45D59" w:rsidRDefault="009B0962">
            <w:pPr>
              <w:pStyle w:val="P68B1DB1-Normal12"/>
              <w:spacing w:after="0" w:line="240" w:lineRule="auto"/>
              <w:rPr>
                <w:noProof/>
              </w:rPr>
            </w:pPr>
            <w:r>
              <w:rPr>
                <w:noProof/>
              </w:rPr>
              <w:t>Î2</w:t>
            </w:r>
          </w:p>
        </w:tc>
        <w:tc>
          <w:tcPr>
            <w:tcW w:w="810" w:type="dxa"/>
            <w:shd w:val="clear" w:color="auto" w:fill="C6EFCE"/>
            <w:noWrap/>
          </w:tcPr>
          <w:p w14:paraId="06FD8CAA" w14:textId="77777777" w:rsidR="00C45D59" w:rsidRDefault="009B0962">
            <w:pPr>
              <w:pStyle w:val="P68B1DB1-Normal12"/>
              <w:spacing w:after="0" w:line="240" w:lineRule="auto"/>
              <w:rPr>
                <w:noProof/>
              </w:rPr>
            </w:pPr>
            <w:r>
              <w:rPr>
                <w:noProof/>
              </w:rPr>
              <w:t>2026</w:t>
            </w:r>
          </w:p>
        </w:tc>
        <w:tc>
          <w:tcPr>
            <w:tcW w:w="4269" w:type="dxa"/>
            <w:shd w:val="clear" w:color="auto" w:fill="C6EFCE"/>
            <w:noWrap/>
          </w:tcPr>
          <w:p w14:paraId="71C7E8B7" w14:textId="701078F5" w:rsidR="00C45D59" w:rsidRDefault="009B0962">
            <w:pPr>
              <w:pStyle w:val="P68B1DB1-Normal12"/>
              <w:rPr>
                <w:noProof/>
              </w:rPr>
            </w:pPr>
            <w:r>
              <w:rPr>
                <w:noProof/>
              </w:rPr>
              <w:t xml:space="preserve">Pentru cel puțin încă 91 de unități de asistență medicală primară, renovări ale infrastructurii pentru eficiență energetică. </w:t>
            </w:r>
          </w:p>
          <w:p w14:paraId="4809FE38" w14:textId="22F37A4B" w:rsidR="00C45D59" w:rsidRDefault="009B0962">
            <w:pPr>
              <w:pStyle w:val="P68B1DB1-Normal12"/>
              <w:rPr>
                <w:noProof/>
              </w:rPr>
            </w:pPr>
            <w:r>
              <w:rPr>
                <w:noProof/>
              </w:rPr>
              <w:t>Crearea unei unități de gestionare a bolilor cronice într-un număr egal de unități de asistență medicală primară.</w:t>
            </w:r>
          </w:p>
        </w:tc>
      </w:tr>
      <w:tr w:rsidR="00C45D59" w14:paraId="44AC52DE" w14:textId="77777777" w:rsidTr="008A4BFA">
        <w:trPr>
          <w:trHeight w:val="313"/>
          <w:jc w:val="center"/>
        </w:trPr>
        <w:tc>
          <w:tcPr>
            <w:tcW w:w="717" w:type="dxa"/>
            <w:shd w:val="clear" w:color="auto" w:fill="C6EFCE"/>
            <w:noWrap/>
          </w:tcPr>
          <w:p w14:paraId="0BDC4B0F" w14:textId="77777777" w:rsidR="00C45D59" w:rsidRDefault="009B0962">
            <w:pPr>
              <w:pStyle w:val="P68B1DB1-Normal12"/>
              <w:spacing w:after="0" w:line="240" w:lineRule="auto"/>
              <w:rPr>
                <w:noProof/>
              </w:rPr>
            </w:pPr>
            <w:r>
              <w:rPr>
                <w:noProof/>
              </w:rPr>
              <w:t>166c</w:t>
            </w:r>
          </w:p>
        </w:tc>
        <w:tc>
          <w:tcPr>
            <w:tcW w:w="2085" w:type="dxa"/>
            <w:shd w:val="clear" w:color="auto" w:fill="C6EFCE"/>
            <w:noWrap/>
          </w:tcPr>
          <w:p w14:paraId="1D383BF8" w14:textId="77777777" w:rsidR="00C45D59" w:rsidRDefault="009B0962">
            <w:pPr>
              <w:pStyle w:val="P68B1DB1-Normal12"/>
              <w:spacing w:after="0" w:line="240" w:lineRule="auto"/>
              <w:rPr>
                <w:noProof/>
              </w:rPr>
            </w:pPr>
            <w:r>
              <w:rPr>
                <w:noProof/>
              </w:rPr>
              <w:t>10-3.3. Îmbunătățirea rezilienței, a accesibilității și a sustenabilității asistenței medicale – 16755_Investiții verzi – Reforma sistemului de asistență medicală primară</w:t>
            </w:r>
          </w:p>
        </w:tc>
        <w:tc>
          <w:tcPr>
            <w:tcW w:w="969" w:type="dxa"/>
            <w:shd w:val="clear" w:color="auto" w:fill="C6EFCE"/>
            <w:noWrap/>
          </w:tcPr>
          <w:p w14:paraId="11615171" w14:textId="77777777" w:rsidR="00C45D59" w:rsidRDefault="009B0962">
            <w:pPr>
              <w:pStyle w:val="P68B1DB1-Normal12"/>
              <w:rPr>
                <w:noProof/>
              </w:rPr>
            </w:pPr>
            <w:r>
              <w:rPr>
                <w:noProof/>
              </w:rPr>
              <w:t>Etapă</w:t>
            </w:r>
          </w:p>
        </w:tc>
        <w:tc>
          <w:tcPr>
            <w:tcW w:w="1293" w:type="dxa"/>
            <w:shd w:val="clear" w:color="auto" w:fill="C6EFCE"/>
            <w:noWrap/>
          </w:tcPr>
          <w:p w14:paraId="5D7E264E" w14:textId="77777777" w:rsidR="00C45D59" w:rsidRDefault="009B0962">
            <w:pPr>
              <w:pStyle w:val="P68B1DB1-Normal12"/>
              <w:spacing w:after="0" w:line="240" w:lineRule="auto"/>
              <w:rPr>
                <w:noProof/>
              </w:rPr>
            </w:pPr>
            <w:r>
              <w:rPr>
                <w:noProof/>
              </w:rPr>
              <w:t>PHC – echipamente medicale</w:t>
            </w:r>
          </w:p>
        </w:tc>
        <w:tc>
          <w:tcPr>
            <w:tcW w:w="1707" w:type="dxa"/>
            <w:shd w:val="clear" w:color="auto" w:fill="C6EFCE"/>
            <w:noWrap/>
          </w:tcPr>
          <w:p w14:paraId="4B905866" w14:textId="77777777" w:rsidR="00C45D59" w:rsidRDefault="009B0962">
            <w:pPr>
              <w:pStyle w:val="P68B1DB1-Normal23"/>
              <w:spacing w:after="0" w:line="240" w:lineRule="auto"/>
              <w:rPr>
                <w:noProof/>
              </w:rPr>
            </w:pPr>
            <w:r>
              <w:rPr>
                <w:noProof/>
              </w:rPr>
              <w:t xml:space="preserve">Livrarea de echipamente medicale </w:t>
            </w:r>
          </w:p>
        </w:tc>
        <w:tc>
          <w:tcPr>
            <w:tcW w:w="1335" w:type="dxa"/>
            <w:shd w:val="clear" w:color="auto" w:fill="C6EFCE"/>
            <w:noWrap/>
          </w:tcPr>
          <w:p w14:paraId="7B9C27A1" w14:textId="77777777" w:rsidR="00C45D59" w:rsidRDefault="00C45D59">
            <w:pPr>
              <w:spacing w:after="0" w:line="240" w:lineRule="auto"/>
              <w:rPr>
                <w:rFonts w:ascii="Times New Roman" w:hAnsi="Times New Roman" w:cs="Times New Roman"/>
                <w:noProof/>
                <w:color w:val="006100"/>
                <w:sz w:val="18"/>
                <w:szCs w:val="18"/>
              </w:rPr>
            </w:pPr>
          </w:p>
        </w:tc>
        <w:tc>
          <w:tcPr>
            <w:tcW w:w="1050" w:type="dxa"/>
            <w:shd w:val="clear" w:color="auto" w:fill="C6EFCE"/>
            <w:noWrap/>
          </w:tcPr>
          <w:p w14:paraId="30A93EE1" w14:textId="77777777" w:rsidR="00C45D59" w:rsidRDefault="00C45D59">
            <w:pPr>
              <w:spacing w:after="0" w:line="240" w:lineRule="auto"/>
              <w:rPr>
                <w:rFonts w:ascii="Times New Roman" w:hAnsi="Times New Roman" w:cs="Times New Roman"/>
                <w:noProof/>
                <w:color w:val="006100"/>
                <w:sz w:val="18"/>
                <w:szCs w:val="18"/>
              </w:rPr>
            </w:pPr>
          </w:p>
        </w:tc>
        <w:tc>
          <w:tcPr>
            <w:tcW w:w="975" w:type="dxa"/>
            <w:shd w:val="clear" w:color="auto" w:fill="C6EFCE"/>
            <w:noWrap/>
          </w:tcPr>
          <w:p w14:paraId="67DE0D16" w14:textId="77777777" w:rsidR="00C45D59" w:rsidRDefault="00C45D59">
            <w:pPr>
              <w:spacing w:after="0" w:line="240" w:lineRule="auto"/>
              <w:rPr>
                <w:rFonts w:ascii="Times New Roman" w:hAnsi="Times New Roman" w:cs="Times New Roman"/>
                <w:noProof/>
                <w:color w:val="006100"/>
                <w:sz w:val="18"/>
                <w:szCs w:val="18"/>
              </w:rPr>
            </w:pPr>
          </w:p>
        </w:tc>
        <w:tc>
          <w:tcPr>
            <w:tcW w:w="1078" w:type="dxa"/>
            <w:shd w:val="clear" w:color="auto" w:fill="C6EFCE"/>
            <w:noWrap/>
          </w:tcPr>
          <w:p w14:paraId="4CA8EC8B" w14:textId="77777777" w:rsidR="00C45D59" w:rsidRDefault="009B0962">
            <w:pPr>
              <w:pStyle w:val="P68B1DB1-Normal12"/>
              <w:spacing w:after="0" w:line="240" w:lineRule="auto"/>
              <w:rPr>
                <w:noProof/>
              </w:rPr>
            </w:pPr>
            <w:r>
              <w:rPr>
                <w:noProof/>
              </w:rPr>
              <w:t>Î2</w:t>
            </w:r>
          </w:p>
        </w:tc>
        <w:tc>
          <w:tcPr>
            <w:tcW w:w="810" w:type="dxa"/>
            <w:shd w:val="clear" w:color="auto" w:fill="C6EFCE"/>
            <w:noWrap/>
          </w:tcPr>
          <w:p w14:paraId="07876B63" w14:textId="77777777" w:rsidR="00C45D59" w:rsidRDefault="009B0962">
            <w:pPr>
              <w:pStyle w:val="P68B1DB1-Normal12"/>
              <w:spacing w:after="0" w:line="240" w:lineRule="auto"/>
              <w:rPr>
                <w:noProof/>
              </w:rPr>
            </w:pPr>
            <w:r>
              <w:rPr>
                <w:noProof/>
              </w:rPr>
              <w:t>2026</w:t>
            </w:r>
          </w:p>
        </w:tc>
        <w:tc>
          <w:tcPr>
            <w:tcW w:w="4269" w:type="dxa"/>
            <w:shd w:val="clear" w:color="auto" w:fill="C6EFCE"/>
            <w:noWrap/>
          </w:tcPr>
          <w:p w14:paraId="712F751A" w14:textId="77777777" w:rsidR="00C45D59" w:rsidRDefault="009B0962">
            <w:pPr>
              <w:pStyle w:val="P68B1DB1-Normal12"/>
              <w:spacing w:after="0" w:line="240" w:lineRule="auto"/>
              <w:rPr>
                <w:noProof/>
              </w:rPr>
            </w:pPr>
            <w:r>
              <w:rPr>
                <w:noProof/>
              </w:rPr>
              <w:t xml:space="preserve">Furnizarea de echipamente medicale pentru sistemul de asistență medicală primară în șapte regiuni sanitare. </w:t>
            </w:r>
          </w:p>
        </w:tc>
      </w:tr>
      <w:tr w:rsidR="00C45D59" w14:paraId="00B8B877" w14:textId="77777777" w:rsidTr="008A4BFA">
        <w:trPr>
          <w:trHeight w:val="313"/>
          <w:jc w:val="center"/>
        </w:trPr>
        <w:tc>
          <w:tcPr>
            <w:tcW w:w="717" w:type="dxa"/>
            <w:shd w:val="clear" w:color="auto" w:fill="C6EFCE"/>
            <w:noWrap/>
          </w:tcPr>
          <w:p w14:paraId="21F3E232" w14:textId="77777777" w:rsidR="00C45D59" w:rsidRDefault="009B0962">
            <w:pPr>
              <w:pStyle w:val="P68B1DB1-Normal12"/>
              <w:spacing w:after="0" w:line="240" w:lineRule="auto"/>
              <w:rPr>
                <w:noProof/>
              </w:rPr>
            </w:pPr>
            <w:r>
              <w:rPr>
                <w:noProof/>
              </w:rPr>
              <w:t>166d</w:t>
            </w:r>
          </w:p>
        </w:tc>
        <w:tc>
          <w:tcPr>
            <w:tcW w:w="2085" w:type="dxa"/>
            <w:shd w:val="clear" w:color="auto" w:fill="C6EFCE"/>
            <w:noWrap/>
          </w:tcPr>
          <w:p w14:paraId="24395FF3" w14:textId="77777777" w:rsidR="00C45D59" w:rsidRDefault="009B0962">
            <w:pPr>
              <w:pStyle w:val="P68B1DB1-Normal12"/>
              <w:spacing w:after="0" w:line="240" w:lineRule="auto"/>
              <w:rPr>
                <w:noProof/>
              </w:rPr>
            </w:pPr>
            <w:r>
              <w:rPr>
                <w:noProof/>
              </w:rPr>
              <w:t>10-3.3. Îmbunătățirea rezilienței, a accesibilității și a sustenabilității asistenței medicale – 16755_Investiții verzi – Reforma sistemului de asistență medicală primară</w:t>
            </w:r>
          </w:p>
        </w:tc>
        <w:tc>
          <w:tcPr>
            <w:tcW w:w="969" w:type="dxa"/>
            <w:shd w:val="clear" w:color="auto" w:fill="C6EFCE"/>
            <w:noWrap/>
          </w:tcPr>
          <w:p w14:paraId="4822A134" w14:textId="77777777" w:rsidR="00C45D59" w:rsidRDefault="009B0962">
            <w:pPr>
              <w:pStyle w:val="P68B1DB1-Normal12"/>
              <w:spacing w:after="0" w:line="240" w:lineRule="auto"/>
              <w:rPr>
                <w:noProof/>
              </w:rPr>
            </w:pPr>
            <w:r>
              <w:rPr>
                <w:noProof/>
              </w:rPr>
              <w:t>Etapă</w:t>
            </w:r>
          </w:p>
        </w:tc>
        <w:tc>
          <w:tcPr>
            <w:tcW w:w="1293" w:type="dxa"/>
            <w:shd w:val="clear" w:color="auto" w:fill="C6EFCE"/>
            <w:noWrap/>
          </w:tcPr>
          <w:p w14:paraId="738F1D02" w14:textId="77777777" w:rsidR="00C45D59" w:rsidRDefault="009B0962">
            <w:pPr>
              <w:pStyle w:val="P68B1DB1-Normal12"/>
              <w:spacing w:after="0" w:line="240" w:lineRule="auto"/>
              <w:rPr>
                <w:noProof/>
              </w:rPr>
            </w:pPr>
            <w:r>
              <w:rPr>
                <w:noProof/>
              </w:rPr>
              <w:t>PHC – Reformă și formare</w:t>
            </w:r>
          </w:p>
        </w:tc>
        <w:tc>
          <w:tcPr>
            <w:tcW w:w="1707" w:type="dxa"/>
            <w:shd w:val="clear" w:color="auto" w:fill="C6EFCE"/>
            <w:noWrap/>
          </w:tcPr>
          <w:p w14:paraId="5458BCC1" w14:textId="05ED0E33" w:rsidR="00C45D59" w:rsidRDefault="009B0962">
            <w:pPr>
              <w:pStyle w:val="P68B1DB1-Normal23"/>
              <w:spacing w:after="0" w:line="240" w:lineRule="auto"/>
              <w:rPr>
                <w:noProof/>
              </w:rPr>
            </w:pPr>
            <w:r>
              <w:rPr>
                <w:noProof/>
              </w:rPr>
              <w:t xml:space="preserve">Propuneri de reformă a PHC, mecanism-pilot de sesizare, platforme digitale și cursuri de formare </w:t>
            </w:r>
          </w:p>
        </w:tc>
        <w:tc>
          <w:tcPr>
            <w:tcW w:w="1335" w:type="dxa"/>
            <w:shd w:val="clear" w:color="auto" w:fill="C6EFCE"/>
            <w:noWrap/>
          </w:tcPr>
          <w:p w14:paraId="6B4E08A9" w14:textId="77777777" w:rsidR="00C45D59" w:rsidRDefault="00C45D59">
            <w:pPr>
              <w:spacing w:after="0" w:line="240" w:lineRule="auto"/>
              <w:rPr>
                <w:rFonts w:ascii="Times New Roman" w:hAnsi="Times New Roman" w:cs="Times New Roman"/>
                <w:noProof/>
                <w:color w:val="006100"/>
                <w:sz w:val="18"/>
                <w:szCs w:val="18"/>
              </w:rPr>
            </w:pPr>
          </w:p>
        </w:tc>
        <w:tc>
          <w:tcPr>
            <w:tcW w:w="1050" w:type="dxa"/>
            <w:shd w:val="clear" w:color="auto" w:fill="C6EFCE"/>
            <w:noWrap/>
          </w:tcPr>
          <w:p w14:paraId="2BAF1F5A" w14:textId="77777777" w:rsidR="00C45D59" w:rsidRDefault="00C45D59">
            <w:pPr>
              <w:spacing w:after="0" w:line="240" w:lineRule="auto"/>
              <w:rPr>
                <w:rFonts w:ascii="Times New Roman" w:hAnsi="Times New Roman" w:cs="Times New Roman"/>
                <w:noProof/>
                <w:color w:val="006100"/>
                <w:sz w:val="18"/>
                <w:szCs w:val="18"/>
              </w:rPr>
            </w:pPr>
          </w:p>
        </w:tc>
        <w:tc>
          <w:tcPr>
            <w:tcW w:w="975" w:type="dxa"/>
            <w:shd w:val="clear" w:color="auto" w:fill="C6EFCE"/>
            <w:noWrap/>
          </w:tcPr>
          <w:p w14:paraId="78527F28" w14:textId="77777777" w:rsidR="00C45D59" w:rsidRDefault="00C45D59">
            <w:pPr>
              <w:spacing w:after="0" w:line="240" w:lineRule="auto"/>
              <w:rPr>
                <w:rFonts w:ascii="Times New Roman" w:hAnsi="Times New Roman" w:cs="Times New Roman"/>
                <w:noProof/>
                <w:color w:val="006100"/>
                <w:sz w:val="18"/>
                <w:szCs w:val="18"/>
              </w:rPr>
            </w:pPr>
          </w:p>
        </w:tc>
        <w:tc>
          <w:tcPr>
            <w:tcW w:w="1078" w:type="dxa"/>
            <w:shd w:val="clear" w:color="auto" w:fill="C6EFCE"/>
            <w:noWrap/>
          </w:tcPr>
          <w:p w14:paraId="0FE51BF8" w14:textId="77777777" w:rsidR="00C45D59" w:rsidRDefault="009B0962">
            <w:pPr>
              <w:pStyle w:val="P68B1DB1-Normal12"/>
              <w:spacing w:after="0" w:line="240" w:lineRule="auto"/>
              <w:rPr>
                <w:noProof/>
              </w:rPr>
            </w:pPr>
            <w:r>
              <w:rPr>
                <w:noProof/>
              </w:rPr>
              <w:t>Î2</w:t>
            </w:r>
          </w:p>
        </w:tc>
        <w:tc>
          <w:tcPr>
            <w:tcW w:w="810" w:type="dxa"/>
            <w:shd w:val="clear" w:color="auto" w:fill="C6EFCE"/>
            <w:noWrap/>
          </w:tcPr>
          <w:p w14:paraId="636EA513" w14:textId="77777777" w:rsidR="00C45D59" w:rsidRDefault="009B0962">
            <w:pPr>
              <w:pStyle w:val="P68B1DB1-Normal12"/>
              <w:spacing w:after="0" w:line="240" w:lineRule="auto"/>
              <w:rPr>
                <w:noProof/>
              </w:rPr>
            </w:pPr>
            <w:r>
              <w:rPr>
                <w:noProof/>
              </w:rPr>
              <w:t>2026</w:t>
            </w:r>
          </w:p>
        </w:tc>
        <w:tc>
          <w:tcPr>
            <w:tcW w:w="4269" w:type="dxa"/>
            <w:shd w:val="clear" w:color="auto" w:fill="C6EFCE"/>
            <w:noWrap/>
          </w:tcPr>
          <w:p w14:paraId="26BFBBA5" w14:textId="77777777" w:rsidR="00C45D59" w:rsidRDefault="009B0962">
            <w:pPr>
              <w:pStyle w:val="P68B1DB1-Normal12"/>
              <w:spacing w:after="0" w:line="240" w:lineRule="auto"/>
              <w:rPr>
                <w:noProof/>
              </w:rPr>
            </w:pPr>
            <w:r>
              <w:rPr>
                <w:noProof/>
              </w:rPr>
              <w:t xml:space="preserve">Prezentarea: </w:t>
            </w:r>
          </w:p>
          <w:p w14:paraId="248E7871" w14:textId="77777777" w:rsidR="00C45D59" w:rsidRDefault="009B0962">
            <w:pPr>
              <w:pStyle w:val="P68B1DB1-ListParagraph34"/>
              <w:numPr>
                <w:ilvl w:val="0"/>
                <w:numId w:val="48"/>
              </w:numPr>
              <w:spacing w:after="0" w:line="240" w:lineRule="auto"/>
              <w:rPr>
                <w:noProof/>
              </w:rPr>
            </w:pPr>
            <w:r>
              <w:rPr>
                <w:noProof/>
              </w:rPr>
              <w:t xml:space="preserve">Propuneri de reformă a asistenței medicale primare; </w:t>
            </w:r>
          </w:p>
          <w:p w14:paraId="08AF562E" w14:textId="77777777" w:rsidR="00C45D59" w:rsidRDefault="009B0962">
            <w:pPr>
              <w:pStyle w:val="P68B1DB1-ListParagraph34"/>
              <w:numPr>
                <w:ilvl w:val="0"/>
                <w:numId w:val="48"/>
              </w:numPr>
              <w:spacing w:after="0" w:line="240" w:lineRule="auto"/>
              <w:rPr>
                <w:noProof/>
              </w:rPr>
            </w:pPr>
            <w:r>
              <w:rPr>
                <w:noProof/>
              </w:rPr>
              <w:t xml:space="preserve">Mecanismul-pilot de sesizare; </w:t>
            </w:r>
          </w:p>
          <w:p w14:paraId="4989CEFE" w14:textId="77777777" w:rsidR="00C45D59" w:rsidRDefault="009B0962">
            <w:pPr>
              <w:pStyle w:val="P68B1DB1-ListParagraph34"/>
              <w:numPr>
                <w:ilvl w:val="0"/>
                <w:numId w:val="48"/>
              </w:numPr>
              <w:spacing w:after="0" w:line="240" w:lineRule="auto"/>
              <w:rPr>
                <w:noProof/>
              </w:rPr>
            </w:pPr>
            <w:r>
              <w:rPr>
                <w:noProof/>
              </w:rPr>
              <w:t xml:space="preserve">Formarea personalului cu scopul de a îmbunătăți capacitatea forței de muncă a PHC; </w:t>
            </w:r>
          </w:p>
          <w:p w14:paraId="46D6CD86" w14:textId="77777777" w:rsidR="00C45D59" w:rsidRDefault="009B0962">
            <w:pPr>
              <w:pStyle w:val="P68B1DB1-ListParagraph34"/>
              <w:numPr>
                <w:ilvl w:val="0"/>
                <w:numId w:val="48"/>
              </w:numPr>
              <w:spacing w:after="0" w:line="240" w:lineRule="auto"/>
              <w:rPr>
                <w:noProof/>
              </w:rPr>
            </w:pPr>
            <w:r>
              <w:rPr>
                <w:noProof/>
              </w:rPr>
              <w:t xml:space="preserve">Platformă digitală pentru un proces decizional bazat pe date în cadrul PHC. </w:t>
            </w:r>
          </w:p>
          <w:p w14:paraId="3997730F" w14:textId="77777777" w:rsidR="00C45D59" w:rsidRDefault="00C45D59">
            <w:pPr>
              <w:spacing w:after="0" w:line="240" w:lineRule="auto"/>
              <w:rPr>
                <w:rFonts w:ascii="Times New Roman" w:hAnsi="Times New Roman" w:cs="Times New Roman"/>
                <w:noProof/>
                <w:color w:val="006100"/>
                <w:sz w:val="18"/>
                <w:szCs w:val="18"/>
              </w:rPr>
            </w:pPr>
          </w:p>
          <w:p w14:paraId="0225D713" w14:textId="69959334" w:rsidR="00C45D59" w:rsidRDefault="009B0962">
            <w:pPr>
              <w:pStyle w:val="P68B1DB1-Normal12"/>
              <w:spacing w:after="0" w:line="240" w:lineRule="auto"/>
              <w:rPr>
                <w:noProof/>
              </w:rPr>
            </w:pPr>
            <w:r>
              <w:rPr>
                <w:noProof/>
              </w:rPr>
              <w:t>6 172 de profesioniști din domeniul asistenței medicale primare au început un program de formare în domeniul asistenței medicale primare.</w:t>
            </w:r>
          </w:p>
        </w:tc>
      </w:tr>
      <w:tr w:rsidR="00C45D59" w14:paraId="0D870CD4" w14:textId="77777777" w:rsidTr="008A4BFA">
        <w:trPr>
          <w:trHeight w:val="313"/>
          <w:jc w:val="center"/>
        </w:trPr>
        <w:tc>
          <w:tcPr>
            <w:tcW w:w="717" w:type="dxa"/>
            <w:shd w:val="clear" w:color="auto" w:fill="C6EFCE"/>
            <w:noWrap/>
          </w:tcPr>
          <w:p w14:paraId="4989686D" w14:textId="77777777" w:rsidR="00C45D59" w:rsidRDefault="009B0962">
            <w:pPr>
              <w:pStyle w:val="P68B1DB1-Normal12"/>
              <w:spacing w:after="0" w:line="240" w:lineRule="auto"/>
              <w:rPr>
                <w:rFonts w:eastAsia="Times New Roman"/>
                <w:noProof/>
              </w:rPr>
            </w:pPr>
            <w:r>
              <w:rPr>
                <w:noProof/>
              </w:rPr>
              <w:t>335</w:t>
            </w:r>
          </w:p>
        </w:tc>
        <w:tc>
          <w:tcPr>
            <w:tcW w:w="2085" w:type="dxa"/>
            <w:shd w:val="clear" w:color="auto" w:fill="C6EFCE"/>
            <w:noWrap/>
          </w:tcPr>
          <w:p w14:paraId="3777FB1A" w14:textId="77777777" w:rsidR="00C45D59" w:rsidRDefault="009B0962">
            <w:pPr>
              <w:pStyle w:val="P68B1DB1-Normal16"/>
              <w:spacing w:after="0" w:line="240" w:lineRule="auto"/>
              <w:rPr>
                <w:rFonts w:eastAsia="Times New Roman"/>
                <w:noProof/>
                <w:color w:val="006100"/>
              </w:rPr>
            </w:pPr>
            <w:r>
              <w:rPr>
                <w:noProof/>
                <w:color w:val="006100"/>
              </w:rPr>
              <w:t>10-3.3. Îmbunătățirea rezilienței, a accesibilității și a sustenabilității asistenței medicale – 16984_ Reforma doctorului</w:t>
            </w:r>
            <w:r>
              <w:rPr>
                <w:noProof/>
              </w:rPr>
              <w:t xml:space="preserve"> personal</w:t>
            </w:r>
          </w:p>
        </w:tc>
        <w:tc>
          <w:tcPr>
            <w:tcW w:w="969" w:type="dxa"/>
            <w:shd w:val="clear" w:color="auto" w:fill="C6EFCE"/>
            <w:noWrap/>
          </w:tcPr>
          <w:p w14:paraId="10E8F58E" w14:textId="77777777" w:rsidR="00C45D59" w:rsidRDefault="009B0962">
            <w:pPr>
              <w:pStyle w:val="P68B1DB1-Normal12"/>
              <w:spacing w:after="0" w:line="240" w:lineRule="auto"/>
              <w:rPr>
                <w:rFonts w:eastAsia="Times New Roman"/>
                <w:noProof/>
              </w:rPr>
            </w:pPr>
            <w:r>
              <w:rPr>
                <w:noProof/>
              </w:rPr>
              <w:t>Etapă</w:t>
            </w:r>
          </w:p>
        </w:tc>
        <w:tc>
          <w:tcPr>
            <w:tcW w:w="1293" w:type="dxa"/>
            <w:shd w:val="clear" w:color="auto" w:fill="C6EFCE"/>
            <w:noWrap/>
          </w:tcPr>
          <w:p w14:paraId="54210BA5" w14:textId="77777777" w:rsidR="00C45D59" w:rsidRDefault="009B0962">
            <w:pPr>
              <w:pStyle w:val="P68B1DB1-Normal16"/>
              <w:spacing w:after="0" w:line="240" w:lineRule="auto"/>
              <w:rPr>
                <w:rFonts w:eastAsia="Times New Roman"/>
                <w:noProof/>
                <w:color w:val="006100"/>
              </w:rPr>
            </w:pPr>
            <w:r>
              <w:rPr>
                <w:noProof/>
                <w:color w:val="006100"/>
              </w:rPr>
              <w:t>Reforma</w:t>
            </w:r>
            <w:r>
              <w:rPr>
                <w:noProof/>
              </w:rPr>
              <w:t xml:space="preserve"> </w:t>
            </w:r>
            <w:r>
              <w:rPr>
                <w:noProof/>
                <w:color w:val="006100"/>
              </w:rPr>
              <w:t>medicilor personali – intrarea în vigoare a legislației</w:t>
            </w:r>
          </w:p>
        </w:tc>
        <w:tc>
          <w:tcPr>
            <w:tcW w:w="1707" w:type="dxa"/>
            <w:shd w:val="clear" w:color="auto" w:fill="C6EFCE"/>
            <w:noWrap/>
          </w:tcPr>
          <w:p w14:paraId="12C8A896" w14:textId="77777777" w:rsidR="00C45D59" w:rsidRDefault="009B0962">
            <w:pPr>
              <w:pStyle w:val="P68B1DB1-Normal16"/>
              <w:spacing w:after="0" w:line="240" w:lineRule="auto"/>
              <w:rPr>
                <w:rFonts w:eastAsia="Times New Roman"/>
                <w:noProof/>
                <w:color w:val="006100"/>
              </w:rPr>
            </w:pPr>
            <w:r>
              <w:rPr>
                <w:noProof/>
                <w:color w:val="006100"/>
              </w:rPr>
              <w:t>Intrarea în vigoare a legislației care stabilește elementele-cheie ale înscrierii medicilor din mediul rural în sistemul medical personal, crearea de noi posturi similare în zonele urbane, suburbane și rurale și mecanismul de stimulare</w:t>
            </w:r>
          </w:p>
        </w:tc>
        <w:tc>
          <w:tcPr>
            <w:tcW w:w="1335" w:type="dxa"/>
            <w:shd w:val="clear" w:color="auto" w:fill="C6EFCE"/>
            <w:noWrap/>
          </w:tcPr>
          <w:p w14:paraId="36F84EB2"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050" w:type="dxa"/>
            <w:shd w:val="clear" w:color="auto" w:fill="C6EFCE"/>
            <w:noWrap/>
          </w:tcPr>
          <w:p w14:paraId="6EEFD216"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975" w:type="dxa"/>
            <w:shd w:val="clear" w:color="auto" w:fill="C6EFCE"/>
            <w:noWrap/>
          </w:tcPr>
          <w:p w14:paraId="015B8484"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078" w:type="dxa"/>
            <w:shd w:val="clear" w:color="auto" w:fill="C6EFCE"/>
            <w:noWrap/>
          </w:tcPr>
          <w:p w14:paraId="2EF76C6F" w14:textId="77777777" w:rsidR="00C45D59" w:rsidRDefault="009B0962">
            <w:pPr>
              <w:pStyle w:val="P68B1DB1-Normal12"/>
              <w:spacing w:after="0" w:line="240" w:lineRule="auto"/>
              <w:rPr>
                <w:rFonts w:eastAsia="Times New Roman"/>
                <w:noProof/>
              </w:rPr>
            </w:pPr>
            <w:r>
              <w:rPr>
                <w:noProof/>
              </w:rPr>
              <w:t>Î1</w:t>
            </w:r>
          </w:p>
        </w:tc>
        <w:tc>
          <w:tcPr>
            <w:tcW w:w="810" w:type="dxa"/>
            <w:shd w:val="clear" w:color="auto" w:fill="C6EFCE"/>
            <w:noWrap/>
          </w:tcPr>
          <w:p w14:paraId="6507A5CE" w14:textId="77777777" w:rsidR="00C45D59" w:rsidRDefault="009B0962">
            <w:pPr>
              <w:pStyle w:val="P68B1DB1-Normal12"/>
              <w:spacing w:after="0" w:line="240" w:lineRule="auto"/>
              <w:rPr>
                <w:rFonts w:eastAsia="Times New Roman"/>
                <w:noProof/>
              </w:rPr>
            </w:pPr>
            <w:r>
              <w:rPr>
                <w:noProof/>
              </w:rPr>
              <w:t>2024</w:t>
            </w:r>
          </w:p>
        </w:tc>
        <w:tc>
          <w:tcPr>
            <w:tcW w:w="4269" w:type="dxa"/>
            <w:shd w:val="clear" w:color="auto" w:fill="C6EFCE"/>
            <w:noWrap/>
          </w:tcPr>
          <w:p w14:paraId="7170C01D" w14:textId="77777777" w:rsidR="00C45D59" w:rsidRDefault="009B0962">
            <w:pPr>
              <w:pStyle w:val="P68B1DB1-Normal12"/>
              <w:spacing w:after="0" w:line="240" w:lineRule="auto"/>
              <w:rPr>
                <w:rFonts w:eastAsia="Times New Roman"/>
                <w:noProof/>
              </w:rPr>
            </w:pPr>
            <w:r>
              <w:rPr>
                <w:noProof/>
              </w:rPr>
              <w:t>Intră în vigoare o legislație care stabilește elementele-cheie ale înscrierii medicilor din mediul rural în sistemul medical personal, ale creării de noi posturi similare în zonele urbane, suburbane și rurale, unde există încă o lipsă de medici personali, precum și ale mecanismului de stimulare a medicilor să devină rezidenți în medicina generală/de familie sau în medicina internă.</w:t>
            </w:r>
          </w:p>
        </w:tc>
      </w:tr>
      <w:tr w:rsidR="00C45D59" w14:paraId="1B634A26" w14:textId="77777777" w:rsidTr="008A4BFA">
        <w:trPr>
          <w:trHeight w:val="313"/>
          <w:jc w:val="center"/>
        </w:trPr>
        <w:tc>
          <w:tcPr>
            <w:tcW w:w="717" w:type="dxa"/>
            <w:shd w:val="clear" w:color="auto" w:fill="C6EFCE"/>
            <w:noWrap/>
          </w:tcPr>
          <w:p w14:paraId="1103D0E6" w14:textId="77777777" w:rsidR="00C45D59" w:rsidRDefault="009B0962">
            <w:pPr>
              <w:pStyle w:val="P68B1DB1-Normal12"/>
              <w:spacing w:after="0" w:line="240" w:lineRule="auto"/>
              <w:rPr>
                <w:rFonts w:eastAsia="Times New Roman"/>
                <w:noProof/>
              </w:rPr>
            </w:pPr>
            <w:r>
              <w:rPr>
                <w:noProof/>
              </w:rPr>
              <w:t>336</w:t>
            </w:r>
          </w:p>
        </w:tc>
        <w:tc>
          <w:tcPr>
            <w:tcW w:w="2085" w:type="dxa"/>
            <w:shd w:val="clear" w:color="auto" w:fill="C6EFCE"/>
            <w:noWrap/>
          </w:tcPr>
          <w:p w14:paraId="5A71BDA7" w14:textId="77777777" w:rsidR="00C45D59" w:rsidRDefault="009B0962">
            <w:pPr>
              <w:pStyle w:val="P68B1DB1-Normal16"/>
              <w:spacing w:after="0" w:line="240" w:lineRule="auto"/>
              <w:rPr>
                <w:rFonts w:eastAsia="Times New Roman"/>
                <w:noProof/>
                <w:color w:val="006100"/>
              </w:rPr>
            </w:pPr>
            <w:r>
              <w:rPr>
                <w:noProof/>
                <w:color w:val="006100"/>
              </w:rPr>
              <w:t>10-3.3. Îmbunătățirea rezilienței, a accesibilității și a sustenabilității asistenței medicale – 16984_ Reforma doctorului</w:t>
            </w:r>
            <w:r>
              <w:rPr>
                <w:noProof/>
              </w:rPr>
              <w:t xml:space="preserve"> personal</w:t>
            </w:r>
          </w:p>
        </w:tc>
        <w:tc>
          <w:tcPr>
            <w:tcW w:w="969" w:type="dxa"/>
            <w:shd w:val="clear" w:color="auto" w:fill="C6EFCE"/>
            <w:noWrap/>
          </w:tcPr>
          <w:p w14:paraId="58858F0D" w14:textId="77777777" w:rsidR="00C45D59" w:rsidRDefault="009B0962">
            <w:pPr>
              <w:pStyle w:val="P68B1DB1-Normal12"/>
              <w:spacing w:after="0" w:line="240" w:lineRule="auto"/>
              <w:rPr>
                <w:rFonts w:eastAsia="Times New Roman"/>
                <w:noProof/>
              </w:rPr>
            </w:pPr>
            <w:r>
              <w:rPr>
                <w:noProof/>
              </w:rPr>
              <w:t>Etapă</w:t>
            </w:r>
          </w:p>
        </w:tc>
        <w:tc>
          <w:tcPr>
            <w:tcW w:w="1293" w:type="dxa"/>
            <w:shd w:val="clear" w:color="auto" w:fill="C6EFCE"/>
            <w:noWrap/>
          </w:tcPr>
          <w:p w14:paraId="16CDC855" w14:textId="77777777" w:rsidR="00C45D59" w:rsidRDefault="009B0962">
            <w:pPr>
              <w:pStyle w:val="P68B1DB1-Normal16"/>
              <w:spacing w:after="0" w:line="240" w:lineRule="auto"/>
              <w:rPr>
                <w:rFonts w:eastAsia="Times New Roman"/>
                <w:noProof/>
                <w:color w:val="006100"/>
              </w:rPr>
            </w:pPr>
            <w:r>
              <w:rPr>
                <w:noProof/>
                <w:color w:val="006100"/>
              </w:rPr>
              <w:t>Reforma</w:t>
            </w:r>
            <w:r>
              <w:rPr>
                <w:noProof/>
              </w:rPr>
              <w:t xml:space="preserve"> </w:t>
            </w:r>
            <w:r>
              <w:rPr>
                <w:noProof/>
                <w:color w:val="006100"/>
              </w:rPr>
              <w:t xml:space="preserve">medicilor personali – înregistrare </w:t>
            </w:r>
          </w:p>
        </w:tc>
        <w:tc>
          <w:tcPr>
            <w:tcW w:w="1707" w:type="dxa"/>
            <w:shd w:val="clear" w:color="auto" w:fill="C6EFCE"/>
            <w:noWrap/>
          </w:tcPr>
          <w:p w14:paraId="6F8B19DA" w14:textId="77777777" w:rsidR="00C45D59" w:rsidRDefault="009B0962">
            <w:pPr>
              <w:pStyle w:val="P68B1DB1-Normal12"/>
              <w:spacing w:after="0" w:line="240" w:lineRule="auto"/>
              <w:rPr>
                <w:rFonts w:eastAsia="Times New Roman"/>
                <w:noProof/>
              </w:rPr>
            </w:pPr>
            <w:r>
              <w:rPr>
                <w:noProof/>
              </w:rPr>
              <w:t xml:space="preserve">Platformele de înregistrare și sesizare sunt online și accesibile </w:t>
            </w:r>
          </w:p>
        </w:tc>
        <w:tc>
          <w:tcPr>
            <w:tcW w:w="1335" w:type="dxa"/>
            <w:shd w:val="clear" w:color="auto" w:fill="C6EFCE"/>
            <w:noWrap/>
          </w:tcPr>
          <w:p w14:paraId="466BAA25"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050" w:type="dxa"/>
            <w:shd w:val="clear" w:color="auto" w:fill="C6EFCE"/>
            <w:noWrap/>
          </w:tcPr>
          <w:p w14:paraId="2B6B214A"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975" w:type="dxa"/>
            <w:shd w:val="clear" w:color="auto" w:fill="C6EFCE"/>
            <w:noWrap/>
          </w:tcPr>
          <w:p w14:paraId="47E8D12D"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078" w:type="dxa"/>
            <w:shd w:val="clear" w:color="auto" w:fill="C6EFCE"/>
            <w:noWrap/>
          </w:tcPr>
          <w:p w14:paraId="49AD7527" w14:textId="77777777" w:rsidR="00C45D59" w:rsidRDefault="009B0962">
            <w:pPr>
              <w:pStyle w:val="P68B1DB1-Normal12"/>
              <w:spacing w:after="0" w:line="240" w:lineRule="auto"/>
              <w:rPr>
                <w:rFonts w:eastAsia="Times New Roman"/>
                <w:noProof/>
              </w:rPr>
            </w:pPr>
            <w:r>
              <w:rPr>
                <w:noProof/>
              </w:rPr>
              <w:t>Î2</w:t>
            </w:r>
          </w:p>
        </w:tc>
        <w:tc>
          <w:tcPr>
            <w:tcW w:w="810" w:type="dxa"/>
            <w:shd w:val="clear" w:color="auto" w:fill="C6EFCE"/>
            <w:noWrap/>
          </w:tcPr>
          <w:p w14:paraId="1E742FCA" w14:textId="77777777" w:rsidR="00C45D59" w:rsidRDefault="009B0962">
            <w:pPr>
              <w:pStyle w:val="P68B1DB1-Normal12"/>
              <w:spacing w:after="0" w:line="240" w:lineRule="auto"/>
              <w:rPr>
                <w:rFonts w:eastAsia="Times New Roman"/>
                <w:noProof/>
              </w:rPr>
            </w:pPr>
            <w:r>
              <w:rPr>
                <w:noProof/>
              </w:rPr>
              <w:t>2025</w:t>
            </w:r>
          </w:p>
        </w:tc>
        <w:tc>
          <w:tcPr>
            <w:tcW w:w="4269" w:type="dxa"/>
            <w:shd w:val="clear" w:color="auto" w:fill="C6EFCE"/>
            <w:noWrap/>
          </w:tcPr>
          <w:p w14:paraId="6A5A0AF5" w14:textId="77777777" w:rsidR="00C45D59" w:rsidRDefault="009B0962">
            <w:pPr>
              <w:pStyle w:val="P68B1DB1-Normal12"/>
              <w:spacing w:after="0" w:line="240" w:lineRule="auto"/>
              <w:rPr>
                <w:rFonts w:eastAsia="Times New Roman"/>
                <w:noProof/>
              </w:rPr>
            </w:pPr>
            <w:r>
              <w:rPr>
                <w:noProof/>
              </w:rPr>
              <w:t xml:space="preserve">Platforma pentru înregistrarea la medicul personal este online și accesibilă. Platforma pentru îndrumarea către serviciile de îngrijire specializată este online și accesibilă. </w:t>
            </w:r>
          </w:p>
        </w:tc>
      </w:tr>
    </w:tbl>
    <w:p w14:paraId="4B2051EB" w14:textId="77777777" w:rsidR="00C45D59" w:rsidRDefault="00C45D59">
      <w:pPr>
        <w:keepNext/>
        <w:keepLines/>
        <w:spacing w:before="40" w:after="0" w:line="240" w:lineRule="auto"/>
        <w:jc w:val="both"/>
        <w:outlineLvl w:val="4"/>
        <w:rPr>
          <w:rFonts w:ascii="Cambria" w:hAnsi="Cambria"/>
          <w:noProof/>
          <w:color w:val="365F91" w:themeColor="accent1" w:themeShade="BF"/>
          <w:sz w:val="24"/>
        </w:rPr>
        <w:sectPr w:rsidR="00C45D59">
          <w:headerReference w:type="even" r:id="rId216"/>
          <w:headerReference w:type="default" r:id="rId217"/>
          <w:footerReference w:type="even" r:id="rId218"/>
          <w:footerReference w:type="default" r:id="rId219"/>
          <w:headerReference w:type="first" r:id="rId220"/>
          <w:footerReference w:type="first" r:id="rId221"/>
          <w:pgSz w:w="16839" w:h="11907" w:orient="landscape"/>
          <w:pgMar w:top="1134" w:right="1134" w:bottom="1134" w:left="1134" w:header="567" w:footer="567" w:gutter="0"/>
          <w:cols w:space="720"/>
          <w:docGrid w:linePitch="360"/>
        </w:sectPr>
      </w:pPr>
    </w:p>
    <w:p w14:paraId="31F39477" w14:textId="77777777" w:rsidR="00C45D59" w:rsidRDefault="009B0962">
      <w:pPr>
        <w:pStyle w:val="P68B1DB1-Normal9"/>
        <w:keepNext/>
        <w:keepLines/>
        <w:spacing w:before="40" w:after="0" w:line="240" w:lineRule="auto"/>
        <w:outlineLvl w:val="4"/>
        <w:rPr>
          <w:rFonts w:eastAsia="Times New Roman"/>
          <w:noProof/>
          <w:szCs w:val="24"/>
        </w:rPr>
      </w:pPr>
      <w:r>
        <w:rPr>
          <w:noProof/>
        </w:rPr>
        <w:t xml:space="preserve">Grupul 14: Măsuri de infrastructură și digitale pentru modernizarea și îmbunătățirea sistemului de sănătate </w:t>
      </w:r>
    </w:p>
    <w:p w14:paraId="689368E1" w14:textId="77777777" w:rsidR="00C45D59" w:rsidRDefault="009B0962">
      <w:pPr>
        <w:pStyle w:val="P68B1DB1-Normal5"/>
        <w:numPr>
          <w:ilvl w:val="0"/>
          <w:numId w:val="49"/>
        </w:numPr>
        <w:spacing w:before="120" w:after="0" w:line="240" w:lineRule="auto"/>
        <w:jc w:val="both"/>
        <w:rPr>
          <w:rFonts w:cs="Times New Roman"/>
          <w:noProof/>
        </w:rPr>
      </w:pPr>
      <w:r>
        <w:rPr>
          <w:noProof/>
        </w:rPr>
        <w:t>Transformarea digitală a sănătății (ID: 16752)</w:t>
      </w:r>
    </w:p>
    <w:p w14:paraId="7A2B5CCC" w14:textId="77777777" w:rsidR="00C45D59" w:rsidRDefault="009B0962">
      <w:pPr>
        <w:pStyle w:val="P68B1DB1-Normal5"/>
        <w:numPr>
          <w:ilvl w:val="0"/>
          <w:numId w:val="49"/>
        </w:numPr>
        <w:spacing w:before="120" w:after="0" w:line="240" w:lineRule="auto"/>
        <w:jc w:val="both"/>
        <w:rPr>
          <w:rFonts w:cs="Times New Roman"/>
          <w:noProof/>
        </w:rPr>
      </w:pPr>
      <w:r>
        <w:rPr>
          <w:noProof/>
          <w:szCs w:val="24"/>
        </w:rPr>
        <w:t>Infrastructura de sănătate</w:t>
      </w:r>
      <w:r>
        <w:rPr>
          <w:noProof/>
        </w:rPr>
        <w:t xml:space="preserve"> (ID: 16795)</w:t>
      </w:r>
    </w:p>
    <w:p w14:paraId="6C93EEE0" w14:textId="625C7F39" w:rsidR="00C45D59" w:rsidRDefault="009B0962">
      <w:pPr>
        <w:pStyle w:val="P68B1DB1-Normal5"/>
        <w:numPr>
          <w:ilvl w:val="0"/>
          <w:numId w:val="49"/>
        </w:numPr>
        <w:spacing w:before="120" w:after="0" w:line="240" w:lineRule="auto"/>
        <w:jc w:val="both"/>
        <w:rPr>
          <w:rFonts w:cs="Times New Roman"/>
          <w:noProof/>
        </w:rPr>
      </w:pPr>
      <w:r>
        <w:rPr>
          <w:noProof/>
        </w:rPr>
        <w:t>Centrul de radioterapie din cadrul Spitalului de boli toracice „Sotiria” din Atena (ID: 16757)</w:t>
      </w:r>
    </w:p>
    <w:p w14:paraId="023FEF74" w14:textId="77777777" w:rsidR="00C45D59" w:rsidRDefault="009B0962">
      <w:pPr>
        <w:pStyle w:val="P68B1DB1-Normal5"/>
        <w:numPr>
          <w:ilvl w:val="0"/>
          <w:numId w:val="49"/>
        </w:numPr>
        <w:spacing w:before="120" w:after="0" w:line="240" w:lineRule="auto"/>
        <w:jc w:val="both"/>
        <w:rPr>
          <w:rFonts w:cs="Times New Roman"/>
          <w:noProof/>
        </w:rPr>
      </w:pPr>
      <w:r>
        <w:rPr>
          <w:noProof/>
        </w:rPr>
        <w:t>Laboratoarele Clinice de Hematologie pentru Terapia Celulară &amp; Gene din cadrul Spitalului General din Salonic „Papanikolaou” (ID: 16793)</w:t>
      </w:r>
    </w:p>
    <w:p w14:paraId="69D1F427" w14:textId="77777777" w:rsidR="00C45D59" w:rsidRDefault="009B0962">
      <w:pPr>
        <w:pStyle w:val="P68B1DB1-Normal5"/>
        <w:numPr>
          <w:ilvl w:val="0"/>
          <w:numId w:val="49"/>
        </w:numPr>
        <w:spacing w:before="120" w:after="120" w:line="240" w:lineRule="auto"/>
        <w:jc w:val="both"/>
        <w:rPr>
          <w:rFonts w:cs="Times New Roman"/>
          <w:noProof/>
        </w:rPr>
      </w:pPr>
      <w:r>
        <w:rPr>
          <w:noProof/>
        </w:rPr>
        <w:t>Înființarea sistemelor de sănătate la domiciliu &amp; de spitalizare la domiciliu (ID: 16753)</w:t>
      </w:r>
    </w:p>
    <w:tbl>
      <w:tblPr>
        <w:tblW w:w="158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7"/>
        <w:gridCol w:w="2040"/>
        <w:gridCol w:w="1144"/>
        <w:gridCol w:w="1877"/>
        <w:gridCol w:w="1553"/>
        <w:gridCol w:w="1390"/>
        <w:gridCol w:w="1134"/>
        <w:gridCol w:w="708"/>
        <w:gridCol w:w="1008"/>
        <w:gridCol w:w="720"/>
        <w:gridCol w:w="3712"/>
      </w:tblGrid>
      <w:tr w:rsidR="00C45D59" w14:paraId="350A1A6E" w14:textId="77777777" w:rsidTr="008A4BFA">
        <w:trPr>
          <w:trHeight w:val="853"/>
          <w:tblHeader/>
          <w:jc w:val="center"/>
        </w:trPr>
        <w:tc>
          <w:tcPr>
            <w:tcW w:w="607" w:type="dxa"/>
            <w:vMerge w:val="restart"/>
            <w:shd w:val="clear" w:color="auto" w:fill="BDD7EE"/>
            <w:vAlign w:val="center"/>
            <w:hideMark/>
          </w:tcPr>
          <w:p w14:paraId="36907328" w14:textId="61EE104E" w:rsidR="00C45D59" w:rsidRDefault="009B0962">
            <w:pPr>
              <w:pStyle w:val="P68B1DB1-Normal10"/>
              <w:spacing w:after="0" w:line="240" w:lineRule="auto"/>
              <w:jc w:val="center"/>
              <w:rPr>
                <w:rFonts w:eastAsia="Times New Roman" w:cs="Times New Roman"/>
                <w:bCs/>
                <w:noProof/>
                <w:szCs w:val="18"/>
              </w:rPr>
            </w:pPr>
            <w:r>
              <w:rPr>
                <w:noProof/>
              </w:rPr>
              <w:t>N</w:t>
            </w:r>
            <w:r w:rsidR="008A4BFA">
              <w:rPr>
                <w:noProof/>
              </w:rPr>
              <w:t>r. crt</w:t>
            </w:r>
            <w:r>
              <w:rPr>
                <w:noProof/>
              </w:rPr>
              <w:t>.</w:t>
            </w:r>
          </w:p>
        </w:tc>
        <w:tc>
          <w:tcPr>
            <w:tcW w:w="2040" w:type="dxa"/>
            <w:vMerge w:val="restart"/>
            <w:shd w:val="clear" w:color="auto" w:fill="BDD7EE"/>
            <w:vAlign w:val="center"/>
            <w:hideMark/>
          </w:tcPr>
          <w:p w14:paraId="5E9EA118" w14:textId="77777777" w:rsidR="00C45D59" w:rsidRDefault="009B0962">
            <w:pPr>
              <w:pStyle w:val="P68B1DB1-Normal15"/>
              <w:spacing w:after="0" w:line="240" w:lineRule="auto"/>
              <w:jc w:val="center"/>
              <w:rPr>
                <w:rFonts w:eastAsia="Times New Roman"/>
                <w:bCs/>
                <w:noProof/>
              </w:rPr>
            </w:pPr>
            <w:r>
              <w:rPr>
                <w:noProof/>
              </w:rPr>
              <w:t>Măsură conexă (reformă sau investiții)</w:t>
            </w:r>
          </w:p>
        </w:tc>
        <w:tc>
          <w:tcPr>
            <w:tcW w:w="1144" w:type="dxa"/>
            <w:vMerge w:val="restart"/>
            <w:shd w:val="clear" w:color="auto" w:fill="BDD7EE"/>
            <w:vAlign w:val="center"/>
            <w:hideMark/>
          </w:tcPr>
          <w:p w14:paraId="0696EE37" w14:textId="77777777" w:rsidR="00C45D59" w:rsidRDefault="009B0962">
            <w:pPr>
              <w:pStyle w:val="P68B1DB1-Normal15"/>
              <w:spacing w:after="0" w:line="240" w:lineRule="auto"/>
              <w:jc w:val="center"/>
              <w:rPr>
                <w:rFonts w:eastAsia="Times New Roman"/>
                <w:bCs/>
                <w:noProof/>
              </w:rPr>
            </w:pPr>
            <w:r>
              <w:rPr>
                <w:noProof/>
              </w:rPr>
              <w:t>Etapă/Obiectiv</w:t>
            </w:r>
          </w:p>
        </w:tc>
        <w:tc>
          <w:tcPr>
            <w:tcW w:w="1877" w:type="dxa"/>
            <w:vMerge w:val="restart"/>
            <w:shd w:val="clear" w:color="auto" w:fill="BDD7EE"/>
            <w:vAlign w:val="center"/>
            <w:hideMark/>
          </w:tcPr>
          <w:p w14:paraId="673D54F2" w14:textId="41F27A39" w:rsidR="00C45D59" w:rsidRDefault="008A4BFA">
            <w:pPr>
              <w:pStyle w:val="P68B1DB1-Normal15"/>
              <w:spacing w:after="0" w:line="240" w:lineRule="auto"/>
              <w:jc w:val="center"/>
              <w:rPr>
                <w:rFonts w:eastAsia="Times New Roman"/>
                <w:bCs/>
                <w:noProof/>
              </w:rPr>
            </w:pPr>
            <w:r>
              <w:rPr>
                <w:noProof/>
              </w:rPr>
              <w:t>Denumire</w:t>
            </w:r>
          </w:p>
        </w:tc>
        <w:tc>
          <w:tcPr>
            <w:tcW w:w="1553" w:type="dxa"/>
            <w:vMerge w:val="restart"/>
            <w:shd w:val="clear" w:color="auto" w:fill="BDD7EE"/>
            <w:vAlign w:val="center"/>
            <w:hideMark/>
          </w:tcPr>
          <w:p w14:paraId="36F0C51F" w14:textId="77777777" w:rsidR="00C45D59" w:rsidRDefault="009B0962">
            <w:pPr>
              <w:pStyle w:val="P68B1DB1-Normal15"/>
              <w:spacing w:after="0" w:line="240" w:lineRule="auto"/>
              <w:jc w:val="center"/>
              <w:rPr>
                <w:rFonts w:eastAsia="Times New Roman"/>
                <w:bCs/>
                <w:noProof/>
              </w:rPr>
            </w:pPr>
            <w:r>
              <w:rPr>
                <w:noProof/>
              </w:rPr>
              <w:t>Indicatori calitativi (pentru obiectivele de etapă)</w:t>
            </w:r>
          </w:p>
        </w:tc>
        <w:tc>
          <w:tcPr>
            <w:tcW w:w="3232" w:type="dxa"/>
            <w:gridSpan w:val="3"/>
            <w:shd w:val="clear" w:color="auto" w:fill="BDD7EE"/>
            <w:vAlign w:val="center"/>
            <w:hideMark/>
          </w:tcPr>
          <w:p w14:paraId="4DC6FDBE" w14:textId="77777777" w:rsidR="00C45D59" w:rsidRDefault="009B0962">
            <w:pPr>
              <w:pStyle w:val="P68B1DB1-Normal15"/>
              <w:spacing w:after="0" w:line="240" w:lineRule="auto"/>
              <w:jc w:val="center"/>
              <w:rPr>
                <w:rFonts w:eastAsia="Times New Roman"/>
                <w:bCs/>
                <w:noProof/>
              </w:rPr>
            </w:pPr>
            <w:r>
              <w:rPr>
                <w:noProof/>
              </w:rPr>
              <w:t>Indicatori cantitativi (pentru ținte)</w:t>
            </w:r>
          </w:p>
        </w:tc>
        <w:tc>
          <w:tcPr>
            <w:tcW w:w="1728" w:type="dxa"/>
            <w:gridSpan w:val="2"/>
            <w:shd w:val="clear" w:color="auto" w:fill="BDD7EE"/>
            <w:vAlign w:val="center"/>
            <w:hideMark/>
          </w:tcPr>
          <w:p w14:paraId="660146CD" w14:textId="77777777" w:rsidR="00C45D59" w:rsidRDefault="009B0962">
            <w:pPr>
              <w:pStyle w:val="P68B1DB1-Normal15"/>
              <w:spacing w:after="0" w:line="240" w:lineRule="auto"/>
              <w:jc w:val="center"/>
              <w:rPr>
                <w:rFonts w:eastAsia="Times New Roman"/>
                <w:bCs/>
                <w:noProof/>
              </w:rPr>
            </w:pPr>
            <w:r>
              <w:rPr>
                <w:noProof/>
              </w:rPr>
              <w:t xml:space="preserve">Calendar orientativ pentru finalizare </w:t>
            </w:r>
          </w:p>
        </w:tc>
        <w:tc>
          <w:tcPr>
            <w:tcW w:w="3712" w:type="dxa"/>
            <w:vMerge w:val="restart"/>
            <w:shd w:val="clear" w:color="auto" w:fill="BDD7EE"/>
            <w:vAlign w:val="center"/>
            <w:hideMark/>
          </w:tcPr>
          <w:p w14:paraId="5A060C13" w14:textId="77777777" w:rsidR="00C45D59" w:rsidRDefault="009B0962">
            <w:pPr>
              <w:pStyle w:val="P68B1DB1-Normal15"/>
              <w:spacing w:after="0" w:line="240" w:lineRule="auto"/>
              <w:jc w:val="center"/>
              <w:rPr>
                <w:rFonts w:eastAsia="Times New Roman"/>
                <w:bCs/>
                <w:noProof/>
              </w:rPr>
            </w:pPr>
            <w:r>
              <w:rPr>
                <w:noProof/>
              </w:rPr>
              <w:t>Descrierea fiecărui jalon și a fiecărei ținte</w:t>
            </w:r>
          </w:p>
        </w:tc>
      </w:tr>
      <w:tr w:rsidR="00C45D59" w14:paraId="35B3DDF8" w14:textId="77777777" w:rsidTr="008A4BFA">
        <w:trPr>
          <w:trHeight w:val="432"/>
          <w:tblHeader/>
          <w:jc w:val="center"/>
        </w:trPr>
        <w:tc>
          <w:tcPr>
            <w:tcW w:w="607" w:type="dxa"/>
            <w:vMerge/>
            <w:vAlign w:val="center"/>
            <w:hideMark/>
          </w:tcPr>
          <w:p w14:paraId="5FA4CC85" w14:textId="77777777" w:rsidR="00C45D59" w:rsidRDefault="00C45D59">
            <w:pPr>
              <w:spacing w:after="0" w:line="240" w:lineRule="auto"/>
              <w:rPr>
                <w:rFonts w:ascii="Times New Roman" w:eastAsia="Times New Roman" w:hAnsi="Times New Roman" w:cs="Times New Roman"/>
                <w:b/>
                <w:bCs/>
                <w:noProof/>
                <w:sz w:val="18"/>
                <w:szCs w:val="18"/>
              </w:rPr>
            </w:pPr>
          </w:p>
        </w:tc>
        <w:tc>
          <w:tcPr>
            <w:tcW w:w="2040" w:type="dxa"/>
            <w:vMerge/>
            <w:vAlign w:val="center"/>
            <w:hideMark/>
          </w:tcPr>
          <w:p w14:paraId="5046ECFF" w14:textId="77777777" w:rsidR="00C45D59" w:rsidRDefault="00C45D59">
            <w:pPr>
              <w:spacing w:after="0" w:line="240" w:lineRule="auto"/>
              <w:rPr>
                <w:rFonts w:ascii="Times New Roman" w:eastAsia="Times New Roman" w:hAnsi="Times New Roman" w:cs="Times New Roman"/>
                <w:b/>
                <w:bCs/>
                <w:noProof/>
                <w:sz w:val="18"/>
                <w:szCs w:val="18"/>
              </w:rPr>
            </w:pPr>
          </w:p>
        </w:tc>
        <w:tc>
          <w:tcPr>
            <w:tcW w:w="1144" w:type="dxa"/>
            <w:vMerge/>
            <w:vAlign w:val="center"/>
            <w:hideMark/>
          </w:tcPr>
          <w:p w14:paraId="4BFED4F1" w14:textId="77777777" w:rsidR="00C45D59" w:rsidRDefault="00C45D59">
            <w:pPr>
              <w:spacing w:after="0" w:line="240" w:lineRule="auto"/>
              <w:rPr>
                <w:rFonts w:ascii="Times New Roman" w:eastAsia="Times New Roman" w:hAnsi="Times New Roman" w:cs="Times New Roman"/>
                <w:b/>
                <w:bCs/>
                <w:noProof/>
                <w:sz w:val="18"/>
                <w:szCs w:val="18"/>
              </w:rPr>
            </w:pPr>
          </w:p>
        </w:tc>
        <w:tc>
          <w:tcPr>
            <w:tcW w:w="1877" w:type="dxa"/>
            <w:vMerge/>
            <w:vAlign w:val="center"/>
            <w:hideMark/>
          </w:tcPr>
          <w:p w14:paraId="0A3C0762" w14:textId="77777777" w:rsidR="00C45D59" w:rsidRDefault="00C45D59">
            <w:pPr>
              <w:spacing w:after="0" w:line="240" w:lineRule="auto"/>
              <w:rPr>
                <w:rFonts w:ascii="Times New Roman" w:eastAsia="Times New Roman" w:hAnsi="Times New Roman" w:cs="Times New Roman"/>
                <w:b/>
                <w:bCs/>
                <w:noProof/>
                <w:sz w:val="18"/>
                <w:szCs w:val="18"/>
              </w:rPr>
            </w:pPr>
          </w:p>
        </w:tc>
        <w:tc>
          <w:tcPr>
            <w:tcW w:w="1553" w:type="dxa"/>
            <w:vMerge/>
            <w:vAlign w:val="center"/>
            <w:hideMark/>
          </w:tcPr>
          <w:p w14:paraId="3BF3E84F" w14:textId="77777777" w:rsidR="00C45D59" w:rsidRDefault="00C45D59">
            <w:pPr>
              <w:spacing w:after="0" w:line="240" w:lineRule="auto"/>
              <w:rPr>
                <w:rFonts w:ascii="Times New Roman" w:eastAsia="Times New Roman" w:hAnsi="Times New Roman" w:cs="Times New Roman"/>
                <w:b/>
                <w:bCs/>
                <w:noProof/>
                <w:sz w:val="18"/>
                <w:szCs w:val="18"/>
              </w:rPr>
            </w:pPr>
          </w:p>
        </w:tc>
        <w:tc>
          <w:tcPr>
            <w:tcW w:w="1390" w:type="dxa"/>
            <w:shd w:val="clear" w:color="auto" w:fill="BDD7EE"/>
            <w:vAlign w:val="center"/>
            <w:hideMark/>
          </w:tcPr>
          <w:p w14:paraId="1723F0E6" w14:textId="77777777" w:rsidR="00C45D59" w:rsidRDefault="009B0962">
            <w:pPr>
              <w:pStyle w:val="P68B1DB1-Normal15"/>
              <w:spacing w:after="0" w:line="240" w:lineRule="auto"/>
              <w:jc w:val="center"/>
              <w:rPr>
                <w:rFonts w:eastAsia="Times New Roman"/>
                <w:bCs/>
                <w:noProof/>
              </w:rPr>
            </w:pPr>
            <w:r>
              <w:rPr>
                <w:noProof/>
              </w:rPr>
              <w:t>Unitatea de măsură</w:t>
            </w:r>
          </w:p>
        </w:tc>
        <w:tc>
          <w:tcPr>
            <w:tcW w:w="1134" w:type="dxa"/>
            <w:shd w:val="clear" w:color="auto" w:fill="BDD7EE"/>
            <w:vAlign w:val="center"/>
            <w:hideMark/>
          </w:tcPr>
          <w:p w14:paraId="58DD64FF" w14:textId="77777777" w:rsidR="00C45D59" w:rsidRDefault="009B0962">
            <w:pPr>
              <w:pStyle w:val="P68B1DB1-Normal15"/>
              <w:spacing w:after="0" w:line="240" w:lineRule="auto"/>
              <w:jc w:val="center"/>
              <w:rPr>
                <w:rFonts w:eastAsia="Times New Roman"/>
                <w:bCs/>
                <w:noProof/>
              </w:rPr>
            </w:pPr>
            <w:r>
              <w:rPr>
                <w:noProof/>
              </w:rPr>
              <w:t xml:space="preserve">Situația de referință </w:t>
            </w:r>
          </w:p>
        </w:tc>
        <w:tc>
          <w:tcPr>
            <w:tcW w:w="708" w:type="dxa"/>
            <w:shd w:val="clear" w:color="auto" w:fill="BDD7EE"/>
            <w:vAlign w:val="center"/>
            <w:hideMark/>
          </w:tcPr>
          <w:p w14:paraId="40786261" w14:textId="77777777" w:rsidR="00C45D59" w:rsidRDefault="009B0962">
            <w:pPr>
              <w:pStyle w:val="P68B1DB1-Normal15"/>
              <w:spacing w:after="0" w:line="240" w:lineRule="auto"/>
              <w:jc w:val="center"/>
              <w:rPr>
                <w:rFonts w:eastAsia="Times New Roman"/>
                <w:bCs/>
                <w:noProof/>
              </w:rPr>
            </w:pPr>
            <w:r>
              <w:rPr>
                <w:noProof/>
              </w:rPr>
              <w:t xml:space="preserve">Obiectiv </w:t>
            </w:r>
          </w:p>
        </w:tc>
        <w:tc>
          <w:tcPr>
            <w:tcW w:w="1008" w:type="dxa"/>
            <w:shd w:val="clear" w:color="auto" w:fill="BDD7EE"/>
            <w:vAlign w:val="center"/>
            <w:hideMark/>
          </w:tcPr>
          <w:p w14:paraId="6562F19C" w14:textId="77777777" w:rsidR="00C45D59" w:rsidRDefault="009B0962">
            <w:pPr>
              <w:pStyle w:val="P68B1DB1-Normal15"/>
              <w:spacing w:after="0" w:line="240" w:lineRule="auto"/>
              <w:jc w:val="center"/>
              <w:rPr>
                <w:rFonts w:eastAsia="Times New Roman"/>
                <w:bCs/>
                <w:noProof/>
              </w:rPr>
            </w:pPr>
            <w:r>
              <w:rPr>
                <w:noProof/>
              </w:rPr>
              <w:t>Trimestru</w:t>
            </w:r>
          </w:p>
        </w:tc>
        <w:tc>
          <w:tcPr>
            <w:tcW w:w="720" w:type="dxa"/>
            <w:shd w:val="clear" w:color="auto" w:fill="BDD7EE"/>
            <w:vAlign w:val="center"/>
            <w:hideMark/>
          </w:tcPr>
          <w:p w14:paraId="1FDBEDBA" w14:textId="77777777" w:rsidR="00C45D59" w:rsidRDefault="009B0962">
            <w:pPr>
              <w:pStyle w:val="P68B1DB1-Normal15"/>
              <w:spacing w:after="0" w:line="240" w:lineRule="auto"/>
              <w:jc w:val="center"/>
              <w:rPr>
                <w:rFonts w:eastAsia="Times New Roman"/>
                <w:bCs/>
                <w:noProof/>
              </w:rPr>
            </w:pPr>
            <w:r>
              <w:rPr>
                <w:noProof/>
              </w:rPr>
              <w:t>Anul</w:t>
            </w:r>
          </w:p>
        </w:tc>
        <w:tc>
          <w:tcPr>
            <w:tcW w:w="3712" w:type="dxa"/>
            <w:vMerge/>
            <w:vAlign w:val="center"/>
            <w:hideMark/>
          </w:tcPr>
          <w:p w14:paraId="533BBC4E" w14:textId="77777777" w:rsidR="00C45D59" w:rsidRDefault="00C45D59">
            <w:pPr>
              <w:spacing w:after="0" w:line="240" w:lineRule="auto"/>
              <w:rPr>
                <w:rFonts w:ascii="Times New Roman" w:eastAsia="Times New Roman" w:hAnsi="Times New Roman" w:cs="Times New Roman"/>
                <w:b/>
                <w:bCs/>
                <w:noProof/>
                <w:sz w:val="18"/>
                <w:szCs w:val="18"/>
              </w:rPr>
            </w:pPr>
          </w:p>
        </w:tc>
      </w:tr>
      <w:tr w:rsidR="00C45D59" w14:paraId="7DCA5D1E" w14:textId="77777777" w:rsidTr="008A4BFA">
        <w:trPr>
          <w:trHeight w:val="313"/>
          <w:jc w:val="center"/>
        </w:trPr>
        <w:tc>
          <w:tcPr>
            <w:tcW w:w="607" w:type="dxa"/>
            <w:shd w:val="clear" w:color="auto" w:fill="C6EFCE"/>
            <w:noWrap/>
          </w:tcPr>
          <w:p w14:paraId="50574092" w14:textId="77777777" w:rsidR="00C45D59" w:rsidRDefault="009B0962">
            <w:pPr>
              <w:pStyle w:val="P68B1DB1-Normal12"/>
              <w:spacing w:after="0" w:line="240" w:lineRule="auto"/>
              <w:rPr>
                <w:rFonts w:eastAsia="Times New Roman"/>
                <w:noProof/>
              </w:rPr>
            </w:pPr>
            <w:r>
              <w:rPr>
                <w:noProof/>
              </w:rPr>
              <w:t>167</w:t>
            </w:r>
          </w:p>
          <w:p w14:paraId="3E54F3D6"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2040" w:type="dxa"/>
            <w:shd w:val="clear" w:color="auto" w:fill="C6EFCE"/>
            <w:noWrap/>
          </w:tcPr>
          <w:p w14:paraId="5C1B2791" w14:textId="77777777" w:rsidR="00C45D59" w:rsidRDefault="009B0962">
            <w:pPr>
              <w:pStyle w:val="P68B1DB1-Normal12"/>
              <w:spacing w:after="0" w:line="240" w:lineRule="auto"/>
              <w:rPr>
                <w:rFonts w:eastAsia="Times New Roman"/>
                <w:noProof/>
              </w:rPr>
            </w:pPr>
            <w:r>
              <w:rPr>
                <w:noProof/>
              </w:rPr>
              <w:t>10-3.3. Îmbunătățirea rezilienței, a accesibilității și a sustenabilității asistenței medicale – 16752_Transformarea digitală a sănătății (DigHealth)</w:t>
            </w:r>
          </w:p>
        </w:tc>
        <w:tc>
          <w:tcPr>
            <w:tcW w:w="1144" w:type="dxa"/>
            <w:shd w:val="clear" w:color="auto" w:fill="C6EFCE"/>
            <w:noWrap/>
          </w:tcPr>
          <w:p w14:paraId="18C9C2D0" w14:textId="77777777" w:rsidR="00C45D59" w:rsidRDefault="009B0962">
            <w:pPr>
              <w:pStyle w:val="P68B1DB1-Normal12"/>
              <w:spacing w:after="0" w:line="240" w:lineRule="auto"/>
              <w:rPr>
                <w:rFonts w:eastAsia="Times New Roman"/>
                <w:noProof/>
              </w:rPr>
            </w:pPr>
            <w:r>
              <w:rPr>
                <w:noProof/>
              </w:rPr>
              <w:t>Etapă</w:t>
            </w:r>
          </w:p>
        </w:tc>
        <w:tc>
          <w:tcPr>
            <w:tcW w:w="1877" w:type="dxa"/>
            <w:shd w:val="clear" w:color="auto" w:fill="C6EFCE"/>
            <w:noWrap/>
          </w:tcPr>
          <w:p w14:paraId="0F4376F0" w14:textId="77777777" w:rsidR="00C45D59" w:rsidRDefault="009B0962">
            <w:pPr>
              <w:pStyle w:val="P68B1DB1-Normal12"/>
              <w:spacing w:after="0" w:line="240" w:lineRule="auto"/>
              <w:rPr>
                <w:rFonts w:eastAsia="Times New Roman"/>
                <w:noProof/>
              </w:rPr>
            </w:pPr>
            <w:r>
              <w:rPr>
                <w:noProof/>
              </w:rPr>
              <w:t>Transformarea digitală a asistenței medicale – Registrul național digital de sănătate (subproiectul 1)</w:t>
            </w:r>
          </w:p>
        </w:tc>
        <w:tc>
          <w:tcPr>
            <w:tcW w:w="1553" w:type="dxa"/>
            <w:shd w:val="clear" w:color="auto" w:fill="C6EFCE"/>
            <w:noWrap/>
          </w:tcPr>
          <w:p w14:paraId="2A3692B5" w14:textId="77777777" w:rsidR="00C45D59" w:rsidRDefault="009B0962">
            <w:pPr>
              <w:pStyle w:val="P68B1DB1-Normal12"/>
              <w:spacing w:after="0" w:line="240" w:lineRule="auto"/>
              <w:rPr>
                <w:rFonts w:eastAsia="Times New Roman"/>
                <w:noProof/>
              </w:rPr>
            </w:pPr>
            <w:r>
              <w:rPr>
                <w:noProof/>
              </w:rPr>
              <w:t>Raport care atestă finalizarea tuturor elementelor majore ale subproiectului 1 (dosar medical digital – a se vedea descrierea)</w:t>
            </w:r>
          </w:p>
        </w:tc>
        <w:tc>
          <w:tcPr>
            <w:tcW w:w="1390" w:type="dxa"/>
            <w:shd w:val="clear" w:color="auto" w:fill="C6EFCE"/>
            <w:noWrap/>
          </w:tcPr>
          <w:p w14:paraId="0AA6E21B"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134" w:type="dxa"/>
            <w:shd w:val="clear" w:color="auto" w:fill="C6EFCE"/>
            <w:noWrap/>
          </w:tcPr>
          <w:p w14:paraId="3F3CC9B3"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708" w:type="dxa"/>
            <w:shd w:val="clear" w:color="auto" w:fill="C6EFCE"/>
            <w:noWrap/>
          </w:tcPr>
          <w:p w14:paraId="1A12B218"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008" w:type="dxa"/>
            <w:shd w:val="clear" w:color="auto" w:fill="C6EFCE"/>
            <w:noWrap/>
          </w:tcPr>
          <w:p w14:paraId="5A4702EE" w14:textId="77777777" w:rsidR="00C45D59" w:rsidRDefault="009B0962">
            <w:pPr>
              <w:pStyle w:val="P68B1DB1-Normal12"/>
              <w:spacing w:after="0" w:line="240" w:lineRule="auto"/>
              <w:rPr>
                <w:rFonts w:eastAsia="Times New Roman"/>
                <w:noProof/>
              </w:rPr>
            </w:pPr>
            <w:r>
              <w:rPr>
                <w:noProof/>
              </w:rPr>
              <w:t>Î2</w:t>
            </w:r>
          </w:p>
        </w:tc>
        <w:tc>
          <w:tcPr>
            <w:tcW w:w="720" w:type="dxa"/>
            <w:shd w:val="clear" w:color="auto" w:fill="C6EFCE"/>
            <w:noWrap/>
          </w:tcPr>
          <w:p w14:paraId="714857D9" w14:textId="77777777" w:rsidR="00C45D59" w:rsidRDefault="009B0962">
            <w:pPr>
              <w:pStyle w:val="P68B1DB1-Normal12"/>
              <w:spacing w:after="0" w:line="240" w:lineRule="auto"/>
              <w:rPr>
                <w:rFonts w:eastAsia="Times New Roman"/>
                <w:noProof/>
              </w:rPr>
            </w:pPr>
            <w:r>
              <w:rPr>
                <w:noProof/>
              </w:rPr>
              <w:t>2024</w:t>
            </w:r>
          </w:p>
        </w:tc>
        <w:tc>
          <w:tcPr>
            <w:tcW w:w="3712" w:type="dxa"/>
            <w:shd w:val="clear" w:color="auto" w:fill="C6EFCE"/>
            <w:noWrap/>
          </w:tcPr>
          <w:p w14:paraId="7F5F158A" w14:textId="77777777" w:rsidR="00C45D59" w:rsidRDefault="009B0962">
            <w:pPr>
              <w:pStyle w:val="P68B1DB1-Normal12"/>
              <w:spacing w:after="0" w:line="240" w:lineRule="auto"/>
              <w:rPr>
                <w:rFonts w:eastAsia="Times New Roman"/>
                <w:noProof/>
              </w:rPr>
            </w:pPr>
            <w:r>
              <w:rPr>
                <w:noProof/>
              </w:rPr>
              <w:t>Finalizarea și punerea în funcțiune a cel puțin tuturor elementelor următoare ale subproiectului 1 care sprijină transformarea digitală a sistemului de sănătate, făcând operațional dosarul național digital de sănătate: 1) documente clinice, 2) servicii terminologice, 3) cadrul național de interoperabilitate în domeniul e-sănătății, 4) colectarea tuturor rezultatelor de laborator în dosarul e-sănătate, 5) colectarea scrisorilor de descărcare de gestiune.</w:t>
            </w:r>
          </w:p>
        </w:tc>
      </w:tr>
      <w:tr w:rsidR="00C45D59" w14:paraId="7D74AA00" w14:textId="77777777" w:rsidTr="008A4BFA">
        <w:trPr>
          <w:trHeight w:val="313"/>
          <w:jc w:val="center"/>
        </w:trPr>
        <w:tc>
          <w:tcPr>
            <w:tcW w:w="607" w:type="dxa"/>
            <w:shd w:val="clear" w:color="auto" w:fill="C6EFCE"/>
            <w:noWrap/>
          </w:tcPr>
          <w:p w14:paraId="57635031" w14:textId="77777777" w:rsidR="00C45D59" w:rsidRDefault="009B0962">
            <w:pPr>
              <w:pStyle w:val="P68B1DB1-Normal12"/>
              <w:spacing w:after="0" w:line="240" w:lineRule="auto"/>
              <w:rPr>
                <w:rFonts w:eastAsia="Times New Roman"/>
                <w:noProof/>
              </w:rPr>
            </w:pPr>
            <w:r>
              <w:rPr>
                <w:noProof/>
              </w:rPr>
              <w:t>168</w:t>
            </w:r>
          </w:p>
        </w:tc>
        <w:tc>
          <w:tcPr>
            <w:tcW w:w="2040" w:type="dxa"/>
            <w:shd w:val="clear" w:color="auto" w:fill="C6EFCE"/>
            <w:noWrap/>
          </w:tcPr>
          <w:p w14:paraId="1808513A" w14:textId="77777777" w:rsidR="00C45D59" w:rsidRDefault="009B0962">
            <w:pPr>
              <w:pStyle w:val="P68B1DB1-Normal12"/>
              <w:spacing w:after="0" w:line="240" w:lineRule="auto"/>
              <w:rPr>
                <w:rFonts w:eastAsia="Times New Roman"/>
                <w:noProof/>
              </w:rPr>
            </w:pPr>
            <w:r>
              <w:rPr>
                <w:noProof/>
              </w:rPr>
              <w:t>10-3.3. Îmbunătățirea rezilienței, a accesibilității și a sustenabilității asistenței medicale – 16752_Transformarea digitală a sănătății (DigHealth)</w:t>
            </w:r>
          </w:p>
        </w:tc>
        <w:tc>
          <w:tcPr>
            <w:tcW w:w="1144" w:type="dxa"/>
            <w:shd w:val="clear" w:color="auto" w:fill="C6EFCE"/>
            <w:noWrap/>
          </w:tcPr>
          <w:p w14:paraId="1220E75A" w14:textId="77777777" w:rsidR="00C45D59" w:rsidRDefault="009B0962">
            <w:pPr>
              <w:pStyle w:val="P68B1DB1-Normal12"/>
              <w:spacing w:after="0" w:line="240" w:lineRule="auto"/>
              <w:rPr>
                <w:rFonts w:eastAsia="Times New Roman"/>
                <w:noProof/>
              </w:rPr>
            </w:pPr>
            <w:r>
              <w:rPr>
                <w:noProof/>
              </w:rPr>
              <w:t>Etapă</w:t>
            </w:r>
          </w:p>
        </w:tc>
        <w:tc>
          <w:tcPr>
            <w:tcW w:w="1877" w:type="dxa"/>
            <w:shd w:val="clear" w:color="auto" w:fill="C6EFCE"/>
            <w:noWrap/>
          </w:tcPr>
          <w:p w14:paraId="135833E7" w14:textId="77777777" w:rsidR="00C45D59" w:rsidRDefault="009B0962">
            <w:pPr>
              <w:pStyle w:val="P68B1DB1-Normal12"/>
              <w:spacing w:after="0" w:line="240" w:lineRule="auto"/>
              <w:rPr>
                <w:noProof/>
              </w:rPr>
            </w:pPr>
            <w:r>
              <w:rPr>
                <w:noProof/>
              </w:rPr>
              <w:t>Transformarea digitală – Extinderea sistemului de creare și gestionare a programărilor în cadrul Programului național de vaccinare împotriva COVID-19, modernizarea infrastructurii sistemului de prescripții electronice</w:t>
            </w:r>
          </w:p>
        </w:tc>
        <w:tc>
          <w:tcPr>
            <w:tcW w:w="1553" w:type="dxa"/>
            <w:shd w:val="clear" w:color="auto" w:fill="C6EFCE"/>
            <w:noWrap/>
          </w:tcPr>
          <w:p w14:paraId="39CBCDFB" w14:textId="77777777" w:rsidR="00C45D59" w:rsidRDefault="009B0962">
            <w:pPr>
              <w:pStyle w:val="P68B1DB1-Normal27"/>
              <w:spacing w:after="0" w:line="240" w:lineRule="auto"/>
              <w:rPr>
                <w:noProof/>
              </w:rPr>
            </w:pPr>
            <w:r>
              <w:rPr>
                <w:noProof/>
              </w:rPr>
              <w:t>1. Extinderea sistemului de creare și gestionare a programărilor în cadrul Programului național de vaccinare împotriva COVID-19</w:t>
            </w:r>
          </w:p>
          <w:p w14:paraId="5AA9DE57" w14:textId="77777777" w:rsidR="00C45D59" w:rsidRDefault="009B0962">
            <w:pPr>
              <w:pStyle w:val="P68B1DB1-Normal27"/>
              <w:spacing w:after="0" w:line="240" w:lineRule="auto"/>
              <w:rPr>
                <w:rFonts w:eastAsia="Times New Roman"/>
                <w:noProof/>
              </w:rPr>
            </w:pPr>
            <w:r>
              <w:rPr>
                <w:noProof/>
              </w:rPr>
              <w:t xml:space="preserve">2. Modernizarea infrastructurii sistemului de prescripții electronice </w:t>
            </w:r>
          </w:p>
        </w:tc>
        <w:tc>
          <w:tcPr>
            <w:tcW w:w="1390" w:type="dxa"/>
            <w:shd w:val="clear" w:color="auto" w:fill="C6EFCE"/>
            <w:noWrap/>
          </w:tcPr>
          <w:p w14:paraId="41C3865F"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134" w:type="dxa"/>
            <w:shd w:val="clear" w:color="auto" w:fill="C6EFCE"/>
            <w:noWrap/>
          </w:tcPr>
          <w:p w14:paraId="0506D164"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708" w:type="dxa"/>
            <w:shd w:val="clear" w:color="auto" w:fill="C6EFCE"/>
            <w:noWrap/>
          </w:tcPr>
          <w:p w14:paraId="719BABDD"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008" w:type="dxa"/>
            <w:shd w:val="clear" w:color="auto" w:fill="C6EFCE"/>
            <w:noWrap/>
          </w:tcPr>
          <w:p w14:paraId="7C1D2283" w14:textId="77777777" w:rsidR="00C45D59" w:rsidRDefault="009B0962">
            <w:pPr>
              <w:pStyle w:val="P68B1DB1-Normal12"/>
              <w:spacing w:after="0" w:line="240" w:lineRule="auto"/>
              <w:rPr>
                <w:rFonts w:eastAsia="Times New Roman"/>
                <w:noProof/>
              </w:rPr>
            </w:pPr>
            <w:r>
              <w:rPr>
                <w:noProof/>
              </w:rPr>
              <w:t>Î2</w:t>
            </w:r>
          </w:p>
        </w:tc>
        <w:tc>
          <w:tcPr>
            <w:tcW w:w="720" w:type="dxa"/>
            <w:shd w:val="clear" w:color="auto" w:fill="C6EFCE"/>
            <w:noWrap/>
          </w:tcPr>
          <w:p w14:paraId="04C1E4B8" w14:textId="77777777" w:rsidR="00C45D59" w:rsidRDefault="009B0962">
            <w:pPr>
              <w:pStyle w:val="P68B1DB1-Normal12"/>
              <w:spacing w:after="0" w:line="240" w:lineRule="auto"/>
              <w:rPr>
                <w:rFonts w:eastAsia="Times New Roman"/>
                <w:noProof/>
              </w:rPr>
            </w:pPr>
            <w:r>
              <w:rPr>
                <w:noProof/>
              </w:rPr>
              <w:t>2025</w:t>
            </w:r>
          </w:p>
        </w:tc>
        <w:tc>
          <w:tcPr>
            <w:tcW w:w="3712" w:type="dxa"/>
            <w:shd w:val="clear" w:color="auto" w:fill="C6EFCE"/>
            <w:noWrap/>
          </w:tcPr>
          <w:p w14:paraId="1D701454" w14:textId="77777777" w:rsidR="00C45D59" w:rsidRDefault="009B0962">
            <w:pPr>
              <w:pStyle w:val="P68B1DB1-Normal27"/>
              <w:spacing w:after="0" w:line="240" w:lineRule="auto"/>
              <w:rPr>
                <w:noProof/>
              </w:rPr>
            </w:pPr>
            <w:r>
              <w:rPr>
                <w:noProof/>
              </w:rPr>
              <w:t>1. Extinderea sistemului de creare și gestionare a programărilor în cadrul Programului național de vaccinare împotriva COVID-19</w:t>
            </w:r>
          </w:p>
          <w:p w14:paraId="6FC897CE" w14:textId="77777777" w:rsidR="00C45D59" w:rsidRDefault="009B0962">
            <w:pPr>
              <w:pStyle w:val="P68B1DB1-Normal27"/>
              <w:spacing w:after="0" w:line="240" w:lineRule="auto"/>
              <w:rPr>
                <w:noProof/>
              </w:rPr>
            </w:pPr>
            <w:r>
              <w:rPr>
                <w:noProof/>
              </w:rPr>
              <w:t xml:space="preserve">2. Modernizarea infrastructurii sistemului de prescripții electronice </w:t>
            </w:r>
          </w:p>
        </w:tc>
      </w:tr>
      <w:tr w:rsidR="00C45D59" w14:paraId="05881745" w14:textId="77777777" w:rsidTr="008A4BFA">
        <w:trPr>
          <w:trHeight w:val="313"/>
          <w:jc w:val="center"/>
        </w:trPr>
        <w:tc>
          <w:tcPr>
            <w:tcW w:w="607" w:type="dxa"/>
            <w:shd w:val="clear" w:color="auto" w:fill="C6EFCE"/>
            <w:noWrap/>
          </w:tcPr>
          <w:p w14:paraId="7FAABF0D" w14:textId="77777777" w:rsidR="00C45D59" w:rsidRDefault="009B0962">
            <w:pPr>
              <w:pStyle w:val="P68B1DB1-Normal12"/>
              <w:spacing w:after="0" w:line="240" w:lineRule="auto"/>
              <w:rPr>
                <w:rFonts w:eastAsia="Times New Roman"/>
                <w:noProof/>
              </w:rPr>
            </w:pPr>
            <w:r>
              <w:rPr>
                <w:noProof/>
              </w:rPr>
              <w:t>169</w:t>
            </w:r>
          </w:p>
        </w:tc>
        <w:tc>
          <w:tcPr>
            <w:tcW w:w="2040" w:type="dxa"/>
            <w:shd w:val="clear" w:color="auto" w:fill="C6EFCE"/>
            <w:noWrap/>
          </w:tcPr>
          <w:p w14:paraId="54705C11" w14:textId="77777777" w:rsidR="00C45D59" w:rsidRDefault="009B0962">
            <w:pPr>
              <w:pStyle w:val="P68B1DB1-Normal12"/>
              <w:spacing w:after="0" w:line="240" w:lineRule="auto"/>
              <w:rPr>
                <w:rFonts w:eastAsia="Times New Roman"/>
                <w:noProof/>
              </w:rPr>
            </w:pPr>
            <w:r>
              <w:rPr>
                <w:noProof/>
              </w:rPr>
              <w:t>10-3.3. Îmbunătățirea rezilienței, a accesibilității și a sustenabilității asistenței medicale – 16753_Înființarea sistemelor de asistență medicală la domiciliu &amp; de spitale la domiciliu</w:t>
            </w:r>
          </w:p>
        </w:tc>
        <w:tc>
          <w:tcPr>
            <w:tcW w:w="1144" w:type="dxa"/>
            <w:shd w:val="clear" w:color="auto" w:fill="C6EFCE"/>
            <w:noWrap/>
          </w:tcPr>
          <w:p w14:paraId="7588EC3D" w14:textId="77777777" w:rsidR="00C45D59" w:rsidRDefault="009B0962">
            <w:pPr>
              <w:pStyle w:val="P68B1DB1-Normal12"/>
              <w:spacing w:after="0" w:line="240" w:lineRule="auto"/>
              <w:rPr>
                <w:rFonts w:eastAsia="Times New Roman"/>
                <w:noProof/>
              </w:rPr>
            </w:pPr>
            <w:r>
              <w:rPr>
                <w:noProof/>
              </w:rPr>
              <w:t>Etapă</w:t>
            </w:r>
          </w:p>
        </w:tc>
        <w:tc>
          <w:tcPr>
            <w:tcW w:w="1877" w:type="dxa"/>
            <w:shd w:val="clear" w:color="auto" w:fill="C6EFCE"/>
            <w:noWrap/>
          </w:tcPr>
          <w:p w14:paraId="20DBC7DD" w14:textId="289B025B" w:rsidR="00C45D59" w:rsidRDefault="009B0962">
            <w:pPr>
              <w:pStyle w:val="P68B1DB1-Normal12"/>
              <w:spacing w:after="0" w:line="240" w:lineRule="auto"/>
              <w:rPr>
                <w:noProof/>
              </w:rPr>
            </w:pPr>
            <w:r>
              <w:rPr>
                <w:noProof/>
              </w:rPr>
              <w:t>Centre de referință pentru îngrijirea la domiciliu</w:t>
            </w:r>
          </w:p>
        </w:tc>
        <w:tc>
          <w:tcPr>
            <w:tcW w:w="1553" w:type="dxa"/>
            <w:shd w:val="clear" w:color="auto" w:fill="C6EFCE"/>
            <w:noWrap/>
          </w:tcPr>
          <w:p w14:paraId="2A8F2BC0" w14:textId="2A256F57" w:rsidR="00C45D59" w:rsidRDefault="009B0962">
            <w:pPr>
              <w:pStyle w:val="P68B1DB1-Normal12"/>
              <w:spacing w:after="0" w:line="240" w:lineRule="auto"/>
              <w:rPr>
                <w:noProof/>
              </w:rPr>
            </w:pPr>
            <w:r>
              <w:rPr>
                <w:noProof/>
              </w:rPr>
              <w:t>Opt centre de referință pentru îngrijirea la domiciliu cărora li s-a acordat dreptul de participare</w:t>
            </w:r>
          </w:p>
        </w:tc>
        <w:tc>
          <w:tcPr>
            <w:tcW w:w="1390" w:type="dxa"/>
            <w:shd w:val="clear" w:color="auto" w:fill="C6EFCE"/>
            <w:noWrap/>
          </w:tcPr>
          <w:p w14:paraId="518E1CA5"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134" w:type="dxa"/>
            <w:shd w:val="clear" w:color="auto" w:fill="C6EFCE"/>
            <w:noWrap/>
          </w:tcPr>
          <w:p w14:paraId="53EDD31C"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708" w:type="dxa"/>
            <w:shd w:val="clear" w:color="auto" w:fill="C6EFCE"/>
            <w:noWrap/>
          </w:tcPr>
          <w:p w14:paraId="65C8CBF6"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008" w:type="dxa"/>
            <w:shd w:val="clear" w:color="auto" w:fill="C6EFCE"/>
            <w:noWrap/>
          </w:tcPr>
          <w:p w14:paraId="634580B2" w14:textId="77777777" w:rsidR="00C45D59" w:rsidRDefault="009B0962">
            <w:pPr>
              <w:pStyle w:val="P68B1DB1-Normal12"/>
              <w:spacing w:after="0" w:line="240" w:lineRule="auto"/>
              <w:rPr>
                <w:rFonts w:eastAsia="Times New Roman"/>
                <w:noProof/>
              </w:rPr>
            </w:pPr>
            <w:r>
              <w:rPr>
                <w:noProof/>
              </w:rPr>
              <w:t>Î2</w:t>
            </w:r>
          </w:p>
        </w:tc>
        <w:tc>
          <w:tcPr>
            <w:tcW w:w="720" w:type="dxa"/>
            <w:shd w:val="clear" w:color="auto" w:fill="C6EFCE"/>
            <w:noWrap/>
          </w:tcPr>
          <w:p w14:paraId="7C670ED1" w14:textId="77777777" w:rsidR="00C45D59" w:rsidRDefault="009B0962">
            <w:pPr>
              <w:pStyle w:val="P68B1DB1-Normal12"/>
              <w:spacing w:after="0" w:line="240" w:lineRule="auto"/>
              <w:rPr>
                <w:rFonts w:eastAsia="Times New Roman"/>
                <w:noProof/>
              </w:rPr>
            </w:pPr>
            <w:r>
              <w:rPr>
                <w:noProof/>
              </w:rPr>
              <w:t>2025</w:t>
            </w:r>
          </w:p>
        </w:tc>
        <w:tc>
          <w:tcPr>
            <w:tcW w:w="3712" w:type="dxa"/>
            <w:shd w:val="clear" w:color="auto" w:fill="C6EFCE"/>
            <w:noWrap/>
          </w:tcPr>
          <w:p w14:paraId="18B0662F" w14:textId="432EA911" w:rsidR="00C45D59" w:rsidRDefault="009B0962">
            <w:pPr>
              <w:pStyle w:val="P68B1DB1-Normal12"/>
              <w:spacing w:after="0" w:line="240" w:lineRule="auto"/>
              <w:rPr>
                <w:noProof/>
              </w:rPr>
            </w:pPr>
            <w:r>
              <w:rPr>
                <w:noProof/>
              </w:rPr>
              <w:t xml:space="preserve">Opt centre de referință pentru îngrijirea la domiciliu au primit certificate de aprobare din partea Autorității Regionale de Sănătate prin care se acordă participarea la sistemul de îngrijire la domiciliu și dispun de personal (2 în Atena, 1 în Salonic, 1 în Alexandroupolis, 1 în Patra, 1 în Ioannina, 1 în Iraklion și 1 în Larisa). </w:t>
            </w:r>
          </w:p>
          <w:p w14:paraId="424CCF19" w14:textId="77777777" w:rsidR="00C45D59" w:rsidRDefault="00C45D59">
            <w:pPr>
              <w:spacing w:after="0" w:line="240" w:lineRule="auto"/>
              <w:rPr>
                <w:rFonts w:ascii="Times New Roman" w:hAnsi="Times New Roman" w:cs="Times New Roman"/>
                <w:noProof/>
                <w:color w:val="006100"/>
                <w:sz w:val="18"/>
                <w:szCs w:val="18"/>
              </w:rPr>
            </w:pPr>
          </w:p>
          <w:p w14:paraId="17B1CA80" w14:textId="77777777" w:rsidR="00C45D59" w:rsidRDefault="009B0962">
            <w:pPr>
              <w:pStyle w:val="P68B1DB1-Normal12"/>
              <w:spacing w:after="0" w:line="240" w:lineRule="auto"/>
              <w:rPr>
                <w:noProof/>
              </w:rPr>
            </w:pPr>
            <w:r>
              <w:rPr>
                <w:noProof/>
              </w:rPr>
              <w:t>Furnizarea de aplicații și echipamente de telemedicină, inclusiv formare.</w:t>
            </w:r>
          </w:p>
          <w:p w14:paraId="1AB250DE" w14:textId="77777777" w:rsidR="00C45D59" w:rsidRDefault="00C45D59">
            <w:pPr>
              <w:spacing w:after="0" w:line="240" w:lineRule="auto"/>
              <w:rPr>
                <w:rFonts w:ascii="Times New Roman" w:hAnsi="Times New Roman" w:cs="Times New Roman"/>
                <w:noProof/>
                <w:color w:val="006100"/>
                <w:sz w:val="18"/>
                <w:szCs w:val="18"/>
              </w:rPr>
            </w:pPr>
          </w:p>
          <w:p w14:paraId="45D50940" w14:textId="77777777" w:rsidR="00C45D59" w:rsidRDefault="009B0962">
            <w:pPr>
              <w:pStyle w:val="P68B1DB1-Normal12"/>
              <w:spacing w:after="0" w:line="240" w:lineRule="auto"/>
              <w:rPr>
                <w:noProof/>
              </w:rPr>
            </w:pPr>
            <w:r>
              <w:rPr>
                <w:noProof/>
              </w:rPr>
              <w:t xml:space="preserve">Registrul național al pacienților tratați prin îngrijire la domiciliu este online și accesibil. </w:t>
            </w:r>
          </w:p>
          <w:p w14:paraId="18D0A35C" w14:textId="77777777" w:rsidR="00C45D59" w:rsidRDefault="00C45D59">
            <w:pPr>
              <w:spacing w:after="0" w:line="240" w:lineRule="auto"/>
              <w:rPr>
                <w:rFonts w:ascii="Times New Roman" w:hAnsi="Times New Roman" w:cs="Times New Roman"/>
                <w:noProof/>
                <w:color w:val="006100"/>
                <w:sz w:val="18"/>
                <w:szCs w:val="18"/>
              </w:rPr>
            </w:pPr>
          </w:p>
          <w:p w14:paraId="1717C25D" w14:textId="0D4DFECF" w:rsidR="00C45D59" w:rsidRDefault="009B0962">
            <w:pPr>
              <w:pStyle w:val="P68B1DB1-Normal12"/>
              <w:spacing w:after="0" w:line="240" w:lineRule="auto"/>
              <w:rPr>
                <w:rFonts w:eastAsia="Times New Roman"/>
                <w:noProof/>
              </w:rPr>
            </w:pPr>
            <w:r>
              <w:rPr>
                <w:noProof/>
              </w:rPr>
              <w:t>Protocoalele și standardele de calitate stabilite pentru „asistența medicală spitalicească la domiciliu”.</w:t>
            </w:r>
          </w:p>
        </w:tc>
      </w:tr>
      <w:tr w:rsidR="00C45D59" w14:paraId="2919C4CB" w14:textId="77777777" w:rsidTr="008A4BFA">
        <w:trPr>
          <w:trHeight w:val="313"/>
          <w:jc w:val="center"/>
        </w:trPr>
        <w:tc>
          <w:tcPr>
            <w:tcW w:w="607" w:type="dxa"/>
            <w:shd w:val="clear" w:color="auto" w:fill="C6EFCE"/>
            <w:noWrap/>
          </w:tcPr>
          <w:p w14:paraId="50F16F5B" w14:textId="77777777" w:rsidR="00C45D59" w:rsidRDefault="009B0962">
            <w:pPr>
              <w:pStyle w:val="P68B1DB1-Normal12"/>
              <w:spacing w:after="0" w:line="240" w:lineRule="auto"/>
              <w:rPr>
                <w:rFonts w:eastAsia="Times New Roman"/>
                <w:noProof/>
              </w:rPr>
            </w:pPr>
            <w:r>
              <w:rPr>
                <w:noProof/>
              </w:rPr>
              <w:t>170</w:t>
            </w:r>
          </w:p>
        </w:tc>
        <w:tc>
          <w:tcPr>
            <w:tcW w:w="2040" w:type="dxa"/>
            <w:shd w:val="clear" w:color="auto" w:fill="C6EFCE"/>
            <w:noWrap/>
          </w:tcPr>
          <w:p w14:paraId="5949E63A" w14:textId="77777777" w:rsidR="00C45D59" w:rsidRDefault="009B0962">
            <w:pPr>
              <w:pStyle w:val="P68B1DB1-Normal12"/>
              <w:spacing w:after="0" w:line="240" w:lineRule="auto"/>
              <w:rPr>
                <w:rFonts w:eastAsia="Times New Roman"/>
                <w:noProof/>
              </w:rPr>
            </w:pPr>
            <w:r>
              <w:rPr>
                <w:noProof/>
              </w:rPr>
              <w:t>10-3.3. Îmbunătățirea rezilienței, a accesibilității și a sustenabilității asistenței medicale – 16795_ Infrastructura de sănătate</w:t>
            </w:r>
          </w:p>
        </w:tc>
        <w:tc>
          <w:tcPr>
            <w:tcW w:w="1144" w:type="dxa"/>
            <w:shd w:val="clear" w:color="auto" w:fill="C6EFCE"/>
            <w:noWrap/>
          </w:tcPr>
          <w:p w14:paraId="031215B1" w14:textId="77777777" w:rsidR="00C45D59" w:rsidRDefault="009B0962">
            <w:pPr>
              <w:pStyle w:val="P68B1DB1-Normal12"/>
              <w:spacing w:after="0" w:line="240" w:lineRule="auto"/>
              <w:rPr>
                <w:rFonts w:eastAsia="Times New Roman"/>
                <w:noProof/>
              </w:rPr>
            </w:pPr>
            <w:r>
              <w:rPr>
                <w:noProof/>
              </w:rPr>
              <w:t>Țintă</w:t>
            </w:r>
          </w:p>
        </w:tc>
        <w:tc>
          <w:tcPr>
            <w:tcW w:w="1877" w:type="dxa"/>
            <w:shd w:val="clear" w:color="auto" w:fill="C6EFCE"/>
            <w:noWrap/>
          </w:tcPr>
          <w:p w14:paraId="67D6D9E0" w14:textId="77777777" w:rsidR="00C45D59" w:rsidRDefault="009B0962">
            <w:pPr>
              <w:pStyle w:val="P68B1DB1-Normal12"/>
              <w:spacing w:after="0" w:line="240" w:lineRule="auto"/>
              <w:rPr>
                <w:rFonts w:eastAsia="Times New Roman"/>
                <w:noProof/>
              </w:rPr>
            </w:pPr>
            <w:r>
              <w:rPr>
                <w:noProof/>
              </w:rPr>
              <w:t>Modernizarea infrastructurii NHS – etapa 1</w:t>
            </w:r>
          </w:p>
        </w:tc>
        <w:tc>
          <w:tcPr>
            <w:tcW w:w="1553" w:type="dxa"/>
            <w:shd w:val="clear" w:color="auto" w:fill="C6EFCE"/>
            <w:noWrap/>
          </w:tcPr>
          <w:p w14:paraId="38715785"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390" w:type="dxa"/>
            <w:shd w:val="clear" w:color="auto" w:fill="C6EFCE"/>
            <w:noWrap/>
          </w:tcPr>
          <w:p w14:paraId="6F375E6F" w14:textId="77777777" w:rsidR="00C45D59" w:rsidRDefault="009B0962">
            <w:pPr>
              <w:pStyle w:val="P68B1DB1-Normal23"/>
              <w:spacing w:after="0" w:line="240" w:lineRule="auto"/>
              <w:rPr>
                <w:noProof/>
              </w:rPr>
            </w:pPr>
            <w:r>
              <w:rPr>
                <w:noProof/>
              </w:rPr>
              <w:t>Spitale renovate</w:t>
            </w:r>
          </w:p>
        </w:tc>
        <w:tc>
          <w:tcPr>
            <w:tcW w:w="1134" w:type="dxa"/>
            <w:shd w:val="clear" w:color="auto" w:fill="C6EFCE"/>
            <w:noWrap/>
          </w:tcPr>
          <w:p w14:paraId="3A2EAF5A" w14:textId="77777777" w:rsidR="00C45D59" w:rsidRDefault="009B0962">
            <w:pPr>
              <w:pStyle w:val="P68B1DB1-Normal23"/>
              <w:spacing w:after="0" w:line="240" w:lineRule="auto"/>
              <w:rPr>
                <w:noProof/>
              </w:rPr>
            </w:pPr>
            <w:r>
              <w:rPr>
                <w:noProof/>
              </w:rPr>
              <w:t>0</w:t>
            </w:r>
          </w:p>
        </w:tc>
        <w:tc>
          <w:tcPr>
            <w:tcW w:w="708" w:type="dxa"/>
            <w:shd w:val="clear" w:color="auto" w:fill="C6EFCE"/>
            <w:noWrap/>
          </w:tcPr>
          <w:p w14:paraId="2C09E03F" w14:textId="77777777" w:rsidR="00C45D59" w:rsidRDefault="009B0962">
            <w:pPr>
              <w:pStyle w:val="P68B1DB1-Normal23"/>
              <w:spacing w:after="0" w:line="240" w:lineRule="auto"/>
              <w:rPr>
                <w:noProof/>
              </w:rPr>
            </w:pPr>
            <w:r>
              <w:rPr>
                <w:noProof/>
              </w:rPr>
              <w:t>9</w:t>
            </w:r>
          </w:p>
        </w:tc>
        <w:tc>
          <w:tcPr>
            <w:tcW w:w="1008" w:type="dxa"/>
            <w:shd w:val="clear" w:color="auto" w:fill="C6EFCE"/>
            <w:noWrap/>
          </w:tcPr>
          <w:p w14:paraId="11EC8E7B" w14:textId="77777777" w:rsidR="00C45D59" w:rsidRDefault="009B0962">
            <w:pPr>
              <w:pStyle w:val="P68B1DB1-Normal12"/>
              <w:spacing w:after="0" w:line="240" w:lineRule="auto"/>
              <w:rPr>
                <w:rFonts w:eastAsia="Times New Roman"/>
                <w:noProof/>
              </w:rPr>
            </w:pPr>
            <w:r>
              <w:rPr>
                <w:noProof/>
              </w:rPr>
              <w:t>Î4</w:t>
            </w:r>
          </w:p>
        </w:tc>
        <w:tc>
          <w:tcPr>
            <w:tcW w:w="720" w:type="dxa"/>
            <w:shd w:val="clear" w:color="auto" w:fill="C6EFCE"/>
            <w:noWrap/>
          </w:tcPr>
          <w:p w14:paraId="3B22C400" w14:textId="77777777" w:rsidR="00C45D59" w:rsidRDefault="009B0962">
            <w:pPr>
              <w:pStyle w:val="P68B1DB1-Normal12"/>
              <w:spacing w:after="0" w:line="240" w:lineRule="auto"/>
              <w:rPr>
                <w:rFonts w:eastAsia="Times New Roman"/>
                <w:noProof/>
              </w:rPr>
            </w:pPr>
            <w:r>
              <w:rPr>
                <w:noProof/>
              </w:rPr>
              <w:t>2025</w:t>
            </w:r>
          </w:p>
        </w:tc>
        <w:tc>
          <w:tcPr>
            <w:tcW w:w="3712" w:type="dxa"/>
            <w:shd w:val="clear" w:color="auto" w:fill="C6EFCE"/>
            <w:noWrap/>
          </w:tcPr>
          <w:p w14:paraId="3FC5FA22" w14:textId="77777777" w:rsidR="00C45D59" w:rsidRDefault="009B0962">
            <w:pPr>
              <w:pStyle w:val="P68B1DB1-Normal12"/>
              <w:spacing w:after="0" w:line="240" w:lineRule="auto"/>
              <w:rPr>
                <w:rFonts w:eastAsia="Times New Roman"/>
                <w:noProof/>
              </w:rPr>
            </w:pPr>
            <w:r>
              <w:rPr>
                <w:noProof/>
              </w:rPr>
              <w:t>Lucrări de renovare și/sau construcție pentru un total de nouă spitale. </w:t>
            </w:r>
          </w:p>
        </w:tc>
      </w:tr>
      <w:tr w:rsidR="00C45D59" w14:paraId="7949D6DC" w14:textId="77777777" w:rsidTr="008A4BFA">
        <w:trPr>
          <w:trHeight w:val="313"/>
          <w:jc w:val="center"/>
        </w:trPr>
        <w:tc>
          <w:tcPr>
            <w:tcW w:w="607" w:type="dxa"/>
            <w:shd w:val="clear" w:color="auto" w:fill="C6EFCE"/>
            <w:noWrap/>
          </w:tcPr>
          <w:p w14:paraId="5C9F5C70" w14:textId="77777777" w:rsidR="00C45D59" w:rsidRDefault="009B0962">
            <w:pPr>
              <w:pStyle w:val="P68B1DB1-Normal12"/>
              <w:spacing w:after="0" w:line="240" w:lineRule="auto"/>
              <w:rPr>
                <w:noProof/>
              </w:rPr>
            </w:pPr>
            <w:r>
              <w:rPr>
                <w:noProof/>
              </w:rPr>
              <w:t>170a</w:t>
            </w:r>
          </w:p>
        </w:tc>
        <w:tc>
          <w:tcPr>
            <w:tcW w:w="2040" w:type="dxa"/>
            <w:shd w:val="clear" w:color="auto" w:fill="C6EFCE"/>
            <w:noWrap/>
          </w:tcPr>
          <w:p w14:paraId="68AA1378" w14:textId="77777777" w:rsidR="00C45D59" w:rsidRDefault="009B0962">
            <w:pPr>
              <w:pStyle w:val="P68B1DB1-Normal12"/>
              <w:spacing w:after="0" w:line="240" w:lineRule="auto"/>
              <w:rPr>
                <w:noProof/>
              </w:rPr>
            </w:pPr>
            <w:r>
              <w:rPr>
                <w:noProof/>
              </w:rPr>
              <w:t>10-3.3. Îmbunătățirea rezilienței, a accesibilității și a sustenabilității asistenței medicale – 16795_ Infrastructura de sănătate</w:t>
            </w:r>
          </w:p>
        </w:tc>
        <w:tc>
          <w:tcPr>
            <w:tcW w:w="1144" w:type="dxa"/>
            <w:shd w:val="clear" w:color="auto" w:fill="C6EFCE"/>
            <w:noWrap/>
          </w:tcPr>
          <w:p w14:paraId="5FB9DA2D" w14:textId="77777777" w:rsidR="00C45D59" w:rsidRDefault="009B0962">
            <w:pPr>
              <w:pStyle w:val="P68B1DB1-Normal12"/>
              <w:spacing w:after="0" w:line="240" w:lineRule="auto"/>
              <w:rPr>
                <w:noProof/>
              </w:rPr>
            </w:pPr>
            <w:r>
              <w:rPr>
                <w:noProof/>
              </w:rPr>
              <w:t>Țintă</w:t>
            </w:r>
          </w:p>
        </w:tc>
        <w:tc>
          <w:tcPr>
            <w:tcW w:w="1877" w:type="dxa"/>
            <w:shd w:val="clear" w:color="auto" w:fill="C6EFCE"/>
            <w:noWrap/>
          </w:tcPr>
          <w:p w14:paraId="77F3ECA7" w14:textId="77777777" w:rsidR="00C45D59" w:rsidRDefault="009B0962">
            <w:pPr>
              <w:pStyle w:val="P68B1DB1-Normal12"/>
              <w:spacing w:after="0" w:line="240" w:lineRule="auto"/>
              <w:rPr>
                <w:noProof/>
              </w:rPr>
            </w:pPr>
            <w:r>
              <w:rPr>
                <w:noProof/>
              </w:rPr>
              <w:t>Modernizarea infrastructurii NHS – etapa 2</w:t>
            </w:r>
          </w:p>
        </w:tc>
        <w:tc>
          <w:tcPr>
            <w:tcW w:w="1553" w:type="dxa"/>
            <w:shd w:val="clear" w:color="auto" w:fill="C6EFCE"/>
            <w:noWrap/>
          </w:tcPr>
          <w:p w14:paraId="63CAA99E" w14:textId="77777777" w:rsidR="00C45D59" w:rsidRDefault="00C45D59">
            <w:pPr>
              <w:spacing w:after="0" w:line="240" w:lineRule="auto"/>
              <w:rPr>
                <w:rFonts w:ascii="Times New Roman" w:hAnsi="Times New Roman" w:cs="Times New Roman"/>
                <w:noProof/>
                <w:color w:val="006100"/>
                <w:sz w:val="18"/>
                <w:szCs w:val="18"/>
              </w:rPr>
            </w:pPr>
          </w:p>
        </w:tc>
        <w:tc>
          <w:tcPr>
            <w:tcW w:w="1390" w:type="dxa"/>
            <w:shd w:val="clear" w:color="auto" w:fill="C6EFCE"/>
            <w:noWrap/>
          </w:tcPr>
          <w:p w14:paraId="70DA026A" w14:textId="77777777" w:rsidR="00C45D59" w:rsidRDefault="009B0962">
            <w:pPr>
              <w:pStyle w:val="P68B1DB1-Normal23"/>
              <w:spacing w:after="0" w:line="240" w:lineRule="auto"/>
              <w:rPr>
                <w:noProof/>
              </w:rPr>
            </w:pPr>
            <w:r>
              <w:rPr>
                <w:noProof/>
              </w:rPr>
              <w:t>Spitale renovate</w:t>
            </w:r>
          </w:p>
        </w:tc>
        <w:tc>
          <w:tcPr>
            <w:tcW w:w="1134" w:type="dxa"/>
            <w:shd w:val="clear" w:color="auto" w:fill="C6EFCE"/>
            <w:noWrap/>
          </w:tcPr>
          <w:p w14:paraId="769B8B8C" w14:textId="77777777" w:rsidR="00C45D59" w:rsidRDefault="009B0962">
            <w:pPr>
              <w:pStyle w:val="P68B1DB1-Normal23"/>
              <w:spacing w:after="0" w:line="240" w:lineRule="auto"/>
              <w:rPr>
                <w:noProof/>
              </w:rPr>
            </w:pPr>
            <w:r>
              <w:rPr>
                <w:noProof/>
              </w:rPr>
              <w:t>0</w:t>
            </w:r>
          </w:p>
        </w:tc>
        <w:tc>
          <w:tcPr>
            <w:tcW w:w="708" w:type="dxa"/>
            <w:shd w:val="clear" w:color="auto" w:fill="C6EFCE"/>
            <w:noWrap/>
          </w:tcPr>
          <w:p w14:paraId="4845818E" w14:textId="77777777" w:rsidR="00C45D59" w:rsidRDefault="009B0962">
            <w:pPr>
              <w:pStyle w:val="P68B1DB1-Normal23"/>
              <w:spacing w:after="0" w:line="240" w:lineRule="auto"/>
              <w:rPr>
                <w:noProof/>
              </w:rPr>
            </w:pPr>
            <w:r>
              <w:rPr>
                <w:noProof/>
              </w:rPr>
              <w:t>10</w:t>
            </w:r>
          </w:p>
        </w:tc>
        <w:tc>
          <w:tcPr>
            <w:tcW w:w="1008" w:type="dxa"/>
            <w:shd w:val="clear" w:color="auto" w:fill="C6EFCE"/>
            <w:noWrap/>
          </w:tcPr>
          <w:p w14:paraId="2D87FCA1" w14:textId="77777777" w:rsidR="00C45D59" w:rsidRDefault="009B0962">
            <w:pPr>
              <w:pStyle w:val="P68B1DB1-Normal12"/>
              <w:spacing w:after="0" w:line="240" w:lineRule="auto"/>
              <w:rPr>
                <w:noProof/>
              </w:rPr>
            </w:pPr>
            <w:r>
              <w:rPr>
                <w:noProof/>
              </w:rPr>
              <w:t>Î1</w:t>
            </w:r>
          </w:p>
        </w:tc>
        <w:tc>
          <w:tcPr>
            <w:tcW w:w="720" w:type="dxa"/>
            <w:shd w:val="clear" w:color="auto" w:fill="C6EFCE"/>
            <w:noWrap/>
          </w:tcPr>
          <w:p w14:paraId="54F3705F" w14:textId="77777777" w:rsidR="00C45D59" w:rsidRDefault="009B0962">
            <w:pPr>
              <w:pStyle w:val="P68B1DB1-Normal12"/>
              <w:spacing w:after="0" w:line="240" w:lineRule="auto"/>
              <w:rPr>
                <w:noProof/>
              </w:rPr>
            </w:pPr>
            <w:r>
              <w:rPr>
                <w:noProof/>
              </w:rPr>
              <w:t>2026</w:t>
            </w:r>
          </w:p>
        </w:tc>
        <w:tc>
          <w:tcPr>
            <w:tcW w:w="3712" w:type="dxa"/>
            <w:shd w:val="clear" w:color="auto" w:fill="C6EFCE"/>
            <w:noWrap/>
          </w:tcPr>
          <w:p w14:paraId="1A2ADC15" w14:textId="77777777" w:rsidR="00C45D59" w:rsidRDefault="009B0962">
            <w:pPr>
              <w:pStyle w:val="P68B1DB1-Normal12"/>
              <w:spacing w:after="0" w:line="240" w:lineRule="auto"/>
              <w:rPr>
                <w:noProof/>
              </w:rPr>
            </w:pPr>
            <w:r>
              <w:rPr>
                <w:noProof/>
              </w:rPr>
              <w:t>Lucrări de renovare și/sau construcție pentru un total de 10 de spitale din regiunile 1 și 2 din domeniul sănătății. </w:t>
            </w:r>
          </w:p>
        </w:tc>
      </w:tr>
      <w:tr w:rsidR="00C45D59" w14:paraId="1ACB3BCC" w14:textId="77777777" w:rsidTr="008A4BFA">
        <w:trPr>
          <w:trHeight w:val="313"/>
          <w:jc w:val="center"/>
        </w:trPr>
        <w:tc>
          <w:tcPr>
            <w:tcW w:w="607" w:type="dxa"/>
            <w:shd w:val="clear" w:color="auto" w:fill="C6EFCE"/>
            <w:noWrap/>
          </w:tcPr>
          <w:p w14:paraId="20C4AFD5" w14:textId="77777777" w:rsidR="00C45D59" w:rsidRDefault="009B0962">
            <w:pPr>
              <w:pStyle w:val="P68B1DB1-Normal12"/>
              <w:spacing w:after="0" w:line="240" w:lineRule="auto"/>
              <w:rPr>
                <w:noProof/>
              </w:rPr>
            </w:pPr>
            <w:r>
              <w:rPr>
                <w:noProof/>
              </w:rPr>
              <w:t>170b</w:t>
            </w:r>
          </w:p>
        </w:tc>
        <w:tc>
          <w:tcPr>
            <w:tcW w:w="2040" w:type="dxa"/>
            <w:shd w:val="clear" w:color="auto" w:fill="C6EFCE"/>
            <w:noWrap/>
          </w:tcPr>
          <w:p w14:paraId="349A463C" w14:textId="77777777" w:rsidR="00C45D59" w:rsidRDefault="009B0962">
            <w:pPr>
              <w:pStyle w:val="P68B1DB1-Normal12"/>
              <w:spacing w:after="0" w:line="240" w:lineRule="auto"/>
              <w:rPr>
                <w:noProof/>
              </w:rPr>
            </w:pPr>
            <w:r>
              <w:rPr>
                <w:noProof/>
              </w:rPr>
              <w:t>10-3.3. Îmbunătățirea rezilienței, a accesibilității și a sustenabilității asistenței medicale – 16795_ Infrastructura de sănătate</w:t>
            </w:r>
          </w:p>
        </w:tc>
        <w:tc>
          <w:tcPr>
            <w:tcW w:w="1144" w:type="dxa"/>
            <w:shd w:val="clear" w:color="auto" w:fill="C6EFCE"/>
            <w:noWrap/>
          </w:tcPr>
          <w:p w14:paraId="1D854D0E" w14:textId="77777777" w:rsidR="00C45D59" w:rsidRDefault="009B0962">
            <w:pPr>
              <w:pStyle w:val="P68B1DB1-Normal12"/>
              <w:spacing w:after="0" w:line="240" w:lineRule="auto"/>
              <w:rPr>
                <w:noProof/>
              </w:rPr>
            </w:pPr>
            <w:r>
              <w:rPr>
                <w:noProof/>
              </w:rPr>
              <w:t>Țintă</w:t>
            </w:r>
          </w:p>
        </w:tc>
        <w:tc>
          <w:tcPr>
            <w:tcW w:w="1877" w:type="dxa"/>
            <w:shd w:val="clear" w:color="auto" w:fill="C6EFCE"/>
            <w:noWrap/>
          </w:tcPr>
          <w:p w14:paraId="1DE9E316" w14:textId="77777777" w:rsidR="00C45D59" w:rsidRDefault="009B0962">
            <w:pPr>
              <w:pStyle w:val="P68B1DB1-Normal12"/>
              <w:spacing w:after="0" w:line="240" w:lineRule="auto"/>
              <w:rPr>
                <w:noProof/>
              </w:rPr>
            </w:pPr>
            <w:r>
              <w:rPr>
                <w:noProof/>
              </w:rPr>
              <w:t>Modernizarea infrastructurii NHS – etapa 3</w:t>
            </w:r>
          </w:p>
        </w:tc>
        <w:tc>
          <w:tcPr>
            <w:tcW w:w="1553" w:type="dxa"/>
            <w:shd w:val="clear" w:color="auto" w:fill="C6EFCE"/>
            <w:noWrap/>
          </w:tcPr>
          <w:p w14:paraId="30B98408" w14:textId="77777777" w:rsidR="00C45D59" w:rsidRDefault="00C45D59">
            <w:pPr>
              <w:spacing w:after="0" w:line="240" w:lineRule="auto"/>
              <w:rPr>
                <w:rFonts w:ascii="Times New Roman" w:hAnsi="Times New Roman" w:cs="Times New Roman"/>
                <w:noProof/>
                <w:color w:val="006100"/>
                <w:sz w:val="18"/>
                <w:szCs w:val="18"/>
              </w:rPr>
            </w:pPr>
          </w:p>
        </w:tc>
        <w:tc>
          <w:tcPr>
            <w:tcW w:w="1390" w:type="dxa"/>
            <w:shd w:val="clear" w:color="auto" w:fill="C6EFCE"/>
            <w:noWrap/>
          </w:tcPr>
          <w:p w14:paraId="580AF3DB" w14:textId="77777777" w:rsidR="00C45D59" w:rsidRDefault="009B0962">
            <w:pPr>
              <w:pStyle w:val="P68B1DB1-Normal23"/>
              <w:spacing w:after="0" w:line="240" w:lineRule="auto"/>
              <w:rPr>
                <w:noProof/>
              </w:rPr>
            </w:pPr>
            <w:r>
              <w:rPr>
                <w:noProof/>
              </w:rPr>
              <w:t>Spitale renovate</w:t>
            </w:r>
          </w:p>
        </w:tc>
        <w:tc>
          <w:tcPr>
            <w:tcW w:w="1134" w:type="dxa"/>
            <w:shd w:val="clear" w:color="auto" w:fill="C6EFCE"/>
            <w:noWrap/>
          </w:tcPr>
          <w:p w14:paraId="373A074E" w14:textId="77777777" w:rsidR="00C45D59" w:rsidRDefault="009B0962">
            <w:pPr>
              <w:pStyle w:val="P68B1DB1-Normal23"/>
              <w:spacing w:after="0" w:line="240" w:lineRule="auto"/>
              <w:rPr>
                <w:noProof/>
              </w:rPr>
            </w:pPr>
            <w:r>
              <w:rPr>
                <w:noProof/>
              </w:rPr>
              <w:t>0</w:t>
            </w:r>
          </w:p>
        </w:tc>
        <w:tc>
          <w:tcPr>
            <w:tcW w:w="708" w:type="dxa"/>
            <w:shd w:val="clear" w:color="auto" w:fill="C6EFCE"/>
            <w:noWrap/>
          </w:tcPr>
          <w:p w14:paraId="483700A5" w14:textId="77777777" w:rsidR="00C45D59" w:rsidRDefault="009B0962">
            <w:pPr>
              <w:pStyle w:val="P68B1DB1-Normal23"/>
              <w:spacing w:after="0" w:line="240" w:lineRule="auto"/>
              <w:rPr>
                <w:noProof/>
              </w:rPr>
            </w:pPr>
            <w:r>
              <w:rPr>
                <w:noProof/>
              </w:rPr>
              <w:t>9</w:t>
            </w:r>
          </w:p>
        </w:tc>
        <w:tc>
          <w:tcPr>
            <w:tcW w:w="1008" w:type="dxa"/>
            <w:shd w:val="clear" w:color="auto" w:fill="C6EFCE"/>
            <w:noWrap/>
          </w:tcPr>
          <w:p w14:paraId="01209475" w14:textId="77777777" w:rsidR="00C45D59" w:rsidRDefault="009B0962">
            <w:pPr>
              <w:pStyle w:val="P68B1DB1-Normal12"/>
              <w:spacing w:after="0" w:line="240" w:lineRule="auto"/>
              <w:rPr>
                <w:noProof/>
              </w:rPr>
            </w:pPr>
            <w:r>
              <w:rPr>
                <w:noProof/>
              </w:rPr>
              <w:t>Î1</w:t>
            </w:r>
          </w:p>
        </w:tc>
        <w:tc>
          <w:tcPr>
            <w:tcW w:w="720" w:type="dxa"/>
            <w:shd w:val="clear" w:color="auto" w:fill="C6EFCE"/>
            <w:noWrap/>
          </w:tcPr>
          <w:p w14:paraId="59EC102A" w14:textId="77777777" w:rsidR="00C45D59" w:rsidRDefault="009B0962">
            <w:pPr>
              <w:pStyle w:val="P68B1DB1-Normal12"/>
              <w:spacing w:after="0" w:line="240" w:lineRule="auto"/>
              <w:rPr>
                <w:noProof/>
              </w:rPr>
            </w:pPr>
            <w:r>
              <w:rPr>
                <w:noProof/>
              </w:rPr>
              <w:t>2026</w:t>
            </w:r>
          </w:p>
        </w:tc>
        <w:tc>
          <w:tcPr>
            <w:tcW w:w="3712" w:type="dxa"/>
            <w:shd w:val="clear" w:color="auto" w:fill="C6EFCE"/>
            <w:noWrap/>
          </w:tcPr>
          <w:p w14:paraId="5034F5EC" w14:textId="77777777" w:rsidR="00C45D59" w:rsidRDefault="009B0962">
            <w:pPr>
              <w:pStyle w:val="P68B1DB1-Normal12"/>
              <w:spacing w:after="0" w:line="240" w:lineRule="auto"/>
              <w:rPr>
                <w:noProof/>
              </w:rPr>
            </w:pPr>
            <w:r>
              <w:rPr>
                <w:noProof/>
              </w:rPr>
              <w:t>Lucrări de renovare și/sau construcție pentru un total de 9 de spitale din regiunile sanitare, altele decât 1 și 2.</w:t>
            </w:r>
          </w:p>
        </w:tc>
      </w:tr>
      <w:tr w:rsidR="00C45D59" w14:paraId="0A8D1736" w14:textId="77777777" w:rsidTr="008A4BFA">
        <w:trPr>
          <w:trHeight w:val="313"/>
          <w:jc w:val="center"/>
        </w:trPr>
        <w:tc>
          <w:tcPr>
            <w:tcW w:w="607" w:type="dxa"/>
            <w:shd w:val="clear" w:color="auto" w:fill="C6EFCE"/>
            <w:noWrap/>
          </w:tcPr>
          <w:p w14:paraId="01C1CB84" w14:textId="77777777" w:rsidR="00C45D59" w:rsidRDefault="009B0962">
            <w:pPr>
              <w:pStyle w:val="P68B1DB1-Normal12"/>
              <w:spacing w:after="0" w:line="240" w:lineRule="auto"/>
              <w:rPr>
                <w:noProof/>
              </w:rPr>
            </w:pPr>
            <w:r>
              <w:rPr>
                <w:noProof/>
              </w:rPr>
              <w:t>170c</w:t>
            </w:r>
          </w:p>
        </w:tc>
        <w:tc>
          <w:tcPr>
            <w:tcW w:w="2040" w:type="dxa"/>
            <w:shd w:val="clear" w:color="auto" w:fill="C6EFCE"/>
            <w:noWrap/>
          </w:tcPr>
          <w:p w14:paraId="02A94898" w14:textId="77777777" w:rsidR="00C45D59" w:rsidRDefault="009B0962">
            <w:pPr>
              <w:pStyle w:val="P68B1DB1-Normal12"/>
              <w:spacing w:after="0" w:line="240" w:lineRule="auto"/>
              <w:rPr>
                <w:noProof/>
              </w:rPr>
            </w:pPr>
            <w:r>
              <w:rPr>
                <w:noProof/>
              </w:rPr>
              <w:t>10-3.3. Îmbunătățirea rezilienței, a accesibilității și a sustenabilității asistenței medicale – 16795_ Infrastructura de sănătate</w:t>
            </w:r>
          </w:p>
        </w:tc>
        <w:tc>
          <w:tcPr>
            <w:tcW w:w="1144" w:type="dxa"/>
            <w:shd w:val="clear" w:color="auto" w:fill="C6EFCE"/>
            <w:noWrap/>
          </w:tcPr>
          <w:p w14:paraId="3352A732" w14:textId="77777777" w:rsidR="00C45D59" w:rsidRDefault="009B0962">
            <w:pPr>
              <w:pStyle w:val="P68B1DB1-Normal12"/>
              <w:spacing w:after="0" w:line="240" w:lineRule="auto"/>
              <w:rPr>
                <w:noProof/>
              </w:rPr>
            </w:pPr>
            <w:r>
              <w:rPr>
                <w:noProof/>
              </w:rPr>
              <w:t>Țintă</w:t>
            </w:r>
          </w:p>
        </w:tc>
        <w:tc>
          <w:tcPr>
            <w:tcW w:w="1877" w:type="dxa"/>
            <w:shd w:val="clear" w:color="auto" w:fill="C6EFCE"/>
            <w:noWrap/>
          </w:tcPr>
          <w:p w14:paraId="04E4E794" w14:textId="77777777" w:rsidR="00C45D59" w:rsidRDefault="009B0962">
            <w:pPr>
              <w:pStyle w:val="P68B1DB1-Normal12"/>
              <w:spacing w:after="0" w:line="240" w:lineRule="auto"/>
              <w:rPr>
                <w:noProof/>
              </w:rPr>
            </w:pPr>
            <w:r>
              <w:rPr>
                <w:noProof/>
              </w:rPr>
              <w:t>Modernizarea infrastructurii NHS – etapa 4</w:t>
            </w:r>
          </w:p>
        </w:tc>
        <w:tc>
          <w:tcPr>
            <w:tcW w:w="1553" w:type="dxa"/>
            <w:shd w:val="clear" w:color="auto" w:fill="C6EFCE"/>
            <w:noWrap/>
          </w:tcPr>
          <w:p w14:paraId="5C94D05C" w14:textId="77777777" w:rsidR="00C45D59" w:rsidRDefault="00C45D59">
            <w:pPr>
              <w:spacing w:after="0" w:line="240" w:lineRule="auto"/>
              <w:rPr>
                <w:rFonts w:ascii="Times New Roman" w:hAnsi="Times New Roman" w:cs="Times New Roman"/>
                <w:noProof/>
                <w:color w:val="006100"/>
                <w:sz w:val="18"/>
                <w:szCs w:val="18"/>
              </w:rPr>
            </w:pPr>
          </w:p>
        </w:tc>
        <w:tc>
          <w:tcPr>
            <w:tcW w:w="1390" w:type="dxa"/>
            <w:shd w:val="clear" w:color="auto" w:fill="C6EFCE"/>
            <w:noWrap/>
          </w:tcPr>
          <w:p w14:paraId="540A5115" w14:textId="77777777" w:rsidR="00C45D59" w:rsidRDefault="009B0962">
            <w:pPr>
              <w:pStyle w:val="P68B1DB1-Normal23"/>
              <w:spacing w:after="0" w:line="240" w:lineRule="auto"/>
              <w:rPr>
                <w:noProof/>
              </w:rPr>
            </w:pPr>
            <w:r>
              <w:rPr>
                <w:noProof/>
              </w:rPr>
              <w:t>Spitale renovate</w:t>
            </w:r>
          </w:p>
        </w:tc>
        <w:tc>
          <w:tcPr>
            <w:tcW w:w="1134" w:type="dxa"/>
            <w:shd w:val="clear" w:color="auto" w:fill="C6EFCE"/>
            <w:noWrap/>
          </w:tcPr>
          <w:p w14:paraId="2AD56F8B" w14:textId="77777777" w:rsidR="00C45D59" w:rsidRDefault="009B0962">
            <w:pPr>
              <w:pStyle w:val="P68B1DB1-Normal23"/>
              <w:spacing w:after="0" w:line="240" w:lineRule="auto"/>
              <w:rPr>
                <w:noProof/>
              </w:rPr>
            </w:pPr>
            <w:r>
              <w:rPr>
                <w:noProof/>
              </w:rPr>
              <w:t>10</w:t>
            </w:r>
          </w:p>
        </w:tc>
        <w:tc>
          <w:tcPr>
            <w:tcW w:w="708" w:type="dxa"/>
            <w:shd w:val="clear" w:color="auto" w:fill="C6EFCE"/>
            <w:noWrap/>
          </w:tcPr>
          <w:p w14:paraId="5924E3F6" w14:textId="77777777" w:rsidR="00C45D59" w:rsidRDefault="009B0962">
            <w:pPr>
              <w:pStyle w:val="P68B1DB1-Normal23"/>
              <w:spacing w:after="0" w:line="240" w:lineRule="auto"/>
              <w:rPr>
                <w:noProof/>
              </w:rPr>
            </w:pPr>
            <w:r>
              <w:rPr>
                <w:noProof/>
              </w:rPr>
              <w:t>23</w:t>
            </w:r>
          </w:p>
        </w:tc>
        <w:tc>
          <w:tcPr>
            <w:tcW w:w="1008" w:type="dxa"/>
            <w:shd w:val="clear" w:color="auto" w:fill="C6EFCE"/>
            <w:noWrap/>
          </w:tcPr>
          <w:p w14:paraId="774A449B" w14:textId="77777777" w:rsidR="00C45D59" w:rsidRDefault="009B0962">
            <w:pPr>
              <w:pStyle w:val="P68B1DB1-Normal12"/>
              <w:spacing w:after="0" w:line="240" w:lineRule="auto"/>
              <w:rPr>
                <w:noProof/>
              </w:rPr>
            </w:pPr>
            <w:r>
              <w:rPr>
                <w:noProof/>
              </w:rPr>
              <w:t>Î2</w:t>
            </w:r>
          </w:p>
        </w:tc>
        <w:tc>
          <w:tcPr>
            <w:tcW w:w="720" w:type="dxa"/>
            <w:shd w:val="clear" w:color="auto" w:fill="C6EFCE"/>
            <w:noWrap/>
          </w:tcPr>
          <w:p w14:paraId="7736F241" w14:textId="77777777" w:rsidR="00C45D59" w:rsidRDefault="009B0962">
            <w:pPr>
              <w:pStyle w:val="P68B1DB1-Normal12"/>
              <w:spacing w:after="0" w:line="240" w:lineRule="auto"/>
              <w:rPr>
                <w:noProof/>
              </w:rPr>
            </w:pPr>
            <w:r>
              <w:rPr>
                <w:noProof/>
              </w:rPr>
              <w:t>2026</w:t>
            </w:r>
          </w:p>
        </w:tc>
        <w:tc>
          <w:tcPr>
            <w:tcW w:w="3712" w:type="dxa"/>
            <w:shd w:val="clear" w:color="auto" w:fill="C6EFCE"/>
            <w:noWrap/>
          </w:tcPr>
          <w:p w14:paraId="11F8A2E0" w14:textId="77777777" w:rsidR="00C45D59" w:rsidRDefault="009B0962">
            <w:pPr>
              <w:pStyle w:val="P68B1DB1-Normal12"/>
              <w:spacing w:after="0" w:line="240" w:lineRule="auto"/>
              <w:rPr>
                <w:noProof/>
              </w:rPr>
            </w:pPr>
            <w:r>
              <w:rPr>
                <w:noProof/>
              </w:rPr>
              <w:t>Lucrări de renovare și/sau de construcție pentru încă 13 de spitale din regiunile 1 și 2 din domeniul sănătății.</w:t>
            </w:r>
          </w:p>
        </w:tc>
      </w:tr>
      <w:tr w:rsidR="00C45D59" w14:paraId="2C7F1C05" w14:textId="77777777" w:rsidTr="008A4BFA">
        <w:trPr>
          <w:trHeight w:val="313"/>
          <w:jc w:val="center"/>
        </w:trPr>
        <w:tc>
          <w:tcPr>
            <w:tcW w:w="607" w:type="dxa"/>
            <w:shd w:val="clear" w:color="auto" w:fill="C6EFCE"/>
            <w:noWrap/>
          </w:tcPr>
          <w:p w14:paraId="61C0300F" w14:textId="77777777" w:rsidR="00C45D59" w:rsidRDefault="009B0962">
            <w:pPr>
              <w:pStyle w:val="P68B1DB1-Normal12"/>
              <w:spacing w:after="0" w:line="240" w:lineRule="auto"/>
              <w:rPr>
                <w:noProof/>
              </w:rPr>
            </w:pPr>
            <w:r>
              <w:rPr>
                <w:noProof/>
              </w:rPr>
              <w:t>170d</w:t>
            </w:r>
          </w:p>
        </w:tc>
        <w:tc>
          <w:tcPr>
            <w:tcW w:w="2040" w:type="dxa"/>
            <w:shd w:val="clear" w:color="auto" w:fill="C6EFCE"/>
            <w:noWrap/>
          </w:tcPr>
          <w:p w14:paraId="25008731" w14:textId="77777777" w:rsidR="00C45D59" w:rsidRDefault="009B0962">
            <w:pPr>
              <w:pStyle w:val="P68B1DB1-Normal12"/>
              <w:spacing w:after="0" w:line="240" w:lineRule="auto"/>
              <w:rPr>
                <w:noProof/>
              </w:rPr>
            </w:pPr>
            <w:r>
              <w:rPr>
                <w:noProof/>
              </w:rPr>
              <w:t>10-3.3. Îmbunătățirea rezilienței, a accesibilității și a sustenabilității asistenței medicale – 16795_ Infrastructura de sănătate</w:t>
            </w:r>
          </w:p>
        </w:tc>
        <w:tc>
          <w:tcPr>
            <w:tcW w:w="1144" w:type="dxa"/>
            <w:shd w:val="clear" w:color="auto" w:fill="C6EFCE"/>
            <w:noWrap/>
          </w:tcPr>
          <w:p w14:paraId="204F312E" w14:textId="77777777" w:rsidR="00C45D59" w:rsidRDefault="009B0962">
            <w:pPr>
              <w:pStyle w:val="P68B1DB1-Normal12"/>
              <w:spacing w:after="0" w:line="240" w:lineRule="auto"/>
              <w:rPr>
                <w:noProof/>
              </w:rPr>
            </w:pPr>
            <w:r>
              <w:rPr>
                <w:noProof/>
              </w:rPr>
              <w:t>Țintă</w:t>
            </w:r>
          </w:p>
        </w:tc>
        <w:tc>
          <w:tcPr>
            <w:tcW w:w="1877" w:type="dxa"/>
            <w:shd w:val="clear" w:color="auto" w:fill="C6EFCE"/>
            <w:noWrap/>
          </w:tcPr>
          <w:p w14:paraId="191E650A" w14:textId="77777777" w:rsidR="00C45D59" w:rsidRDefault="009B0962">
            <w:pPr>
              <w:pStyle w:val="P68B1DB1-Normal12"/>
              <w:spacing w:after="0" w:line="240" w:lineRule="auto"/>
              <w:rPr>
                <w:noProof/>
              </w:rPr>
            </w:pPr>
            <w:r>
              <w:rPr>
                <w:noProof/>
              </w:rPr>
              <w:t>Modernizarea infrastructurii NHS – etapa 5</w:t>
            </w:r>
          </w:p>
        </w:tc>
        <w:tc>
          <w:tcPr>
            <w:tcW w:w="1553" w:type="dxa"/>
            <w:shd w:val="clear" w:color="auto" w:fill="C6EFCE"/>
            <w:noWrap/>
          </w:tcPr>
          <w:p w14:paraId="3E16F45E" w14:textId="77777777" w:rsidR="00C45D59" w:rsidRDefault="00C45D59">
            <w:pPr>
              <w:spacing w:after="0" w:line="240" w:lineRule="auto"/>
              <w:rPr>
                <w:rFonts w:ascii="Times New Roman" w:hAnsi="Times New Roman" w:cs="Times New Roman"/>
                <w:noProof/>
                <w:color w:val="006100"/>
                <w:sz w:val="18"/>
                <w:szCs w:val="18"/>
              </w:rPr>
            </w:pPr>
          </w:p>
        </w:tc>
        <w:tc>
          <w:tcPr>
            <w:tcW w:w="1390" w:type="dxa"/>
            <w:shd w:val="clear" w:color="auto" w:fill="C6EFCE"/>
            <w:noWrap/>
          </w:tcPr>
          <w:p w14:paraId="11A99BC8" w14:textId="77777777" w:rsidR="00C45D59" w:rsidRDefault="009B0962">
            <w:pPr>
              <w:pStyle w:val="P68B1DB1-Normal23"/>
              <w:spacing w:after="0" w:line="240" w:lineRule="auto"/>
              <w:rPr>
                <w:noProof/>
              </w:rPr>
            </w:pPr>
            <w:r>
              <w:rPr>
                <w:noProof/>
              </w:rPr>
              <w:t>Spitale renovate</w:t>
            </w:r>
          </w:p>
        </w:tc>
        <w:tc>
          <w:tcPr>
            <w:tcW w:w="1134" w:type="dxa"/>
            <w:shd w:val="clear" w:color="auto" w:fill="C6EFCE"/>
            <w:noWrap/>
          </w:tcPr>
          <w:p w14:paraId="32CA1522" w14:textId="77777777" w:rsidR="00C45D59" w:rsidRDefault="009B0962">
            <w:pPr>
              <w:pStyle w:val="P68B1DB1-Normal23"/>
              <w:spacing w:after="0" w:line="240" w:lineRule="auto"/>
              <w:rPr>
                <w:noProof/>
              </w:rPr>
            </w:pPr>
            <w:r>
              <w:rPr>
                <w:noProof/>
              </w:rPr>
              <w:t>9</w:t>
            </w:r>
          </w:p>
        </w:tc>
        <w:tc>
          <w:tcPr>
            <w:tcW w:w="708" w:type="dxa"/>
            <w:shd w:val="clear" w:color="auto" w:fill="C6EFCE"/>
            <w:noWrap/>
          </w:tcPr>
          <w:p w14:paraId="0D998C27" w14:textId="77777777" w:rsidR="00C45D59" w:rsidRDefault="009B0962">
            <w:pPr>
              <w:pStyle w:val="P68B1DB1-Normal23"/>
              <w:spacing w:after="0" w:line="240" w:lineRule="auto"/>
              <w:rPr>
                <w:noProof/>
              </w:rPr>
            </w:pPr>
            <w:r>
              <w:rPr>
                <w:noProof/>
              </w:rPr>
              <w:t>48</w:t>
            </w:r>
          </w:p>
        </w:tc>
        <w:tc>
          <w:tcPr>
            <w:tcW w:w="1008" w:type="dxa"/>
            <w:shd w:val="clear" w:color="auto" w:fill="C6EFCE"/>
            <w:noWrap/>
          </w:tcPr>
          <w:p w14:paraId="56A25CA1" w14:textId="77777777" w:rsidR="00C45D59" w:rsidRDefault="009B0962">
            <w:pPr>
              <w:pStyle w:val="P68B1DB1-Normal12"/>
              <w:spacing w:after="0" w:line="240" w:lineRule="auto"/>
              <w:rPr>
                <w:noProof/>
              </w:rPr>
            </w:pPr>
            <w:r>
              <w:rPr>
                <w:noProof/>
              </w:rPr>
              <w:t>Î2</w:t>
            </w:r>
          </w:p>
        </w:tc>
        <w:tc>
          <w:tcPr>
            <w:tcW w:w="720" w:type="dxa"/>
            <w:shd w:val="clear" w:color="auto" w:fill="C6EFCE"/>
            <w:noWrap/>
          </w:tcPr>
          <w:p w14:paraId="2DC869A0" w14:textId="77777777" w:rsidR="00C45D59" w:rsidRDefault="009B0962">
            <w:pPr>
              <w:pStyle w:val="P68B1DB1-Normal12"/>
              <w:spacing w:after="0" w:line="240" w:lineRule="auto"/>
              <w:rPr>
                <w:noProof/>
              </w:rPr>
            </w:pPr>
            <w:r>
              <w:rPr>
                <w:noProof/>
              </w:rPr>
              <w:t>2026</w:t>
            </w:r>
          </w:p>
        </w:tc>
        <w:tc>
          <w:tcPr>
            <w:tcW w:w="3712" w:type="dxa"/>
            <w:shd w:val="clear" w:color="auto" w:fill="C6EFCE"/>
            <w:noWrap/>
          </w:tcPr>
          <w:p w14:paraId="7C88F07E" w14:textId="77777777" w:rsidR="00C45D59" w:rsidRDefault="009B0962">
            <w:pPr>
              <w:pStyle w:val="P68B1DB1-Normal12"/>
              <w:spacing w:after="0" w:line="240" w:lineRule="auto"/>
              <w:rPr>
                <w:noProof/>
              </w:rPr>
            </w:pPr>
            <w:r>
              <w:rPr>
                <w:noProof/>
              </w:rPr>
              <w:t>Lucrări de renovare și/sau construcție pentru încă 39 spitale din regiunile sanitare, altele decât 1 și 2.</w:t>
            </w:r>
          </w:p>
        </w:tc>
      </w:tr>
      <w:tr w:rsidR="00C45D59" w14:paraId="6A32C325" w14:textId="77777777" w:rsidTr="008A4BFA">
        <w:trPr>
          <w:trHeight w:val="313"/>
          <w:jc w:val="center"/>
        </w:trPr>
        <w:tc>
          <w:tcPr>
            <w:tcW w:w="607" w:type="dxa"/>
            <w:shd w:val="clear" w:color="auto" w:fill="C6EFCE"/>
            <w:noWrap/>
          </w:tcPr>
          <w:p w14:paraId="56F0D41D" w14:textId="77777777" w:rsidR="00C45D59" w:rsidRDefault="009B0962">
            <w:pPr>
              <w:pStyle w:val="P68B1DB1-Normal12"/>
              <w:spacing w:after="0" w:line="240" w:lineRule="auto"/>
              <w:rPr>
                <w:rFonts w:eastAsia="Times New Roman"/>
                <w:noProof/>
              </w:rPr>
            </w:pPr>
            <w:r>
              <w:rPr>
                <w:noProof/>
              </w:rPr>
              <w:t>171</w:t>
            </w:r>
          </w:p>
        </w:tc>
        <w:tc>
          <w:tcPr>
            <w:tcW w:w="2040" w:type="dxa"/>
            <w:shd w:val="clear" w:color="auto" w:fill="C6EFCE"/>
            <w:noWrap/>
          </w:tcPr>
          <w:p w14:paraId="70063E77" w14:textId="07EB90BC" w:rsidR="00C45D59" w:rsidRDefault="009B0962">
            <w:pPr>
              <w:pStyle w:val="P68B1DB1-Normal12"/>
              <w:spacing w:after="0" w:line="240" w:lineRule="auto"/>
              <w:rPr>
                <w:rFonts w:eastAsia="Times New Roman"/>
                <w:noProof/>
              </w:rPr>
            </w:pPr>
            <w:r>
              <w:rPr>
                <w:noProof/>
              </w:rPr>
              <w:t>10-3.3. Îmbunătățirea rezilienței, accesibilității și sustenabilității asistenței medicale – 16757_ Centrul de radioterapie din cadrul Spitalului de boli toracice „Sotiria” din Atena</w:t>
            </w:r>
          </w:p>
        </w:tc>
        <w:tc>
          <w:tcPr>
            <w:tcW w:w="1144" w:type="dxa"/>
            <w:shd w:val="clear" w:color="auto" w:fill="C6EFCE"/>
            <w:noWrap/>
          </w:tcPr>
          <w:p w14:paraId="3A974495" w14:textId="77777777" w:rsidR="00C45D59" w:rsidRDefault="009B0962">
            <w:pPr>
              <w:pStyle w:val="P68B1DB1-Normal12"/>
              <w:spacing w:after="0" w:line="240" w:lineRule="auto"/>
              <w:rPr>
                <w:rFonts w:eastAsia="Times New Roman"/>
                <w:noProof/>
              </w:rPr>
            </w:pPr>
            <w:r>
              <w:rPr>
                <w:noProof/>
              </w:rPr>
              <w:t>Etapă</w:t>
            </w:r>
          </w:p>
        </w:tc>
        <w:tc>
          <w:tcPr>
            <w:tcW w:w="1877" w:type="dxa"/>
            <w:shd w:val="clear" w:color="auto" w:fill="C6EFCE"/>
            <w:noWrap/>
          </w:tcPr>
          <w:p w14:paraId="582ECA97" w14:textId="77777777" w:rsidR="00C45D59" w:rsidRDefault="009B0962">
            <w:pPr>
              <w:pStyle w:val="P68B1DB1-Normal12"/>
              <w:spacing w:after="0" w:line="240" w:lineRule="auto"/>
              <w:rPr>
                <w:rFonts w:eastAsia="Times New Roman"/>
                <w:noProof/>
              </w:rPr>
            </w:pPr>
            <w:r>
              <w:rPr>
                <w:noProof/>
              </w:rPr>
              <w:t>Centrul de radioterapie Sotiria</w:t>
            </w:r>
          </w:p>
          <w:p w14:paraId="161EE11E"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553" w:type="dxa"/>
            <w:shd w:val="clear" w:color="auto" w:fill="C6EFCE"/>
            <w:noWrap/>
          </w:tcPr>
          <w:p w14:paraId="39AF02B5" w14:textId="6973F513" w:rsidR="00C45D59" w:rsidRDefault="009B0962">
            <w:pPr>
              <w:pStyle w:val="P68B1DB1-Normal12"/>
              <w:spacing w:after="0" w:line="240" w:lineRule="auto"/>
              <w:rPr>
                <w:rFonts w:eastAsia="Times New Roman"/>
                <w:noProof/>
              </w:rPr>
            </w:pPr>
            <w:r>
              <w:rPr>
                <w:noProof/>
              </w:rPr>
              <w:t>Construirea și integrarea noului centru de radioterapie în structura organizatorică a spitalului din Sortiria</w:t>
            </w:r>
          </w:p>
        </w:tc>
        <w:tc>
          <w:tcPr>
            <w:tcW w:w="1390" w:type="dxa"/>
            <w:shd w:val="clear" w:color="auto" w:fill="C6EFCE"/>
            <w:noWrap/>
          </w:tcPr>
          <w:p w14:paraId="0A07A62F"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134" w:type="dxa"/>
            <w:shd w:val="clear" w:color="auto" w:fill="C6EFCE"/>
            <w:noWrap/>
          </w:tcPr>
          <w:p w14:paraId="627F170A"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708" w:type="dxa"/>
            <w:shd w:val="clear" w:color="auto" w:fill="C6EFCE"/>
            <w:noWrap/>
          </w:tcPr>
          <w:p w14:paraId="40A3BCCA"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008" w:type="dxa"/>
            <w:shd w:val="clear" w:color="auto" w:fill="C6EFCE"/>
            <w:noWrap/>
          </w:tcPr>
          <w:p w14:paraId="648E6946" w14:textId="77777777" w:rsidR="00C45D59" w:rsidRDefault="009B0962">
            <w:pPr>
              <w:pStyle w:val="P68B1DB1-Normal12"/>
              <w:spacing w:after="0" w:line="240" w:lineRule="auto"/>
              <w:rPr>
                <w:rFonts w:eastAsia="Times New Roman"/>
                <w:noProof/>
              </w:rPr>
            </w:pPr>
            <w:r>
              <w:rPr>
                <w:noProof/>
              </w:rPr>
              <w:t>Î2</w:t>
            </w:r>
          </w:p>
        </w:tc>
        <w:tc>
          <w:tcPr>
            <w:tcW w:w="720" w:type="dxa"/>
            <w:shd w:val="clear" w:color="auto" w:fill="C6EFCE"/>
            <w:noWrap/>
          </w:tcPr>
          <w:p w14:paraId="46697EBE" w14:textId="77777777" w:rsidR="00C45D59" w:rsidRDefault="009B0962">
            <w:pPr>
              <w:pStyle w:val="P68B1DB1-Normal12"/>
              <w:spacing w:after="0" w:line="240" w:lineRule="auto"/>
              <w:rPr>
                <w:rFonts w:eastAsia="Times New Roman"/>
                <w:noProof/>
              </w:rPr>
            </w:pPr>
            <w:r>
              <w:rPr>
                <w:noProof/>
              </w:rPr>
              <w:t>2025</w:t>
            </w:r>
          </w:p>
        </w:tc>
        <w:tc>
          <w:tcPr>
            <w:tcW w:w="3712" w:type="dxa"/>
            <w:shd w:val="clear" w:color="auto" w:fill="C6EFCE"/>
            <w:noWrap/>
          </w:tcPr>
          <w:p w14:paraId="58301078" w14:textId="77777777" w:rsidR="00C45D59" w:rsidRDefault="009B0962">
            <w:pPr>
              <w:pStyle w:val="P68B1DB1-Normal27"/>
              <w:spacing w:after="0" w:line="240" w:lineRule="auto"/>
              <w:rPr>
                <w:noProof/>
              </w:rPr>
            </w:pPr>
            <w:r>
              <w:rPr>
                <w:noProof/>
              </w:rPr>
              <w:t>Construirea unei clădiri în spitalul Sotiria pentru a găzdui unități de radioterapie și chimioterapie, clinici ambulatorii și noi departamente de laborator.</w:t>
            </w:r>
          </w:p>
          <w:p w14:paraId="3507E7A4" w14:textId="016BF701" w:rsidR="00C45D59" w:rsidRDefault="009B0962">
            <w:pPr>
              <w:pStyle w:val="P68B1DB1-Normal27"/>
              <w:spacing w:after="0" w:line="240" w:lineRule="auto"/>
              <w:rPr>
                <w:noProof/>
              </w:rPr>
            </w:pPr>
            <w:r>
              <w:rPr>
                <w:noProof/>
              </w:rPr>
              <w:t>Noul centru de radioterapie din cadrul Spitalului Sotiria a fost integrat în noua structură organizațională a spitalului aprobată de KESYPE.</w:t>
            </w:r>
          </w:p>
          <w:p w14:paraId="0B4E4936" w14:textId="77777777" w:rsidR="00C45D59" w:rsidRDefault="00C45D59">
            <w:pPr>
              <w:spacing w:after="0" w:line="240" w:lineRule="auto"/>
              <w:rPr>
                <w:rFonts w:ascii="Times New Roman" w:eastAsiaTheme="minorEastAsia" w:hAnsi="Times New Roman" w:cs="Times New Roman"/>
                <w:noProof/>
                <w:color w:val="006100"/>
                <w:sz w:val="18"/>
                <w:szCs w:val="18"/>
              </w:rPr>
            </w:pPr>
          </w:p>
          <w:p w14:paraId="555B4CCC" w14:textId="77777777" w:rsidR="00C45D59" w:rsidRDefault="009B0962">
            <w:pPr>
              <w:pStyle w:val="P68B1DB1-Normal27"/>
              <w:spacing w:after="0" w:line="240" w:lineRule="auto"/>
              <w:rPr>
                <w:noProof/>
              </w:rPr>
            </w:pPr>
            <w:r>
              <w:rPr>
                <w:noProof/>
              </w:rPr>
              <w:t xml:space="preserve">Renovarea clădirii „300 Andron Men”, inclusiv a clinicilor. </w:t>
            </w:r>
          </w:p>
          <w:p w14:paraId="2A9E0015" w14:textId="77777777" w:rsidR="00C45D59" w:rsidRDefault="00C45D59">
            <w:pPr>
              <w:spacing w:after="0" w:line="240" w:lineRule="auto"/>
              <w:rPr>
                <w:rFonts w:ascii="Times New Roman" w:eastAsiaTheme="minorEastAsia" w:hAnsi="Times New Roman" w:cs="Times New Roman"/>
                <w:noProof/>
                <w:color w:val="006100"/>
                <w:sz w:val="18"/>
                <w:szCs w:val="18"/>
              </w:rPr>
            </w:pPr>
          </w:p>
          <w:p w14:paraId="0A75F488" w14:textId="77777777" w:rsidR="00C45D59" w:rsidRDefault="009B0962">
            <w:pPr>
              <w:pStyle w:val="P68B1DB1-Normal27"/>
              <w:spacing w:after="0" w:line="240" w:lineRule="auto"/>
              <w:rPr>
                <w:noProof/>
              </w:rPr>
            </w:pPr>
            <w:r>
              <w:rPr>
                <w:noProof/>
              </w:rPr>
              <w:t xml:space="preserve">Construirea unui pod care să interconecteze clădirea „300 Andron Men” și rețeaua existentă de poduri a spitalului. </w:t>
            </w:r>
          </w:p>
        </w:tc>
      </w:tr>
      <w:tr w:rsidR="00C45D59" w14:paraId="4CEE4B9D" w14:textId="77777777" w:rsidTr="008A4BFA">
        <w:trPr>
          <w:trHeight w:val="313"/>
          <w:jc w:val="center"/>
        </w:trPr>
        <w:tc>
          <w:tcPr>
            <w:tcW w:w="607" w:type="dxa"/>
            <w:shd w:val="clear" w:color="auto" w:fill="C6EFCE"/>
            <w:noWrap/>
          </w:tcPr>
          <w:p w14:paraId="3875560E" w14:textId="77777777" w:rsidR="00C45D59" w:rsidRDefault="009B0962">
            <w:pPr>
              <w:pStyle w:val="P68B1DB1-Normal12"/>
              <w:spacing w:after="0" w:line="240" w:lineRule="auto"/>
              <w:rPr>
                <w:rFonts w:eastAsia="Times New Roman"/>
                <w:noProof/>
              </w:rPr>
            </w:pPr>
            <w:r>
              <w:rPr>
                <w:noProof/>
              </w:rPr>
              <w:t>172</w:t>
            </w:r>
          </w:p>
        </w:tc>
        <w:tc>
          <w:tcPr>
            <w:tcW w:w="2040" w:type="dxa"/>
            <w:shd w:val="clear" w:color="auto" w:fill="C6EFCE"/>
            <w:noWrap/>
          </w:tcPr>
          <w:p w14:paraId="08733B58" w14:textId="77777777" w:rsidR="00C45D59" w:rsidRDefault="009B0962">
            <w:pPr>
              <w:pStyle w:val="P68B1DB1-Normal12"/>
              <w:spacing w:after="0" w:line="240" w:lineRule="auto"/>
              <w:rPr>
                <w:rFonts w:eastAsia="Times New Roman"/>
                <w:noProof/>
              </w:rPr>
            </w:pPr>
            <w:r>
              <w:rPr>
                <w:noProof/>
              </w:rPr>
              <w:t>10-3.3. Îmbunătățirea rezilienței, a accesibilității și a sustenabilității asistenței medicale – 16793_ Laboratoare de terapii celulare și de clinici de hematologie în cadrul Spitalului General din Salonic „Papanikolaou”</w:t>
            </w:r>
          </w:p>
        </w:tc>
        <w:tc>
          <w:tcPr>
            <w:tcW w:w="1144" w:type="dxa"/>
            <w:shd w:val="clear" w:color="auto" w:fill="C6EFCE"/>
            <w:noWrap/>
          </w:tcPr>
          <w:p w14:paraId="47B853CB" w14:textId="77777777" w:rsidR="00C45D59" w:rsidRDefault="009B0962">
            <w:pPr>
              <w:pStyle w:val="P68B1DB1-Normal12"/>
              <w:spacing w:after="0" w:line="240" w:lineRule="auto"/>
              <w:rPr>
                <w:rFonts w:eastAsia="Times New Roman"/>
                <w:noProof/>
              </w:rPr>
            </w:pPr>
            <w:r>
              <w:rPr>
                <w:noProof/>
              </w:rPr>
              <w:t>Etapă</w:t>
            </w:r>
          </w:p>
        </w:tc>
        <w:tc>
          <w:tcPr>
            <w:tcW w:w="1877" w:type="dxa"/>
            <w:shd w:val="clear" w:color="auto" w:fill="C6EFCE"/>
            <w:noWrap/>
          </w:tcPr>
          <w:p w14:paraId="05736EC3" w14:textId="77777777" w:rsidR="00C45D59" w:rsidRDefault="009B0962">
            <w:pPr>
              <w:pStyle w:val="P68B1DB1-Normal12"/>
              <w:spacing w:after="0" w:line="240" w:lineRule="auto"/>
              <w:rPr>
                <w:rFonts w:eastAsia="Times New Roman"/>
                <w:noProof/>
              </w:rPr>
            </w:pPr>
            <w:r>
              <w:rPr>
                <w:noProof/>
              </w:rPr>
              <w:t xml:space="preserve">Spitalul Papanikolaou </w:t>
            </w:r>
          </w:p>
        </w:tc>
        <w:tc>
          <w:tcPr>
            <w:tcW w:w="1553" w:type="dxa"/>
            <w:shd w:val="clear" w:color="auto" w:fill="C6EFCE"/>
            <w:noWrap/>
          </w:tcPr>
          <w:p w14:paraId="386CE46A" w14:textId="77777777" w:rsidR="00C45D59" w:rsidRDefault="009B0962">
            <w:pPr>
              <w:pStyle w:val="P68B1DB1-Normal12"/>
              <w:spacing w:after="0" w:line="240" w:lineRule="auto"/>
              <w:rPr>
                <w:rFonts w:eastAsia="Times New Roman"/>
                <w:noProof/>
              </w:rPr>
            </w:pPr>
            <w:r>
              <w:rPr>
                <w:noProof/>
              </w:rPr>
              <w:t xml:space="preserve">Construirea unei clădiri pentru găzduirea Clinicii de terapie și hematologie celulară &amp; gene </w:t>
            </w:r>
          </w:p>
        </w:tc>
        <w:tc>
          <w:tcPr>
            <w:tcW w:w="1390" w:type="dxa"/>
            <w:shd w:val="clear" w:color="auto" w:fill="C6EFCE"/>
            <w:noWrap/>
          </w:tcPr>
          <w:p w14:paraId="44838B7A"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134" w:type="dxa"/>
            <w:shd w:val="clear" w:color="auto" w:fill="C6EFCE"/>
            <w:noWrap/>
          </w:tcPr>
          <w:p w14:paraId="058AA06A"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708" w:type="dxa"/>
            <w:shd w:val="clear" w:color="auto" w:fill="C6EFCE"/>
            <w:noWrap/>
          </w:tcPr>
          <w:p w14:paraId="3238B4DC"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008" w:type="dxa"/>
            <w:shd w:val="clear" w:color="auto" w:fill="C6EFCE"/>
            <w:noWrap/>
          </w:tcPr>
          <w:p w14:paraId="447F3829" w14:textId="77777777" w:rsidR="00C45D59" w:rsidRDefault="009B0962">
            <w:pPr>
              <w:pStyle w:val="P68B1DB1-Normal12"/>
              <w:spacing w:after="0" w:line="240" w:lineRule="auto"/>
              <w:rPr>
                <w:rFonts w:eastAsia="Times New Roman"/>
                <w:noProof/>
              </w:rPr>
            </w:pPr>
            <w:r>
              <w:rPr>
                <w:noProof/>
              </w:rPr>
              <w:t>Î4</w:t>
            </w:r>
          </w:p>
        </w:tc>
        <w:tc>
          <w:tcPr>
            <w:tcW w:w="720" w:type="dxa"/>
            <w:shd w:val="clear" w:color="auto" w:fill="C6EFCE"/>
            <w:noWrap/>
          </w:tcPr>
          <w:p w14:paraId="5F9A475F" w14:textId="77777777" w:rsidR="00C45D59" w:rsidRDefault="009B0962">
            <w:pPr>
              <w:pStyle w:val="P68B1DB1-Normal12"/>
              <w:spacing w:after="0" w:line="240" w:lineRule="auto"/>
              <w:rPr>
                <w:rFonts w:eastAsia="Times New Roman"/>
                <w:noProof/>
              </w:rPr>
            </w:pPr>
            <w:r>
              <w:rPr>
                <w:noProof/>
              </w:rPr>
              <w:t>2025</w:t>
            </w:r>
          </w:p>
        </w:tc>
        <w:tc>
          <w:tcPr>
            <w:tcW w:w="3712" w:type="dxa"/>
            <w:shd w:val="clear" w:color="auto" w:fill="C6EFCE"/>
            <w:noWrap/>
          </w:tcPr>
          <w:p w14:paraId="3CB0F67B" w14:textId="77777777" w:rsidR="00C45D59" w:rsidRDefault="009B0962">
            <w:pPr>
              <w:pStyle w:val="P68B1DB1-Normal12"/>
              <w:spacing w:after="0" w:line="240" w:lineRule="auto"/>
              <w:rPr>
                <w:noProof/>
              </w:rPr>
            </w:pPr>
            <w:r>
              <w:rPr>
                <w:noProof/>
              </w:rPr>
              <w:t xml:space="preserve">Construirea unei clădiri pentru a găzdui 1) laboratoare specializate ale clinicii de terapie și hematologie celulară &amp; gene și 2) o unitate specială de asistență medicală. </w:t>
            </w:r>
          </w:p>
          <w:p w14:paraId="6BECA6E5" w14:textId="77777777" w:rsidR="00C45D59" w:rsidRDefault="00C45D59">
            <w:pPr>
              <w:spacing w:after="0" w:line="240" w:lineRule="auto"/>
              <w:rPr>
                <w:rFonts w:ascii="Times New Roman" w:hAnsi="Times New Roman" w:cs="Times New Roman"/>
                <w:noProof/>
                <w:color w:val="006100"/>
                <w:sz w:val="18"/>
                <w:szCs w:val="18"/>
              </w:rPr>
            </w:pPr>
          </w:p>
          <w:p w14:paraId="70CB93B4" w14:textId="77777777" w:rsidR="00C45D59" w:rsidRDefault="009B0962">
            <w:pPr>
              <w:pStyle w:val="P68B1DB1-Normal12"/>
              <w:spacing w:after="0" w:line="240" w:lineRule="auto"/>
              <w:rPr>
                <w:rFonts w:eastAsia="Times New Roman"/>
                <w:noProof/>
              </w:rPr>
            </w:pPr>
            <w:r>
              <w:rPr>
                <w:noProof/>
              </w:rPr>
              <w:t>Noua clădire trebuie să realizeze o cerere de energie primară (PED) cu cel puțin 20 % mai mică decât cerința privind clădirile al căror consum de energie este aproape egal cu zero.</w:t>
            </w:r>
          </w:p>
        </w:tc>
      </w:tr>
      <w:tr w:rsidR="00C45D59" w14:paraId="4B4035FB" w14:textId="77777777" w:rsidTr="008A4BFA">
        <w:trPr>
          <w:trHeight w:val="313"/>
          <w:jc w:val="center"/>
        </w:trPr>
        <w:tc>
          <w:tcPr>
            <w:tcW w:w="607" w:type="dxa"/>
            <w:shd w:val="clear" w:color="auto" w:fill="C6EFCE"/>
            <w:noWrap/>
          </w:tcPr>
          <w:p w14:paraId="6CD79D2D" w14:textId="77777777" w:rsidR="00C45D59" w:rsidRDefault="009B0962">
            <w:pPr>
              <w:pStyle w:val="P68B1DB1-Normal12"/>
              <w:spacing w:after="0" w:line="240" w:lineRule="auto"/>
              <w:rPr>
                <w:rFonts w:eastAsia="Times New Roman"/>
                <w:noProof/>
              </w:rPr>
            </w:pPr>
            <w:r>
              <w:rPr>
                <w:noProof/>
              </w:rPr>
              <w:t>173</w:t>
            </w:r>
          </w:p>
        </w:tc>
        <w:tc>
          <w:tcPr>
            <w:tcW w:w="2040" w:type="dxa"/>
            <w:shd w:val="clear" w:color="auto" w:fill="C6EFCE"/>
            <w:noWrap/>
          </w:tcPr>
          <w:p w14:paraId="26B5AAB4" w14:textId="77777777" w:rsidR="00C45D59" w:rsidRDefault="009B0962">
            <w:pPr>
              <w:pStyle w:val="P68B1DB1-Normal12"/>
              <w:spacing w:after="0" w:line="240" w:lineRule="auto"/>
              <w:rPr>
                <w:rFonts w:eastAsia="Times New Roman"/>
                <w:noProof/>
              </w:rPr>
            </w:pPr>
            <w:r>
              <w:rPr>
                <w:noProof/>
              </w:rPr>
              <w:t>10-3.3. Îmbunătățirea rezilienței, a accesibilității și a sustenabilității asistenței medicale – 16752_Transformarea digitală a sănătății (DigHealth)</w:t>
            </w:r>
          </w:p>
          <w:p w14:paraId="22628FD6" w14:textId="77777777" w:rsidR="00C45D59" w:rsidRDefault="00C45D59">
            <w:pPr>
              <w:spacing w:before="120" w:after="120" w:line="240" w:lineRule="auto"/>
              <w:jc w:val="center"/>
              <w:rPr>
                <w:rFonts w:ascii="Times New Roman" w:eastAsia="Times New Roman" w:hAnsi="Times New Roman" w:cs="Times New Roman"/>
                <w:noProof/>
                <w:sz w:val="18"/>
                <w:szCs w:val="18"/>
              </w:rPr>
            </w:pPr>
          </w:p>
        </w:tc>
        <w:tc>
          <w:tcPr>
            <w:tcW w:w="1144" w:type="dxa"/>
            <w:shd w:val="clear" w:color="auto" w:fill="C6EFCE"/>
            <w:noWrap/>
          </w:tcPr>
          <w:p w14:paraId="3A34D36B" w14:textId="77777777" w:rsidR="00C45D59" w:rsidRDefault="009B0962">
            <w:pPr>
              <w:pStyle w:val="P68B1DB1-Normal12"/>
              <w:spacing w:after="0" w:line="240" w:lineRule="auto"/>
              <w:rPr>
                <w:rFonts w:eastAsia="Times New Roman"/>
                <w:noProof/>
              </w:rPr>
            </w:pPr>
            <w:r>
              <w:rPr>
                <w:noProof/>
              </w:rPr>
              <w:t>Etapă</w:t>
            </w:r>
          </w:p>
        </w:tc>
        <w:tc>
          <w:tcPr>
            <w:tcW w:w="1877" w:type="dxa"/>
            <w:shd w:val="clear" w:color="auto" w:fill="C6EFCE"/>
            <w:noWrap/>
          </w:tcPr>
          <w:p w14:paraId="179F7F13" w14:textId="77777777" w:rsidR="00C45D59" w:rsidRDefault="009B0962">
            <w:pPr>
              <w:pStyle w:val="P68B1DB1-Normal12"/>
              <w:spacing w:after="0" w:line="240" w:lineRule="auto"/>
              <w:rPr>
                <w:rFonts w:eastAsia="Times New Roman"/>
                <w:noProof/>
              </w:rPr>
            </w:pPr>
            <w:r>
              <w:rPr>
                <w:noProof/>
              </w:rPr>
              <w:t>Transformarea digitală – toate subproiectele realizate, etapa 1</w:t>
            </w:r>
          </w:p>
        </w:tc>
        <w:tc>
          <w:tcPr>
            <w:tcW w:w="1553" w:type="dxa"/>
            <w:shd w:val="clear" w:color="auto" w:fill="C6EFCE"/>
            <w:noWrap/>
          </w:tcPr>
          <w:p w14:paraId="5CDAAF27" w14:textId="77777777" w:rsidR="00C45D59" w:rsidRDefault="009B0962">
            <w:pPr>
              <w:pStyle w:val="P68B1DB1-Normal12"/>
              <w:spacing w:after="0" w:line="240" w:lineRule="auto"/>
              <w:rPr>
                <w:noProof/>
              </w:rPr>
            </w:pPr>
            <w:r>
              <w:rPr>
                <w:noProof/>
              </w:rPr>
              <w:t>Dosarul medical digital național al pacientului este furnizat, iar capacitatea rețelei naționale de telemedicină este extinsă</w:t>
            </w:r>
          </w:p>
        </w:tc>
        <w:tc>
          <w:tcPr>
            <w:tcW w:w="1390" w:type="dxa"/>
            <w:shd w:val="clear" w:color="auto" w:fill="C6EFCE"/>
            <w:noWrap/>
          </w:tcPr>
          <w:p w14:paraId="4C7E4E4C"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134" w:type="dxa"/>
            <w:shd w:val="clear" w:color="auto" w:fill="C6EFCE"/>
            <w:noWrap/>
          </w:tcPr>
          <w:p w14:paraId="248E9F5D"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708" w:type="dxa"/>
            <w:shd w:val="clear" w:color="auto" w:fill="C6EFCE"/>
            <w:noWrap/>
          </w:tcPr>
          <w:p w14:paraId="0E847FE4"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008" w:type="dxa"/>
            <w:shd w:val="clear" w:color="auto" w:fill="C6EFCE"/>
            <w:noWrap/>
          </w:tcPr>
          <w:p w14:paraId="0C2AFDC9" w14:textId="77777777" w:rsidR="00C45D59" w:rsidRDefault="009B0962">
            <w:pPr>
              <w:pStyle w:val="P68B1DB1-Normal12"/>
              <w:spacing w:after="0" w:line="240" w:lineRule="auto"/>
              <w:rPr>
                <w:rFonts w:eastAsia="Times New Roman"/>
                <w:noProof/>
              </w:rPr>
            </w:pPr>
            <w:r>
              <w:rPr>
                <w:noProof/>
              </w:rPr>
              <w:t>Î4</w:t>
            </w:r>
          </w:p>
        </w:tc>
        <w:tc>
          <w:tcPr>
            <w:tcW w:w="720" w:type="dxa"/>
            <w:shd w:val="clear" w:color="auto" w:fill="C6EFCE"/>
            <w:noWrap/>
          </w:tcPr>
          <w:p w14:paraId="6856C515" w14:textId="77777777" w:rsidR="00C45D59" w:rsidRDefault="009B0962">
            <w:pPr>
              <w:pStyle w:val="P68B1DB1-Normal12"/>
              <w:spacing w:after="0" w:line="240" w:lineRule="auto"/>
              <w:rPr>
                <w:rFonts w:eastAsia="Times New Roman"/>
                <w:noProof/>
              </w:rPr>
            </w:pPr>
            <w:r>
              <w:rPr>
                <w:noProof/>
              </w:rPr>
              <w:t>2025</w:t>
            </w:r>
          </w:p>
        </w:tc>
        <w:tc>
          <w:tcPr>
            <w:tcW w:w="3712" w:type="dxa"/>
            <w:shd w:val="clear" w:color="auto" w:fill="C6EFCE"/>
            <w:noWrap/>
          </w:tcPr>
          <w:p w14:paraId="4C507898" w14:textId="77777777" w:rsidR="00C45D59" w:rsidRDefault="009B0962">
            <w:pPr>
              <w:pStyle w:val="P68B1DB1-Normal12"/>
              <w:spacing w:after="0" w:line="240" w:lineRule="auto"/>
              <w:rPr>
                <w:noProof/>
              </w:rPr>
            </w:pPr>
            <w:r>
              <w:rPr>
                <w:noProof/>
              </w:rPr>
              <w:t>Îndeplinirea jalonului necesită:</w:t>
            </w:r>
          </w:p>
          <w:p w14:paraId="462F3709" w14:textId="1D72CE5F" w:rsidR="00C45D59" w:rsidRDefault="009B0962">
            <w:pPr>
              <w:pStyle w:val="P68B1DB1-Normal12"/>
              <w:spacing w:after="0" w:line="240" w:lineRule="auto"/>
              <w:rPr>
                <w:noProof/>
              </w:rPr>
            </w:pPr>
            <w:r>
              <w:rPr>
                <w:noProof/>
              </w:rPr>
              <w:t>furnizarea dosarului medical digital național, inclusiv a tehnologiilor de redare vocală în domeniul tehnologiei care utilizează inteligența artificială (IA), includerea examinărilor radiologice efectuate în sectorul privat, includerea procesului de diagnosticare la distanță în depozitul de imagini radiologice</w:t>
            </w:r>
          </w:p>
          <w:p w14:paraId="1C5F299E" w14:textId="77777777" w:rsidR="00C45D59" w:rsidRDefault="00C45D59">
            <w:pPr>
              <w:spacing w:after="0" w:line="240" w:lineRule="auto"/>
              <w:rPr>
                <w:rFonts w:ascii="Times New Roman" w:hAnsi="Times New Roman" w:cs="Times New Roman"/>
                <w:noProof/>
                <w:color w:val="006100"/>
                <w:sz w:val="18"/>
                <w:szCs w:val="18"/>
              </w:rPr>
            </w:pPr>
          </w:p>
          <w:p w14:paraId="7BFD9B6A" w14:textId="210BAFFF" w:rsidR="00C45D59" w:rsidRDefault="009B0962">
            <w:pPr>
              <w:pStyle w:val="P68B1DB1-Normal12"/>
              <w:spacing w:after="0" w:line="240" w:lineRule="auto"/>
              <w:rPr>
                <w:noProof/>
              </w:rPr>
            </w:pPr>
            <w:r>
              <w:rPr>
                <w:noProof/>
              </w:rPr>
              <w:t>b) extinderea capacității rețelei naționale de telemedicină, inclusiv a noilor stații de telemedicină</w:t>
            </w:r>
          </w:p>
        </w:tc>
      </w:tr>
      <w:tr w:rsidR="00C45D59" w14:paraId="435EC786" w14:textId="77777777" w:rsidTr="008A4BFA">
        <w:trPr>
          <w:trHeight w:val="313"/>
          <w:jc w:val="center"/>
        </w:trPr>
        <w:tc>
          <w:tcPr>
            <w:tcW w:w="607" w:type="dxa"/>
            <w:shd w:val="clear" w:color="auto" w:fill="C6EFCE"/>
            <w:noWrap/>
          </w:tcPr>
          <w:p w14:paraId="7963BD6A" w14:textId="77777777" w:rsidR="00C45D59" w:rsidRDefault="009B0962">
            <w:pPr>
              <w:pStyle w:val="P68B1DB1-Normal12"/>
              <w:spacing w:after="0" w:line="240" w:lineRule="auto"/>
              <w:rPr>
                <w:noProof/>
              </w:rPr>
            </w:pPr>
            <w:r>
              <w:rPr>
                <w:noProof/>
              </w:rPr>
              <w:t>173a</w:t>
            </w:r>
          </w:p>
        </w:tc>
        <w:tc>
          <w:tcPr>
            <w:tcW w:w="2040" w:type="dxa"/>
            <w:shd w:val="clear" w:color="auto" w:fill="C6EFCE"/>
            <w:noWrap/>
          </w:tcPr>
          <w:p w14:paraId="32443FDD" w14:textId="586B9E61" w:rsidR="00C45D59" w:rsidRDefault="009B0962">
            <w:pPr>
              <w:pStyle w:val="P68B1DB1-Normal12"/>
              <w:spacing w:after="0" w:line="240" w:lineRule="auto"/>
              <w:rPr>
                <w:noProof/>
              </w:rPr>
            </w:pPr>
            <w:r>
              <w:rPr>
                <w:noProof/>
              </w:rPr>
              <w:t>10-3.3. Îmbunătățirea rezilienței, a accesibilității și a sustenabilității asistenței medicale – 16752_Transformarea digitală a sănătății (DigHealth)</w:t>
            </w:r>
          </w:p>
        </w:tc>
        <w:tc>
          <w:tcPr>
            <w:tcW w:w="1144" w:type="dxa"/>
            <w:shd w:val="clear" w:color="auto" w:fill="C6EFCE"/>
            <w:noWrap/>
          </w:tcPr>
          <w:p w14:paraId="7F52D20F" w14:textId="77777777" w:rsidR="00C45D59" w:rsidRDefault="009B0962">
            <w:pPr>
              <w:pStyle w:val="P68B1DB1-Normal12"/>
              <w:spacing w:after="0" w:line="240" w:lineRule="auto"/>
              <w:rPr>
                <w:noProof/>
              </w:rPr>
            </w:pPr>
            <w:r>
              <w:rPr>
                <w:noProof/>
              </w:rPr>
              <w:t>Etapă</w:t>
            </w:r>
          </w:p>
        </w:tc>
        <w:tc>
          <w:tcPr>
            <w:tcW w:w="1877" w:type="dxa"/>
            <w:shd w:val="clear" w:color="auto" w:fill="C6EFCE"/>
            <w:noWrap/>
          </w:tcPr>
          <w:p w14:paraId="275172F3" w14:textId="77777777" w:rsidR="00C45D59" w:rsidRDefault="009B0962">
            <w:pPr>
              <w:pStyle w:val="P68B1DB1-Normal12"/>
              <w:spacing w:after="0" w:line="240" w:lineRule="auto"/>
              <w:rPr>
                <w:noProof/>
              </w:rPr>
            </w:pPr>
            <w:r>
              <w:rPr>
                <w:noProof/>
              </w:rPr>
              <w:t>Transformarea digitală – toate subproiectele realizate, etapa 2</w:t>
            </w:r>
          </w:p>
        </w:tc>
        <w:tc>
          <w:tcPr>
            <w:tcW w:w="1553" w:type="dxa"/>
            <w:shd w:val="clear" w:color="auto" w:fill="C6EFCE"/>
            <w:noWrap/>
          </w:tcPr>
          <w:p w14:paraId="7AB3A486" w14:textId="31595132" w:rsidR="00C45D59" w:rsidRDefault="009B0962">
            <w:pPr>
              <w:pStyle w:val="P68B1DB1-Normal12"/>
              <w:spacing w:after="0" w:line="240" w:lineRule="auto"/>
              <w:rPr>
                <w:noProof/>
              </w:rPr>
            </w:pPr>
            <w:r>
              <w:rPr>
                <w:noProof/>
              </w:rPr>
              <w:t>Sistemul de gestionare a echipamentelor medicale și elementele din cadrul pregătirii digitale a spitalului sunt livrate</w:t>
            </w:r>
          </w:p>
        </w:tc>
        <w:tc>
          <w:tcPr>
            <w:tcW w:w="1390" w:type="dxa"/>
            <w:shd w:val="clear" w:color="auto" w:fill="C6EFCE"/>
            <w:noWrap/>
          </w:tcPr>
          <w:p w14:paraId="58BB971F"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134" w:type="dxa"/>
            <w:shd w:val="clear" w:color="auto" w:fill="C6EFCE"/>
            <w:noWrap/>
          </w:tcPr>
          <w:p w14:paraId="2FA17693"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708" w:type="dxa"/>
            <w:shd w:val="clear" w:color="auto" w:fill="C6EFCE"/>
            <w:noWrap/>
          </w:tcPr>
          <w:p w14:paraId="604EB7F9"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008" w:type="dxa"/>
            <w:shd w:val="clear" w:color="auto" w:fill="C6EFCE"/>
            <w:noWrap/>
          </w:tcPr>
          <w:p w14:paraId="46F4ABBD" w14:textId="77777777" w:rsidR="00C45D59" w:rsidRDefault="009B0962">
            <w:pPr>
              <w:pStyle w:val="P68B1DB1-Normal12"/>
              <w:spacing w:after="0" w:line="240" w:lineRule="auto"/>
              <w:rPr>
                <w:noProof/>
              </w:rPr>
            </w:pPr>
            <w:r>
              <w:rPr>
                <w:noProof/>
              </w:rPr>
              <w:t>Î4</w:t>
            </w:r>
          </w:p>
        </w:tc>
        <w:tc>
          <w:tcPr>
            <w:tcW w:w="720" w:type="dxa"/>
            <w:shd w:val="clear" w:color="auto" w:fill="C6EFCE"/>
            <w:noWrap/>
          </w:tcPr>
          <w:p w14:paraId="336D5B29" w14:textId="77777777" w:rsidR="00C45D59" w:rsidRDefault="009B0962">
            <w:pPr>
              <w:pStyle w:val="P68B1DB1-Normal12"/>
              <w:spacing w:after="0" w:line="240" w:lineRule="auto"/>
              <w:rPr>
                <w:noProof/>
              </w:rPr>
            </w:pPr>
            <w:r>
              <w:rPr>
                <w:noProof/>
              </w:rPr>
              <w:t>2025</w:t>
            </w:r>
          </w:p>
        </w:tc>
        <w:tc>
          <w:tcPr>
            <w:tcW w:w="3712" w:type="dxa"/>
            <w:shd w:val="clear" w:color="auto" w:fill="C6EFCE"/>
            <w:noWrap/>
          </w:tcPr>
          <w:p w14:paraId="7959A784" w14:textId="724F91E0" w:rsidR="00C45D59" w:rsidRDefault="009B0962">
            <w:pPr>
              <w:pStyle w:val="P68B1DB1-Normal12"/>
              <w:spacing w:after="0" w:line="240" w:lineRule="auto"/>
              <w:rPr>
                <w:noProof/>
              </w:rPr>
            </w:pPr>
            <w:r>
              <w:rPr>
                <w:noProof/>
              </w:rPr>
              <w:t xml:space="preserve">Furnizarea de: </w:t>
            </w:r>
          </w:p>
          <w:p w14:paraId="5B2C5931" w14:textId="7C794466" w:rsidR="00C45D59" w:rsidRDefault="009B0962">
            <w:pPr>
              <w:pStyle w:val="P68B1DB1-ListParagraph34"/>
              <w:numPr>
                <w:ilvl w:val="0"/>
                <w:numId w:val="98"/>
              </w:numPr>
              <w:spacing w:after="0" w:line="240" w:lineRule="auto"/>
              <w:rPr>
                <w:noProof/>
              </w:rPr>
            </w:pPr>
            <w:r>
              <w:rPr>
                <w:noProof/>
              </w:rPr>
              <w:t>sistemul de gestionare a echipamentelor medicale</w:t>
            </w:r>
          </w:p>
          <w:p w14:paraId="054F0426" w14:textId="79B51106" w:rsidR="00C45D59" w:rsidRDefault="009B0962">
            <w:pPr>
              <w:pStyle w:val="P68B1DB1-ListParagraph34"/>
              <w:numPr>
                <w:ilvl w:val="0"/>
                <w:numId w:val="98"/>
              </w:numPr>
              <w:spacing w:after="0" w:line="240" w:lineRule="auto"/>
              <w:rPr>
                <w:noProof/>
              </w:rPr>
            </w:pPr>
            <w:r>
              <w:rPr>
                <w:noProof/>
              </w:rPr>
              <w:t>Interoperabilitatea DRG, comenzile electronice, sistemele de informații clinice noi și/sau modernizate din spitale, în cadrul proiectului „pregătirea digitală a spitalelor”</w:t>
            </w:r>
          </w:p>
        </w:tc>
      </w:tr>
      <w:tr w:rsidR="00C45D59" w14:paraId="001483C1" w14:textId="77777777" w:rsidTr="008A4BFA">
        <w:trPr>
          <w:trHeight w:val="313"/>
          <w:jc w:val="center"/>
        </w:trPr>
        <w:tc>
          <w:tcPr>
            <w:tcW w:w="607" w:type="dxa"/>
            <w:shd w:val="clear" w:color="auto" w:fill="C6EFCE"/>
            <w:noWrap/>
          </w:tcPr>
          <w:p w14:paraId="26192F7B" w14:textId="77777777" w:rsidR="00C45D59" w:rsidRDefault="009B0962">
            <w:pPr>
              <w:pStyle w:val="P68B1DB1-Normal12"/>
              <w:spacing w:after="0" w:line="240" w:lineRule="auto"/>
              <w:rPr>
                <w:noProof/>
              </w:rPr>
            </w:pPr>
            <w:r>
              <w:rPr>
                <w:noProof/>
              </w:rPr>
              <w:t>173b</w:t>
            </w:r>
          </w:p>
        </w:tc>
        <w:tc>
          <w:tcPr>
            <w:tcW w:w="2040" w:type="dxa"/>
            <w:shd w:val="clear" w:color="auto" w:fill="C6EFCE"/>
            <w:noWrap/>
          </w:tcPr>
          <w:p w14:paraId="2F3F4652" w14:textId="77777777" w:rsidR="00C45D59" w:rsidRDefault="009B0962">
            <w:pPr>
              <w:pStyle w:val="P68B1DB1-Normal12"/>
              <w:spacing w:after="0" w:line="240" w:lineRule="auto"/>
              <w:rPr>
                <w:rFonts w:eastAsia="Times New Roman"/>
                <w:noProof/>
              </w:rPr>
            </w:pPr>
            <w:r>
              <w:rPr>
                <w:noProof/>
              </w:rPr>
              <w:t>10-3.3. Îmbunătățirea rezilienței, a accesibilității și a sustenabilității asistenței medicale – 16752_Transformarea digitală a sănătății (DigHealth)</w:t>
            </w:r>
          </w:p>
          <w:p w14:paraId="297979F4" w14:textId="77777777" w:rsidR="00C45D59" w:rsidRDefault="00C45D59">
            <w:pPr>
              <w:spacing w:after="0" w:line="240" w:lineRule="auto"/>
              <w:rPr>
                <w:rFonts w:ascii="Times New Roman" w:hAnsi="Times New Roman" w:cs="Times New Roman"/>
                <w:noProof/>
                <w:color w:val="006100"/>
                <w:sz w:val="18"/>
                <w:szCs w:val="18"/>
              </w:rPr>
            </w:pPr>
          </w:p>
        </w:tc>
        <w:tc>
          <w:tcPr>
            <w:tcW w:w="1144" w:type="dxa"/>
            <w:shd w:val="clear" w:color="auto" w:fill="C6EFCE"/>
            <w:noWrap/>
          </w:tcPr>
          <w:p w14:paraId="34484807" w14:textId="77777777" w:rsidR="00C45D59" w:rsidRDefault="009B0962">
            <w:pPr>
              <w:pStyle w:val="P68B1DB1-Normal12"/>
              <w:spacing w:after="0" w:line="240" w:lineRule="auto"/>
              <w:rPr>
                <w:noProof/>
              </w:rPr>
            </w:pPr>
            <w:r>
              <w:rPr>
                <w:noProof/>
              </w:rPr>
              <w:t>Etapă</w:t>
            </w:r>
          </w:p>
        </w:tc>
        <w:tc>
          <w:tcPr>
            <w:tcW w:w="1877" w:type="dxa"/>
            <w:shd w:val="clear" w:color="auto" w:fill="C6EFCE"/>
            <w:noWrap/>
          </w:tcPr>
          <w:p w14:paraId="54000BD5" w14:textId="77777777" w:rsidR="00C45D59" w:rsidRDefault="009B0962">
            <w:pPr>
              <w:pStyle w:val="P68B1DB1-Normal12"/>
              <w:spacing w:after="0" w:line="240" w:lineRule="auto"/>
              <w:rPr>
                <w:noProof/>
              </w:rPr>
            </w:pPr>
            <w:r>
              <w:rPr>
                <w:noProof/>
              </w:rPr>
              <w:t>Transformarea digitală – toate subproiectele realizate, etapa 3</w:t>
            </w:r>
          </w:p>
        </w:tc>
        <w:tc>
          <w:tcPr>
            <w:tcW w:w="1553" w:type="dxa"/>
            <w:shd w:val="clear" w:color="auto" w:fill="C6EFCE"/>
            <w:noWrap/>
          </w:tcPr>
          <w:p w14:paraId="20D2DBAC" w14:textId="56DF431C" w:rsidR="00C45D59" w:rsidRDefault="009B0962">
            <w:pPr>
              <w:pStyle w:val="P68B1DB1-Normal12"/>
              <w:spacing w:after="0" w:line="240" w:lineRule="auto"/>
              <w:rPr>
                <w:noProof/>
              </w:rPr>
            </w:pPr>
            <w:r>
              <w:rPr>
                <w:noProof/>
              </w:rPr>
              <w:t>Sunt furnizate elemente în cadrul programului de transformare digitală a asistenței medicale oncologice/hematologice, sistemul informatic integrat al EOPYY este modernizat, iar sistemul de prescripție electronică este extins pentru a acoperi asistența medicală spitalicească</w:t>
            </w:r>
          </w:p>
        </w:tc>
        <w:tc>
          <w:tcPr>
            <w:tcW w:w="1390" w:type="dxa"/>
            <w:shd w:val="clear" w:color="auto" w:fill="C6EFCE"/>
            <w:noWrap/>
          </w:tcPr>
          <w:p w14:paraId="54422189"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134" w:type="dxa"/>
            <w:shd w:val="clear" w:color="auto" w:fill="C6EFCE"/>
            <w:noWrap/>
          </w:tcPr>
          <w:p w14:paraId="080D6CA0"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708" w:type="dxa"/>
            <w:shd w:val="clear" w:color="auto" w:fill="C6EFCE"/>
            <w:noWrap/>
          </w:tcPr>
          <w:p w14:paraId="060CE02A"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008" w:type="dxa"/>
            <w:shd w:val="clear" w:color="auto" w:fill="C6EFCE"/>
            <w:noWrap/>
          </w:tcPr>
          <w:p w14:paraId="37005AEA" w14:textId="77777777" w:rsidR="00C45D59" w:rsidRDefault="009B0962">
            <w:pPr>
              <w:pStyle w:val="P68B1DB1-Normal12"/>
              <w:spacing w:after="0" w:line="240" w:lineRule="auto"/>
              <w:rPr>
                <w:noProof/>
              </w:rPr>
            </w:pPr>
            <w:r>
              <w:rPr>
                <w:noProof/>
              </w:rPr>
              <w:t>Î4</w:t>
            </w:r>
          </w:p>
        </w:tc>
        <w:tc>
          <w:tcPr>
            <w:tcW w:w="720" w:type="dxa"/>
            <w:shd w:val="clear" w:color="auto" w:fill="C6EFCE"/>
            <w:noWrap/>
          </w:tcPr>
          <w:p w14:paraId="23AC8A91" w14:textId="77777777" w:rsidR="00C45D59" w:rsidRDefault="009B0962">
            <w:pPr>
              <w:pStyle w:val="P68B1DB1-Normal12"/>
              <w:spacing w:after="0" w:line="240" w:lineRule="auto"/>
              <w:rPr>
                <w:noProof/>
              </w:rPr>
            </w:pPr>
            <w:r>
              <w:rPr>
                <w:noProof/>
              </w:rPr>
              <w:t>2025</w:t>
            </w:r>
          </w:p>
        </w:tc>
        <w:tc>
          <w:tcPr>
            <w:tcW w:w="3712" w:type="dxa"/>
            <w:shd w:val="clear" w:color="auto" w:fill="C6EFCE"/>
            <w:noWrap/>
          </w:tcPr>
          <w:p w14:paraId="2D4CA210" w14:textId="500BF6C6" w:rsidR="00C45D59" w:rsidRDefault="009B0962">
            <w:pPr>
              <w:pStyle w:val="P68B1DB1-ListParagraph31"/>
              <w:numPr>
                <w:ilvl w:val="0"/>
                <w:numId w:val="50"/>
              </w:numPr>
              <w:spacing w:after="0" w:line="240" w:lineRule="auto"/>
              <w:rPr>
                <w:noProof/>
              </w:rPr>
            </w:pPr>
            <w:r>
              <w:rPr>
                <w:noProof/>
              </w:rPr>
              <w:t>furnizarea sistemului de informații privind tratamentul cancerului în cel puțin 12 spitale (inclusiv protocoale terapeutice pentru chimioterapie), implementarea/instituirea registrului național privind cancerul, extinderea registrului pacienților pentru a include pacienții cu tumori benigne, în cadrul programului de transformare digitală a îngrijirilor oncologice/hematologice</w:t>
            </w:r>
          </w:p>
          <w:p w14:paraId="3134625D" w14:textId="77777777" w:rsidR="00C45D59" w:rsidRDefault="009B0962">
            <w:pPr>
              <w:pStyle w:val="P68B1DB1-ListParagraph31"/>
              <w:numPr>
                <w:ilvl w:val="0"/>
                <w:numId w:val="50"/>
              </w:numPr>
              <w:spacing w:after="0" w:line="240" w:lineRule="auto"/>
              <w:rPr>
                <w:noProof/>
              </w:rPr>
            </w:pPr>
            <w:r>
              <w:rPr>
                <w:noProof/>
              </w:rPr>
              <w:t>modernizarea digitală a sistemului informatic integrat al EOPYY (Organizația Națională pentru Furnizarea de Servicii de Sănătate), inclusiv gestionarea și monitorizarea cheltuielilor, gestionarea datelor, analiza și interoperabilitatea cu 3 părți terțe</w:t>
            </w:r>
          </w:p>
          <w:p w14:paraId="5A5EC0BA" w14:textId="33A7D9CA" w:rsidR="00C45D59" w:rsidRDefault="009B0962">
            <w:pPr>
              <w:pStyle w:val="P68B1DB1-ListParagraph31"/>
              <w:numPr>
                <w:ilvl w:val="0"/>
                <w:numId w:val="50"/>
              </w:numPr>
              <w:spacing w:after="0" w:line="240" w:lineRule="auto"/>
              <w:rPr>
                <w:noProof/>
              </w:rPr>
            </w:pPr>
            <w:r>
              <w:rPr>
                <w:noProof/>
              </w:rPr>
              <w:t>Extinderea sistemului de prescripție electronică pentru a include asistența medicală spitalicească</w:t>
            </w:r>
          </w:p>
        </w:tc>
      </w:tr>
    </w:tbl>
    <w:p w14:paraId="2E0F30F9" w14:textId="77777777" w:rsidR="00C45D59" w:rsidRDefault="00C45D59">
      <w:pPr>
        <w:spacing w:before="120" w:after="120" w:line="240" w:lineRule="auto"/>
        <w:jc w:val="both"/>
        <w:rPr>
          <w:rFonts w:ascii="Times New Roman" w:hAnsi="Times New Roman" w:cs="Times New Roman"/>
          <w:noProof/>
          <w:sz w:val="24"/>
        </w:rPr>
        <w:sectPr w:rsidR="00C45D59">
          <w:headerReference w:type="even" r:id="rId222"/>
          <w:headerReference w:type="default" r:id="rId223"/>
          <w:footerReference w:type="even" r:id="rId224"/>
          <w:footerReference w:type="default" r:id="rId225"/>
          <w:headerReference w:type="first" r:id="rId226"/>
          <w:footerReference w:type="first" r:id="rId227"/>
          <w:pgSz w:w="16839" w:h="11907" w:orient="landscape"/>
          <w:pgMar w:top="1134" w:right="1134" w:bottom="1134" w:left="1134" w:header="567" w:footer="567" w:gutter="0"/>
          <w:cols w:space="720"/>
          <w:docGrid w:linePitch="360"/>
        </w:sectPr>
      </w:pPr>
    </w:p>
    <w:p w14:paraId="17D67A3B" w14:textId="77777777" w:rsidR="00C45D59" w:rsidRDefault="009B0962">
      <w:pPr>
        <w:pStyle w:val="P68B1DB1-Normal17"/>
        <w:spacing w:before="120" w:after="120" w:line="240" w:lineRule="auto"/>
        <w:ind w:firstLine="6"/>
        <w:jc w:val="both"/>
        <w:outlineLvl w:val="3"/>
        <w:rPr>
          <w:rFonts w:cs="Times New Roman"/>
          <w:noProof/>
          <w:szCs w:val="24"/>
        </w:rPr>
      </w:pPr>
      <w:r>
        <w:rPr>
          <w:noProof/>
        </w:rPr>
        <w:t>K. COMPONENTA 3.4: CREȘTEREA ACCESULUI LA POLITICI SOCIALE EFICACE ȘI FAVORABILE INCLUZIUNII</w:t>
      </w:r>
    </w:p>
    <w:p w14:paraId="1A1BEC46" w14:textId="77777777" w:rsidR="00C45D59" w:rsidRDefault="009B0962">
      <w:pPr>
        <w:pStyle w:val="P68B1DB1-Normal5"/>
        <w:spacing w:before="120" w:after="120" w:line="240" w:lineRule="auto"/>
        <w:jc w:val="both"/>
        <w:rPr>
          <w:rFonts w:cs="Times New Roman"/>
          <w:noProof/>
          <w:szCs w:val="24"/>
        </w:rPr>
      </w:pPr>
      <w:r>
        <w:rPr>
          <w:noProof/>
        </w:rPr>
        <w:t>Această componentă a planului elen de redresare și rezoluție vizează promovarea incluziunii sociale, cu un accent deosebit pe grupurile vulnerabile, sprijinind în același timp participarea femeilor pe piața forței de muncă. O mare parte a componentei este dedicată educației și îngrijirii copiilor preșcolari, în special sub formă de subvenții pentru crearea a 1 000 de noi unități de îngrijire a copiilor în municipalități. Planul permite, de asemenea, măsuri de activare pe piața forței de muncă pentru grupurile vulnerabile, inclusiv pentru beneficiarii venitului minim garantat, refugiați, persoanele fără adăpost, romi și persoanele care suferă de tulburări din spectrul autismului. Un program de formare la scară largă pentru întreprinderile mici cu privire la sensibilizarea cu privire la diversitate și mai multe proiecte-pilot mici, cum ar fi cele privind dezinstituționalizarea copiilor, sprijinirea persoanelor cu handicap și locuințele sociale, sunt, de asemenea, elemente-cheie ale planului.</w:t>
      </w:r>
      <w:r>
        <w:rPr>
          <w:noProof/>
          <w:color w:val="000000"/>
          <w:shd w:val="clear" w:color="auto" w:fill="FFFFFF"/>
        </w:rPr>
        <w:t xml:space="preserve"> Componenta este în conformitate cu recomandările specifice fiecărei țări privind piața forței de muncă și politica socială (recomandările specifice fiecărei țări 2 2020 și 1 2019) și investițiile (recomandările specifice fiecărei țări 3 2020 și 2 2019). </w:t>
      </w:r>
      <w:r>
        <w:rPr>
          <w:noProof/>
        </w:rPr>
        <w:t>Se preconizează că nicio măsură din cadrul acestei componente nu prejudiciază în mod semnificativ obiectivele de mediu în sensul articolului 17 din Regulamentul (UE) 2020/852, ținând seama de descrierea măsurilor și a etapelor de atenuare prevăzute în planul de redresare și reziliență în conformitate cu Orientările tehnice privind aplicarea principiului de „a nu prejudicia în mod semnificativ” (2021/C58/01).</w:t>
      </w:r>
    </w:p>
    <w:p w14:paraId="3C43EDCE" w14:textId="77777777" w:rsidR="00C45D59" w:rsidRDefault="00C45D59">
      <w:pPr>
        <w:spacing w:before="120" w:after="120" w:line="240" w:lineRule="auto"/>
        <w:jc w:val="both"/>
        <w:rPr>
          <w:rFonts w:ascii="Times New Roman" w:hAnsi="Times New Roman"/>
          <w:b/>
          <w:noProof/>
          <w:sz w:val="24"/>
          <w:u w:val="single"/>
        </w:rPr>
      </w:pPr>
    </w:p>
    <w:p w14:paraId="1506D067" w14:textId="77777777" w:rsidR="00C45D59" w:rsidRDefault="009B0962">
      <w:pPr>
        <w:pStyle w:val="P68B1DB1-Normal6"/>
        <w:spacing w:before="120" w:after="120" w:line="240" w:lineRule="auto"/>
        <w:jc w:val="both"/>
        <w:rPr>
          <w:rFonts w:cs="Times New Roman"/>
          <w:i/>
          <w:noProof/>
          <w:color w:val="4F81BD"/>
          <w:szCs w:val="24"/>
        </w:rPr>
      </w:pPr>
      <w:r>
        <w:rPr>
          <w:noProof/>
        </w:rPr>
        <w:t>K.1. Descrierea reformelor și a investițiilor pentru sprijinul financiar nerambursabil</w:t>
      </w:r>
    </w:p>
    <w:p w14:paraId="4175CDB8" w14:textId="77777777" w:rsidR="00C45D59" w:rsidRDefault="009B0962">
      <w:pPr>
        <w:pStyle w:val="P68B1DB1-Normal5"/>
        <w:spacing w:before="120" w:after="120" w:line="240" w:lineRule="auto"/>
        <w:jc w:val="both"/>
        <w:rPr>
          <w:rFonts w:cs="Times New Roman"/>
          <w:noProof/>
          <w:szCs w:val="24"/>
        </w:rPr>
      </w:pPr>
      <w:r>
        <w:rPr>
          <w:b/>
          <w:noProof/>
        </w:rPr>
        <w:t xml:space="preserve">Reformă: Protecția </w:t>
      </w:r>
      <w:r>
        <w:rPr>
          <w:noProof/>
        </w:rPr>
        <w:t>copilului (identificatorul măsurii: 16919)</w:t>
      </w:r>
    </w:p>
    <w:p w14:paraId="5F61DE90" w14:textId="77777777" w:rsidR="00C45D59" w:rsidRDefault="009B0962">
      <w:pPr>
        <w:pStyle w:val="P68B1DB1-Normal7"/>
        <w:spacing w:before="120" w:after="120" w:line="240" w:lineRule="auto"/>
        <w:jc w:val="both"/>
        <w:rPr>
          <w:rFonts w:cs="Times New Roman"/>
          <w:noProof/>
        </w:rPr>
      </w:pPr>
      <w:r>
        <w:rPr>
          <w:noProof/>
        </w:rPr>
        <w:t xml:space="preserve">Obiectivul măsurii este de a sprijini protecția copilului. Măsura constă în investiții care permit dezinstituționalizarea și îmbunătățirea capacității de inserție profesională a persoanelor cu vârsta de până la 26 de ani. </w:t>
      </w:r>
    </w:p>
    <w:p w14:paraId="48A42888" w14:textId="77777777" w:rsidR="00C45D59" w:rsidRDefault="009B0962">
      <w:pPr>
        <w:pStyle w:val="P68B1DB1-Normal7"/>
        <w:spacing w:before="120" w:after="120" w:line="240" w:lineRule="auto"/>
        <w:jc w:val="both"/>
        <w:rPr>
          <w:rFonts w:cs="Times New Roman"/>
          <w:noProof/>
        </w:rPr>
      </w:pPr>
      <w:r>
        <w:rPr>
          <w:b/>
          <w:noProof/>
        </w:rPr>
        <w:t>Reformă:</w:t>
      </w:r>
      <w:r>
        <w:rPr>
          <w:noProof/>
        </w:rPr>
        <w:t xml:space="preserve"> Handicap (ID-ul măsurii: 16904)</w:t>
      </w:r>
    </w:p>
    <w:p w14:paraId="5CB3CAA9" w14:textId="235ECA6A" w:rsidR="00C45D59" w:rsidRDefault="009B0962">
      <w:pPr>
        <w:pStyle w:val="P68B1DB1-Normal7"/>
        <w:spacing w:before="120" w:after="120" w:line="240" w:lineRule="auto"/>
        <w:jc w:val="both"/>
        <w:rPr>
          <w:noProof/>
        </w:rPr>
      </w:pPr>
      <w:r>
        <w:rPr>
          <w:noProof/>
        </w:rPr>
        <w:t xml:space="preserve">Obiectivul măsurii este de a sprijini incluziunea socială, viața independentă, capacitatea de inserție profesională și intervenția timpurie pentru persoanele cu handicap. Măsura constă în furnizarea de: a) finanțarea accesibilității și a infrastructurii de sprijin pentru persoanele cu mobilitate și deficiențe senzoriale, precum și a asistenței pentru o viață independentă pentru persoanele cu handicap; b) sprijin pentru intervenții în copilăria timpurie. </w:t>
      </w:r>
    </w:p>
    <w:p w14:paraId="7872ACC1" w14:textId="77777777" w:rsidR="00C45D59" w:rsidRDefault="009B0962">
      <w:pPr>
        <w:pStyle w:val="P68B1DB1-Normal5"/>
        <w:rPr>
          <w:b/>
          <w:noProof/>
        </w:rPr>
      </w:pPr>
      <w:r>
        <w:rPr>
          <w:b/>
          <w:noProof/>
        </w:rPr>
        <w:t>Investiții:</w:t>
      </w:r>
      <w:r>
        <w:rPr>
          <w:noProof/>
        </w:rPr>
        <w:t xml:space="preserve"> Integrarea socială (identificatorul măsurii: 16922)</w:t>
      </w:r>
    </w:p>
    <w:p w14:paraId="625A4F83" w14:textId="01F7ACB7" w:rsidR="00C45D59" w:rsidRDefault="009B0962">
      <w:pPr>
        <w:pStyle w:val="P68B1DB1-Normal7"/>
        <w:spacing w:before="120" w:after="120" w:line="240" w:lineRule="auto"/>
        <w:jc w:val="both"/>
        <w:rPr>
          <w:rFonts w:cs="Times New Roman"/>
          <w:noProof/>
        </w:rPr>
      </w:pPr>
      <w:r>
        <w:rPr>
          <w:noProof/>
        </w:rPr>
        <w:t xml:space="preserve">Obiectivul măsurii este de a spori integrarea socială a persoanelor vulnerabile, a persoanelor în vârstă și a persoanelor cu handicap. Măsura constă în: a) formarea digitală a persoanelor în vârstă și a persoanelor cu handicap; (b) sprijin pentru locuințe sociale. </w:t>
      </w:r>
    </w:p>
    <w:p w14:paraId="3DA947E8" w14:textId="77777777" w:rsidR="00C45D59" w:rsidRDefault="009B0962">
      <w:pPr>
        <w:pStyle w:val="P68B1DB1-Normal5"/>
        <w:spacing w:before="120" w:after="120" w:line="240" w:lineRule="auto"/>
        <w:jc w:val="both"/>
        <w:rPr>
          <w:rFonts w:cs="Times New Roman"/>
          <w:noProof/>
        </w:rPr>
      </w:pPr>
      <w:r>
        <w:rPr>
          <w:b/>
          <w:noProof/>
        </w:rPr>
        <w:t>Investiții:</w:t>
      </w:r>
      <w:r>
        <w:rPr>
          <w:noProof/>
        </w:rPr>
        <w:t xml:space="preserve"> Transformarea digitală a sistemului de sprijin social (identificatorul măsurii: 16925)</w:t>
      </w:r>
    </w:p>
    <w:p w14:paraId="223857AA" w14:textId="77777777" w:rsidR="00C45D59" w:rsidRDefault="009B0962">
      <w:pPr>
        <w:pStyle w:val="P68B1DB1-Normal7"/>
        <w:spacing w:before="120" w:after="120" w:line="240" w:lineRule="auto"/>
        <w:jc w:val="both"/>
        <w:rPr>
          <w:rFonts w:cs="Times New Roman"/>
          <w:noProof/>
        </w:rPr>
      </w:pPr>
      <w:r>
        <w:rPr>
          <w:noProof/>
        </w:rPr>
        <w:t>Obiectivul acestei măsuri este de a facilita modernizarea și transformarea digitală a sistemelor de protecție socială și de protecție socială. Măsura constă în crearea unui portal național pentru persoanele cu handicap și în furnizarea de carduri pentru persoanele cu handicap beneficiarilor.</w:t>
      </w:r>
    </w:p>
    <w:p w14:paraId="6687DA11" w14:textId="77777777" w:rsidR="00C45D59" w:rsidRDefault="009B0962">
      <w:pPr>
        <w:pStyle w:val="P68B1DB1-Normal5"/>
        <w:spacing w:before="120" w:after="120" w:line="240" w:lineRule="auto"/>
        <w:jc w:val="both"/>
        <w:rPr>
          <w:rFonts w:cs="Times New Roman"/>
          <w:noProof/>
        </w:rPr>
      </w:pPr>
      <w:r>
        <w:rPr>
          <w:b/>
          <w:noProof/>
        </w:rPr>
        <w:t>Reformă:</w:t>
      </w:r>
      <w:r>
        <w:rPr>
          <w:noProof/>
        </w:rPr>
        <w:t xml:space="preserve"> Optimizarea prestațiilor sociale (identificatorul măsurii: 16726)</w:t>
      </w:r>
    </w:p>
    <w:p w14:paraId="04C598B1" w14:textId="017F4CB1" w:rsidR="00C45D59" w:rsidRDefault="009B0962">
      <w:pPr>
        <w:pStyle w:val="P68B1DB1-Normal5"/>
        <w:spacing w:before="120" w:after="120" w:line="240" w:lineRule="auto"/>
        <w:jc w:val="both"/>
        <w:rPr>
          <w:rFonts w:cs="Times New Roman"/>
          <w:noProof/>
          <w:szCs w:val="24"/>
        </w:rPr>
      </w:pPr>
      <w:r>
        <w:rPr>
          <w:noProof/>
          <w:szCs w:val="24"/>
        </w:rPr>
        <w:t>Obiectivul măsurii este de a optimiza transferul prestațiilor sociale prin utilizarea cardurilor preplătite. Măsura constă în introducerea</w:t>
      </w:r>
      <w:r>
        <w:rPr>
          <w:noProof/>
        </w:rPr>
        <w:t xml:space="preserve"> de carduri preplătite pentru plata majorității prestațiilor sociale, inclusiv</w:t>
      </w:r>
      <w:r>
        <w:rPr>
          <w:noProof/>
          <w:szCs w:val="24"/>
        </w:rPr>
        <w:t xml:space="preserve"> stimulente pentru beneficiari pentru utilizarea acestora pentru achiziționarea de bunuri și servicii. </w:t>
      </w:r>
    </w:p>
    <w:p w14:paraId="2B7F81F6" w14:textId="77777777" w:rsidR="00C45D59" w:rsidRDefault="009B0962">
      <w:pPr>
        <w:pStyle w:val="P68B1DB1-Normal5"/>
        <w:spacing w:before="120" w:after="120" w:line="240" w:lineRule="auto"/>
        <w:jc w:val="both"/>
        <w:rPr>
          <w:rFonts w:cs="Times New Roman"/>
          <w:noProof/>
        </w:rPr>
      </w:pPr>
      <w:r>
        <w:rPr>
          <w:b/>
          <w:noProof/>
        </w:rPr>
        <w:t>Investiții:</w:t>
      </w:r>
      <w:r>
        <w:rPr>
          <w:noProof/>
        </w:rPr>
        <w:t xml:space="preserve"> Sensibilizarea cu privire la diversitate (ID-ul măsurii: 16685)</w:t>
      </w:r>
    </w:p>
    <w:p w14:paraId="55A99508" w14:textId="77777777" w:rsidR="00C45D59" w:rsidRDefault="009B0962">
      <w:pPr>
        <w:pStyle w:val="P68B1DB1-Normal7"/>
        <w:spacing w:before="120" w:after="120" w:line="240" w:lineRule="auto"/>
        <w:jc w:val="both"/>
        <w:rPr>
          <w:noProof/>
        </w:rPr>
      </w:pPr>
      <w:r>
        <w:rPr>
          <w:noProof/>
        </w:rPr>
        <w:t>Obiectivul măsurii este de a sensibiliza publicul cu privire la diversitate. Măsura constă în: a) programe de formare în domeniul diversității pentru angajații din sectorul privat; b) intrarea în vigoare a unui act juridic care prevede un mecanism pentru un sistem de atribuire pentru întreprinderile/organizațiile care promovează diversitatea și incluziunea.</w:t>
      </w:r>
    </w:p>
    <w:p w14:paraId="65C72580" w14:textId="77777777" w:rsidR="00C45D59" w:rsidRDefault="009B0962">
      <w:pPr>
        <w:pStyle w:val="P68B1DB1-Normal5"/>
        <w:spacing w:before="120" w:after="120" w:line="240" w:lineRule="auto"/>
        <w:jc w:val="both"/>
        <w:rPr>
          <w:rFonts w:cs="Times New Roman"/>
          <w:noProof/>
        </w:rPr>
      </w:pPr>
      <w:r>
        <w:rPr>
          <w:b/>
          <w:noProof/>
        </w:rPr>
        <w:t>Investiții:</w:t>
      </w:r>
      <w:r>
        <w:rPr>
          <w:noProof/>
        </w:rPr>
        <w:t xml:space="preserve"> Promovarea integrării populației de refugiați pe piața forței de muncă (identificatorul măsurii: 16688)</w:t>
      </w:r>
    </w:p>
    <w:p w14:paraId="23F69849" w14:textId="6C9A88F4" w:rsidR="00C45D59" w:rsidRDefault="009B0962">
      <w:pPr>
        <w:pStyle w:val="P68B1DB1-Normal7"/>
        <w:spacing w:before="120" w:after="0" w:line="240" w:lineRule="auto"/>
        <w:jc w:val="both"/>
        <w:rPr>
          <w:rFonts w:cs="Times New Roman"/>
          <w:noProof/>
        </w:rPr>
      </w:pPr>
      <w:r>
        <w:rPr>
          <w:noProof/>
        </w:rPr>
        <w:t xml:space="preserve">Obiectivul măsurii este de a promova integrarea populației de refugiați pe piața forței de muncă. Măsura constă în cursuri de formare profesională și lingvistică și stagii pentru refugiați, migranți legali și solicitanți de azil. </w:t>
      </w:r>
    </w:p>
    <w:p w14:paraId="463CFADE" w14:textId="77777777" w:rsidR="00C45D59" w:rsidRDefault="009B0962">
      <w:pPr>
        <w:pStyle w:val="P68B1DB1-Normal5"/>
        <w:spacing w:before="120" w:after="120" w:line="240" w:lineRule="auto"/>
        <w:jc w:val="both"/>
        <w:rPr>
          <w:rFonts w:cs="Times New Roman"/>
          <w:noProof/>
        </w:rPr>
      </w:pPr>
      <w:r>
        <w:rPr>
          <w:b/>
          <w:noProof/>
        </w:rPr>
        <w:t>Investiții:</w:t>
      </w:r>
      <w:r>
        <w:rPr>
          <w:noProof/>
        </w:rPr>
        <w:t xml:space="preserve"> Transformarea digitală a sistemului de imigrație și azil (identificatorul măsurii: 16763)</w:t>
      </w:r>
    </w:p>
    <w:p w14:paraId="2C70E207" w14:textId="74320739" w:rsidR="00C45D59" w:rsidRDefault="009B0962">
      <w:pPr>
        <w:pStyle w:val="P68B1DB1-Normal7"/>
        <w:spacing w:before="120" w:after="120" w:line="240" w:lineRule="auto"/>
        <w:jc w:val="both"/>
        <w:rPr>
          <w:rFonts w:cs="Times New Roman"/>
          <w:noProof/>
        </w:rPr>
      </w:pPr>
      <w:r>
        <w:rPr>
          <w:noProof/>
        </w:rPr>
        <w:t>Obiectivul investiției este de a îmbunătăți calitatea serviciilor pentru migranți și solicitanții de azil. Măsura constă în furnizarea de bunuri și servicii pentru digitalizarea sistemului de migrație și azil.</w:t>
      </w:r>
    </w:p>
    <w:p w14:paraId="019BF60C" w14:textId="77777777" w:rsidR="00C45D59" w:rsidRDefault="009B0962">
      <w:pPr>
        <w:spacing w:before="120" w:after="120" w:line="240" w:lineRule="auto"/>
        <w:jc w:val="both"/>
        <w:rPr>
          <w:rFonts w:ascii="Times New Roman" w:hAnsi="Times New Roman" w:cs="Times New Roman"/>
          <w:noProof/>
          <w:color w:val="000000" w:themeColor="text1"/>
          <w:sz w:val="24"/>
          <w:szCs w:val="24"/>
        </w:rPr>
      </w:pPr>
      <w:r>
        <w:rPr>
          <w:rFonts w:ascii="Times New Roman" w:hAnsi="Times New Roman" w:cs="Times New Roman"/>
          <w:b/>
          <w:noProof/>
          <w:color w:val="000000" w:themeColor="text1"/>
          <w:sz w:val="24"/>
          <w:szCs w:val="24"/>
        </w:rPr>
        <w:t>Reformă:</w:t>
      </w:r>
      <w:r>
        <w:rPr>
          <w:rFonts w:ascii="Times New Roman" w:hAnsi="Times New Roman" w:cs="Times New Roman"/>
          <w:noProof/>
          <w:color w:val="000000" w:themeColor="text1"/>
          <w:sz w:val="24"/>
          <w:szCs w:val="24"/>
        </w:rPr>
        <w:t xml:space="preserve"> </w:t>
      </w:r>
      <w:r>
        <w:rPr>
          <w:rStyle w:val="normaltextrun"/>
          <w:rFonts w:ascii="Times New Roman" w:eastAsiaTheme="minorHAnsi" w:hAnsi="Times New Roman" w:cs="Times New Roman"/>
          <w:noProof/>
          <w:color w:val="000000" w:themeColor="text1"/>
          <w:sz w:val="24"/>
          <w:szCs w:val="24"/>
          <w:bdr w:val="none" w:sz="0" w:space="0" w:color="auto" w:frame="1"/>
        </w:rPr>
        <w:t>Locuințe sociale</w:t>
      </w:r>
      <w:r>
        <w:rPr>
          <w:rFonts w:ascii="Times New Roman" w:hAnsi="Times New Roman" w:cs="Times New Roman"/>
          <w:noProof/>
          <w:color w:val="000000" w:themeColor="text1"/>
          <w:sz w:val="24"/>
          <w:szCs w:val="24"/>
        </w:rPr>
        <w:t xml:space="preserve"> și la prețuri accesibile (identificatorul măsurii: 16402)</w:t>
      </w:r>
    </w:p>
    <w:p w14:paraId="573AD31F" w14:textId="40CF7D3E" w:rsidR="00C45D59" w:rsidRDefault="009B0962">
      <w:pPr>
        <w:pStyle w:val="paragraph"/>
        <w:jc w:val="both"/>
        <w:textAlignment w:val="baseline"/>
        <w:rPr>
          <w:noProof/>
        </w:rPr>
      </w:pPr>
      <w:r>
        <w:rPr>
          <w:noProof/>
        </w:rPr>
        <w:t>Obiectivul măsurii este de a spori accesul la locuințe de calitate și la prețuri accesibile pentru gospodăriile cu venituri mici și de a spori disponibilitatea locuințelor sociale pentru grupurile vulnerabile. Măsura constă în două elemente, (i) adoptarea unei strategii naționale privind locuințele și (ii) modificări legislative legate de programul de schimb reciproc în domeniul proprietății publice („Kinoniki Antiparochi”).</w:t>
      </w:r>
    </w:p>
    <w:p w14:paraId="06C21EEA" w14:textId="77777777" w:rsidR="00C45D59" w:rsidRDefault="00C45D59">
      <w:pPr>
        <w:pStyle w:val="PlainText"/>
        <w:jc w:val="both"/>
        <w:rPr>
          <w:rFonts w:ascii="Times New Roman" w:eastAsia="Times New Roman" w:hAnsi="Times New Roman" w:cs="Times New Roman"/>
          <w:noProof/>
          <w:sz w:val="24"/>
          <w:szCs w:val="24"/>
          <w14:ligatures w14:val="none"/>
        </w:rPr>
      </w:pPr>
    </w:p>
    <w:p w14:paraId="60289CFF" w14:textId="77777777" w:rsidR="00C45D59" w:rsidRDefault="00C45D59">
      <w:pPr>
        <w:spacing w:after="0" w:line="240" w:lineRule="auto"/>
        <w:rPr>
          <w:rFonts w:ascii="Times New Roman" w:eastAsiaTheme="minorHAnsi" w:hAnsi="Times New Roman" w:cs="Times New Roman"/>
          <w:noProof/>
          <w:sz w:val="24"/>
          <w:szCs w:val="24"/>
        </w:rPr>
        <w:sectPr w:rsidR="00C45D59">
          <w:headerReference w:type="even" r:id="rId228"/>
          <w:headerReference w:type="default" r:id="rId229"/>
          <w:footerReference w:type="even" r:id="rId230"/>
          <w:footerReference w:type="default" r:id="rId231"/>
          <w:headerReference w:type="first" r:id="rId232"/>
          <w:footerReference w:type="first" r:id="rId233"/>
          <w:pgSz w:w="11906" w:h="16838"/>
          <w:pgMar w:top="1134" w:right="1134" w:bottom="1134" w:left="1134" w:header="567" w:footer="567" w:gutter="0"/>
          <w:cols w:space="708"/>
          <w:docGrid w:linePitch="360"/>
        </w:sectPr>
      </w:pPr>
    </w:p>
    <w:p w14:paraId="111BC000" w14:textId="77777777" w:rsidR="00C45D59" w:rsidRDefault="009B0962">
      <w:pPr>
        <w:pStyle w:val="P68B1DB1-Normal6"/>
        <w:spacing w:before="120" w:after="120" w:line="240" w:lineRule="auto"/>
        <w:jc w:val="both"/>
        <w:rPr>
          <w:rFonts w:cs="Times New Roman"/>
          <w:bCs/>
          <w:noProof/>
        </w:rPr>
      </w:pPr>
      <w:r>
        <w:rPr>
          <w:noProof/>
        </w:rPr>
        <w:t>K.2. Jaloane, ținte, indicatori și calendarul de monitorizare și implementare aplicabile sprijinului financiar nerambursabil</w:t>
      </w:r>
    </w:p>
    <w:p w14:paraId="70A17FE9" w14:textId="77777777" w:rsidR="00C45D59" w:rsidRDefault="009B0962">
      <w:pPr>
        <w:pStyle w:val="P68B1DB1-Normal9"/>
        <w:keepNext/>
        <w:keepLines/>
        <w:spacing w:before="120" w:after="0" w:line="240" w:lineRule="auto"/>
        <w:jc w:val="both"/>
        <w:outlineLvl w:val="4"/>
        <w:rPr>
          <w:rFonts w:eastAsia="Times New Roman"/>
          <w:noProof/>
        </w:rPr>
      </w:pPr>
      <w:r>
        <w:rPr>
          <w:noProof/>
        </w:rPr>
        <w:t>Grupul 15: Creșterea accesului la politici sociale eficace și favorabile incluziunii</w:t>
      </w:r>
    </w:p>
    <w:p w14:paraId="7EB50B85" w14:textId="77777777" w:rsidR="00C45D59" w:rsidRDefault="009B0962">
      <w:pPr>
        <w:pStyle w:val="P68B1DB1-Normal5"/>
        <w:numPr>
          <w:ilvl w:val="0"/>
          <w:numId w:val="51"/>
        </w:numPr>
        <w:spacing w:before="120" w:after="0" w:line="240" w:lineRule="auto"/>
        <w:ind w:left="0"/>
        <w:jc w:val="both"/>
        <w:rPr>
          <w:rFonts w:cs="Times New Roman"/>
          <w:noProof/>
        </w:rPr>
      </w:pPr>
      <w:r>
        <w:rPr>
          <w:noProof/>
        </w:rPr>
        <w:t>Protecția copilului (ID: 16919)</w:t>
      </w:r>
    </w:p>
    <w:p w14:paraId="0287F384" w14:textId="77777777" w:rsidR="00C45D59" w:rsidRDefault="009B0962">
      <w:pPr>
        <w:pStyle w:val="P68B1DB1-Normal5"/>
        <w:numPr>
          <w:ilvl w:val="0"/>
          <w:numId w:val="51"/>
        </w:numPr>
        <w:spacing w:before="120" w:after="0" w:line="240" w:lineRule="auto"/>
        <w:ind w:left="0" w:hanging="357"/>
        <w:jc w:val="both"/>
        <w:rPr>
          <w:rFonts w:cs="Times New Roman"/>
          <w:noProof/>
        </w:rPr>
      </w:pPr>
      <w:r>
        <w:rPr>
          <w:noProof/>
        </w:rPr>
        <w:t>Dizabilitate (ID: 16904)</w:t>
      </w:r>
    </w:p>
    <w:p w14:paraId="3495CEB8" w14:textId="77777777" w:rsidR="00C45D59" w:rsidRDefault="009B0962">
      <w:pPr>
        <w:pStyle w:val="P68B1DB1-Normal5"/>
        <w:numPr>
          <w:ilvl w:val="0"/>
          <w:numId w:val="51"/>
        </w:numPr>
        <w:spacing w:before="120" w:after="0" w:line="240" w:lineRule="auto"/>
        <w:ind w:left="0" w:hanging="357"/>
        <w:jc w:val="both"/>
        <w:rPr>
          <w:rFonts w:cs="Times New Roman"/>
          <w:noProof/>
        </w:rPr>
      </w:pPr>
      <w:r>
        <w:rPr>
          <w:noProof/>
        </w:rPr>
        <w:t>Optimizarea prestațiilor sociale (16726)</w:t>
      </w:r>
    </w:p>
    <w:p w14:paraId="7228326C" w14:textId="77777777" w:rsidR="00C45D59" w:rsidRDefault="009B0962">
      <w:pPr>
        <w:pStyle w:val="P68B1DB1-Normal44"/>
        <w:numPr>
          <w:ilvl w:val="0"/>
          <w:numId w:val="51"/>
        </w:numPr>
        <w:spacing w:after="0" w:line="240" w:lineRule="auto"/>
        <w:ind w:left="0" w:hanging="357"/>
        <w:jc w:val="both"/>
        <w:rPr>
          <w:rFonts w:cs="Times New Roman"/>
          <w:noProof/>
        </w:rPr>
      </w:pPr>
      <w:r>
        <w:rPr>
          <w:noProof/>
        </w:rPr>
        <w:t>Locuințe sociale și la prețuri accesibile (16402)</w:t>
      </w:r>
    </w:p>
    <w:p w14:paraId="0B235851" w14:textId="77777777" w:rsidR="00C45D59" w:rsidRDefault="00C45D59">
      <w:pPr>
        <w:spacing w:after="0" w:line="240" w:lineRule="auto"/>
        <w:jc w:val="both"/>
        <w:rPr>
          <w:rFonts w:ascii="Times New Roman" w:hAnsi="Times New Roman" w:cs="Times New Roman"/>
          <w:noProof/>
          <w:sz w:val="24"/>
        </w:rPr>
      </w:pPr>
    </w:p>
    <w:tbl>
      <w:tblPr>
        <w:tblW w:w="16063"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604"/>
        <w:gridCol w:w="2269"/>
        <w:gridCol w:w="1134"/>
        <w:gridCol w:w="1559"/>
        <w:gridCol w:w="1984"/>
        <w:gridCol w:w="993"/>
        <w:gridCol w:w="992"/>
        <w:gridCol w:w="850"/>
        <w:gridCol w:w="1071"/>
        <w:gridCol w:w="810"/>
        <w:gridCol w:w="3797"/>
      </w:tblGrid>
      <w:tr w:rsidR="00C45D59" w14:paraId="60BC9540" w14:textId="77777777" w:rsidTr="00892E7E">
        <w:trPr>
          <w:trHeight w:val="616"/>
          <w:tblHeader/>
          <w:jc w:val="center"/>
        </w:trPr>
        <w:tc>
          <w:tcPr>
            <w:tcW w:w="604" w:type="dxa"/>
            <w:vMerge w:val="restart"/>
            <w:shd w:val="clear" w:color="auto" w:fill="BDD7EE"/>
            <w:vAlign w:val="center"/>
            <w:hideMark/>
          </w:tcPr>
          <w:p w14:paraId="65FFD14C" w14:textId="2CD56DCC" w:rsidR="00C45D59" w:rsidRDefault="009B0962">
            <w:pPr>
              <w:pStyle w:val="P68B1DB1-Normal10"/>
              <w:spacing w:after="0" w:line="240" w:lineRule="auto"/>
              <w:jc w:val="center"/>
              <w:rPr>
                <w:rFonts w:eastAsia="Times New Roman" w:cs="Times New Roman"/>
                <w:bCs/>
                <w:noProof/>
                <w:szCs w:val="18"/>
              </w:rPr>
            </w:pPr>
            <w:r>
              <w:rPr>
                <w:noProof/>
              </w:rPr>
              <w:t>N</w:t>
            </w:r>
            <w:r w:rsidR="00892E7E">
              <w:rPr>
                <w:noProof/>
              </w:rPr>
              <w:t>r. crt</w:t>
            </w:r>
            <w:r>
              <w:rPr>
                <w:noProof/>
              </w:rPr>
              <w:t>.</w:t>
            </w:r>
          </w:p>
        </w:tc>
        <w:tc>
          <w:tcPr>
            <w:tcW w:w="2269" w:type="dxa"/>
            <w:vMerge w:val="restart"/>
            <w:shd w:val="clear" w:color="auto" w:fill="BDD7EE"/>
            <w:vAlign w:val="center"/>
            <w:hideMark/>
          </w:tcPr>
          <w:p w14:paraId="220D4174" w14:textId="77777777" w:rsidR="00C45D59" w:rsidRDefault="009B0962">
            <w:pPr>
              <w:pStyle w:val="P68B1DB1-Normal10"/>
              <w:spacing w:after="0" w:line="240" w:lineRule="auto"/>
              <w:jc w:val="center"/>
              <w:rPr>
                <w:rFonts w:eastAsia="Times New Roman" w:cs="Times New Roman"/>
                <w:bCs/>
                <w:noProof/>
                <w:szCs w:val="18"/>
              </w:rPr>
            </w:pPr>
            <w:r>
              <w:rPr>
                <w:noProof/>
              </w:rPr>
              <w:t>Măsură conexă (reformă sau investiții)</w:t>
            </w:r>
          </w:p>
        </w:tc>
        <w:tc>
          <w:tcPr>
            <w:tcW w:w="1134" w:type="dxa"/>
            <w:vMerge w:val="restart"/>
            <w:shd w:val="clear" w:color="auto" w:fill="BDD7EE"/>
            <w:vAlign w:val="center"/>
            <w:hideMark/>
          </w:tcPr>
          <w:p w14:paraId="7194C7BE" w14:textId="12E1FB49" w:rsidR="00C45D59" w:rsidRDefault="009B0962">
            <w:pPr>
              <w:pStyle w:val="P68B1DB1-Normal10"/>
              <w:spacing w:after="0" w:line="240" w:lineRule="auto"/>
              <w:jc w:val="center"/>
              <w:rPr>
                <w:rFonts w:eastAsia="Times New Roman" w:cs="Times New Roman"/>
                <w:bCs/>
                <w:noProof/>
                <w:szCs w:val="18"/>
              </w:rPr>
            </w:pPr>
            <w:r>
              <w:rPr>
                <w:noProof/>
              </w:rPr>
              <w:t>Etapă/</w:t>
            </w:r>
            <w:r w:rsidR="00892E7E">
              <w:rPr>
                <w:noProof/>
              </w:rPr>
              <w:t xml:space="preserve"> </w:t>
            </w:r>
            <w:r>
              <w:rPr>
                <w:noProof/>
              </w:rPr>
              <w:t>Obiectiv</w:t>
            </w:r>
          </w:p>
        </w:tc>
        <w:tc>
          <w:tcPr>
            <w:tcW w:w="1559" w:type="dxa"/>
            <w:vMerge w:val="restart"/>
            <w:shd w:val="clear" w:color="auto" w:fill="BDD7EE"/>
            <w:vAlign w:val="center"/>
            <w:hideMark/>
          </w:tcPr>
          <w:p w14:paraId="73BFC499" w14:textId="5042A42B" w:rsidR="00C45D59" w:rsidRDefault="00892E7E">
            <w:pPr>
              <w:pStyle w:val="P68B1DB1-Normal10"/>
              <w:spacing w:after="0" w:line="240" w:lineRule="auto"/>
              <w:jc w:val="center"/>
              <w:rPr>
                <w:rFonts w:eastAsia="Times New Roman" w:cs="Times New Roman"/>
                <w:bCs/>
                <w:noProof/>
                <w:szCs w:val="18"/>
              </w:rPr>
            </w:pPr>
            <w:r>
              <w:rPr>
                <w:noProof/>
              </w:rPr>
              <w:t>Denumire</w:t>
            </w:r>
          </w:p>
        </w:tc>
        <w:tc>
          <w:tcPr>
            <w:tcW w:w="1984" w:type="dxa"/>
            <w:vMerge w:val="restart"/>
            <w:shd w:val="clear" w:color="auto" w:fill="BDD7EE"/>
            <w:vAlign w:val="center"/>
            <w:hideMark/>
          </w:tcPr>
          <w:p w14:paraId="1EE61619" w14:textId="77777777" w:rsidR="00C45D59" w:rsidRDefault="009B0962">
            <w:pPr>
              <w:pStyle w:val="P68B1DB1-Normal10"/>
              <w:spacing w:after="0" w:line="240" w:lineRule="auto"/>
              <w:jc w:val="center"/>
              <w:rPr>
                <w:rFonts w:eastAsia="Times New Roman" w:cs="Times New Roman"/>
                <w:bCs/>
                <w:noProof/>
                <w:szCs w:val="18"/>
              </w:rPr>
            </w:pPr>
            <w:r>
              <w:rPr>
                <w:noProof/>
              </w:rPr>
              <w:t>Indicatori calitativi (pentru obiectivele de etapă)</w:t>
            </w:r>
          </w:p>
        </w:tc>
        <w:tc>
          <w:tcPr>
            <w:tcW w:w="2835" w:type="dxa"/>
            <w:gridSpan w:val="3"/>
            <w:shd w:val="clear" w:color="auto" w:fill="BDD7EE"/>
            <w:vAlign w:val="center"/>
            <w:hideMark/>
          </w:tcPr>
          <w:p w14:paraId="7BEA81F0" w14:textId="77777777" w:rsidR="00C45D59" w:rsidRDefault="009B0962">
            <w:pPr>
              <w:pStyle w:val="P68B1DB1-Normal10"/>
              <w:spacing w:after="0" w:line="240" w:lineRule="auto"/>
              <w:jc w:val="center"/>
              <w:rPr>
                <w:noProof/>
              </w:rPr>
            </w:pPr>
            <w:r>
              <w:rPr>
                <w:noProof/>
              </w:rPr>
              <w:t>Indicatori cantitativi</w:t>
            </w:r>
            <w:r>
              <w:rPr>
                <w:noProof/>
              </w:rPr>
              <w:br/>
              <w:t xml:space="preserve"> (pentru obiective)</w:t>
            </w:r>
          </w:p>
        </w:tc>
        <w:tc>
          <w:tcPr>
            <w:tcW w:w="1881" w:type="dxa"/>
            <w:gridSpan w:val="2"/>
            <w:shd w:val="clear" w:color="auto" w:fill="BDD7EE"/>
            <w:vAlign w:val="center"/>
            <w:hideMark/>
          </w:tcPr>
          <w:p w14:paraId="6E87D19D" w14:textId="77777777" w:rsidR="00C45D59" w:rsidRDefault="009B0962">
            <w:pPr>
              <w:pStyle w:val="P68B1DB1-Normal10"/>
              <w:spacing w:after="0" w:line="240" w:lineRule="auto"/>
              <w:jc w:val="center"/>
              <w:rPr>
                <w:rFonts w:eastAsia="Times New Roman" w:cs="Times New Roman"/>
                <w:bCs/>
                <w:noProof/>
                <w:szCs w:val="18"/>
              </w:rPr>
            </w:pPr>
            <w:r>
              <w:rPr>
                <w:noProof/>
              </w:rPr>
              <w:t xml:space="preserve">Calendar orientativ pentru finalizare </w:t>
            </w:r>
          </w:p>
        </w:tc>
        <w:tc>
          <w:tcPr>
            <w:tcW w:w="3797" w:type="dxa"/>
            <w:vMerge w:val="restart"/>
            <w:shd w:val="clear" w:color="auto" w:fill="BDD7EE"/>
            <w:vAlign w:val="center"/>
            <w:hideMark/>
          </w:tcPr>
          <w:p w14:paraId="6B8176EF" w14:textId="77777777" w:rsidR="00C45D59" w:rsidRDefault="009B0962">
            <w:pPr>
              <w:pStyle w:val="P68B1DB1-Normal10"/>
              <w:spacing w:after="0" w:line="240" w:lineRule="auto"/>
              <w:jc w:val="center"/>
              <w:rPr>
                <w:rFonts w:eastAsia="Times New Roman" w:cs="Times New Roman"/>
                <w:bCs/>
                <w:noProof/>
                <w:szCs w:val="18"/>
              </w:rPr>
            </w:pPr>
            <w:r>
              <w:rPr>
                <w:noProof/>
              </w:rPr>
              <w:t>Descrierea fiecărui jalon și a fiecărei ținte</w:t>
            </w:r>
          </w:p>
        </w:tc>
      </w:tr>
      <w:tr w:rsidR="00C45D59" w14:paraId="746348FB" w14:textId="77777777" w:rsidTr="00892E7E">
        <w:trPr>
          <w:trHeight w:val="658"/>
          <w:tblHeader/>
          <w:jc w:val="center"/>
        </w:trPr>
        <w:tc>
          <w:tcPr>
            <w:tcW w:w="604" w:type="dxa"/>
            <w:vMerge/>
            <w:vAlign w:val="center"/>
            <w:hideMark/>
          </w:tcPr>
          <w:p w14:paraId="3DB69DC7" w14:textId="77777777" w:rsidR="00C45D59" w:rsidRDefault="00C45D59">
            <w:pPr>
              <w:spacing w:before="120" w:after="0" w:line="240" w:lineRule="auto"/>
              <w:rPr>
                <w:rFonts w:ascii="Times New Roman" w:eastAsia="Times New Roman" w:hAnsi="Times New Roman" w:cs="Times New Roman"/>
                <w:b/>
                <w:bCs/>
                <w:noProof/>
                <w:sz w:val="18"/>
                <w:szCs w:val="18"/>
              </w:rPr>
            </w:pPr>
          </w:p>
        </w:tc>
        <w:tc>
          <w:tcPr>
            <w:tcW w:w="2269" w:type="dxa"/>
            <w:vMerge/>
            <w:vAlign w:val="center"/>
            <w:hideMark/>
          </w:tcPr>
          <w:p w14:paraId="21CFB9DB" w14:textId="77777777" w:rsidR="00C45D59" w:rsidRDefault="00C45D59">
            <w:pPr>
              <w:spacing w:before="120" w:after="0" w:line="240" w:lineRule="auto"/>
              <w:rPr>
                <w:rFonts w:ascii="Times New Roman" w:eastAsia="Times New Roman" w:hAnsi="Times New Roman" w:cs="Times New Roman"/>
                <w:b/>
                <w:bCs/>
                <w:noProof/>
                <w:sz w:val="18"/>
                <w:szCs w:val="18"/>
              </w:rPr>
            </w:pPr>
          </w:p>
        </w:tc>
        <w:tc>
          <w:tcPr>
            <w:tcW w:w="1134" w:type="dxa"/>
            <w:vMerge/>
            <w:vAlign w:val="center"/>
            <w:hideMark/>
          </w:tcPr>
          <w:p w14:paraId="3919C2E0" w14:textId="77777777" w:rsidR="00C45D59" w:rsidRDefault="00C45D59">
            <w:pPr>
              <w:spacing w:before="120" w:after="0" w:line="240" w:lineRule="auto"/>
              <w:rPr>
                <w:rFonts w:ascii="Times New Roman" w:eastAsia="Times New Roman" w:hAnsi="Times New Roman" w:cs="Times New Roman"/>
                <w:b/>
                <w:bCs/>
                <w:noProof/>
                <w:sz w:val="18"/>
                <w:szCs w:val="18"/>
              </w:rPr>
            </w:pPr>
          </w:p>
        </w:tc>
        <w:tc>
          <w:tcPr>
            <w:tcW w:w="1559" w:type="dxa"/>
            <w:vMerge/>
            <w:vAlign w:val="center"/>
            <w:hideMark/>
          </w:tcPr>
          <w:p w14:paraId="2C55EDAF" w14:textId="77777777" w:rsidR="00C45D59" w:rsidRDefault="00C45D59">
            <w:pPr>
              <w:spacing w:before="120" w:after="0" w:line="240" w:lineRule="auto"/>
              <w:rPr>
                <w:rFonts w:ascii="Times New Roman" w:eastAsia="Times New Roman" w:hAnsi="Times New Roman" w:cs="Times New Roman"/>
                <w:b/>
                <w:bCs/>
                <w:noProof/>
                <w:sz w:val="18"/>
                <w:szCs w:val="18"/>
              </w:rPr>
            </w:pPr>
          </w:p>
        </w:tc>
        <w:tc>
          <w:tcPr>
            <w:tcW w:w="1984" w:type="dxa"/>
            <w:vMerge/>
            <w:vAlign w:val="center"/>
            <w:hideMark/>
          </w:tcPr>
          <w:p w14:paraId="778C1209" w14:textId="77777777" w:rsidR="00C45D59" w:rsidRDefault="00C45D59">
            <w:pPr>
              <w:spacing w:before="120" w:after="0" w:line="240" w:lineRule="auto"/>
              <w:rPr>
                <w:rFonts w:ascii="Times New Roman" w:eastAsia="Times New Roman" w:hAnsi="Times New Roman" w:cs="Times New Roman"/>
                <w:b/>
                <w:bCs/>
                <w:noProof/>
                <w:sz w:val="18"/>
                <w:szCs w:val="18"/>
              </w:rPr>
            </w:pPr>
          </w:p>
        </w:tc>
        <w:tc>
          <w:tcPr>
            <w:tcW w:w="993" w:type="dxa"/>
            <w:shd w:val="clear" w:color="auto" w:fill="BDD7EE"/>
            <w:vAlign w:val="center"/>
            <w:hideMark/>
          </w:tcPr>
          <w:p w14:paraId="539CDDB4" w14:textId="77777777" w:rsidR="00C45D59" w:rsidRDefault="009B0962">
            <w:pPr>
              <w:pStyle w:val="P68B1DB1-Normal10"/>
              <w:spacing w:before="120" w:after="0" w:line="240" w:lineRule="auto"/>
              <w:jc w:val="center"/>
              <w:rPr>
                <w:rFonts w:eastAsia="Times New Roman" w:cs="Times New Roman"/>
                <w:bCs/>
                <w:noProof/>
                <w:szCs w:val="18"/>
              </w:rPr>
            </w:pPr>
            <w:r>
              <w:rPr>
                <w:noProof/>
              </w:rPr>
              <w:t>Unitatea de măsură</w:t>
            </w:r>
          </w:p>
        </w:tc>
        <w:tc>
          <w:tcPr>
            <w:tcW w:w="992" w:type="dxa"/>
            <w:shd w:val="clear" w:color="auto" w:fill="BDD7EE"/>
            <w:vAlign w:val="center"/>
            <w:hideMark/>
          </w:tcPr>
          <w:p w14:paraId="43F214BD" w14:textId="77777777" w:rsidR="00C45D59" w:rsidRDefault="009B0962">
            <w:pPr>
              <w:pStyle w:val="P68B1DB1-Normal10"/>
              <w:spacing w:before="120" w:after="0" w:line="240" w:lineRule="auto"/>
              <w:jc w:val="center"/>
              <w:rPr>
                <w:rFonts w:eastAsia="Times New Roman" w:cs="Times New Roman"/>
                <w:bCs/>
                <w:noProof/>
                <w:szCs w:val="18"/>
              </w:rPr>
            </w:pPr>
            <w:r>
              <w:rPr>
                <w:noProof/>
              </w:rPr>
              <w:t xml:space="preserve">Situația de referință </w:t>
            </w:r>
          </w:p>
        </w:tc>
        <w:tc>
          <w:tcPr>
            <w:tcW w:w="850" w:type="dxa"/>
            <w:shd w:val="clear" w:color="auto" w:fill="BDD7EE"/>
            <w:vAlign w:val="center"/>
            <w:hideMark/>
          </w:tcPr>
          <w:p w14:paraId="3912620A" w14:textId="77777777" w:rsidR="00C45D59" w:rsidRDefault="009B0962">
            <w:pPr>
              <w:pStyle w:val="P68B1DB1-Normal10"/>
              <w:spacing w:before="120" w:after="0" w:line="240" w:lineRule="auto"/>
              <w:jc w:val="center"/>
              <w:rPr>
                <w:rFonts w:eastAsia="Times New Roman" w:cs="Times New Roman"/>
                <w:bCs/>
                <w:noProof/>
                <w:szCs w:val="18"/>
              </w:rPr>
            </w:pPr>
            <w:r>
              <w:rPr>
                <w:noProof/>
              </w:rPr>
              <w:t xml:space="preserve">Obiectiv </w:t>
            </w:r>
          </w:p>
        </w:tc>
        <w:tc>
          <w:tcPr>
            <w:tcW w:w="1071" w:type="dxa"/>
            <w:shd w:val="clear" w:color="auto" w:fill="BDD7EE"/>
            <w:vAlign w:val="center"/>
            <w:hideMark/>
          </w:tcPr>
          <w:p w14:paraId="1147E923" w14:textId="77777777" w:rsidR="00C45D59" w:rsidRDefault="009B0962">
            <w:pPr>
              <w:pStyle w:val="P68B1DB1-Normal10"/>
              <w:spacing w:before="120" w:after="0" w:line="240" w:lineRule="auto"/>
              <w:jc w:val="center"/>
              <w:rPr>
                <w:rFonts w:eastAsia="Times New Roman" w:cs="Times New Roman"/>
                <w:bCs/>
                <w:noProof/>
                <w:szCs w:val="18"/>
              </w:rPr>
            </w:pPr>
            <w:r>
              <w:rPr>
                <w:noProof/>
              </w:rPr>
              <w:t>Trimestru</w:t>
            </w:r>
          </w:p>
        </w:tc>
        <w:tc>
          <w:tcPr>
            <w:tcW w:w="810" w:type="dxa"/>
            <w:shd w:val="clear" w:color="auto" w:fill="BDD7EE"/>
            <w:vAlign w:val="center"/>
            <w:hideMark/>
          </w:tcPr>
          <w:p w14:paraId="0EC78C7B" w14:textId="77777777" w:rsidR="00C45D59" w:rsidRDefault="009B0962">
            <w:pPr>
              <w:pStyle w:val="P68B1DB1-Normal10"/>
              <w:spacing w:before="120" w:after="0" w:line="240" w:lineRule="auto"/>
              <w:jc w:val="center"/>
              <w:rPr>
                <w:rFonts w:eastAsia="Times New Roman" w:cs="Times New Roman"/>
                <w:bCs/>
                <w:noProof/>
                <w:szCs w:val="18"/>
              </w:rPr>
            </w:pPr>
            <w:r>
              <w:rPr>
                <w:noProof/>
              </w:rPr>
              <w:t>Anul</w:t>
            </w:r>
          </w:p>
        </w:tc>
        <w:tc>
          <w:tcPr>
            <w:tcW w:w="3797" w:type="dxa"/>
            <w:vMerge/>
            <w:vAlign w:val="center"/>
            <w:hideMark/>
          </w:tcPr>
          <w:p w14:paraId="1864F6F8" w14:textId="77777777" w:rsidR="00C45D59" w:rsidRDefault="00C45D59">
            <w:pPr>
              <w:spacing w:before="120" w:after="0" w:line="240" w:lineRule="auto"/>
              <w:rPr>
                <w:rFonts w:ascii="Times New Roman" w:eastAsia="Times New Roman" w:hAnsi="Times New Roman" w:cs="Times New Roman"/>
                <w:b/>
                <w:bCs/>
                <w:noProof/>
                <w:sz w:val="18"/>
                <w:szCs w:val="18"/>
              </w:rPr>
            </w:pPr>
          </w:p>
        </w:tc>
      </w:tr>
      <w:tr w:rsidR="00C45D59" w14:paraId="7682F548" w14:textId="77777777" w:rsidTr="00892E7E">
        <w:trPr>
          <w:trHeight w:val="313"/>
          <w:jc w:val="center"/>
        </w:trPr>
        <w:tc>
          <w:tcPr>
            <w:tcW w:w="604" w:type="dxa"/>
            <w:shd w:val="clear" w:color="auto" w:fill="C6EFCE"/>
            <w:noWrap/>
          </w:tcPr>
          <w:p w14:paraId="1FF3AA90" w14:textId="77777777" w:rsidR="00C45D59" w:rsidRDefault="009B0962">
            <w:pPr>
              <w:pStyle w:val="P68B1DB1-Normal12"/>
              <w:spacing w:before="120" w:after="0" w:line="240" w:lineRule="auto"/>
              <w:rPr>
                <w:rFonts w:eastAsia="Times New Roman"/>
                <w:noProof/>
              </w:rPr>
            </w:pPr>
            <w:r>
              <w:rPr>
                <w:noProof/>
              </w:rPr>
              <w:t>174</w:t>
            </w:r>
          </w:p>
        </w:tc>
        <w:tc>
          <w:tcPr>
            <w:tcW w:w="2269" w:type="dxa"/>
            <w:shd w:val="clear" w:color="auto" w:fill="C6EFCE"/>
            <w:noWrap/>
          </w:tcPr>
          <w:p w14:paraId="61E32702" w14:textId="77777777" w:rsidR="00C45D59" w:rsidRDefault="009B0962">
            <w:pPr>
              <w:pStyle w:val="P68B1DB1-Normal12"/>
              <w:spacing w:before="120" w:after="0" w:line="240" w:lineRule="auto"/>
              <w:rPr>
                <w:rFonts w:eastAsia="Times New Roman"/>
                <w:noProof/>
              </w:rPr>
            </w:pPr>
            <w:r>
              <w:rPr>
                <w:noProof/>
              </w:rPr>
              <w:t>11-3.4. Creșterea accesului la politici sociale eficace și favorabile incluziunii – 16904_ Persoanele cu handicap</w:t>
            </w:r>
          </w:p>
        </w:tc>
        <w:tc>
          <w:tcPr>
            <w:tcW w:w="1134" w:type="dxa"/>
            <w:shd w:val="clear" w:color="auto" w:fill="C6EFCE"/>
            <w:noWrap/>
          </w:tcPr>
          <w:p w14:paraId="625C699E" w14:textId="77777777" w:rsidR="00C45D59" w:rsidRDefault="009B0962">
            <w:pPr>
              <w:pStyle w:val="P68B1DB1-Normal12"/>
              <w:spacing w:before="120" w:after="0" w:line="240" w:lineRule="auto"/>
              <w:rPr>
                <w:rFonts w:eastAsia="Times New Roman"/>
                <w:noProof/>
              </w:rPr>
            </w:pPr>
            <w:r>
              <w:rPr>
                <w:noProof/>
              </w:rPr>
              <w:t>Etapă</w:t>
            </w:r>
          </w:p>
        </w:tc>
        <w:tc>
          <w:tcPr>
            <w:tcW w:w="1559" w:type="dxa"/>
            <w:shd w:val="clear" w:color="auto" w:fill="C6EFCE"/>
            <w:noWrap/>
          </w:tcPr>
          <w:p w14:paraId="0E4CAFD6" w14:textId="77777777" w:rsidR="00C45D59" w:rsidRDefault="009B0962">
            <w:pPr>
              <w:pStyle w:val="P68B1DB1-Normal12"/>
              <w:spacing w:before="120" w:after="0" w:line="240" w:lineRule="auto"/>
              <w:rPr>
                <w:rFonts w:eastAsia="Times New Roman"/>
                <w:noProof/>
              </w:rPr>
            </w:pPr>
            <w:r>
              <w:rPr>
                <w:noProof/>
              </w:rPr>
              <w:t>Legislația privind asistența personală pentru persoanele cu handicap și punerea în aplicare a proiectului-pilot din prima fază</w:t>
            </w:r>
          </w:p>
        </w:tc>
        <w:tc>
          <w:tcPr>
            <w:tcW w:w="1984" w:type="dxa"/>
            <w:shd w:val="clear" w:color="auto" w:fill="C6EFCE"/>
            <w:noWrap/>
          </w:tcPr>
          <w:p w14:paraId="2F026BA0" w14:textId="77777777" w:rsidR="00C45D59" w:rsidRDefault="009B0962">
            <w:pPr>
              <w:pStyle w:val="P68B1DB1-Normal12"/>
              <w:spacing w:before="120" w:after="0" w:line="240" w:lineRule="auto"/>
              <w:rPr>
                <w:rFonts w:eastAsia="Times New Roman"/>
                <w:noProof/>
              </w:rPr>
            </w:pPr>
            <w:r>
              <w:rPr>
                <w:noProof/>
              </w:rPr>
              <w:t>Intrarea în vigoare a legislației primare și secundare (referința Jurnalului Oficial) și publicarea anunțului privind cererea de candidaturi pentru sistemul de asistență personală.</w:t>
            </w:r>
          </w:p>
        </w:tc>
        <w:tc>
          <w:tcPr>
            <w:tcW w:w="993" w:type="dxa"/>
            <w:shd w:val="clear" w:color="auto" w:fill="C6EFCE"/>
            <w:noWrap/>
          </w:tcPr>
          <w:p w14:paraId="0AE7AC86" w14:textId="77777777" w:rsidR="00C45D59" w:rsidRDefault="00C45D59">
            <w:pPr>
              <w:spacing w:before="120" w:after="0" w:line="240" w:lineRule="auto"/>
              <w:rPr>
                <w:rFonts w:ascii="Times New Roman" w:eastAsia="Times New Roman" w:hAnsi="Times New Roman" w:cs="Times New Roman"/>
                <w:noProof/>
                <w:color w:val="006100"/>
                <w:sz w:val="18"/>
                <w:szCs w:val="18"/>
              </w:rPr>
            </w:pPr>
          </w:p>
        </w:tc>
        <w:tc>
          <w:tcPr>
            <w:tcW w:w="992" w:type="dxa"/>
            <w:shd w:val="clear" w:color="auto" w:fill="C6EFCE"/>
            <w:noWrap/>
          </w:tcPr>
          <w:p w14:paraId="74D24A85" w14:textId="77777777" w:rsidR="00C45D59" w:rsidRDefault="00C45D59">
            <w:pPr>
              <w:spacing w:before="120" w:after="0" w:line="240" w:lineRule="auto"/>
              <w:rPr>
                <w:rFonts w:ascii="Times New Roman" w:eastAsia="Times New Roman" w:hAnsi="Times New Roman" w:cs="Times New Roman"/>
                <w:noProof/>
                <w:color w:val="006100"/>
                <w:sz w:val="18"/>
                <w:szCs w:val="18"/>
              </w:rPr>
            </w:pPr>
          </w:p>
        </w:tc>
        <w:tc>
          <w:tcPr>
            <w:tcW w:w="850" w:type="dxa"/>
            <w:shd w:val="clear" w:color="auto" w:fill="C6EFCE"/>
            <w:noWrap/>
          </w:tcPr>
          <w:p w14:paraId="4281D936" w14:textId="77777777" w:rsidR="00C45D59" w:rsidRDefault="00C45D59">
            <w:pPr>
              <w:spacing w:before="120" w:after="0" w:line="240" w:lineRule="auto"/>
              <w:rPr>
                <w:rFonts w:ascii="Times New Roman" w:eastAsia="Times New Roman" w:hAnsi="Times New Roman" w:cs="Times New Roman"/>
                <w:noProof/>
                <w:color w:val="006100"/>
                <w:sz w:val="18"/>
                <w:szCs w:val="18"/>
              </w:rPr>
            </w:pPr>
          </w:p>
        </w:tc>
        <w:tc>
          <w:tcPr>
            <w:tcW w:w="1071" w:type="dxa"/>
            <w:shd w:val="clear" w:color="auto" w:fill="C6EFCE"/>
            <w:noWrap/>
          </w:tcPr>
          <w:p w14:paraId="0A76C111" w14:textId="77777777" w:rsidR="00C45D59" w:rsidRDefault="009B0962">
            <w:pPr>
              <w:pStyle w:val="P68B1DB1-Normal12"/>
              <w:spacing w:before="120" w:after="0" w:line="240" w:lineRule="auto"/>
              <w:rPr>
                <w:rFonts w:eastAsia="Times New Roman"/>
                <w:noProof/>
              </w:rPr>
            </w:pPr>
            <w:r>
              <w:rPr>
                <w:noProof/>
              </w:rPr>
              <w:t>Î1</w:t>
            </w:r>
          </w:p>
        </w:tc>
        <w:tc>
          <w:tcPr>
            <w:tcW w:w="810" w:type="dxa"/>
            <w:shd w:val="clear" w:color="auto" w:fill="C6EFCE"/>
            <w:noWrap/>
          </w:tcPr>
          <w:p w14:paraId="08D9517E" w14:textId="77777777" w:rsidR="00C45D59" w:rsidRDefault="009B0962">
            <w:pPr>
              <w:pStyle w:val="P68B1DB1-Normal12"/>
              <w:spacing w:before="120" w:after="0" w:line="240" w:lineRule="auto"/>
              <w:rPr>
                <w:rFonts w:eastAsia="Times New Roman"/>
                <w:noProof/>
              </w:rPr>
            </w:pPr>
            <w:r>
              <w:rPr>
                <w:noProof/>
              </w:rPr>
              <w:t>2022</w:t>
            </w:r>
          </w:p>
        </w:tc>
        <w:tc>
          <w:tcPr>
            <w:tcW w:w="3797" w:type="dxa"/>
            <w:shd w:val="clear" w:color="auto" w:fill="C6EFCE"/>
            <w:noWrap/>
          </w:tcPr>
          <w:p w14:paraId="1417F79D" w14:textId="279FCE5E" w:rsidR="00C45D59" w:rsidRDefault="009B0962">
            <w:pPr>
              <w:pStyle w:val="P68B1DB1-Normal12"/>
              <w:spacing w:before="120" w:after="0" w:line="240" w:lineRule="auto"/>
              <w:rPr>
                <w:rFonts w:eastAsia="Times New Roman"/>
                <w:noProof/>
              </w:rPr>
            </w:pPr>
            <w:r>
              <w:rPr>
                <w:noProof/>
              </w:rPr>
              <w:t>Asistență personală: Intrarea în vigoare a legii care permite dezinstituționalizarea îngrijirii persoanelor cu dizabilități și solicitarea de candidaturi pentru participarea la un proiect-pilot în prima etapă, inclusiv un proces de eligibilitate bazat atât pe o evaluare medicală, cât și pe o evaluare funcțională a dizabilității de către o comisie de evaluare multidisciplinară</w:t>
            </w:r>
            <w:r>
              <w:rPr>
                <w:noProof/>
                <w:u w:val="single"/>
              </w:rPr>
              <w:t xml:space="preserve"> </w:t>
            </w:r>
          </w:p>
        </w:tc>
      </w:tr>
      <w:tr w:rsidR="00C45D59" w14:paraId="35099B27" w14:textId="77777777" w:rsidTr="00892E7E">
        <w:trPr>
          <w:trHeight w:val="313"/>
          <w:jc w:val="center"/>
        </w:trPr>
        <w:tc>
          <w:tcPr>
            <w:tcW w:w="604" w:type="dxa"/>
            <w:shd w:val="clear" w:color="auto" w:fill="C6EFCE"/>
            <w:noWrap/>
          </w:tcPr>
          <w:p w14:paraId="1908D4A7" w14:textId="77777777" w:rsidR="00C45D59" w:rsidRDefault="009B0962">
            <w:pPr>
              <w:pStyle w:val="P68B1DB1-Normal12"/>
              <w:spacing w:before="120" w:after="0" w:line="240" w:lineRule="auto"/>
              <w:rPr>
                <w:rFonts w:eastAsia="Times New Roman"/>
                <w:noProof/>
                <w:highlight w:val="yellow"/>
              </w:rPr>
            </w:pPr>
            <w:r>
              <w:rPr>
                <w:noProof/>
              </w:rPr>
              <w:t>174a</w:t>
            </w:r>
          </w:p>
        </w:tc>
        <w:tc>
          <w:tcPr>
            <w:tcW w:w="2269" w:type="dxa"/>
            <w:shd w:val="clear" w:color="auto" w:fill="C6EFCE"/>
            <w:noWrap/>
          </w:tcPr>
          <w:p w14:paraId="02D2CA23" w14:textId="77777777" w:rsidR="00C45D59" w:rsidRDefault="009B0962">
            <w:pPr>
              <w:pStyle w:val="P68B1DB1-Normal12"/>
              <w:spacing w:before="120" w:after="0" w:line="240" w:lineRule="auto"/>
              <w:rPr>
                <w:rFonts w:eastAsia="Times New Roman"/>
                <w:noProof/>
              </w:rPr>
            </w:pPr>
            <w:r>
              <w:rPr>
                <w:noProof/>
              </w:rPr>
              <w:t>11-3.4. Creșterea accesului la politici sociale eficace și favorabile incluziunii – 16904_ Persoanele cu handicap</w:t>
            </w:r>
          </w:p>
        </w:tc>
        <w:tc>
          <w:tcPr>
            <w:tcW w:w="1134" w:type="dxa"/>
            <w:shd w:val="clear" w:color="auto" w:fill="C6EFCE"/>
            <w:noWrap/>
          </w:tcPr>
          <w:p w14:paraId="6BA14E6B" w14:textId="77777777" w:rsidR="00C45D59" w:rsidRDefault="009B0962">
            <w:pPr>
              <w:pStyle w:val="P68B1DB1-Normal12"/>
              <w:spacing w:before="120" w:after="0" w:line="240" w:lineRule="auto"/>
              <w:rPr>
                <w:rFonts w:eastAsia="Times New Roman"/>
                <w:noProof/>
              </w:rPr>
            </w:pPr>
            <w:r>
              <w:rPr>
                <w:noProof/>
              </w:rPr>
              <w:t>Etapă</w:t>
            </w:r>
          </w:p>
        </w:tc>
        <w:tc>
          <w:tcPr>
            <w:tcW w:w="1559" w:type="dxa"/>
            <w:shd w:val="clear" w:color="auto" w:fill="C6EFCE"/>
            <w:noWrap/>
          </w:tcPr>
          <w:p w14:paraId="264A576F" w14:textId="3D85F463" w:rsidR="00C45D59" w:rsidRDefault="009B0962">
            <w:pPr>
              <w:pStyle w:val="P68B1DB1-Normal12"/>
              <w:spacing w:before="120" w:after="0" w:line="240" w:lineRule="auto"/>
              <w:rPr>
                <w:noProof/>
              </w:rPr>
            </w:pPr>
            <w:r>
              <w:rPr>
                <w:noProof/>
              </w:rPr>
              <w:t>Accesibilitate și infrastructură de sprijin, intervenții în copilăria timpurie, implementarea permanentă la nivel național a sistemului de asistență personală pentru persoanele cu handicap</w:t>
            </w:r>
          </w:p>
        </w:tc>
        <w:tc>
          <w:tcPr>
            <w:tcW w:w="1984" w:type="dxa"/>
            <w:shd w:val="clear" w:color="auto" w:fill="C6EFCE"/>
            <w:noWrap/>
          </w:tcPr>
          <w:p w14:paraId="1EF0C669" w14:textId="77777777" w:rsidR="00C45D59" w:rsidRDefault="009B0962">
            <w:pPr>
              <w:pStyle w:val="P68B1DB1-Normal12"/>
              <w:spacing w:before="120" w:after="0" w:line="240" w:lineRule="auto"/>
              <w:rPr>
                <w:noProof/>
              </w:rPr>
            </w:pPr>
            <w:r>
              <w:rPr>
                <w:noProof/>
              </w:rPr>
              <w:t>Protocoalele de acceptare ale comitetelor de proiect;</w:t>
            </w:r>
          </w:p>
          <w:p w14:paraId="0D0911C6" w14:textId="15F86604" w:rsidR="00C45D59" w:rsidRDefault="009B0962">
            <w:pPr>
              <w:pStyle w:val="P68B1DB1-Normal12"/>
              <w:spacing w:before="120" w:after="0" w:line="240" w:lineRule="auto"/>
              <w:rPr>
                <w:rFonts w:eastAsia="Times New Roman"/>
                <w:noProof/>
              </w:rPr>
            </w:pPr>
            <w:r>
              <w:rPr>
                <w:noProof/>
              </w:rPr>
              <w:t>contracte semnate și publicarea unei cereri de propuneri adresate beneficiarilor implementării la nivel național (sistemul de asistență personală pentru persoanele cu handicap).</w:t>
            </w:r>
          </w:p>
        </w:tc>
        <w:tc>
          <w:tcPr>
            <w:tcW w:w="993" w:type="dxa"/>
            <w:shd w:val="clear" w:color="auto" w:fill="C6EFCE"/>
            <w:noWrap/>
          </w:tcPr>
          <w:p w14:paraId="2FFB813E" w14:textId="77777777" w:rsidR="00C45D59" w:rsidRDefault="00C45D59">
            <w:pPr>
              <w:spacing w:before="120" w:after="0" w:line="240" w:lineRule="auto"/>
              <w:rPr>
                <w:rFonts w:ascii="Times New Roman" w:eastAsia="Times New Roman" w:hAnsi="Times New Roman" w:cs="Times New Roman"/>
                <w:noProof/>
                <w:color w:val="006100"/>
                <w:sz w:val="18"/>
                <w:szCs w:val="18"/>
              </w:rPr>
            </w:pPr>
          </w:p>
        </w:tc>
        <w:tc>
          <w:tcPr>
            <w:tcW w:w="992" w:type="dxa"/>
            <w:shd w:val="clear" w:color="auto" w:fill="C6EFCE"/>
            <w:noWrap/>
          </w:tcPr>
          <w:p w14:paraId="5E99F6B9" w14:textId="77777777" w:rsidR="00C45D59" w:rsidRDefault="00C45D59">
            <w:pPr>
              <w:spacing w:before="120" w:after="0" w:line="240" w:lineRule="auto"/>
              <w:rPr>
                <w:rFonts w:ascii="Times New Roman" w:eastAsia="Times New Roman" w:hAnsi="Times New Roman" w:cs="Times New Roman"/>
                <w:noProof/>
                <w:color w:val="006100"/>
                <w:sz w:val="18"/>
                <w:szCs w:val="18"/>
              </w:rPr>
            </w:pPr>
          </w:p>
        </w:tc>
        <w:tc>
          <w:tcPr>
            <w:tcW w:w="850" w:type="dxa"/>
            <w:shd w:val="clear" w:color="auto" w:fill="C6EFCE"/>
            <w:noWrap/>
          </w:tcPr>
          <w:p w14:paraId="539AF0D2" w14:textId="77777777" w:rsidR="00C45D59" w:rsidRDefault="00C45D59">
            <w:pPr>
              <w:spacing w:before="120" w:after="0" w:line="240" w:lineRule="auto"/>
              <w:rPr>
                <w:rFonts w:ascii="Times New Roman" w:eastAsia="Times New Roman" w:hAnsi="Times New Roman" w:cs="Times New Roman"/>
                <w:noProof/>
                <w:color w:val="006100"/>
                <w:sz w:val="18"/>
                <w:szCs w:val="18"/>
              </w:rPr>
            </w:pPr>
          </w:p>
        </w:tc>
        <w:tc>
          <w:tcPr>
            <w:tcW w:w="1071" w:type="dxa"/>
            <w:shd w:val="clear" w:color="auto" w:fill="C6EFCE"/>
            <w:noWrap/>
          </w:tcPr>
          <w:p w14:paraId="7A158B6A" w14:textId="77777777" w:rsidR="00C45D59" w:rsidRDefault="009B0962">
            <w:pPr>
              <w:pStyle w:val="P68B1DB1-Normal12"/>
              <w:spacing w:before="120" w:after="0" w:line="240" w:lineRule="auto"/>
              <w:rPr>
                <w:rFonts w:eastAsia="Times New Roman"/>
                <w:noProof/>
              </w:rPr>
            </w:pPr>
            <w:r>
              <w:rPr>
                <w:noProof/>
              </w:rPr>
              <w:t>Î4</w:t>
            </w:r>
          </w:p>
        </w:tc>
        <w:tc>
          <w:tcPr>
            <w:tcW w:w="810" w:type="dxa"/>
            <w:shd w:val="clear" w:color="auto" w:fill="C6EFCE"/>
            <w:noWrap/>
          </w:tcPr>
          <w:p w14:paraId="27926DA0" w14:textId="77777777" w:rsidR="00C45D59" w:rsidRDefault="009B0962">
            <w:pPr>
              <w:pStyle w:val="P68B1DB1-Normal12"/>
              <w:spacing w:before="120" w:after="0" w:line="240" w:lineRule="auto"/>
              <w:rPr>
                <w:rFonts w:eastAsia="Times New Roman"/>
                <w:noProof/>
              </w:rPr>
            </w:pPr>
            <w:r>
              <w:rPr>
                <w:noProof/>
              </w:rPr>
              <w:t>2025</w:t>
            </w:r>
          </w:p>
        </w:tc>
        <w:tc>
          <w:tcPr>
            <w:tcW w:w="3797" w:type="dxa"/>
            <w:shd w:val="clear" w:color="auto" w:fill="C6EFCE"/>
            <w:noWrap/>
          </w:tcPr>
          <w:p w14:paraId="6C722720" w14:textId="0EC919CF" w:rsidR="00C45D59" w:rsidRDefault="009B0962">
            <w:pPr>
              <w:pStyle w:val="P68B1DB1-Normal12"/>
              <w:spacing w:after="0" w:line="240" w:lineRule="auto"/>
              <w:textAlignment w:val="baseline"/>
              <w:rPr>
                <w:rFonts w:eastAsia="Times New Roman"/>
                <w:noProof/>
              </w:rPr>
            </w:pPr>
            <w:r>
              <w:rPr>
                <w:noProof/>
              </w:rPr>
              <w:t>1. Accesibilitatea și infrastructura de sprijin pentru persoanele cu mobilitate și deficiențe senzoriale confirmate de protocoalele de acceptare ale comitetului de proiect din;</w:t>
            </w:r>
          </w:p>
          <w:p w14:paraId="6FFB7A0E" w14:textId="4D301183" w:rsidR="00C45D59" w:rsidRDefault="009B0962">
            <w:pPr>
              <w:pStyle w:val="P68B1DB1-Normal12"/>
              <w:spacing w:after="0" w:line="240" w:lineRule="auto"/>
              <w:textAlignment w:val="baseline"/>
              <w:rPr>
                <w:noProof/>
              </w:rPr>
            </w:pPr>
            <w:r>
              <w:rPr>
                <w:noProof/>
              </w:rPr>
              <w:t>a) 1 000 de case private selectate prin intermediul unei cereri de propuneri;</w:t>
            </w:r>
          </w:p>
          <w:p w14:paraId="5CD8398E" w14:textId="5D32FF69" w:rsidR="00C45D59" w:rsidRDefault="009B0962">
            <w:pPr>
              <w:pStyle w:val="P68B1DB1-Normal12"/>
              <w:spacing w:after="0" w:line="240" w:lineRule="auto"/>
              <w:textAlignment w:val="baseline"/>
              <w:rPr>
                <w:noProof/>
              </w:rPr>
            </w:pPr>
            <w:r>
              <w:rPr>
                <w:noProof/>
              </w:rPr>
              <w:t>b) 2 clădiri publice.</w:t>
            </w:r>
          </w:p>
          <w:p w14:paraId="048AC33F" w14:textId="708139C4" w:rsidR="00C45D59" w:rsidRDefault="00C45D59">
            <w:pPr>
              <w:spacing w:after="0" w:line="240" w:lineRule="auto"/>
              <w:textAlignment w:val="baseline"/>
              <w:rPr>
                <w:rFonts w:ascii="Times New Roman" w:hAnsi="Times New Roman" w:cs="Times New Roman"/>
                <w:noProof/>
                <w:color w:val="006100"/>
                <w:sz w:val="18"/>
                <w:szCs w:val="18"/>
              </w:rPr>
            </w:pPr>
          </w:p>
          <w:p w14:paraId="12584BBE" w14:textId="47D2FC66" w:rsidR="00C45D59" w:rsidRDefault="009B0962">
            <w:pPr>
              <w:pStyle w:val="P68B1DB1-Normal12"/>
              <w:spacing w:after="0" w:line="240" w:lineRule="auto"/>
              <w:textAlignment w:val="baseline"/>
              <w:rPr>
                <w:noProof/>
              </w:rPr>
            </w:pPr>
            <w:r>
              <w:rPr>
                <w:noProof/>
              </w:rPr>
              <w:t>2. 1 250 de contracte semnate pentru intervenții în primii ani ai copilăriei.</w:t>
            </w:r>
          </w:p>
          <w:p w14:paraId="1A64B270" w14:textId="0D62620D" w:rsidR="00C45D59" w:rsidRDefault="009B0962">
            <w:pPr>
              <w:pStyle w:val="P68B1DB1-Normal12"/>
              <w:spacing w:after="0" w:line="240" w:lineRule="auto"/>
              <w:textAlignment w:val="baseline"/>
              <w:rPr>
                <w:noProof/>
              </w:rPr>
            </w:pPr>
            <w:r>
              <w:rPr>
                <w:noProof/>
              </w:rPr>
              <w:t> </w:t>
            </w:r>
          </w:p>
          <w:p w14:paraId="241E2F4E" w14:textId="34937B48" w:rsidR="00C45D59" w:rsidRDefault="009B0962">
            <w:pPr>
              <w:pStyle w:val="P68B1DB1-Normal12"/>
              <w:spacing w:after="0" w:line="240" w:lineRule="auto"/>
              <w:textAlignment w:val="baseline"/>
              <w:rPr>
                <w:noProof/>
              </w:rPr>
            </w:pPr>
            <w:r>
              <w:rPr>
                <w:noProof/>
              </w:rPr>
              <w:t>3. Publicarea unei cereri de propuneri adresate beneficiarilor implementării permanente la nivel național a sistemului de asistență personală pentru persoanele cu handicap.</w:t>
            </w:r>
          </w:p>
        </w:tc>
      </w:tr>
      <w:tr w:rsidR="00C45D59" w14:paraId="7054597E" w14:textId="77777777" w:rsidTr="00892E7E">
        <w:trPr>
          <w:trHeight w:val="313"/>
          <w:jc w:val="center"/>
        </w:trPr>
        <w:tc>
          <w:tcPr>
            <w:tcW w:w="604" w:type="dxa"/>
            <w:shd w:val="clear" w:color="auto" w:fill="C6EFCE"/>
            <w:noWrap/>
          </w:tcPr>
          <w:p w14:paraId="4C91FC83" w14:textId="77777777" w:rsidR="00C45D59" w:rsidRDefault="009B0962">
            <w:pPr>
              <w:pStyle w:val="P68B1DB1-Normal12"/>
              <w:spacing w:before="120" w:after="0" w:line="240" w:lineRule="auto"/>
              <w:rPr>
                <w:rFonts w:eastAsia="Times New Roman"/>
                <w:noProof/>
              </w:rPr>
            </w:pPr>
            <w:r>
              <w:rPr>
                <w:noProof/>
              </w:rPr>
              <w:t>175</w:t>
            </w:r>
          </w:p>
        </w:tc>
        <w:tc>
          <w:tcPr>
            <w:tcW w:w="2269" w:type="dxa"/>
            <w:shd w:val="clear" w:color="auto" w:fill="C6EFCE"/>
            <w:noWrap/>
          </w:tcPr>
          <w:p w14:paraId="17910329" w14:textId="77777777" w:rsidR="00C45D59" w:rsidRDefault="009B0962">
            <w:pPr>
              <w:pStyle w:val="P68B1DB1-Normal12"/>
              <w:spacing w:before="120" w:after="0" w:line="240" w:lineRule="auto"/>
              <w:rPr>
                <w:rFonts w:eastAsia="Times New Roman"/>
                <w:noProof/>
              </w:rPr>
            </w:pPr>
            <w:r>
              <w:rPr>
                <w:noProof/>
              </w:rPr>
              <w:t>11-3.4. Creșterea accesului la politici sociale eficace și favorabile incluziunii – Optimizarea prestațiilor sociale 16726</w:t>
            </w:r>
          </w:p>
        </w:tc>
        <w:tc>
          <w:tcPr>
            <w:tcW w:w="1134" w:type="dxa"/>
            <w:shd w:val="clear" w:color="auto" w:fill="C6EFCE"/>
            <w:noWrap/>
          </w:tcPr>
          <w:p w14:paraId="31330001" w14:textId="77777777" w:rsidR="00C45D59" w:rsidRDefault="009B0962">
            <w:pPr>
              <w:pStyle w:val="P68B1DB1-Normal12"/>
              <w:spacing w:before="120" w:after="0" w:line="240" w:lineRule="auto"/>
              <w:rPr>
                <w:rFonts w:eastAsia="Times New Roman"/>
                <w:noProof/>
              </w:rPr>
            </w:pPr>
            <w:r>
              <w:rPr>
                <w:noProof/>
              </w:rPr>
              <w:t>Etapă</w:t>
            </w:r>
          </w:p>
        </w:tc>
        <w:tc>
          <w:tcPr>
            <w:tcW w:w="1559" w:type="dxa"/>
            <w:shd w:val="clear" w:color="auto" w:fill="C6EFCE"/>
            <w:noWrap/>
          </w:tcPr>
          <w:p w14:paraId="0C94047A" w14:textId="77777777" w:rsidR="00C45D59" w:rsidRDefault="009B0962">
            <w:pPr>
              <w:pStyle w:val="P68B1DB1-Normal12"/>
              <w:spacing w:before="120" w:after="0" w:line="240" w:lineRule="auto"/>
              <w:rPr>
                <w:rFonts w:eastAsia="Times New Roman"/>
                <w:noProof/>
              </w:rPr>
            </w:pPr>
            <w:r>
              <w:rPr>
                <w:noProof/>
              </w:rPr>
              <w:t>Carduri preplătite pentru optimizarea prestațiilor sociale</w:t>
            </w:r>
          </w:p>
        </w:tc>
        <w:tc>
          <w:tcPr>
            <w:tcW w:w="1984" w:type="dxa"/>
            <w:shd w:val="clear" w:color="auto" w:fill="C6EFCE"/>
            <w:noWrap/>
          </w:tcPr>
          <w:p w14:paraId="257C7531" w14:textId="77777777" w:rsidR="00C45D59" w:rsidRDefault="009B0962">
            <w:pPr>
              <w:pStyle w:val="P68B1DB1-Normal12"/>
              <w:spacing w:before="120" w:after="0" w:line="240" w:lineRule="auto"/>
              <w:rPr>
                <w:rFonts w:eastAsia="Times New Roman"/>
                <w:noProof/>
              </w:rPr>
            </w:pPr>
            <w:r>
              <w:rPr>
                <w:noProof/>
              </w:rPr>
              <w:t>Emitere de carduri preplătite pentru plata prestațiilor sociale furnizate de aceste două servicii</w:t>
            </w:r>
          </w:p>
        </w:tc>
        <w:tc>
          <w:tcPr>
            <w:tcW w:w="993" w:type="dxa"/>
            <w:shd w:val="clear" w:color="auto" w:fill="C6EFCE"/>
            <w:noWrap/>
          </w:tcPr>
          <w:p w14:paraId="32A8AD79" w14:textId="77777777" w:rsidR="00C45D59" w:rsidRDefault="00C45D59">
            <w:pPr>
              <w:spacing w:before="120" w:after="0" w:line="240" w:lineRule="auto"/>
              <w:rPr>
                <w:rFonts w:ascii="Times New Roman" w:eastAsia="Times New Roman" w:hAnsi="Times New Roman" w:cs="Times New Roman"/>
                <w:noProof/>
                <w:color w:val="006100"/>
                <w:sz w:val="18"/>
                <w:szCs w:val="18"/>
              </w:rPr>
            </w:pPr>
          </w:p>
        </w:tc>
        <w:tc>
          <w:tcPr>
            <w:tcW w:w="992" w:type="dxa"/>
            <w:shd w:val="clear" w:color="auto" w:fill="C6EFCE"/>
            <w:noWrap/>
          </w:tcPr>
          <w:p w14:paraId="0C13B82D" w14:textId="77777777" w:rsidR="00C45D59" w:rsidRDefault="00C45D59">
            <w:pPr>
              <w:spacing w:before="120" w:after="0" w:line="240" w:lineRule="auto"/>
              <w:rPr>
                <w:rFonts w:ascii="Times New Roman" w:eastAsia="Times New Roman" w:hAnsi="Times New Roman" w:cs="Times New Roman"/>
                <w:noProof/>
                <w:color w:val="006100"/>
                <w:sz w:val="18"/>
                <w:szCs w:val="18"/>
              </w:rPr>
            </w:pPr>
          </w:p>
        </w:tc>
        <w:tc>
          <w:tcPr>
            <w:tcW w:w="850" w:type="dxa"/>
            <w:shd w:val="clear" w:color="auto" w:fill="C6EFCE"/>
            <w:noWrap/>
          </w:tcPr>
          <w:p w14:paraId="6B8D592E" w14:textId="77777777" w:rsidR="00C45D59" w:rsidRDefault="00C45D59">
            <w:pPr>
              <w:spacing w:before="120" w:after="0" w:line="240" w:lineRule="auto"/>
              <w:rPr>
                <w:rFonts w:ascii="Times New Roman" w:eastAsia="Times New Roman" w:hAnsi="Times New Roman" w:cs="Times New Roman"/>
                <w:noProof/>
                <w:color w:val="006100"/>
                <w:sz w:val="18"/>
                <w:szCs w:val="18"/>
              </w:rPr>
            </w:pPr>
          </w:p>
        </w:tc>
        <w:tc>
          <w:tcPr>
            <w:tcW w:w="1071" w:type="dxa"/>
            <w:shd w:val="clear" w:color="auto" w:fill="C6EFCE"/>
            <w:noWrap/>
          </w:tcPr>
          <w:p w14:paraId="28A33AD0" w14:textId="77777777" w:rsidR="00C45D59" w:rsidRDefault="009B0962">
            <w:pPr>
              <w:pStyle w:val="P68B1DB1-Normal12"/>
              <w:spacing w:before="120" w:after="0" w:line="240" w:lineRule="auto"/>
              <w:rPr>
                <w:rFonts w:eastAsia="Times New Roman"/>
                <w:noProof/>
              </w:rPr>
            </w:pPr>
            <w:r>
              <w:rPr>
                <w:noProof/>
              </w:rPr>
              <w:t>Î4</w:t>
            </w:r>
          </w:p>
        </w:tc>
        <w:tc>
          <w:tcPr>
            <w:tcW w:w="810" w:type="dxa"/>
            <w:shd w:val="clear" w:color="auto" w:fill="C6EFCE"/>
            <w:noWrap/>
          </w:tcPr>
          <w:p w14:paraId="19141635" w14:textId="77777777" w:rsidR="00C45D59" w:rsidRDefault="009B0962">
            <w:pPr>
              <w:pStyle w:val="P68B1DB1-Normal12"/>
              <w:spacing w:before="120" w:after="0" w:line="240" w:lineRule="auto"/>
              <w:rPr>
                <w:rFonts w:eastAsia="Times New Roman"/>
                <w:noProof/>
              </w:rPr>
            </w:pPr>
            <w:r>
              <w:rPr>
                <w:noProof/>
              </w:rPr>
              <w:t>2024</w:t>
            </w:r>
          </w:p>
        </w:tc>
        <w:tc>
          <w:tcPr>
            <w:tcW w:w="3797" w:type="dxa"/>
            <w:shd w:val="clear" w:color="auto" w:fill="C6EFCE"/>
            <w:noWrap/>
          </w:tcPr>
          <w:p w14:paraId="32A49E29" w14:textId="77777777" w:rsidR="00C45D59" w:rsidRDefault="009B0962">
            <w:pPr>
              <w:pStyle w:val="P68B1DB1-Normal12"/>
              <w:spacing w:before="120" w:after="0" w:line="240" w:lineRule="auto"/>
              <w:rPr>
                <w:rFonts w:eastAsia="Times New Roman"/>
                <w:noProof/>
              </w:rPr>
            </w:pPr>
            <w:r>
              <w:rPr>
                <w:noProof/>
              </w:rPr>
              <w:t>Emiterea de carduri preplătite pentru plata majorității prestațiilor sociale furnizate de Autoritatea unică de plată a prestațiilor sociale (OPEKA) și de Serviciul public de ocupare a forței de muncă (DYPA)</w:t>
            </w:r>
          </w:p>
        </w:tc>
      </w:tr>
      <w:tr w:rsidR="00C45D59" w14:paraId="26A355C8" w14:textId="77777777" w:rsidTr="00892E7E">
        <w:trPr>
          <w:trHeight w:val="313"/>
          <w:jc w:val="center"/>
        </w:trPr>
        <w:tc>
          <w:tcPr>
            <w:tcW w:w="604" w:type="dxa"/>
            <w:shd w:val="clear" w:color="auto" w:fill="C6EFCE"/>
            <w:noWrap/>
          </w:tcPr>
          <w:p w14:paraId="6EFA255D" w14:textId="77777777" w:rsidR="00C45D59" w:rsidRDefault="009B0962">
            <w:pPr>
              <w:pStyle w:val="P68B1DB1-Normal12"/>
              <w:spacing w:before="120" w:after="0" w:line="240" w:lineRule="auto"/>
              <w:rPr>
                <w:rFonts w:eastAsia="Times New Roman"/>
                <w:noProof/>
              </w:rPr>
            </w:pPr>
            <w:r>
              <w:rPr>
                <w:noProof/>
              </w:rPr>
              <w:t>175a</w:t>
            </w:r>
          </w:p>
          <w:p w14:paraId="0D7864E3" w14:textId="77777777" w:rsidR="00C45D59" w:rsidRDefault="00C45D59">
            <w:pPr>
              <w:spacing w:before="120" w:after="0" w:line="240" w:lineRule="auto"/>
              <w:rPr>
                <w:rFonts w:ascii="Times New Roman" w:eastAsia="Times New Roman" w:hAnsi="Times New Roman" w:cs="Times New Roman"/>
                <w:noProof/>
                <w:color w:val="006100"/>
                <w:sz w:val="18"/>
                <w:szCs w:val="18"/>
              </w:rPr>
            </w:pPr>
          </w:p>
        </w:tc>
        <w:tc>
          <w:tcPr>
            <w:tcW w:w="2269" w:type="dxa"/>
            <w:shd w:val="clear" w:color="auto" w:fill="C6EFCE"/>
            <w:noWrap/>
          </w:tcPr>
          <w:p w14:paraId="5EC314EE" w14:textId="77777777" w:rsidR="00C45D59" w:rsidRDefault="009B0962">
            <w:pPr>
              <w:pStyle w:val="P68B1DB1-Normal12"/>
              <w:spacing w:before="120" w:after="0" w:line="240" w:lineRule="auto"/>
              <w:rPr>
                <w:rFonts w:eastAsia="Times New Roman"/>
                <w:noProof/>
              </w:rPr>
            </w:pPr>
            <w:r>
              <w:rPr>
                <w:noProof/>
              </w:rPr>
              <w:t>11-3.4. Creșterea accesului la politici sociale eficace și favorabile incluziunii – Optimizarea prestațiilor sociale 16726</w:t>
            </w:r>
          </w:p>
        </w:tc>
        <w:tc>
          <w:tcPr>
            <w:tcW w:w="1134" w:type="dxa"/>
            <w:shd w:val="clear" w:color="auto" w:fill="C6EFCE"/>
            <w:noWrap/>
          </w:tcPr>
          <w:p w14:paraId="7D06DEB3" w14:textId="77777777" w:rsidR="00C45D59" w:rsidRDefault="009B0962">
            <w:pPr>
              <w:pStyle w:val="P68B1DB1-Normal12"/>
              <w:spacing w:before="120" w:after="0" w:line="240" w:lineRule="auto"/>
              <w:rPr>
                <w:rFonts w:eastAsia="Times New Roman"/>
                <w:noProof/>
              </w:rPr>
            </w:pPr>
            <w:r>
              <w:rPr>
                <w:noProof/>
              </w:rPr>
              <w:t>Etapă</w:t>
            </w:r>
          </w:p>
        </w:tc>
        <w:tc>
          <w:tcPr>
            <w:tcW w:w="1559" w:type="dxa"/>
            <w:shd w:val="clear" w:color="auto" w:fill="C6EFCE"/>
            <w:noWrap/>
          </w:tcPr>
          <w:p w14:paraId="0B9A7CFB" w14:textId="77777777" w:rsidR="00C45D59" w:rsidRDefault="009B0962">
            <w:pPr>
              <w:pStyle w:val="P68B1DB1-Normal12"/>
              <w:spacing w:before="120" w:after="0" w:line="240" w:lineRule="auto"/>
              <w:rPr>
                <w:rFonts w:eastAsia="Times New Roman"/>
                <w:noProof/>
              </w:rPr>
            </w:pPr>
            <w:r>
              <w:rPr>
                <w:noProof/>
              </w:rPr>
              <w:t>Carduri preplătite pentru optimizarea prestațiilor sociale</w:t>
            </w:r>
          </w:p>
        </w:tc>
        <w:tc>
          <w:tcPr>
            <w:tcW w:w="1984" w:type="dxa"/>
            <w:shd w:val="clear" w:color="auto" w:fill="C6EFCE"/>
            <w:noWrap/>
          </w:tcPr>
          <w:p w14:paraId="40B957B7" w14:textId="77777777" w:rsidR="00C45D59" w:rsidRDefault="009B0962">
            <w:pPr>
              <w:pStyle w:val="P68B1DB1-Normal12"/>
              <w:spacing w:before="120" w:after="0" w:line="240" w:lineRule="auto"/>
              <w:rPr>
                <w:rFonts w:eastAsia="Times New Roman"/>
                <w:noProof/>
              </w:rPr>
            </w:pPr>
            <w:r>
              <w:rPr>
                <w:noProof/>
              </w:rPr>
              <w:t>Intrarea în vigoare a legislației</w:t>
            </w:r>
          </w:p>
        </w:tc>
        <w:tc>
          <w:tcPr>
            <w:tcW w:w="993" w:type="dxa"/>
            <w:shd w:val="clear" w:color="auto" w:fill="C6EFCE"/>
            <w:noWrap/>
          </w:tcPr>
          <w:p w14:paraId="2166D99B" w14:textId="77777777" w:rsidR="00C45D59" w:rsidRDefault="00C45D59">
            <w:pPr>
              <w:spacing w:before="120" w:after="0" w:line="240" w:lineRule="auto"/>
              <w:rPr>
                <w:rFonts w:ascii="Times New Roman" w:eastAsia="Times New Roman" w:hAnsi="Times New Roman" w:cs="Times New Roman"/>
                <w:noProof/>
                <w:color w:val="006100"/>
                <w:sz w:val="18"/>
                <w:szCs w:val="18"/>
              </w:rPr>
            </w:pPr>
          </w:p>
        </w:tc>
        <w:tc>
          <w:tcPr>
            <w:tcW w:w="992" w:type="dxa"/>
            <w:shd w:val="clear" w:color="auto" w:fill="C6EFCE"/>
            <w:noWrap/>
          </w:tcPr>
          <w:p w14:paraId="01B6C5C9" w14:textId="77777777" w:rsidR="00C45D59" w:rsidRDefault="00C45D59">
            <w:pPr>
              <w:spacing w:before="120" w:after="0" w:line="240" w:lineRule="auto"/>
              <w:rPr>
                <w:rFonts w:ascii="Times New Roman" w:eastAsia="Times New Roman" w:hAnsi="Times New Roman" w:cs="Times New Roman"/>
                <w:noProof/>
                <w:color w:val="006100"/>
                <w:sz w:val="18"/>
                <w:szCs w:val="18"/>
              </w:rPr>
            </w:pPr>
          </w:p>
        </w:tc>
        <w:tc>
          <w:tcPr>
            <w:tcW w:w="850" w:type="dxa"/>
            <w:shd w:val="clear" w:color="auto" w:fill="C6EFCE"/>
            <w:noWrap/>
          </w:tcPr>
          <w:p w14:paraId="5BCE6584" w14:textId="77777777" w:rsidR="00C45D59" w:rsidRDefault="00C45D59">
            <w:pPr>
              <w:spacing w:before="120" w:after="0" w:line="240" w:lineRule="auto"/>
              <w:rPr>
                <w:rFonts w:ascii="Times New Roman" w:eastAsia="Times New Roman" w:hAnsi="Times New Roman" w:cs="Times New Roman"/>
                <w:noProof/>
                <w:color w:val="006100"/>
                <w:sz w:val="18"/>
                <w:szCs w:val="18"/>
              </w:rPr>
            </w:pPr>
          </w:p>
        </w:tc>
        <w:tc>
          <w:tcPr>
            <w:tcW w:w="1071" w:type="dxa"/>
            <w:shd w:val="clear" w:color="auto" w:fill="C6EFCE"/>
            <w:noWrap/>
          </w:tcPr>
          <w:p w14:paraId="18196D52" w14:textId="77777777" w:rsidR="00C45D59" w:rsidRDefault="009B0962">
            <w:pPr>
              <w:pStyle w:val="P68B1DB1-Normal12"/>
              <w:spacing w:before="120" w:after="0" w:line="240" w:lineRule="auto"/>
              <w:rPr>
                <w:rFonts w:eastAsia="Times New Roman"/>
                <w:noProof/>
              </w:rPr>
            </w:pPr>
            <w:r>
              <w:rPr>
                <w:noProof/>
              </w:rPr>
              <w:t>Î2</w:t>
            </w:r>
          </w:p>
        </w:tc>
        <w:tc>
          <w:tcPr>
            <w:tcW w:w="810" w:type="dxa"/>
            <w:shd w:val="clear" w:color="auto" w:fill="C6EFCE"/>
            <w:noWrap/>
          </w:tcPr>
          <w:p w14:paraId="2283B0A4" w14:textId="77777777" w:rsidR="00C45D59" w:rsidRDefault="009B0962">
            <w:pPr>
              <w:pStyle w:val="P68B1DB1-Normal12"/>
              <w:spacing w:before="120" w:after="0" w:line="240" w:lineRule="auto"/>
              <w:rPr>
                <w:rFonts w:eastAsia="Times New Roman"/>
                <w:noProof/>
              </w:rPr>
            </w:pPr>
            <w:r>
              <w:rPr>
                <w:noProof/>
              </w:rPr>
              <w:t>2024</w:t>
            </w:r>
          </w:p>
        </w:tc>
        <w:tc>
          <w:tcPr>
            <w:tcW w:w="3797" w:type="dxa"/>
            <w:shd w:val="clear" w:color="auto" w:fill="C6EFCE"/>
            <w:noWrap/>
          </w:tcPr>
          <w:p w14:paraId="311C52DA" w14:textId="77777777" w:rsidR="00C45D59" w:rsidRDefault="009B0962">
            <w:pPr>
              <w:spacing w:before="120" w:after="0" w:line="240" w:lineRule="auto"/>
              <w:rPr>
                <w:rFonts w:ascii="Times New Roman" w:eastAsia="Times New Roman" w:hAnsi="Times New Roman" w:cs="Times New Roman"/>
                <w:noProof/>
                <w:color w:val="006100"/>
                <w:sz w:val="18"/>
                <w:szCs w:val="18"/>
              </w:rPr>
            </w:pPr>
            <w:r>
              <w:rPr>
                <w:rFonts w:ascii="Times New Roman" w:hAnsi="Times New Roman" w:cs="Times New Roman"/>
                <w:noProof/>
                <w:color w:val="006100"/>
                <w:sz w:val="18"/>
                <w:szCs w:val="18"/>
              </w:rPr>
              <w:t>Intrarea în vigoare a actelor juridice care oferă stimulente beneficiarilor pentru utilizarea cardurilor preplătite pentru achiziționarea de bunuri și servicii</w:t>
            </w:r>
            <w:r>
              <w:rPr>
                <w:rStyle w:val="eop"/>
                <w:rFonts w:ascii="Times New Roman" w:hAnsi="Times New Roman" w:cs="Times New Roman"/>
                <w:noProof/>
                <w:color w:val="000000" w:themeColor="text1"/>
                <w:sz w:val="18"/>
                <w:szCs w:val="18"/>
              </w:rPr>
              <w:t>.</w:t>
            </w:r>
          </w:p>
        </w:tc>
      </w:tr>
      <w:tr w:rsidR="00C45D59" w14:paraId="74A03A71" w14:textId="77777777" w:rsidTr="00892E7E">
        <w:trPr>
          <w:trHeight w:val="313"/>
          <w:jc w:val="center"/>
        </w:trPr>
        <w:tc>
          <w:tcPr>
            <w:tcW w:w="604" w:type="dxa"/>
            <w:shd w:val="clear" w:color="auto" w:fill="C6EFCE"/>
            <w:noWrap/>
          </w:tcPr>
          <w:p w14:paraId="631E924D" w14:textId="77777777" w:rsidR="00C45D59" w:rsidRDefault="009B0962">
            <w:pPr>
              <w:pStyle w:val="P68B1DB1-Normal12"/>
              <w:spacing w:before="120" w:after="0" w:line="240" w:lineRule="auto"/>
              <w:rPr>
                <w:rFonts w:eastAsia="Times New Roman"/>
                <w:noProof/>
              </w:rPr>
            </w:pPr>
            <w:r>
              <w:rPr>
                <w:noProof/>
              </w:rPr>
              <w:t>176</w:t>
            </w:r>
          </w:p>
        </w:tc>
        <w:tc>
          <w:tcPr>
            <w:tcW w:w="2269" w:type="dxa"/>
            <w:shd w:val="clear" w:color="auto" w:fill="C6EFCE"/>
            <w:noWrap/>
          </w:tcPr>
          <w:p w14:paraId="26DF7A1A" w14:textId="77777777" w:rsidR="00C45D59" w:rsidRDefault="009B0962">
            <w:pPr>
              <w:pStyle w:val="P68B1DB1-Normal12"/>
              <w:spacing w:before="120" w:after="0" w:line="240" w:lineRule="auto"/>
              <w:rPr>
                <w:rFonts w:eastAsia="Times New Roman"/>
                <w:noProof/>
              </w:rPr>
            </w:pPr>
            <w:r>
              <w:rPr>
                <w:noProof/>
              </w:rPr>
              <w:t>11-3.4. Creșterea accesului la politici sociale eficace și favorabile incluziunii – 16904_Handicap</w:t>
            </w:r>
          </w:p>
        </w:tc>
        <w:tc>
          <w:tcPr>
            <w:tcW w:w="1134" w:type="dxa"/>
            <w:shd w:val="clear" w:color="auto" w:fill="C6EFCE"/>
            <w:noWrap/>
          </w:tcPr>
          <w:p w14:paraId="665C0106" w14:textId="77777777" w:rsidR="00C45D59" w:rsidRDefault="009B0962">
            <w:pPr>
              <w:pStyle w:val="P68B1DB1-Normal12"/>
              <w:spacing w:before="120" w:after="0" w:line="240" w:lineRule="auto"/>
              <w:rPr>
                <w:rFonts w:eastAsia="Times New Roman"/>
                <w:noProof/>
              </w:rPr>
            </w:pPr>
            <w:r>
              <w:rPr>
                <w:noProof/>
              </w:rPr>
              <w:t>Etapă</w:t>
            </w:r>
          </w:p>
        </w:tc>
        <w:tc>
          <w:tcPr>
            <w:tcW w:w="1559" w:type="dxa"/>
            <w:shd w:val="clear" w:color="auto" w:fill="C6EFCE"/>
            <w:noWrap/>
          </w:tcPr>
          <w:p w14:paraId="72A02B41" w14:textId="77777777" w:rsidR="00C45D59" w:rsidRDefault="009B0962">
            <w:pPr>
              <w:pStyle w:val="P68B1DB1-Normal12"/>
              <w:spacing w:before="120" w:after="0" w:line="240" w:lineRule="auto"/>
              <w:rPr>
                <w:rFonts w:eastAsia="Times New Roman"/>
                <w:noProof/>
              </w:rPr>
            </w:pPr>
            <w:r>
              <w:rPr>
                <w:noProof/>
              </w:rPr>
              <w:t>Evaluarea handicapului în cadrul asistenței personale</w:t>
            </w:r>
          </w:p>
        </w:tc>
        <w:tc>
          <w:tcPr>
            <w:tcW w:w="1984" w:type="dxa"/>
            <w:shd w:val="clear" w:color="auto" w:fill="C6EFCE"/>
            <w:noWrap/>
          </w:tcPr>
          <w:p w14:paraId="22F59E07" w14:textId="58FA0421" w:rsidR="00C45D59" w:rsidRDefault="009B0962">
            <w:pPr>
              <w:pStyle w:val="P68B1DB1-Normal12"/>
              <w:spacing w:before="120" w:after="0" w:line="240" w:lineRule="auto"/>
              <w:rPr>
                <w:rFonts w:eastAsia="Times New Roman"/>
                <w:noProof/>
              </w:rPr>
            </w:pPr>
            <w:r>
              <w:rPr>
                <w:noProof/>
              </w:rPr>
              <w:t>Asistenți personali desemnați pentru cel puțin 1500 beneficiari.</w:t>
            </w:r>
          </w:p>
        </w:tc>
        <w:tc>
          <w:tcPr>
            <w:tcW w:w="993" w:type="dxa"/>
            <w:shd w:val="clear" w:color="auto" w:fill="C6EFCE"/>
            <w:noWrap/>
          </w:tcPr>
          <w:p w14:paraId="43BC3B39" w14:textId="77777777" w:rsidR="00C45D59" w:rsidRDefault="00C45D59">
            <w:pPr>
              <w:spacing w:before="120" w:after="0" w:line="240" w:lineRule="auto"/>
              <w:rPr>
                <w:rFonts w:ascii="Times New Roman" w:eastAsia="Times New Roman" w:hAnsi="Times New Roman" w:cs="Times New Roman"/>
                <w:noProof/>
                <w:color w:val="006100"/>
                <w:sz w:val="18"/>
                <w:szCs w:val="18"/>
              </w:rPr>
            </w:pPr>
          </w:p>
        </w:tc>
        <w:tc>
          <w:tcPr>
            <w:tcW w:w="992" w:type="dxa"/>
            <w:shd w:val="clear" w:color="auto" w:fill="C6EFCE"/>
            <w:noWrap/>
          </w:tcPr>
          <w:p w14:paraId="2738DAE4" w14:textId="77777777" w:rsidR="00C45D59" w:rsidRDefault="00C45D59">
            <w:pPr>
              <w:spacing w:before="120" w:after="0" w:line="240" w:lineRule="auto"/>
              <w:rPr>
                <w:rFonts w:ascii="Times New Roman" w:eastAsia="Times New Roman" w:hAnsi="Times New Roman" w:cs="Times New Roman"/>
                <w:noProof/>
                <w:color w:val="006100"/>
                <w:sz w:val="18"/>
                <w:szCs w:val="18"/>
              </w:rPr>
            </w:pPr>
          </w:p>
        </w:tc>
        <w:tc>
          <w:tcPr>
            <w:tcW w:w="850" w:type="dxa"/>
            <w:shd w:val="clear" w:color="auto" w:fill="C6EFCE"/>
            <w:noWrap/>
          </w:tcPr>
          <w:p w14:paraId="4B3226DB" w14:textId="77777777" w:rsidR="00C45D59" w:rsidRDefault="00C45D59">
            <w:pPr>
              <w:spacing w:before="120" w:after="0" w:line="240" w:lineRule="auto"/>
              <w:rPr>
                <w:rFonts w:ascii="Times New Roman" w:eastAsia="Times New Roman" w:hAnsi="Times New Roman" w:cs="Times New Roman"/>
                <w:noProof/>
                <w:color w:val="006100"/>
                <w:sz w:val="18"/>
                <w:szCs w:val="18"/>
              </w:rPr>
            </w:pPr>
          </w:p>
        </w:tc>
        <w:tc>
          <w:tcPr>
            <w:tcW w:w="1071" w:type="dxa"/>
            <w:shd w:val="clear" w:color="auto" w:fill="C6EFCE"/>
            <w:noWrap/>
          </w:tcPr>
          <w:p w14:paraId="5E098B14" w14:textId="77777777" w:rsidR="00C45D59" w:rsidRDefault="009B0962">
            <w:pPr>
              <w:pStyle w:val="P68B1DB1-Normal12"/>
              <w:spacing w:before="120" w:after="0" w:line="240" w:lineRule="auto"/>
              <w:rPr>
                <w:rFonts w:eastAsia="Times New Roman"/>
                <w:noProof/>
              </w:rPr>
            </w:pPr>
            <w:r>
              <w:rPr>
                <w:noProof/>
              </w:rPr>
              <w:t>Î4</w:t>
            </w:r>
          </w:p>
        </w:tc>
        <w:tc>
          <w:tcPr>
            <w:tcW w:w="810" w:type="dxa"/>
            <w:shd w:val="clear" w:color="auto" w:fill="C6EFCE"/>
            <w:noWrap/>
          </w:tcPr>
          <w:p w14:paraId="2F297135" w14:textId="77777777" w:rsidR="00C45D59" w:rsidRDefault="009B0962">
            <w:pPr>
              <w:pStyle w:val="P68B1DB1-Normal12"/>
              <w:spacing w:before="120" w:after="0" w:line="240" w:lineRule="auto"/>
              <w:rPr>
                <w:rFonts w:eastAsia="Times New Roman"/>
                <w:noProof/>
              </w:rPr>
            </w:pPr>
            <w:r>
              <w:rPr>
                <w:noProof/>
              </w:rPr>
              <w:t>2024</w:t>
            </w:r>
          </w:p>
        </w:tc>
        <w:tc>
          <w:tcPr>
            <w:tcW w:w="3797" w:type="dxa"/>
            <w:shd w:val="clear" w:color="auto" w:fill="C6EFCE"/>
            <w:noWrap/>
          </w:tcPr>
          <w:p w14:paraId="63E8CA28" w14:textId="77777777" w:rsidR="00C45D59" w:rsidRDefault="009B0962">
            <w:pPr>
              <w:pStyle w:val="P68B1DB1-Normal12"/>
              <w:spacing w:before="120" w:after="0" w:line="240" w:lineRule="auto"/>
              <w:rPr>
                <w:rFonts w:eastAsia="Times New Roman"/>
                <w:noProof/>
              </w:rPr>
            </w:pPr>
            <w:r>
              <w:rPr>
                <w:noProof/>
              </w:rPr>
              <w:t>Numirea de asistenți personali pentru cel puțin 1500 beneficiari, inclusiv un proces de evaluare a dizabilității de către o comisie de evaluare multidisciplinară.</w:t>
            </w:r>
          </w:p>
        </w:tc>
      </w:tr>
      <w:tr w:rsidR="00C45D59" w14:paraId="00D7A793" w14:textId="77777777" w:rsidTr="00892E7E">
        <w:trPr>
          <w:trHeight w:val="313"/>
          <w:jc w:val="center"/>
        </w:trPr>
        <w:tc>
          <w:tcPr>
            <w:tcW w:w="604" w:type="dxa"/>
            <w:shd w:val="clear" w:color="auto" w:fill="C6EFCE"/>
            <w:noWrap/>
          </w:tcPr>
          <w:p w14:paraId="41EF000E" w14:textId="77777777" w:rsidR="00C45D59" w:rsidRDefault="009B0962">
            <w:pPr>
              <w:pStyle w:val="P68B1DB1-Normal12"/>
              <w:spacing w:before="120" w:after="0" w:line="240" w:lineRule="auto"/>
              <w:rPr>
                <w:rFonts w:eastAsia="Times New Roman"/>
                <w:noProof/>
              </w:rPr>
            </w:pPr>
            <w:r>
              <w:rPr>
                <w:noProof/>
              </w:rPr>
              <w:t>178</w:t>
            </w:r>
          </w:p>
        </w:tc>
        <w:tc>
          <w:tcPr>
            <w:tcW w:w="2269" w:type="dxa"/>
            <w:shd w:val="clear" w:color="auto" w:fill="C6EFCE"/>
            <w:noWrap/>
          </w:tcPr>
          <w:p w14:paraId="08E1EE6F" w14:textId="77777777" w:rsidR="00C45D59" w:rsidRDefault="009B0962">
            <w:pPr>
              <w:pStyle w:val="P68B1DB1-Normal12"/>
              <w:spacing w:before="120" w:after="0" w:line="240" w:lineRule="auto"/>
              <w:rPr>
                <w:rFonts w:eastAsia="Times New Roman"/>
                <w:noProof/>
              </w:rPr>
            </w:pPr>
            <w:r>
              <w:rPr>
                <w:noProof/>
              </w:rPr>
              <w:t>11-3.4. Creșterea accesului la politici sociale eficace și favorabile incluziunii – 16919_Protecția copilului</w:t>
            </w:r>
          </w:p>
        </w:tc>
        <w:tc>
          <w:tcPr>
            <w:tcW w:w="1134" w:type="dxa"/>
            <w:shd w:val="clear" w:color="auto" w:fill="C6EFCE"/>
            <w:noWrap/>
          </w:tcPr>
          <w:p w14:paraId="5E84C787" w14:textId="77777777" w:rsidR="00C45D59" w:rsidRDefault="009B0962">
            <w:pPr>
              <w:pStyle w:val="P68B1DB1-Normal12"/>
              <w:spacing w:before="120" w:after="0" w:line="240" w:lineRule="auto"/>
              <w:rPr>
                <w:rFonts w:eastAsia="Times New Roman"/>
                <w:noProof/>
              </w:rPr>
            </w:pPr>
            <w:r>
              <w:rPr>
                <w:noProof/>
              </w:rPr>
              <w:t>Etapă</w:t>
            </w:r>
          </w:p>
        </w:tc>
        <w:tc>
          <w:tcPr>
            <w:tcW w:w="1559" w:type="dxa"/>
            <w:shd w:val="clear" w:color="auto" w:fill="C6EFCE"/>
            <w:noWrap/>
          </w:tcPr>
          <w:p w14:paraId="26E77085" w14:textId="77777777" w:rsidR="00C45D59" w:rsidRDefault="009B0962">
            <w:pPr>
              <w:pStyle w:val="P68B1DB1-Normal45"/>
              <w:spacing w:before="120" w:after="0" w:line="240" w:lineRule="auto"/>
              <w:rPr>
                <w:rFonts w:eastAsia="Times New Roman"/>
                <w:noProof/>
                <w:sz w:val="17"/>
                <w:szCs w:val="17"/>
              </w:rPr>
            </w:pPr>
            <w:r>
              <w:rPr>
                <w:noProof/>
                <w:sz w:val="18"/>
                <w:szCs w:val="18"/>
              </w:rPr>
              <w:t>Apartamente cu viață independentă pentru dezinstituționalizarea persoanelor cu vârsta de până la 26 de ani</w:t>
            </w:r>
            <w:r>
              <w:rPr>
                <w:noProof/>
                <w:sz w:val="17"/>
                <w:szCs w:val="17"/>
              </w:rPr>
              <w:t xml:space="preserve"> </w:t>
            </w:r>
          </w:p>
        </w:tc>
        <w:tc>
          <w:tcPr>
            <w:tcW w:w="1984" w:type="dxa"/>
            <w:shd w:val="clear" w:color="auto" w:fill="C6EFCE"/>
            <w:noWrap/>
          </w:tcPr>
          <w:p w14:paraId="17D45611" w14:textId="6CC6C7AC" w:rsidR="00C45D59" w:rsidRDefault="009B0962">
            <w:pPr>
              <w:pStyle w:val="P68B1DB1-Normal12"/>
              <w:spacing w:before="120" w:after="0" w:line="240" w:lineRule="auto"/>
              <w:rPr>
                <w:rFonts w:eastAsia="Times New Roman"/>
                <w:noProof/>
              </w:rPr>
            </w:pPr>
            <w:r>
              <w:rPr>
                <w:noProof/>
              </w:rPr>
              <w:t>Decizii de plasare emise pentru persoane cu vârsta de până la 26 de ani în apartamente semiindependente</w:t>
            </w:r>
          </w:p>
        </w:tc>
        <w:tc>
          <w:tcPr>
            <w:tcW w:w="993" w:type="dxa"/>
            <w:shd w:val="clear" w:color="auto" w:fill="C6EFCE"/>
            <w:noWrap/>
          </w:tcPr>
          <w:p w14:paraId="47F6830C" w14:textId="77777777" w:rsidR="00C45D59" w:rsidRDefault="00C45D59">
            <w:pPr>
              <w:spacing w:before="120" w:after="0" w:line="240" w:lineRule="auto"/>
              <w:rPr>
                <w:rFonts w:ascii="Times New Roman" w:eastAsia="Times New Roman" w:hAnsi="Times New Roman" w:cs="Times New Roman"/>
                <w:noProof/>
                <w:color w:val="006100"/>
                <w:sz w:val="18"/>
                <w:szCs w:val="18"/>
              </w:rPr>
            </w:pPr>
          </w:p>
        </w:tc>
        <w:tc>
          <w:tcPr>
            <w:tcW w:w="992" w:type="dxa"/>
            <w:shd w:val="clear" w:color="auto" w:fill="C6EFCE"/>
            <w:noWrap/>
          </w:tcPr>
          <w:p w14:paraId="570E3807" w14:textId="77777777" w:rsidR="00C45D59" w:rsidRDefault="00C45D59">
            <w:pPr>
              <w:spacing w:before="120" w:after="0" w:line="240" w:lineRule="auto"/>
              <w:rPr>
                <w:rFonts w:ascii="Times New Roman" w:eastAsia="Times New Roman" w:hAnsi="Times New Roman" w:cs="Times New Roman"/>
                <w:noProof/>
                <w:color w:val="006100"/>
                <w:sz w:val="18"/>
                <w:szCs w:val="18"/>
              </w:rPr>
            </w:pPr>
          </w:p>
        </w:tc>
        <w:tc>
          <w:tcPr>
            <w:tcW w:w="850" w:type="dxa"/>
            <w:shd w:val="clear" w:color="auto" w:fill="C6EFCE"/>
            <w:noWrap/>
          </w:tcPr>
          <w:p w14:paraId="5788481F" w14:textId="77777777" w:rsidR="00C45D59" w:rsidRDefault="00C45D59">
            <w:pPr>
              <w:spacing w:before="120" w:after="0" w:line="240" w:lineRule="auto"/>
              <w:rPr>
                <w:rFonts w:ascii="Times New Roman" w:eastAsia="Times New Roman" w:hAnsi="Times New Roman" w:cs="Times New Roman"/>
                <w:noProof/>
                <w:color w:val="006100"/>
                <w:sz w:val="18"/>
                <w:szCs w:val="18"/>
              </w:rPr>
            </w:pPr>
          </w:p>
        </w:tc>
        <w:tc>
          <w:tcPr>
            <w:tcW w:w="1071" w:type="dxa"/>
            <w:shd w:val="clear" w:color="auto" w:fill="C6EFCE"/>
            <w:noWrap/>
          </w:tcPr>
          <w:p w14:paraId="2243B677" w14:textId="77777777" w:rsidR="00C45D59" w:rsidRDefault="009B0962">
            <w:pPr>
              <w:pStyle w:val="P68B1DB1-Normal12"/>
              <w:spacing w:before="120" w:after="0" w:line="240" w:lineRule="auto"/>
              <w:rPr>
                <w:rFonts w:eastAsia="Times New Roman"/>
                <w:noProof/>
              </w:rPr>
            </w:pPr>
            <w:r>
              <w:rPr>
                <w:noProof/>
              </w:rPr>
              <w:t>Î4</w:t>
            </w:r>
          </w:p>
        </w:tc>
        <w:tc>
          <w:tcPr>
            <w:tcW w:w="810" w:type="dxa"/>
            <w:shd w:val="clear" w:color="auto" w:fill="C6EFCE"/>
            <w:noWrap/>
          </w:tcPr>
          <w:p w14:paraId="1ABBA79C" w14:textId="77777777" w:rsidR="00C45D59" w:rsidRDefault="009B0962">
            <w:pPr>
              <w:pStyle w:val="P68B1DB1-Normal12"/>
              <w:spacing w:before="120" w:after="0" w:line="240" w:lineRule="auto"/>
              <w:rPr>
                <w:rFonts w:eastAsia="Times New Roman"/>
                <w:noProof/>
              </w:rPr>
            </w:pPr>
            <w:r>
              <w:rPr>
                <w:noProof/>
              </w:rPr>
              <w:t>2025</w:t>
            </w:r>
          </w:p>
        </w:tc>
        <w:tc>
          <w:tcPr>
            <w:tcW w:w="3797" w:type="dxa"/>
            <w:shd w:val="clear" w:color="auto" w:fill="C6EFCE"/>
            <w:noWrap/>
          </w:tcPr>
          <w:p w14:paraId="729608AC" w14:textId="5AF41C9C" w:rsidR="00C45D59" w:rsidRDefault="009B0962">
            <w:pPr>
              <w:pStyle w:val="P68B1DB1-Normal23"/>
              <w:spacing w:before="120" w:after="0" w:line="240" w:lineRule="auto"/>
              <w:rPr>
                <w:noProof/>
              </w:rPr>
            </w:pPr>
            <w:r>
              <w:rPr>
                <w:noProof/>
              </w:rPr>
              <w:t>Decizii de plasare emise pentru cel puțin 135 de persoane cu vârsta de până la 26 ani care locuiesc în prezent în unități de protecție a copilului (CPU), în apartamente cu autonomie parțială.</w:t>
            </w:r>
          </w:p>
        </w:tc>
      </w:tr>
      <w:tr w:rsidR="00C45D59" w14:paraId="5FC85ED4" w14:textId="77777777" w:rsidTr="00892E7E">
        <w:trPr>
          <w:trHeight w:val="313"/>
          <w:jc w:val="center"/>
        </w:trPr>
        <w:tc>
          <w:tcPr>
            <w:tcW w:w="604" w:type="dxa"/>
            <w:shd w:val="clear" w:color="auto" w:fill="C6EFCE"/>
            <w:noWrap/>
          </w:tcPr>
          <w:p w14:paraId="6C4453E5" w14:textId="77777777" w:rsidR="00C45D59" w:rsidRDefault="009B0962">
            <w:pPr>
              <w:pStyle w:val="P68B1DB1-Normal12"/>
              <w:spacing w:before="120" w:after="0" w:line="240" w:lineRule="auto"/>
              <w:rPr>
                <w:rFonts w:eastAsia="Times New Roman"/>
                <w:noProof/>
              </w:rPr>
            </w:pPr>
            <w:r>
              <w:rPr>
                <w:noProof/>
              </w:rPr>
              <w:t>179</w:t>
            </w:r>
          </w:p>
        </w:tc>
        <w:tc>
          <w:tcPr>
            <w:tcW w:w="2269" w:type="dxa"/>
            <w:shd w:val="clear" w:color="auto" w:fill="C6EFCE"/>
            <w:noWrap/>
          </w:tcPr>
          <w:p w14:paraId="14535974" w14:textId="77777777" w:rsidR="00C45D59" w:rsidRDefault="009B0962">
            <w:pPr>
              <w:pStyle w:val="P68B1DB1-Normal12"/>
              <w:spacing w:before="120" w:after="0" w:line="240" w:lineRule="auto"/>
              <w:rPr>
                <w:rFonts w:eastAsia="Times New Roman"/>
                <w:noProof/>
              </w:rPr>
            </w:pPr>
            <w:r>
              <w:rPr>
                <w:noProof/>
              </w:rPr>
              <w:t>11-3.4. Creșterea accesului la politici sociale eficace și favorabile incluziunii – 16904_ Persoanele cu handicap</w:t>
            </w:r>
          </w:p>
        </w:tc>
        <w:tc>
          <w:tcPr>
            <w:tcW w:w="1134" w:type="dxa"/>
            <w:shd w:val="clear" w:color="auto" w:fill="C6EFCE"/>
            <w:noWrap/>
          </w:tcPr>
          <w:p w14:paraId="5C9B6D50" w14:textId="77777777" w:rsidR="00C45D59" w:rsidRDefault="009B0962">
            <w:pPr>
              <w:pStyle w:val="P68B1DB1-Normal12"/>
              <w:spacing w:before="120" w:after="0" w:line="240" w:lineRule="auto"/>
              <w:rPr>
                <w:rFonts w:eastAsia="Times New Roman"/>
                <w:noProof/>
              </w:rPr>
            </w:pPr>
            <w:r>
              <w:rPr>
                <w:noProof/>
              </w:rPr>
              <w:t>Etapă</w:t>
            </w:r>
          </w:p>
        </w:tc>
        <w:tc>
          <w:tcPr>
            <w:tcW w:w="1559" w:type="dxa"/>
            <w:shd w:val="clear" w:color="auto" w:fill="C6EFCE"/>
            <w:noWrap/>
          </w:tcPr>
          <w:p w14:paraId="51BD7C6A" w14:textId="3FC5B8DA" w:rsidR="00C45D59" w:rsidRDefault="009B0962">
            <w:pPr>
              <w:pStyle w:val="P68B1DB1-Normal12"/>
              <w:spacing w:before="120" w:after="0" w:line="240" w:lineRule="auto"/>
              <w:rPr>
                <w:rFonts w:eastAsia="Times New Roman"/>
                <w:noProof/>
              </w:rPr>
            </w:pPr>
            <w:r>
              <w:rPr>
                <w:noProof/>
              </w:rPr>
              <w:t xml:space="preserve">Punerea în aplicare la nivel național a sistemului de asistență personală pentru persoanele cu handicap și evaluarea programului-pilot </w:t>
            </w:r>
          </w:p>
        </w:tc>
        <w:tc>
          <w:tcPr>
            <w:tcW w:w="1984" w:type="dxa"/>
            <w:shd w:val="clear" w:color="auto" w:fill="C6EFCE"/>
            <w:noWrap/>
          </w:tcPr>
          <w:p w14:paraId="6D5ACCFD" w14:textId="07B71859" w:rsidR="00C45D59" w:rsidRDefault="009B0962">
            <w:pPr>
              <w:pStyle w:val="P68B1DB1-Normal12"/>
              <w:spacing w:before="120" w:after="0" w:line="240" w:lineRule="auto"/>
              <w:rPr>
                <w:rFonts w:eastAsia="Times New Roman"/>
                <w:noProof/>
              </w:rPr>
            </w:pPr>
            <w:r>
              <w:rPr>
                <w:noProof/>
              </w:rPr>
              <w:t xml:space="preserve">a) intrarea în vigoare a unui act juridic pentru implementarea națională permanentă și b) raportul de evaluare a proiectului-pilot și a sistemului de evaluare cu statistici și recomandări. </w:t>
            </w:r>
          </w:p>
        </w:tc>
        <w:tc>
          <w:tcPr>
            <w:tcW w:w="993" w:type="dxa"/>
            <w:shd w:val="clear" w:color="auto" w:fill="C6EFCE"/>
            <w:noWrap/>
          </w:tcPr>
          <w:p w14:paraId="4F7707FC" w14:textId="77777777" w:rsidR="00C45D59" w:rsidRDefault="00C45D59">
            <w:pPr>
              <w:spacing w:before="120" w:after="0" w:line="240" w:lineRule="auto"/>
              <w:rPr>
                <w:rFonts w:ascii="Times New Roman" w:eastAsia="Times New Roman" w:hAnsi="Times New Roman" w:cs="Times New Roman"/>
                <w:noProof/>
                <w:color w:val="006100"/>
                <w:sz w:val="18"/>
                <w:szCs w:val="18"/>
              </w:rPr>
            </w:pPr>
          </w:p>
        </w:tc>
        <w:tc>
          <w:tcPr>
            <w:tcW w:w="992" w:type="dxa"/>
            <w:shd w:val="clear" w:color="auto" w:fill="C6EFCE"/>
            <w:noWrap/>
          </w:tcPr>
          <w:p w14:paraId="247A34FA" w14:textId="77777777" w:rsidR="00C45D59" w:rsidRDefault="00C45D59">
            <w:pPr>
              <w:spacing w:before="120" w:after="0" w:line="240" w:lineRule="auto"/>
              <w:rPr>
                <w:rFonts w:ascii="Times New Roman" w:eastAsia="Times New Roman" w:hAnsi="Times New Roman" w:cs="Times New Roman"/>
                <w:noProof/>
                <w:color w:val="006100"/>
                <w:sz w:val="18"/>
                <w:szCs w:val="18"/>
              </w:rPr>
            </w:pPr>
          </w:p>
        </w:tc>
        <w:tc>
          <w:tcPr>
            <w:tcW w:w="850" w:type="dxa"/>
            <w:shd w:val="clear" w:color="auto" w:fill="C6EFCE"/>
            <w:noWrap/>
          </w:tcPr>
          <w:p w14:paraId="7F4F19E8" w14:textId="77777777" w:rsidR="00C45D59" w:rsidRDefault="00C45D59">
            <w:pPr>
              <w:spacing w:before="120" w:after="0" w:line="240" w:lineRule="auto"/>
              <w:rPr>
                <w:rFonts w:ascii="Times New Roman" w:eastAsia="Times New Roman" w:hAnsi="Times New Roman" w:cs="Times New Roman"/>
                <w:noProof/>
                <w:color w:val="006100"/>
                <w:sz w:val="18"/>
                <w:szCs w:val="18"/>
              </w:rPr>
            </w:pPr>
          </w:p>
        </w:tc>
        <w:tc>
          <w:tcPr>
            <w:tcW w:w="1071" w:type="dxa"/>
            <w:shd w:val="clear" w:color="auto" w:fill="C6EFCE"/>
            <w:noWrap/>
          </w:tcPr>
          <w:p w14:paraId="18A1D73D" w14:textId="77777777" w:rsidR="00C45D59" w:rsidRDefault="009B0962">
            <w:pPr>
              <w:pStyle w:val="P68B1DB1-Normal12"/>
              <w:spacing w:before="120" w:after="0" w:line="240" w:lineRule="auto"/>
              <w:rPr>
                <w:rFonts w:eastAsia="Times New Roman"/>
                <w:noProof/>
              </w:rPr>
            </w:pPr>
            <w:r>
              <w:rPr>
                <w:noProof/>
              </w:rPr>
              <w:t>Î4</w:t>
            </w:r>
          </w:p>
        </w:tc>
        <w:tc>
          <w:tcPr>
            <w:tcW w:w="810" w:type="dxa"/>
            <w:shd w:val="clear" w:color="auto" w:fill="C6EFCE"/>
            <w:noWrap/>
          </w:tcPr>
          <w:p w14:paraId="13CAFFAD" w14:textId="77777777" w:rsidR="00C45D59" w:rsidRDefault="009B0962">
            <w:pPr>
              <w:pStyle w:val="P68B1DB1-Normal12"/>
              <w:spacing w:before="120" w:after="0" w:line="240" w:lineRule="auto"/>
              <w:rPr>
                <w:rFonts w:eastAsia="Times New Roman"/>
                <w:noProof/>
              </w:rPr>
            </w:pPr>
            <w:r>
              <w:rPr>
                <w:noProof/>
              </w:rPr>
              <w:t>2025</w:t>
            </w:r>
          </w:p>
        </w:tc>
        <w:tc>
          <w:tcPr>
            <w:tcW w:w="3797" w:type="dxa"/>
            <w:shd w:val="clear" w:color="auto" w:fill="C6EFCE"/>
            <w:noWrap/>
          </w:tcPr>
          <w:p w14:paraId="6DBF5262" w14:textId="45A5A386" w:rsidR="00C45D59" w:rsidRDefault="009B0962">
            <w:pPr>
              <w:pStyle w:val="P68B1DB1-Normal12"/>
              <w:spacing w:before="120" w:after="0" w:line="240" w:lineRule="auto"/>
              <w:rPr>
                <w:rFonts w:eastAsia="Times New Roman"/>
                <w:noProof/>
              </w:rPr>
            </w:pPr>
            <w:r>
              <w:rPr>
                <w:noProof/>
              </w:rPr>
              <w:t>Intrarea în vigoare a unui act juridic care să permită implementarea permanentă la nivel național a sistemului de asistență personală pentru persoanele cu handicap, inclusiv a procesului de evaluare medicală și funcțională și prezentarea unui raport de evaluare a sistemului-pilot cu statistici și recomandări.</w:t>
            </w:r>
          </w:p>
        </w:tc>
      </w:tr>
      <w:tr w:rsidR="00C45D59" w14:paraId="0F06420C" w14:textId="77777777" w:rsidTr="00892E7E">
        <w:trPr>
          <w:trHeight w:val="313"/>
          <w:jc w:val="center"/>
        </w:trPr>
        <w:tc>
          <w:tcPr>
            <w:tcW w:w="604" w:type="dxa"/>
            <w:shd w:val="clear" w:color="auto" w:fill="C6EFCE"/>
            <w:noWrap/>
          </w:tcPr>
          <w:p w14:paraId="24EAD424" w14:textId="77777777" w:rsidR="00C45D59" w:rsidRDefault="009B0962">
            <w:pPr>
              <w:pStyle w:val="P68B1DB1-Normal12"/>
              <w:spacing w:before="120" w:after="0" w:line="240" w:lineRule="auto"/>
              <w:rPr>
                <w:noProof/>
              </w:rPr>
            </w:pPr>
            <w:r>
              <w:rPr>
                <w:noProof/>
              </w:rPr>
              <w:t>181</w:t>
            </w:r>
          </w:p>
        </w:tc>
        <w:tc>
          <w:tcPr>
            <w:tcW w:w="2269" w:type="dxa"/>
            <w:shd w:val="clear" w:color="auto" w:fill="C6EFCE"/>
            <w:noWrap/>
          </w:tcPr>
          <w:p w14:paraId="5FD93CD9" w14:textId="77777777" w:rsidR="00C45D59" w:rsidRDefault="009B0962">
            <w:pPr>
              <w:pStyle w:val="P68B1DB1-Normal12"/>
              <w:spacing w:before="120" w:after="0" w:line="240" w:lineRule="auto"/>
              <w:rPr>
                <w:noProof/>
              </w:rPr>
            </w:pPr>
            <w:r>
              <w:rPr>
                <w:noProof/>
              </w:rPr>
              <w:t>11-3.4 sporirea accesului la politici sociale eficace și favorabile incluziunii – 16402_Locuințe sociale și la prețuri accesibile</w:t>
            </w:r>
          </w:p>
        </w:tc>
        <w:tc>
          <w:tcPr>
            <w:tcW w:w="1134" w:type="dxa"/>
            <w:shd w:val="clear" w:color="auto" w:fill="C6EFCE"/>
            <w:noWrap/>
          </w:tcPr>
          <w:p w14:paraId="2C002D85" w14:textId="77777777" w:rsidR="00C45D59" w:rsidRDefault="009B0962">
            <w:pPr>
              <w:pStyle w:val="P68B1DB1-Normal12"/>
              <w:spacing w:before="120" w:after="0" w:line="240" w:lineRule="auto"/>
              <w:rPr>
                <w:noProof/>
              </w:rPr>
            </w:pPr>
            <w:r>
              <w:rPr>
                <w:noProof/>
              </w:rPr>
              <w:t>Etapă</w:t>
            </w:r>
          </w:p>
        </w:tc>
        <w:tc>
          <w:tcPr>
            <w:tcW w:w="1559" w:type="dxa"/>
            <w:shd w:val="clear" w:color="auto" w:fill="C6EFCE"/>
            <w:noWrap/>
          </w:tcPr>
          <w:p w14:paraId="1DDF153F" w14:textId="77777777" w:rsidR="00C45D59" w:rsidRDefault="009B0962">
            <w:pPr>
              <w:pStyle w:val="P68B1DB1-Normal12"/>
              <w:spacing w:before="120" w:after="0" w:line="240" w:lineRule="auto"/>
              <w:rPr>
                <w:noProof/>
              </w:rPr>
            </w:pPr>
            <w:r>
              <w:rPr>
                <w:noProof/>
              </w:rPr>
              <w:t xml:space="preserve">Strategia națională privind locuințele </w:t>
            </w:r>
          </w:p>
        </w:tc>
        <w:tc>
          <w:tcPr>
            <w:tcW w:w="1984" w:type="dxa"/>
            <w:shd w:val="clear" w:color="auto" w:fill="C6EFCE"/>
            <w:noWrap/>
          </w:tcPr>
          <w:p w14:paraId="123EC1C5" w14:textId="1E85723F" w:rsidR="00C45D59" w:rsidRDefault="009B0962">
            <w:pPr>
              <w:pStyle w:val="P68B1DB1-Normal12"/>
              <w:spacing w:before="120" w:after="0" w:line="240" w:lineRule="auto"/>
              <w:rPr>
                <w:noProof/>
              </w:rPr>
            </w:pPr>
            <w:r>
              <w:rPr>
                <w:noProof/>
              </w:rPr>
              <w:t xml:space="preserve">Aprobarea Strategiei privind locuințele de către Comitetul guvernamental pentru politica în domeniul locuințelor, printr-un act publicat în Monitorul Oficial. Publicarea Strategiei privind locuințele pe site-ul oficial al Ministerului Coeziunii Sociale și Familiei. </w:t>
            </w:r>
          </w:p>
        </w:tc>
        <w:tc>
          <w:tcPr>
            <w:tcW w:w="993" w:type="dxa"/>
            <w:shd w:val="clear" w:color="auto" w:fill="C6EFCE"/>
            <w:noWrap/>
          </w:tcPr>
          <w:p w14:paraId="0C9C58AB" w14:textId="77777777" w:rsidR="00C45D59" w:rsidRDefault="00C45D59">
            <w:pPr>
              <w:spacing w:before="120" w:after="0" w:line="240" w:lineRule="auto"/>
              <w:rPr>
                <w:rFonts w:ascii="Times New Roman" w:hAnsi="Times New Roman" w:cs="Times New Roman"/>
                <w:noProof/>
                <w:color w:val="006100"/>
                <w:sz w:val="18"/>
                <w:szCs w:val="18"/>
              </w:rPr>
            </w:pPr>
          </w:p>
        </w:tc>
        <w:tc>
          <w:tcPr>
            <w:tcW w:w="992" w:type="dxa"/>
            <w:shd w:val="clear" w:color="auto" w:fill="C6EFCE"/>
            <w:noWrap/>
          </w:tcPr>
          <w:p w14:paraId="65025124" w14:textId="77777777" w:rsidR="00C45D59" w:rsidRDefault="00C45D59">
            <w:pPr>
              <w:spacing w:before="120" w:after="0" w:line="240" w:lineRule="auto"/>
              <w:rPr>
                <w:rFonts w:ascii="Times New Roman" w:hAnsi="Times New Roman" w:cs="Times New Roman"/>
                <w:noProof/>
                <w:color w:val="006100"/>
                <w:sz w:val="18"/>
                <w:szCs w:val="18"/>
              </w:rPr>
            </w:pPr>
          </w:p>
        </w:tc>
        <w:tc>
          <w:tcPr>
            <w:tcW w:w="850" w:type="dxa"/>
            <w:shd w:val="clear" w:color="auto" w:fill="C6EFCE"/>
            <w:noWrap/>
          </w:tcPr>
          <w:p w14:paraId="24EFB4B0" w14:textId="77777777" w:rsidR="00C45D59" w:rsidRDefault="00C45D59">
            <w:pPr>
              <w:spacing w:before="120" w:after="0" w:line="240" w:lineRule="auto"/>
              <w:rPr>
                <w:rFonts w:ascii="Times New Roman" w:hAnsi="Times New Roman" w:cs="Times New Roman"/>
                <w:noProof/>
                <w:color w:val="006100"/>
                <w:sz w:val="18"/>
                <w:szCs w:val="18"/>
              </w:rPr>
            </w:pPr>
          </w:p>
        </w:tc>
        <w:tc>
          <w:tcPr>
            <w:tcW w:w="1071" w:type="dxa"/>
            <w:shd w:val="clear" w:color="auto" w:fill="C6EFCE"/>
            <w:noWrap/>
          </w:tcPr>
          <w:p w14:paraId="1AF378EA" w14:textId="77777777" w:rsidR="00C45D59" w:rsidRDefault="009B0962">
            <w:pPr>
              <w:pStyle w:val="P68B1DB1-Normal12"/>
              <w:spacing w:before="120" w:after="0" w:line="240" w:lineRule="auto"/>
              <w:rPr>
                <w:noProof/>
              </w:rPr>
            </w:pPr>
            <w:r>
              <w:rPr>
                <w:noProof/>
              </w:rPr>
              <w:t>Î1</w:t>
            </w:r>
          </w:p>
        </w:tc>
        <w:tc>
          <w:tcPr>
            <w:tcW w:w="810" w:type="dxa"/>
            <w:shd w:val="clear" w:color="auto" w:fill="C6EFCE"/>
            <w:noWrap/>
          </w:tcPr>
          <w:p w14:paraId="09726C99" w14:textId="77777777" w:rsidR="00C45D59" w:rsidRDefault="009B0962">
            <w:pPr>
              <w:pStyle w:val="P68B1DB1-Normal12"/>
              <w:spacing w:before="120" w:after="0" w:line="240" w:lineRule="auto"/>
              <w:rPr>
                <w:noProof/>
              </w:rPr>
            </w:pPr>
            <w:r>
              <w:rPr>
                <w:noProof/>
              </w:rPr>
              <w:t>2026</w:t>
            </w:r>
          </w:p>
        </w:tc>
        <w:tc>
          <w:tcPr>
            <w:tcW w:w="3797" w:type="dxa"/>
            <w:shd w:val="clear" w:color="auto" w:fill="C6EFCE"/>
            <w:noWrap/>
          </w:tcPr>
          <w:p w14:paraId="05BCD6EB" w14:textId="77777777" w:rsidR="00C45D59" w:rsidRDefault="009B0962">
            <w:pPr>
              <w:pStyle w:val="P68B1DB1-Normal12"/>
              <w:spacing w:before="120" w:after="0" w:line="240" w:lineRule="auto"/>
              <w:rPr>
                <w:noProof/>
              </w:rPr>
            </w:pPr>
            <w:r>
              <w:rPr>
                <w:noProof/>
              </w:rPr>
              <w:t>Adoptarea strategiei naționale privind locuințele, în urma unei consultări publice, care include:</w:t>
            </w:r>
          </w:p>
          <w:p w14:paraId="388DA4BA" w14:textId="77777777" w:rsidR="00C45D59" w:rsidRDefault="009B0962">
            <w:pPr>
              <w:pStyle w:val="P68B1DB1-ListParagraph34"/>
              <w:numPr>
                <w:ilvl w:val="0"/>
                <w:numId w:val="52"/>
              </w:numPr>
              <w:spacing w:before="120" w:after="0" w:line="240" w:lineRule="auto"/>
              <w:ind w:left="414" w:hanging="357"/>
              <w:rPr>
                <w:noProof/>
              </w:rPr>
            </w:pPr>
            <w:r>
              <w:rPr>
                <w:noProof/>
              </w:rPr>
              <w:t>O analiză a funcționării pieței locuințelor.</w:t>
            </w:r>
          </w:p>
          <w:p w14:paraId="2CF5459E" w14:textId="77777777" w:rsidR="00C45D59" w:rsidRDefault="009B0962">
            <w:pPr>
              <w:pStyle w:val="P68B1DB1-ListParagraph34"/>
              <w:numPr>
                <w:ilvl w:val="0"/>
                <w:numId w:val="52"/>
              </w:numPr>
              <w:spacing w:before="120" w:after="0" w:line="240" w:lineRule="auto"/>
              <w:ind w:left="414" w:hanging="357"/>
              <w:rPr>
                <w:noProof/>
              </w:rPr>
            </w:pPr>
            <w:r>
              <w:rPr>
                <w:noProof/>
              </w:rPr>
              <w:t>O cartografiere a fondului locativ la nivel regional, inclusiv a proprietăților private care nu sunt ocupate și a proprietăților deținute de stat care sunt sau pot deveni disponibile în scopuri legate de locuințele sociale, însoțită de o analiză a evoluției prețurilor locuințelor și a factorilor determinanți ai acestora, susținută de date și indicatori statistici;</w:t>
            </w:r>
          </w:p>
          <w:p w14:paraId="587C9444" w14:textId="77777777" w:rsidR="00C45D59" w:rsidRDefault="009B0962">
            <w:pPr>
              <w:pStyle w:val="P68B1DB1-ListParagraph34"/>
              <w:numPr>
                <w:ilvl w:val="0"/>
                <w:numId w:val="52"/>
              </w:numPr>
              <w:spacing w:before="120" w:after="0" w:line="240" w:lineRule="auto"/>
              <w:ind w:left="414" w:hanging="357"/>
              <w:rPr>
                <w:noProof/>
              </w:rPr>
            </w:pPr>
            <w:r>
              <w:rPr>
                <w:noProof/>
              </w:rPr>
              <w:t xml:space="preserve">O analiză a nevoilor de locuințe pe segmente de populație (și anume grupuri de populație cu caracteristici distincte, cum ar fi vârsta, venitul disponibil, componența familiei, la nivel municipal și regional, în zonele rurale sau urbane, în orașele mici sau în orașele mari); </w:t>
            </w:r>
          </w:p>
          <w:p w14:paraId="3E50D4B0" w14:textId="77777777" w:rsidR="00C45D59" w:rsidRDefault="009B0962">
            <w:pPr>
              <w:pStyle w:val="P68B1DB1-ListParagraph34"/>
              <w:numPr>
                <w:ilvl w:val="0"/>
                <w:numId w:val="52"/>
              </w:numPr>
              <w:spacing w:before="120" w:after="0" w:line="240" w:lineRule="auto"/>
              <w:ind w:left="414" w:hanging="357"/>
              <w:rPr>
                <w:noProof/>
              </w:rPr>
            </w:pPr>
            <w:r>
              <w:rPr>
                <w:noProof/>
              </w:rPr>
              <w:t xml:space="preserve">Detalii privind diferitele acțiuni de politică de punere în aplicare, inclusiv pentru fiecare autoritate responsabilă, bugetul și sursa de finanțare, stabilirea priorităților și beneficiarii preconizați; </w:t>
            </w:r>
          </w:p>
          <w:p w14:paraId="3DFC3190" w14:textId="77777777" w:rsidR="00C45D59" w:rsidRDefault="009B0962">
            <w:pPr>
              <w:pStyle w:val="P68B1DB1-ListParagraph34"/>
              <w:numPr>
                <w:ilvl w:val="0"/>
                <w:numId w:val="52"/>
              </w:numPr>
              <w:spacing w:before="120" w:after="0" w:line="240" w:lineRule="auto"/>
              <w:ind w:left="414" w:hanging="357"/>
              <w:rPr>
                <w:noProof/>
              </w:rPr>
            </w:pPr>
            <w:r>
              <w:rPr>
                <w:noProof/>
              </w:rPr>
              <w:t>O descriere a structurii de guvernanță care va fi responsabilă de punerea în aplicare și de actualizările viitoare ale strategiei, precum și o descriere a calendarului de punere în aplicare.</w:t>
            </w:r>
          </w:p>
        </w:tc>
      </w:tr>
      <w:tr w:rsidR="00C45D59" w14:paraId="293BE78D" w14:textId="77777777" w:rsidTr="00892E7E">
        <w:trPr>
          <w:trHeight w:val="313"/>
          <w:jc w:val="center"/>
        </w:trPr>
        <w:tc>
          <w:tcPr>
            <w:tcW w:w="604" w:type="dxa"/>
            <w:shd w:val="clear" w:color="auto" w:fill="C6EFCE"/>
            <w:noWrap/>
          </w:tcPr>
          <w:p w14:paraId="7E208CF0" w14:textId="77777777" w:rsidR="00C45D59" w:rsidRDefault="009B0962">
            <w:pPr>
              <w:pStyle w:val="P68B1DB1-Normal12"/>
              <w:spacing w:before="120" w:after="0" w:line="240" w:lineRule="auto"/>
              <w:rPr>
                <w:noProof/>
              </w:rPr>
            </w:pPr>
            <w:r>
              <w:rPr>
                <w:noProof/>
              </w:rPr>
              <w:t>181a</w:t>
            </w:r>
          </w:p>
        </w:tc>
        <w:tc>
          <w:tcPr>
            <w:tcW w:w="2269" w:type="dxa"/>
            <w:shd w:val="clear" w:color="auto" w:fill="C6EFCE"/>
            <w:noWrap/>
          </w:tcPr>
          <w:p w14:paraId="41CBD770" w14:textId="77777777" w:rsidR="00C45D59" w:rsidRDefault="009B0962">
            <w:pPr>
              <w:pStyle w:val="P68B1DB1-Normal12"/>
              <w:spacing w:before="120" w:after="0" w:line="240" w:lineRule="auto"/>
              <w:rPr>
                <w:noProof/>
              </w:rPr>
            </w:pPr>
            <w:r>
              <w:rPr>
                <w:noProof/>
              </w:rPr>
              <w:t xml:space="preserve">11-3.4 sporirea accesului la politici sociale eficace și favorabile incluziunii – 16402_Locuințe sociale și la prețuri accesibile </w:t>
            </w:r>
          </w:p>
        </w:tc>
        <w:tc>
          <w:tcPr>
            <w:tcW w:w="1134" w:type="dxa"/>
            <w:shd w:val="clear" w:color="auto" w:fill="C6EFCE"/>
            <w:noWrap/>
          </w:tcPr>
          <w:p w14:paraId="4414AE17" w14:textId="77777777" w:rsidR="00C45D59" w:rsidRDefault="009B0962">
            <w:pPr>
              <w:pStyle w:val="P68B1DB1-Normal12"/>
              <w:spacing w:before="120" w:after="0" w:line="240" w:lineRule="auto"/>
              <w:rPr>
                <w:noProof/>
              </w:rPr>
            </w:pPr>
            <w:r>
              <w:rPr>
                <w:noProof/>
              </w:rPr>
              <w:t>Etapă</w:t>
            </w:r>
          </w:p>
        </w:tc>
        <w:tc>
          <w:tcPr>
            <w:tcW w:w="1559" w:type="dxa"/>
            <w:shd w:val="clear" w:color="auto" w:fill="C6EFCE"/>
            <w:noWrap/>
          </w:tcPr>
          <w:p w14:paraId="6867905B" w14:textId="77777777" w:rsidR="00C45D59" w:rsidRDefault="009B0962">
            <w:pPr>
              <w:pStyle w:val="P68B1DB1-Normal12"/>
              <w:spacing w:before="120" w:after="0" w:line="240" w:lineRule="auto"/>
              <w:rPr>
                <w:noProof/>
              </w:rPr>
            </w:pPr>
            <w:r>
              <w:rPr>
                <w:noProof/>
              </w:rPr>
              <w:t>Modificarea unui act juridic</w:t>
            </w:r>
          </w:p>
        </w:tc>
        <w:tc>
          <w:tcPr>
            <w:tcW w:w="1984" w:type="dxa"/>
            <w:shd w:val="clear" w:color="auto" w:fill="C6EFCE"/>
            <w:noWrap/>
          </w:tcPr>
          <w:p w14:paraId="6819D164" w14:textId="77777777" w:rsidR="00C45D59" w:rsidRDefault="009B0962">
            <w:pPr>
              <w:pStyle w:val="P68B1DB1-Normal12"/>
              <w:rPr>
                <w:noProof/>
              </w:rPr>
            </w:pPr>
            <w:r>
              <w:rPr>
                <w:noProof/>
              </w:rPr>
              <w:t>Intrarea în vigoare a actului juridic</w:t>
            </w:r>
          </w:p>
        </w:tc>
        <w:tc>
          <w:tcPr>
            <w:tcW w:w="993" w:type="dxa"/>
            <w:shd w:val="clear" w:color="auto" w:fill="C6EFCE"/>
            <w:noWrap/>
          </w:tcPr>
          <w:p w14:paraId="4182DD78" w14:textId="77777777" w:rsidR="00C45D59" w:rsidRDefault="00C45D59">
            <w:pPr>
              <w:spacing w:before="120" w:after="0" w:line="240" w:lineRule="auto"/>
              <w:rPr>
                <w:rFonts w:ascii="Times New Roman" w:hAnsi="Times New Roman" w:cs="Times New Roman"/>
                <w:noProof/>
                <w:color w:val="006100"/>
                <w:sz w:val="18"/>
                <w:szCs w:val="18"/>
              </w:rPr>
            </w:pPr>
          </w:p>
        </w:tc>
        <w:tc>
          <w:tcPr>
            <w:tcW w:w="992" w:type="dxa"/>
            <w:shd w:val="clear" w:color="auto" w:fill="C6EFCE"/>
            <w:noWrap/>
          </w:tcPr>
          <w:p w14:paraId="54770CE6" w14:textId="77777777" w:rsidR="00C45D59" w:rsidRDefault="00C45D59">
            <w:pPr>
              <w:spacing w:before="120" w:after="0" w:line="240" w:lineRule="auto"/>
              <w:rPr>
                <w:rFonts w:ascii="Times New Roman" w:hAnsi="Times New Roman" w:cs="Times New Roman"/>
                <w:noProof/>
                <w:color w:val="006100"/>
                <w:sz w:val="18"/>
                <w:szCs w:val="18"/>
              </w:rPr>
            </w:pPr>
          </w:p>
        </w:tc>
        <w:tc>
          <w:tcPr>
            <w:tcW w:w="850" w:type="dxa"/>
            <w:shd w:val="clear" w:color="auto" w:fill="C6EFCE"/>
            <w:noWrap/>
          </w:tcPr>
          <w:p w14:paraId="7636B841" w14:textId="77777777" w:rsidR="00C45D59" w:rsidRDefault="00C45D59">
            <w:pPr>
              <w:spacing w:before="120" w:after="0" w:line="240" w:lineRule="auto"/>
              <w:rPr>
                <w:rFonts w:ascii="Times New Roman" w:hAnsi="Times New Roman" w:cs="Times New Roman"/>
                <w:noProof/>
                <w:color w:val="006100"/>
                <w:sz w:val="18"/>
                <w:szCs w:val="18"/>
              </w:rPr>
            </w:pPr>
          </w:p>
        </w:tc>
        <w:tc>
          <w:tcPr>
            <w:tcW w:w="1071" w:type="dxa"/>
            <w:shd w:val="clear" w:color="auto" w:fill="C6EFCE"/>
            <w:noWrap/>
          </w:tcPr>
          <w:p w14:paraId="2C479A9D" w14:textId="77777777" w:rsidR="00C45D59" w:rsidRDefault="009B0962">
            <w:pPr>
              <w:pStyle w:val="P68B1DB1-Normal12"/>
              <w:spacing w:before="120" w:after="0" w:line="240" w:lineRule="auto"/>
              <w:rPr>
                <w:noProof/>
              </w:rPr>
            </w:pPr>
            <w:r>
              <w:rPr>
                <w:noProof/>
              </w:rPr>
              <w:t>Î1</w:t>
            </w:r>
          </w:p>
        </w:tc>
        <w:tc>
          <w:tcPr>
            <w:tcW w:w="810" w:type="dxa"/>
            <w:shd w:val="clear" w:color="auto" w:fill="C6EFCE"/>
            <w:noWrap/>
          </w:tcPr>
          <w:p w14:paraId="52033C65" w14:textId="77777777" w:rsidR="00C45D59" w:rsidRDefault="009B0962">
            <w:pPr>
              <w:pStyle w:val="P68B1DB1-Normal12"/>
              <w:spacing w:before="120" w:after="0" w:line="240" w:lineRule="auto"/>
              <w:rPr>
                <w:noProof/>
              </w:rPr>
            </w:pPr>
            <w:r>
              <w:rPr>
                <w:noProof/>
              </w:rPr>
              <w:t>2025</w:t>
            </w:r>
          </w:p>
        </w:tc>
        <w:tc>
          <w:tcPr>
            <w:tcW w:w="3797" w:type="dxa"/>
            <w:shd w:val="clear" w:color="auto" w:fill="C6EFCE"/>
            <w:noWrap/>
          </w:tcPr>
          <w:p w14:paraId="6130D3D8" w14:textId="77777777" w:rsidR="00C45D59" w:rsidRDefault="009B0962">
            <w:pPr>
              <w:pStyle w:val="P68B1DB1-Normal12"/>
              <w:spacing w:line="240" w:lineRule="auto"/>
              <w:rPr>
                <w:noProof/>
              </w:rPr>
            </w:pPr>
            <w:r>
              <w:rPr>
                <w:noProof/>
              </w:rPr>
              <w:t>Trebuie să fi intrat în vigoare un act juridic care să ofere dezvoltatorilor din sectorul privat stimulente pentru a investi în noi construcții sau renovări ale activelor imobiliare deținute de stat, posibilitatea de a primi dreptul de proprietate asupra unei părți a proprietății, inclusiv în scopuri comerciale, transformând în același timp o parte a proprietăților în locuințe sociale și la prețuri accesibile. Dezvoltatorii imobiliari privați sunt invitați, printr-un proces transparent și competitiv, să întreprindă dezvoltarea sau renovarea activelor imobiliare deținute de stat. Legea specifică rolurile Ministerului Coeziunii Sociale și Familiei ca autoritate centrală pentru gestionarea programului de schimb reciproc în domeniul proprietății publice („Kinoniki Antiparochi”).</w:t>
            </w:r>
          </w:p>
        </w:tc>
      </w:tr>
    </w:tbl>
    <w:p w14:paraId="7A2EDD24" w14:textId="239BD88E" w:rsidR="00C45D59" w:rsidRDefault="00C45D59">
      <w:pPr>
        <w:spacing w:before="120" w:after="120" w:line="240" w:lineRule="auto"/>
        <w:jc w:val="both"/>
        <w:rPr>
          <w:rFonts w:ascii="Times New Roman" w:hAnsi="Times New Roman" w:cs="Times New Roman"/>
          <w:noProof/>
          <w:sz w:val="24"/>
          <w:szCs w:val="24"/>
        </w:rPr>
      </w:pPr>
    </w:p>
    <w:p w14:paraId="72E6B4DF" w14:textId="2CCF8EF0" w:rsidR="00C45D59" w:rsidRDefault="009B0962">
      <w:pPr>
        <w:rPr>
          <w:rFonts w:ascii="Cambria" w:eastAsia="Times New Roman" w:hAnsi="Cambria"/>
          <w:noProof/>
          <w:color w:val="365F91"/>
          <w:sz w:val="24"/>
        </w:rPr>
      </w:pPr>
      <w:r>
        <w:rPr>
          <w:noProof/>
        </w:rPr>
        <w:br w:type="page"/>
      </w:r>
      <w:r>
        <w:rPr>
          <w:rFonts w:ascii="Cambria" w:hAnsi="Cambria"/>
          <w:noProof/>
          <w:color w:val="365F91"/>
          <w:sz w:val="24"/>
        </w:rPr>
        <w:t>Grupul 16: Creșterea accesului la politici sociale eficace și favorabile incluziunii – Migrație &amp; Azil</w:t>
      </w:r>
    </w:p>
    <w:p w14:paraId="17B5C686" w14:textId="77777777" w:rsidR="00C45D59" w:rsidRDefault="009B0962">
      <w:pPr>
        <w:pStyle w:val="P68B1DB1-Normal5"/>
        <w:numPr>
          <w:ilvl w:val="0"/>
          <w:numId w:val="53"/>
        </w:numPr>
        <w:spacing w:before="120" w:after="0" w:line="240" w:lineRule="auto"/>
        <w:ind w:left="0"/>
        <w:jc w:val="both"/>
        <w:rPr>
          <w:rFonts w:cs="Times New Roman"/>
          <w:noProof/>
        </w:rPr>
      </w:pPr>
      <w:r>
        <w:rPr>
          <w:noProof/>
        </w:rPr>
        <w:t>Digitalizarea sistemului de migrație și azil (ID: 16763)</w:t>
      </w:r>
    </w:p>
    <w:p w14:paraId="338DD1BB" w14:textId="77777777" w:rsidR="00C45D59" w:rsidRDefault="009B0962">
      <w:pPr>
        <w:pStyle w:val="P68B1DB1-Normal5"/>
        <w:numPr>
          <w:ilvl w:val="0"/>
          <w:numId w:val="53"/>
        </w:numPr>
        <w:spacing w:before="120" w:after="0" w:line="240" w:lineRule="auto"/>
        <w:ind w:left="0"/>
        <w:jc w:val="both"/>
        <w:rPr>
          <w:rFonts w:cs="Times New Roman"/>
          <w:noProof/>
        </w:rPr>
      </w:pPr>
      <w:r>
        <w:rPr>
          <w:noProof/>
        </w:rPr>
        <w:t>Transformarea digitală a sistemului de asistență socială (ID: 16925)</w:t>
      </w:r>
    </w:p>
    <w:p w14:paraId="62B3BE9C" w14:textId="77777777" w:rsidR="00C45D59" w:rsidRDefault="009B0962">
      <w:pPr>
        <w:pStyle w:val="P68B1DB1-Normal5"/>
        <w:numPr>
          <w:ilvl w:val="0"/>
          <w:numId w:val="53"/>
        </w:numPr>
        <w:spacing w:before="120" w:after="0" w:line="240" w:lineRule="auto"/>
        <w:ind w:left="0"/>
        <w:jc w:val="both"/>
        <w:rPr>
          <w:rFonts w:cs="Times New Roman"/>
          <w:noProof/>
        </w:rPr>
      </w:pPr>
      <w:r>
        <w:rPr>
          <w:noProof/>
        </w:rPr>
        <w:t>Sensibilizarea cu privire la diversitate (ID: 16685)</w:t>
      </w:r>
    </w:p>
    <w:p w14:paraId="24A4520C" w14:textId="77777777" w:rsidR="00C45D59" w:rsidRDefault="009B0962">
      <w:pPr>
        <w:pStyle w:val="P68B1DB1-Normal5"/>
        <w:numPr>
          <w:ilvl w:val="0"/>
          <w:numId w:val="53"/>
        </w:numPr>
        <w:spacing w:before="120" w:after="0" w:line="240" w:lineRule="auto"/>
        <w:ind w:left="0" w:hanging="357"/>
        <w:jc w:val="both"/>
        <w:rPr>
          <w:rFonts w:cs="Times New Roman"/>
          <w:noProof/>
        </w:rPr>
      </w:pPr>
      <w:r>
        <w:rPr>
          <w:noProof/>
        </w:rPr>
        <w:t>Integrarea socială (ID: 16922)</w:t>
      </w:r>
    </w:p>
    <w:p w14:paraId="4EEC5500" w14:textId="77777777" w:rsidR="00C45D59" w:rsidRDefault="009B0962">
      <w:pPr>
        <w:pStyle w:val="P68B1DB1-Normal5"/>
        <w:numPr>
          <w:ilvl w:val="0"/>
          <w:numId w:val="53"/>
        </w:numPr>
        <w:spacing w:before="120" w:after="120" w:line="240" w:lineRule="auto"/>
        <w:ind w:left="0"/>
        <w:jc w:val="both"/>
        <w:rPr>
          <w:rFonts w:cs="Times New Roman"/>
          <w:noProof/>
        </w:rPr>
      </w:pPr>
      <w:r>
        <w:rPr>
          <w:noProof/>
        </w:rPr>
        <w:t>Promovarea integrării populației de refugiați pe piața forței de muncă (ID: 16688)</w:t>
      </w:r>
    </w:p>
    <w:tbl>
      <w:tblPr>
        <w:tblW w:w="15762"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4A0" w:firstRow="1" w:lastRow="0" w:firstColumn="1" w:lastColumn="0" w:noHBand="0" w:noVBand="1"/>
      </w:tblPr>
      <w:tblGrid>
        <w:gridCol w:w="566"/>
        <w:gridCol w:w="1942"/>
        <w:gridCol w:w="1376"/>
        <w:gridCol w:w="2196"/>
        <w:gridCol w:w="1766"/>
        <w:gridCol w:w="1404"/>
        <w:gridCol w:w="1035"/>
        <w:gridCol w:w="1097"/>
        <w:gridCol w:w="1006"/>
        <w:gridCol w:w="783"/>
        <w:gridCol w:w="3117"/>
      </w:tblGrid>
      <w:tr w:rsidR="00C45D59" w14:paraId="14F57502" w14:textId="77777777">
        <w:trPr>
          <w:trHeight w:val="927"/>
          <w:tblHeader/>
          <w:jc w:val="center"/>
        </w:trPr>
        <w:tc>
          <w:tcPr>
            <w:tcW w:w="566" w:type="dxa"/>
            <w:vMerge w:val="restart"/>
            <w:shd w:val="clear" w:color="auto" w:fill="BDD7EE"/>
            <w:vAlign w:val="center"/>
            <w:hideMark/>
          </w:tcPr>
          <w:p w14:paraId="5B85B525" w14:textId="60191995" w:rsidR="00C45D59" w:rsidRDefault="009B0962">
            <w:pPr>
              <w:pStyle w:val="P68B1DB1-Normal10"/>
              <w:spacing w:before="120" w:after="0" w:line="240" w:lineRule="auto"/>
              <w:jc w:val="center"/>
              <w:rPr>
                <w:rFonts w:eastAsia="Times New Roman" w:cs="Times New Roman"/>
                <w:bCs/>
                <w:noProof/>
                <w:szCs w:val="18"/>
              </w:rPr>
            </w:pPr>
            <w:r>
              <w:rPr>
                <w:noProof/>
              </w:rPr>
              <w:t>N</w:t>
            </w:r>
            <w:r w:rsidR="00892E7E">
              <w:rPr>
                <w:noProof/>
              </w:rPr>
              <w:t>r. crt</w:t>
            </w:r>
            <w:r>
              <w:rPr>
                <w:noProof/>
              </w:rPr>
              <w:t>.</w:t>
            </w:r>
          </w:p>
        </w:tc>
        <w:tc>
          <w:tcPr>
            <w:tcW w:w="1942" w:type="dxa"/>
            <w:vMerge w:val="restart"/>
            <w:shd w:val="clear" w:color="auto" w:fill="BDD7EE"/>
            <w:vAlign w:val="center"/>
            <w:hideMark/>
          </w:tcPr>
          <w:p w14:paraId="3383259B" w14:textId="77777777" w:rsidR="00C45D59" w:rsidRDefault="009B0962">
            <w:pPr>
              <w:pStyle w:val="P68B1DB1-Normal10"/>
              <w:spacing w:before="120" w:after="0" w:line="240" w:lineRule="auto"/>
              <w:jc w:val="center"/>
              <w:rPr>
                <w:rFonts w:eastAsia="Times New Roman" w:cs="Times New Roman"/>
                <w:bCs/>
                <w:noProof/>
                <w:szCs w:val="18"/>
              </w:rPr>
            </w:pPr>
            <w:r>
              <w:rPr>
                <w:noProof/>
              </w:rPr>
              <w:t>Măsură conexă (reformă sau investiții)</w:t>
            </w:r>
          </w:p>
        </w:tc>
        <w:tc>
          <w:tcPr>
            <w:tcW w:w="1099" w:type="dxa"/>
            <w:vMerge w:val="restart"/>
            <w:shd w:val="clear" w:color="auto" w:fill="BDD7EE"/>
            <w:vAlign w:val="center"/>
            <w:hideMark/>
          </w:tcPr>
          <w:p w14:paraId="49468AFE" w14:textId="77777777" w:rsidR="00C45D59" w:rsidRDefault="009B0962">
            <w:pPr>
              <w:pStyle w:val="P68B1DB1-Normal10"/>
              <w:spacing w:before="120" w:after="0" w:line="240" w:lineRule="auto"/>
              <w:jc w:val="center"/>
              <w:rPr>
                <w:rFonts w:eastAsia="Times New Roman" w:cs="Times New Roman"/>
                <w:bCs/>
                <w:noProof/>
                <w:szCs w:val="18"/>
              </w:rPr>
            </w:pPr>
            <w:r>
              <w:rPr>
                <w:noProof/>
              </w:rPr>
              <w:t>Etapă/Obiectiv</w:t>
            </w:r>
          </w:p>
        </w:tc>
        <w:tc>
          <w:tcPr>
            <w:tcW w:w="2107" w:type="dxa"/>
            <w:vMerge w:val="restart"/>
            <w:shd w:val="clear" w:color="auto" w:fill="BDD7EE"/>
            <w:vAlign w:val="center"/>
            <w:hideMark/>
          </w:tcPr>
          <w:p w14:paraId="324F0A64" w14:textId="4ECEB9E8" w:rsidR="00C45D59" w:rsidRDefault="00892E7E">
            <w:pPr>
              <w:pStyle w:val="P68B1DB1-Normal10"/>
              <w:spacing w:before="120" w:after="0" w:line="240" w:lineRule="auto"/>
              <w:jc w:val="center"/>
              <w:rPr>
                <w:rFonts w:eastAsia="Times New Roman" w:cs="Times New Roman"/>
                <w:bCs/>
                <w:noProof/>
                <w:szCs w:val="18"/>
              </w:rPr>
            </w:pPr>
            <w:r>
              <w:rPr>
                <w:noProof/>
              </w:rPr>
              <w:t>Denumire</w:t>
            </w:r>
          </w:p>
        </w:tc>
        <w:tc>
          <w:tcPr>
            <w:tcW w:w="1766" w:type="dxa"/>
            <w:vMerge w:val="restart"/>
            <w:shd w:val="clear" w:color="auto" w:fill="BDD7EE"/>
            <w:vAlign w:val="center"/>
            <w:hideMark/>
          </w:tcPr>
          <w:p w14:paraId="1D4E692F" w14:textId="77777777" w:rsidR="00C45D59" w:rsidRDefault="009B0962">
            <w:pPr>
              <w:pStyle w:val="P68B1DB1-Normal10"/>
              <w:spacing w:before="120" w:after="0" w:line="240" w:lineRule="auto"/>
              <w:jc w:val="center"/>
              <w:rPr>
                <w:rFonts w:eastAsia="Times New Roman" w:cs="Times New Roman"/>
                <w:bCs/>
                <w:noProof/>
                <w:szCs w:val="18"/>
              </w:rPr>
            </w:pPr>
            <w:r>
              <w:rPr>
                <w:noProof/>
              </w:rPr>
              <w:t>Indicatori calitativi (pentru obiectivele de etapă)</w:t>
            </w:r>
          </w:p>
        </w:tc>
        <w:tc>
          <w:tcPr>
            <w:tcW w:w="3536" w:type="dxa"/>
            <w:gridSpan w:val="3"/>
            <w:shd w:val="clear" w:color="auto" w:fill="BDD7EE"/>
            <w:vAlign w:val="center"/>
            <w:hideMark/>
          </w:tcPr>
          <w:p w14:paraId="6425F528" w14:textId="77777777" w:rsidR="00C45D59" w:rsidRDefault="009B0962">
            <w:pPr>
              <w:pStyle w:val="P68B1DB1-Normal10"/>
              <w:spacing w:before="120" w:after="0" w:line="240" w:lineRule="auto"/>
              <w:jc w:val="center"/>
              <w:rPr>
                <w:rFonts w:eastAsia="Times New Roman" w:cs="Times New Roman"/>
                <w:bCs/>
                <w:noProof/>
                <w:szCs w:val="18"/>
              </w:rPr>
            </w:pPr>
            <w:r>
              <w:rPr>
                <w:noProof/>
              </w:rPr>
              <w:t>Indicatori cantitativi (pentru ținte)</w:t>
            </w:r>
          </w:p>
        </w:tc>
        <w:tc>
          <w:tcPr>
            <w:tcW w:w="1629" w:type="dxa"/>
            <w:gridSpan w:val="2"/>
            <w:shd w:val="clear" w:color="auto" w:fill="BDD7EE"/>
            <w:vAlign w:val="center"/>
            <w:hideMark/>
          </w:tcPr>
          <w:p w14:paraId="1F3AEB81" w14:textId="77777777" w:rsidR="00C45D59" w:rsidRDefault="009B0962">
            <w:pPr>
              <w:pStyle w:val="P68B1DB1-Normal10"/>
              <w:spacing w:before="120" w:after="0" w:line="240" w:lineRule="auto"/>
              <w:jc w:val="center"/>
              <w:rPr>
                <w:rFonts w:eastAsia="Times New Roman" w:cs="Times New Roman"/>
                <w:bCs/>
                <w:noProof/>
                <w:szCs w:val="18"/>
              </w:rPr>
            </w:pPr>
            <w:r>
              <w:rPr>
                <w:noProof/>
              </w:rPr>
              <w:t xml:space="preserve">Calendar orientativ pentru finalizare </w:t>
            </w:r>
          </w:p>
        </w:tc>
        <w:tc>
          <w:tcPr>
            <w:tcW w:w="3117" w:type="dxa"/>
            <w:vMerge w:val="restart"/>
            <w:shd w:val="clear" w:color="auto" w:fill="BDD7EE"/>
            <w:vAlign w:val="center"/>
            <w:hideMark/>
          </w:tcPr>
          <w:p w14:paraId="326983E3" w14:textId="77777777" w:rsidR="00C45D59" w:rsidRDefault="009B0962">
            <w:pPr>
              <w:pStyle w:val="P68B1DB1-Normal10"/>
              <w:spacing w:before="120" w:after="0" w:line="240" w:lineRule="auto"/>
              <w:jc w:val="center"/>
              <w:rPr>
                <w:rFonts w:eastAsia="Times New Roman" w:cs="Times New Roman"/>
                <w:bCs/>
                <w:noProof/>
                <w:szCs w:val="18"/>
              </w:rPr>
            </w:pPr>
            <w:r>
              <w:rPr>
                <w:noProof/>
              </w:rPr>
              <w:t>Descrierea fiecărui jalon și a fiecărei ținte</w:t>
            </w:r>
          </w:p>
        </w:tc>
      </w:tr>
      <w:tr w:rsidR="00C45D59" w14:paraId="1121F79C" w14:textId="77777777">
        <w:trPr>
          <w:trHeight w:val="654"/>
          <w:tblHeader/>
          <w:jc w:val="center"/>
        </w:trPr>
        <w:tc>
          <w:tcPr>
            <w:tcW w:w="566" w:type="dxa"/>
            <w:vMerge/>
            <w:vAlign w:val="center"/>
            <w:hideMark/>
          </w:tcPr>
          <w:p w14:paraId="27968387" w14:textId="77777777" w:rsidR="00C45D59" w:rsidRDefault="00C45D59">
            <w:pPr>
              <w:spacing w:before="120" w:after="0" w:line="240" w:lineRule="auto"/>
              <w:rPr>
                <w:rFonts w:ascii="Times New Roman" w:eastAsia="Times New Roman" w:hAnsi="Times New Roman" w:cs="Times New Roman"/>
                <w:b/>
                <w:noProof/>
                <w:sz w:val="18"/>
                <w:szCs w:val="18"/>
              </w:rPr>
            </w:pPr>
          </w:p>
        </w:tc>
        <w:tc>
          <w:tcPr>
            <w:tcW w:w="1942" w:type="dxa"/>
            <w:vMerge/>
            <w:vAlign w:val="center"/>
            <w:hideMark/>
          </w:tcPr>
          <w:p w14:paraId="5440958D" w14:textId="77777777" w:rsidR="00C45D59" w:rsidRDefault="00C45D59">
            <w:pPr>
              <w:spacing w:before="120" w:after="0" w:line="240" w:lineRule="auto"/>
              <w:rPr>
                <w:rFonts w:ascii="Times New Roman" w:eastAsia="Times New Roman" w:hAnsi="Times New Roman" w:cs="Times New Roman"/>
                <w:b/>
                <w:noProof/>
                <w:sz w:val="18"/>
                <w:szCs w:val="18"/>
              </w:rPr>
            </w:pPr>
          </w:p>
        </w:tc>
        <w:tc>
          <w:tcPr>
            <w:tcW w:w="1099" w:type="dxa"/>
            <w:vMerge/>
            <w:vAlign w:val="center"/>
            <w:hideMark/>
          </w:tcPr>
          <w:p w14:paraId="4CB63550" w14:textId="77777777" w:rsidR="00C45D59" w:rsidRDefault="00C45D59">
            <w:pPr>
              <w:spacing w:before="120" w:after="0" w:line="240" w:lineRule="auto"/>
              <w:rPr>
                <w:rFonts w:ascii="Times New Roman" w:eastAsia="Times New Roman" w:hAnsi="Times New Roman" w:cs="Times New Roman"/>
                <w:b/>
                <w:noProof/>
                <w:sz w:val="18"/>
                <w:szCs w:val="18"/>
              </w:rPr>
            </w:pPr>
          </w:p>
        </w:tc>
        <w:tc>
          <w:tcPr>
            <w:tcW w:w="2107" w:type="dxa"/>
            <w:vMerge/>
            <w:vAlign w:val="center"/>
            <w:hideMark/>
          </w:tcPr>
          <w:p w14:paraId="052817E8" w14:textId="77777777" w:rsidR="00C45D59" w:rsidRDefault="00C45D59">
            <w:pPr>
              <w:spacing w:before="120" w:after="0" w:line="240" w:lineRule="auto"/>
              <w:rPr>
                <w:rFonts w:ascii="Times New Roman" w:eastAsia="Times New Roman" w:hAnsi="Times New Roman" w:cs="Times New Roman"/>
                <w:b/>
                <w:noProof/>
                <w:sz w:val="18"/>
                <w:szCs w:val="18"/>
              </w:rPr>
            </w:pPr>
          </w:p>
        </w:tc>
        <w:tc>
          <w:tcPr>
            <w:tcW w:w="1766" w:type="dxa"/>
            <w:vMerge/>
            <w:vAlign w:val="center"/>
            <w:hideMark/>
          </w:tcPr>
          <w:p w14:paraId="6E29CA96" w14:textId="77777777" w:rsidR="00C45D59" w:rsidRDefault="00C45D59">
            <w:pPr>
              <w:spacing w:before="120" w:after="0" w:line="240" w:lineRule="auto"/>
              <w:rPr>
                <w:rFonts w:ascii="Times New Roman" w:eastAsia="Times New Roman" w:hAnsi="Times New Roman" w:cs="Times New Roman"/>
                <w:b/>
                <w:noProof/>
                <w:sz w:val="18"/>
                <w:szCs w:val="18"/>
              </w:rPr>
            </w:pPr>
          </w:p>
        </w:tc>
        <w:tc>
          <w:tcPr>
            <w:tcW w:w="1404" w:type="dxa"/>
            <w:shd w:val="clear" w:color="auto" w:fill="BDD7EE"/>
            <w:vAlign w:val="center"/>
            <w:hideMark/>
          </w:tcPr>
          <w:p w14:paraId="544DDC3E" w14:textId="77777777" w:rsidR="00C45D59" w:rsidRDefault="009B0962">
            <w:pPr>
              <w:pStyle w:val="P68B1DB1-Normal10"/>
              <w:spacing w:before="120" w:after="0" w:line="240" w:lineRule="auto"/>
              <w:jc w:val="center"/>
              <w:rPr>
                <w:rFonts w:eastAsia="Times New Roman" w:cs="Times New Roman"/>
                <w:bCs/>
                <w:noProof/>
                <w:szCs w:val="18"/>
              </w:rPr>
            </w:pPr>
            <w:r>
              <w:rPr>
                <w:noProof/>
              </w:rPr>
              <w:t>Unitatea de măsură</w:t>
            </w:r>
          </w:p>
        </w:tc>
        <w:tc>
          <w:tcPr>
            <w:tcW w:w="1035" w:type="dxa"/>
            <w:shd w:val="clear" w:color="auto" w:fill="BDD7EE"/>
            <w:vAlign w:val="center"/>
            <w:hideMark/>
          </w:tcPr>
          <w:p w14:paraId="4A072B30" w14:textId="77777777" w:rsidR="00C45D59" w:rsidRDefault="009B0962">
            <w:pPr>
              <w:pStyle w:val="P68B1DB1-Normal10"/>
              <w:spacing w:before="120" w:after="0" w:line="240" w:lineRule="auto"/>
              <w:jc w:val="center"/>
              <w:rPr>
                <w:rFonts w:eastAsia="Times New Roman" w:cs="Times New Roman"/>
                <w:bCs/>
                <w:noProof/>
                <w:szCs w:val="18"/>
              </w:rPr>
            </w:pPr>
            <w:r>
              <w:rPr>
                <w:noProof/>
              </w:rPr>
              <w:t xml:space="preserve">Situația de referință </w:t>
            </w:r>
          </w:p>
        </w:tc>
        <w:tc>
          <w:tcPr>
            <w:tcW w:w="1097" w:type="dxa"/>
            <w:shd w:val="clear" w:color="auto" w:fill="BDD7EE"/>
            <w:vAlign w:val="center"/>
            <w:hideMark/>
          </w:tcPr>
          <w:p w14:paraId="1010A329" w14:textId="77777777" w:rsidR="00C45D59" w:rsidRDefault="009B0962">
            <w:pPr>
              <w:pStyle w:val="P68B1DB1-Normal10"/>
              <w:spacing w:before="120" w:after="0" w:line="240" w:lineRule="auto"/>
              <w:jc w:val="center"/>
              <w:rPr>
                <w:rFonts w:eastAsia="Times New Roman" w:cs="Times New Roman"/>
                <w:bCs/>
                <w:noProof/>
                <w:szCs w:val="18"/>
              </w:rPr>
            </w:pPr>
            <w:r>
              <w:rPr>
                <w:noProof/>
              </w:rPr>
              <w:t xml:space="preserve">Obiectiv </w:t>
            </w:r>
          </w:p>
        </w:tc>
        <w:tc>
          <w:tcPr>
            <w:tcW w:w="846" w:type="dxa"/>
            <w:shd w:val="clear" w:color="auto" w:fill="BDD7EE"/>
            <w:vAlign w:val="center"/>
            <w:hideMark/>
          </w:tcPr>
          <w:p w14:paraId="695023C0" w14:textId="77777777" w:rsidR="00C45D59" w:rsidRDefault="009B0962">
            <w:pPr>
              <w:pStyle w:val="P68B1DB1-Normal10"/>
              <w:spacing w:before="120" w:after="0" w:line="240" w:lineRule="auto"/>
              <w:jc w:val="center"/>
              <w:rPr>
                <w:rFonts w:eastAsia="Times New Roman" w:cs="Times New Roman"/>
                <w:bCs/>
                <w:noProof/>
                <w:szCs w:val="18"/>
              </w:rPr>
            </w:pPr>
            <w:r>
              <w:rPr>
                <w:noProof/>
              </w:rPr>
              <w:t>Trimestru</w:t>
            </w:r>
          </w:p>
        </w:tc>
        <w:tc>
          <w:tcPr>
            <w:tcW w:w="783" w:type="dxa"/>
            <w:shd w:val="clear" w:color="auto" w:fill="BDD7EE"/>
            <w:vAlign w:val="center"/>
            <w:hideMark/>
          </w:tcPr>
          <w:p w14:paraId="42785E02" w14:textId="77777777" w:rsidR="00C45D59" w:rsidRDefault="009B0962">
            <w:pPr>
              <w:pStyle w:val="P68B1DB1-Normal10"/>
              <w:spacing w:before="120" w:after="0" w:line="240" w:lineRule="auto"/>
              <w:jc w:val="center"/>
              <w:rPr>
                <w:rFonts w:eastAsia="Times New Roman" w:cs="Times New Roman"/>
                <w:bCs/>
                <w:noProof/>
                <w:szCs w:val="18"/>
              </w:rPr>
            </w:pPr>
            <w:r>
              <w:rPr>
                <w:noProof/>
              </w:rPr>
              <w:t>Anul</w:t>
            </w:r>
          </w:p>
        </w:tc>
        <w:tc>
          <w:tcPr>
            <w:tcW w:w="3117" w:type="dxa"/>
            <w:vMerge/>
            <w:vAlign w:val="center"/>
            <w:hideMark/>
          </w:tcPr>
          <w:p w14:paraId="1EBB43BA" w14:textId="77777777" w:rsidR="00C45D59" w:rsidRDefault="00C45D59">
            <w:pPr>
              <w:spacing w:before="120" w:after="0" w:line="240" w:lineRule="auto"/>
              <w:rPr>
                <w:rFonts w:ascii="Times New Roman" w:eastAsia="Times New Roman" w:hAnsi="Times New Roman" w:cs="Times New Roman"/>
                <w:b/>
                <w:noProof/>
                <w:sz w:val="18"/>
                <w:szCs w:val="18"/>
              </w:rPr>
            </w:pPr>
          </w:p>
        </w:tc>
      </w:tr>
      <w:tr w:rsidR="00C45D59" w14:paraId="40A20070" w14:textId="77777777">
        <w:trPr>
          <w:trHeight w:val="309"/>
          <w:jc w:val="center"/>
        </w:trPr>
        <w:tc>
          <w:tcPr>
            <w:tcW w:w="566" w:type="dxa"/>
            <w:shd w:val="clear" w:color="auto" w:fill="C6EFCE"/>
            <w:noWrap/>
          </w:tcPr>
          <w:p w14:paraId="5F24E89F" w14:textId="77777777" w:rsidR="00C45D59" w:rsidRDefault="009B0962">
            <w:pPr>
              <w:pStyle w:val="P68B1DB1-Normal12"/>
              <w:spacing w:before="120" w:after="0" w:line="240" w:lineRule="auto"/>
              <w:rPr>
                <w:rFonts w:eastAsia="Times New Roman"/>
                <w:noProof/>
              </w:rPr>
            </w:pPr>
            <w:r>
              <w:rPr>
                <w:noProof/>
              </w:rPr>
              <w:t>182</w:t>
            </w:r>
          </w:p>
        </w:tc>
        <w:tc>
          <w:tcPr>
            <w:tcW w:w="1942" w:type="dxa"/>
            <w:shd w:val="clear" w:color="auto" w:fill="C6EFCE"/>
            <w:noWrap/>
          </w:tcPr>
          <w:p w14:paraId="25FD0A82" w14:textId="77777777" w:rsidR="00C45D59" w:rsidRDefault="009B0962">
            <w:pPr>
              <w:pStyle w:val="P68B1DB1-Normal12"/>
              <w:spacing w:before="120" w:after="0" w:line="240" w:lineRule="auto"/>
              <w:rPr>
                <w:rFonts w:eastAsia="Times New Roman"/>
                <w:noProof/>
              </w:rPr>
            </w:pPr>
            <w:r>
              <w:rPr>
                <w:noProof/>
              </w:rPr>
              <w:t>11-3.4. Sporirea accesului la politici sociale eficace și favorabile incluziunii – 16925_Transformarea digitală a sistemului de sprijin social</w:t>
            </w:r>
          </w:p>
        </w:tc>
        <w:tc>
          <w:tcPr>
            <w:tcW w:w="1099" w:type="dxa"/>
            <w:shd w:val="clear" w:color="auto" w:fill="C6EFCE"/>
            <w:noWrap/>
          </w:tcPr>
          <w:p w14:paraId="7788E288" w14:textId="77777777" w:rsidR="00C45D59" w:rsidRDefault="009B0962">
            <w:pPr>
              <w:pStyle w:val="P68B1DB1-Normal12"/>
              <w:spacing w:before="120" w:after="0" w:line="240" w:lineRule="auto"/>
              <w:rPr>
                <w:rFonts w:eastAsia="Times New Roman"/>
                <w:noProof/>
              </w:rPr>
            </w:pPr>
            <w:r>
              <w:rPr>
                <w:noProof/>
              </w:rPr>
              <w:t>Etapă</w:t>
            </w:r>
          </w:p>
        </w:tc>
        <w:tc>
          <w:tcPr>
            <w:tcW w:w="2107" w:type="dxa"/>
            <w:shd w:val="clear" w:color="auto" w:fill="C6EFCE"/>
            <w:noWrap/>
          </w:tcPr>
          <w:p w14:paraId="59677C48" w14:textId="77777777" w:rsidR="00C45D59" w:rsidRDefault="009B0962">
            <w:pPr>
              <w:pStyle w:val="P68B1DB1-Normal12"/>
              <w:spacing w:before="120" w:after="0" w:line="240" w:lineRule="auto"/>
              <w:rPr>
                <w:rFonts w:eastAsia="Times New Roman"/>
                <w:noProof/>
              </w:rPr>
            </w:pPr>
            <w:r>
              <w:rPr>
                <w:noProof/>
              </w:rPr>
              <w:t>Emiterea de carduri pentru dizabilitate pentru beneficiari</w:t>
            </w:r>
          </w:p>
        </w:tc>
        <w:tc>
          <w:tcPr>
            <w:tcW w:w="1766" w:type="dxa"/>
            <w:shd w:val="clear" w:color="auto" w:fill="C6EFCE"/>
            <w:noWrap/>
          </w:tcPr>
          <w:p w14:paraId="7217C02D" w14:textId="77777777" w:rsidR="00C45D59" w:rsidRDefault="009B0962">
            <w:pPr>
              <w:pStyle w:val="P68B1DB1-Normal23"/>
              <w:spacing w:before="120" w:after="0" w:line="240" w:lineRule="auto"/>
              <w:rPr>
                <w:noProof/>
              </w:rPr>
            </w:pPr>
            <w:r>
              <w:rPr>
                <w:noProof/>
              </w:rPr>
              <w:t>Emiterea de carduri pentru dizabilitate pentru beneficiari</w:t>
            </w:r>
          </w:p>
        </w:tc>
        <w:tc>
          <w:tcPr>
            <w:tcW w:w="1404" w:type="dxa"/>
            <w:shd w:val="clear" w:color="auto" w:fill="C6EFCE"/>
            <w:noWrap/>
          </w:tcPr>
          <w:p w14:paraId="14347F61" w14:textId="77777777" w:rsidR="00C45D59" w:rsidRDefault="00C45D59">
            <w:pPr>
              <w:spacing w:before="120" w:after="0" w:line="240" w:lineRule="auto"/>
              <w:rPr>
                <w:rFonts w:ascii="Times New Roman" w:eastAsia="Times New Roman" w:hAnsi="Times New Roman" w:cs="Times New Roman"/>
                <w:noProof/>
                <w:color w:val="006100"/>
                <w:sz w:val="18"/>
                <w:szCs w:val="18"/>
              </w:rPr>
            </w:pPr>
          </w:p>
        </w:tc>
        <w:tc>
          <w:tcPr>
            <w:tcW w:w="1035" w:type="dxa"/>
            <w:shd w:val="clear" w:color="auto" w:fill="C6EFCE"/>
            <w:noWrap/>
          </w:tcPr>
          <w:p w14:paraId="3D07579F" w14:textId="77777777" w:rsidR="00C45D59" w:rsidRDefault="00C45D59">
            <w:pPr>
              <w:spacing w:before="120" w:after="0" w:line="240" w:lineRule="auto"/>
              <w:rPr>
                <w:rFonts w:ascii="Times New Roman" w:eastAsia="Times New Roman" w:hAnsi="Times New Roman" w:cs="Times New Roman"/>
                <w:noProof/>
                <w:color w:val="006100"/>
                <w:sz w:val="18"/>
                <w:szCs w:val="18"/>
              </w:rPr>
            </w:pPr>
          </w:p>
        </w:tc>
        <w:tc>
          <w:tcPr>
            <w:tcW w:w="1097" w:type="dxa"/>
            <w:shd w:val="clear" w:color="auto" w:fill="C6EFCE"/>
            <w:noWrap/>
          </w:tcPr>
          <w:p w14:paraId="5DB94F1E" w14:textId="77777777" w:rsidR="00C45D59" w:rsidRDefault="00C45D59">
            <w:pPr>
              <w:spacing w:before="120" w:after="0" w:line="240" w:lineRule="auto"/>
              <w:rPr>
                <w:rFonts w:ascii="Times New Roman" w:eastAsia="Times New Roman" w:hAnsi="Times New Roman" w:cs="Times New Roman"/>
                <w:noProof/>
                <w:color w:val="006100"/>
                <w:sz w:val="18"/>
                <w:szCs w:val="18"/>
              </w:rPr>
            </w:pPr>
          </w:p>
        </w:tc>
        <w:tc>
          <w:tcPr>
            <w:tcW w:w="846" w:type="dxa"/>
            <w:shd w:val="clear" w:color="auto" w:fill="C6EFCE"/>
            <w:noWrap/>
          </w:tcPr>
          <w:p w14:paraId="291D225E" w14:textId="77777777" w:rsidR="00C45D59" w:rsidRDefault="009B0962">
            <w:pPr>
              <w:pStyle w:val="P68B1DB1-Normal12"/>
              <w:spacing w:before="120" w:after="0" w:line="240" w:lineRule="auto"/>
              <w:rPr>
                <w:rFonts w:eastAsia="Times New Roman"/>
                <w:noProof/>
              </w:rPr>
            </w:pPr>
            <w:r>
              <w:rPr>
                <w:noProof/>
              </w:rPr>
              <w:t>Î4</w:t>
            </w:r>
          </w:p>
        </w:tc>
        <w:tc>
          <w:tcPr>
            <w:tcW w:w="783" w:type="dxa"/>
            <w:shd w:val="clear" w:color="auto" w:fill="C6EFCE"/>
            <w:noWrap/>
          </w:tcPr>
          <w:p w14:paraId="5DBC3C46" w14:textId="77777777" w:rsidR="00C45D59" w:rsidRDefault="009B0962">
            <w:pPr>
              <w:pStyle w:val="P68B1DB1-Normal12"/>
              <w:spacing w:before="120" w:after="0" w:line="240" w:lineRule="auto"/>
              <w:rPr>
                <w:rFonts w:eastAsia="Times New Roman"/>
                <w:noProof/>
              </w:rPr>
            </w:pPr>
            <w:r>
              <w:rPr>
                <w:noProof/>
              </w:rPr>
              <w:t>2025</w:t>
            </w:r>
          </w:p>
        </w:tc>
        <w:tc>
          <w:tcPr>
            <w:tcW w:w="3117" w:type="dxa"/>
            <w:shd w:val="clear" w:color="auto" w:fill="C6EFCE"/>
            <w:noWrap/>
          </w:tcPr>
          <w:p w14:paraId="19613840" w14:textId="0E54207D" w:rsidR="00C45D59" w:rsidRDefault="009B0962">
            <w:pPr>
              <w:pStyle w:val="P68B1DB1-Normal12"/>
              <w:spacing w:before="120" w:after="0" w:line="240" w:lineRule="auto"/>
              <w:rPr>
                <w:rFonts w:eastAsia="Times New Roman"/>
                <w:noProof/>
              </w:rPr>
            </w:pPr>
            <w:r>
              <w:rPr>
                <w:noProof/>
              </w:rPr>
              <w:t>Emiterea a 120 000 de carduri de dizabilitate pentru beneficiari</w:t>
            </w:r>
          </w:p>
          <w:p w14:paraId="41B7BB87" w14:textId="77777777" w:rsidR="00C45D59" w:rsidRDefault="009B0962">
            <w:pPr>
              <w:pStyle w:val="P68B1DB1-Normal12"/>
              <w:spacing w:before="120" w:after="0" w:line="240" w:lineRule="auto"/>
              <w:rPr>
                <w:rFonts w:eastAsia="Times New Roman"/>
                <w:noProof/>
              </w:rPr>
            </w:pPr>
            <w:r>
              <w:rPr>
                <w:noProof/>
              </w:rPr>
              <w:t xml:space="preserve">Cardurile pentru dizabilitate includ beneficii culturale și de transport pentru persoanele cu dizabilități. </w:t>
            </w:r>
          </w:p>
        </w:tc>
      </w:tr>
      <w:tr w:rsidR="00C45D59" w14:paraId="3625FCC7" w14:textId="77777777">
        <w:trPr>
          <w:trHeight w:val="309"/>
          <w:jc w:val="center"/>
        </w:trPr>
        <w:tc>
          <w:tcPr>
            <w:tcW w:w="566" w:type="dxa"/>
            <w:shd w:val="clear" w:color="auto" w:fill="C6EFCE"/>
            <w:noWrap/>
          </w:tcPr>
          <w:p w14:paraId="21F78CB9" w14:textId="77777777" w:rsidR="00C45D59" w:rsidRDefault="009B0962">
            <w:pPr>
              <w:pStyle w:val="P68B1DB1-Normal12"/>
              <w:spacing w:before="120" w:after="0" w:line="240" w:lineRule="auto"/>
              <w:rPr>
                <w:rFonts w:eastAsia="Times New Roman"/>
                <w:noProof/>
              </w:rPr>
            </w:pPr>
            <w:r>
              <w:rPr>
                <w:noProof/>
              </w:rPr>
              <w:t>182a</w:t>
            </w:r>
          </w:p>
        </w:tc>
        <w:tc>
          <w:tcPr>
            <w:tcW w:w="1942" w:type="dxa"/>
            <w:shd w:val="clear" w:color="auto" w:fill="C6EFCE"/>
            <w:noWrap/>
          </w:tcPr>
          <w:p w14:paraId="30DE6C5A" w14:textId="77777777" w:rsidR="00C45D59" w:rsidRDefault="009B0962">
            <w:pPr>
              <w:pStyle w:val="P68B1DB1-Normal12"/>
              <w:spacing w:before="120" w:after="0" w:line="240" w:lineRule="auto"/>
              <w:rPr>
                <w:rFonts w:eastAsia="Times New Roman"/>
                <w:noProof/>
              </w:rPr>
            </w:pPr>
            <w:r>
              <w:rPr>
                <w:noProof/>
              </w:rPr>
              <w:t>11-3.4. Sporirea accesului la politici sociale eficace și favorabile incluziunii – 16925_Transformarea digitală a sistemului de sprijin social</w:t>
            </w:r>
          </w:p>
        </w:tc>
        <w:tc>
          <w:tcPr>
            <w:tcW w:w="1099" w:type="dxa"/>
            <w:shd w:val="clear" w:color="auto" w:fill="C6EFCE"/>
            <w:noWrap/>
          </w:tcPr>
          <w:p w14:paraId="5FEF75AF" w14:textId="77777777" w:rsidR="00C45D59" w:rsidRDefault="009B0962">
            <w:pPr>
              <w:pStyle w:val="P68B1DB1-Normal12"/>
              <w:spacing w:before="120" w:after="0" w:line="240" w:lineRule="auto"/>
              <w:rPr>
                <w:rFonts w:eastAsia="Times New Roman"/>
                <w:noProof/>
              </w:rPr>
            </w:pPr>
            <w:r>
              <w:rPr>
                <w:noProof/>
              </w:rPr>
              <w:t>Etapă</w:t>
            </w:r>
          </w:p>
        </w:tc>
        <w:tc>
          <w:tcPr>
            <w:tcW w:w="2107" w:type="dxa"/>
            <w:shd w:val="clear" w:color="auto" w:fill="C6EFCE"/>
            <w:noWrap/>
          </w:tcPr>
          <w:p w14:paraId="0082B53C" w14:textId="77777777" w:rsidR="00C45D59" w:rsidRDefault="009B0962">
            <w:pPr>
              <w:pStyle w:val="P68B1DB1-Normal12"/>
              <w:spacing w:before="120" w:after="0" w:line="240" w:lineRule="auto"/>
              <w:rPr>
                <w:rFonts w:eastAsia="Times New Roman"/>
                <w:noProof/>
              </w:rPr>
            </w:pPr>
            <w:r>
              <w:rPr>
                <w:noProof/>
              </w:rPr>
              <w:t xml:space="preserve">Portalul național pentru persoanele cu handicap </w:t>
            </w:r>
          </w:p>
        </w:tc>
        <w:tc>
          <w:tcPr>
            <w:tcW w:w="1766" w:type="dxa"/>
            <w:shd w:val="clear" w:color="auto" w:fill="C6EFCE"/>
            <w:noWrap/>
          </w:tcPr>
          <w:p w14:paraId="316F7F89" w14:textId="77777777" w:rsidR="00C45D59" w:rsidRDefault="009B0962">
            <w:pPr>
              <w:pStyle w:val="P68B1DB1-Normal12"/>
              <w:spacing w:before="120" w:after="0" w:line="240" w:lineRule="auto"/>
              <w:rPr>
                <w:rFonts w:eastAsia="Times New Roman"/>
                <w:noProof/>
              </w:rPr>
            </w:pPr>
            <w:r>
              <w:rPr>
                <w:noProof/>
              </w:rPr>
              <w:t xml:space="preserve">Punerea la dispoziție a portalului național pentru persoanele cu handicap </w:t>
            </w:r>
          </w:p>
        </w:tc>
        <w:tc>
          <w:tcPr>
            <w:tcW w:w="1404" w:type="dxa"/>
            <w:shd w:val="clear" w:color="auto" w:fill="C6EFCE"/>
            <w:noWrap/>
          </w:tcPr>
          <w:p w14:paraId="1D7C8237" w14:textId="77777777" w:rsidR="00C45D59" w:rsidRDefault="00C45D59">
            <w:pPr>
              <w:spacing w:before="120" w:after="0" w:line="240" w:lineRule="auto"/>
              <w:rPr>
                <w:rFonts w:ascii="Times New Roman" w:eastAsia="Times New Roman" w:hAnsi="Times New Roman" w:cs="Times New Roman"/>
                <w:noProof/>
                <w:color w:val="006100"/>
                <w:sz w:val="18"/>
                <w:szCs w:val="18"/>
              </w:rPr>
            </w:pPr>
          </w:p>
        </w:tc>
        <w:tc>
          <w:tcPr>
            <w:tcW w:w="1035" w:type="dxa"/>
            <w:shd w:val="clear" w:color="auto" w:fill="C6EFCE"/>
            <w:noWrap/>
          </w:tcPr>
          <w:p w14:paraId="4C9C35FC" w14:textId="77777777" w:rsidR="00C45D59" w:rsidRDefault="00C45D59">
            <w:pPr>
              <w:spacing w:before="120" w:after="0" w:line="240" w:lineRule="auto"/>
              <w:rPr>
                <w:rFonts w:ascii="Times New Roman" w:eastAsia="Times New Roman" w:hAnsi="Times New Roman" w:cs="Times New Roman"/>
                <w:noProof/>
                <w:color w:val="006100"/>
                <w:sz w:val="18"/>
                <w:szCs w:val="18"/>
              </w:rPr>
            </w:pPr>
          </w:p>
        </w:tc>
        <w:tc>
          <w:tcPr>
            <w:tcW w:w="1097" w:type="dxa"/>
            <w:shd w:val="clear" w:color="auto" w:fill="C6EFCE"/>
            <w:noWrap/>
          </w:tcPr>
          <w:p w14:paraId="1FCFD702" w14:textId="77777777" w:rsidR="00C45D59" w:rsidRDefault="00C45D59">
            <w:pPr>
              <w:spacing w:before="120" w:after="0" w:line="240" w:lineRule="auto"/>
              <w:rPr>
                <w:rFonts w:ascii="Times New Roman" w:eastAsia="Times New Roman" w:hAnsi="Times New Roman" w:cs="Times New Roman"/>
                <w:noProof/>
                <w:color w:val="006100"/>
                <w:sz w:val="18"/>
                <w:szCs w:val="18"/>
              </w:rPr>
            </w:pPr>
          </w:p>
        </w:tc>
        <w:tc>
          <w:tcPr>
            <w:tcW w:w="846" w:type="dxa"/>
            <w:shd w:val="clear" w:color="auto" w:fill="C6EFCE"/>
            <w:noWrap/>
          </w:tcPr>
          <w:p w14:paraId="03782A6B" w14:textId="77777777" w:rsidR="00C45D59" w:rsidRDefault="009B0962">
            <w:pPr>
              <w:pStyle w:val="P68B1DB1-Normal12"/>
              <w:spacing w:before="120" w:after="0" w:line="240" w:lineRule="auto"/>
              <w:rPr>
                <w:rFonts w:eastAsia="Times New Roman"/>
                <w:noProof/>
              </w:rPr>
            </w:pPr>
            <w:r>
              <w:rPr>
                <w:noProof/>
              </w:rPr>
              <w:t>Î4</w:t>
            </w:r>
          </w:p>
        </w:tc>
        <w:tc>
          <w:tcPr>
            <w:tcW w:w="783" w:type="dxa"/>
            <w:shd w:val="clear" w:color="auto" w:fill="C6EFCE"/>
            <w:noWrap/>
          </w:tcPr>
          <w:p w14:paraId="33FFF14F" w14:textId="77777777" w:rsidR="00C45D59" w:rsidRDefault="009B0962">
            <w:pPr>
              <w:pStyle w:val="P68B1DB1-Normal12"/>
              <w:spacing w:before="120" w:after="0" w:line="240" w:lineRule="auto"/>
              <w:rPr>
                <w:rFonts w:eastAsia="Times New Roman"/>
                <w:noProof/>
              </w:rPr>
            </w:pPr>
            <w:r>
              <w:rPr>
                <w:noProof/>
              </w:rPr>
              <w:t>2025</w:t>
            </w:r>
          </w:p>
        </w:tc>
        <w:tc>
          <w:tcPr>
            <w:tcW w:w="3117" w:type="dxa"/>
            <w:shd w:val="clear" w:color="auto" w:fill="C6EFCE"/>
            <w:noWrap/>
          </w:tcPr>
          <w:p w14:paraId="7CD94481" w14:textId="77777777" w:rsidR="00C45D59" w:rsidRDefault="009B0962">
            <w:pPr>
              <w:pStyle w:val="P68B1DB1-Normal12"/>
              <w:spacing w:after="0" w:line="240" w:lineRule="auto"/>
              <w:jc w:val="both"/>
              <w:textAlignment w:val="baseline"/>
              <w:rPr>
                <w:rFonts w:eastAsia="Times New Roman"/>
                <w:noProof/>
              </w:rPr>
            </w:pPr>
            <w:r>
              <w:rPr>
                <w:noProof/>
              </w:rPr>
              <w:t>Un portal național pentru persoanele cu handicap oferă utilizatorilor acces online la datele lor cu caracter personal și la beneficiile corespunzătoare handicapului lor</w:t>
            </w:r>
          </w:p>
        </w:tc>
      </w:tr>
      <w:tr w:rsidR="00C45D59" w14:paraId="6727E9A0" w14:textId="77777777">
        <w:trPr>
          <w:trHeight w:val="309"/>
          <w:jc w:val="center"/>
        </w:trPr>
        <w:tc>
          <w:tcPr>
            <w:tcW w:w="566" w:type="dxa"/>
            <w:shd w:val="clear" w:color="auto" w:fill="C6EFCE"/>
            <w:noWrap/>
          </w:tcPr>
          <w:p w14:paraId="2968900F" w14:textId="77777777" w:rsidR="00C45D59" w:rsidRDefault="009B0962">
            <w:pPr>
              <w:pStyle w:val="P68B1DB1-Normal12"/>
              <w:spacing w:before="120" w:after="0" w:line="240" w:lineRule="auto"/>
              <w:rPr>
                <w:rFonts w:eastAsia="Times New Roman"/>
                <w:noProof/>
              </w:rPr>
            </w:pPr>
            <w:r>
              <w:rPr>
                <w:noProof/>
              </w:rPr>
              <w:t>184</w:t>
            </w:r>
          </w:p>
        </w:tc>
        <w:tc>
          <w:tcPr>
            <w:tcW w:w="1942" w:type="dxa"/>
            <w:shd w:val="clear" w:color="auto" w:fill="C6EFCE"/>
            <w:noWrap/>
          </w:tcPr>
          <w:p w14:paraId="2B6B4B9E" w14:textId="77777777" w:rsidR="00C45D59" w:rsidRDefault="009B0962">
            <w:pPr>
              <w:pStyle w:val="P68B1DB1-Normal12"/>
              <w:spacing w:before="120" w:after="0" w:line="240" w:lineRule="auto"/>
              <w:rPr>
                <w:rFonts w:eastAsia="Times New Roman"/>
                <w:noProof/>
              </w:rPr>
            </w:pPr>
            <w:r>
              <w:rPr>
                <w:noProof/>
              </w:rPr>
              <w:t>11-3.4. Creșterea accesului la politici sociale eficace și favorabile incluziunii – 16685_Sensibilizarea cu privire la diversitate</w:t>
            </w:r>
          </w:p>
        </w:tc>
        <w:tc>
          <w:tcPr>
            <w:tcW w:w="1099" w:type="dxa"/>
            <w:shd w:val="clear" w:color="auto" w:fill="C6EFCE"/>
            <w:noWrap/>
          </w:tcPr>
          <w:p w14:paraId="4E40C0C4" w14:textId="77777777" w:rsidR="00C45D59" w:rsidRDefault="009B0962">
            <w:pPr>
              <w:pStyle w:val="P68B1DB1-Normal12"/>
              <w:spacing w:before="120" w:after="0" w:line="240" w:lineRule="auto"/>
              <w:rPr>
                <w:rFonts w:eastAsia="Times New Roman"/>
                <w:noProof/>
              </w:rPr>
            </w:pPr>
            <w:r>
              <w:rPr>
                <w:noProof/>
              </w:rPr>
              <w:t>Etapă</w:t>
            </w:r>
          </w:p>
        </w:tc>
        <w:tc>
          <w:tcPr>
            <w:tcW w:w="2107" w:type="dxa"/>
            <w:shd w:val="clear" w:color="auto" w:fill="C6EFCE"/>
            <w:noWrap/>
          </w:tcPr>
          <w:p w14:paraId="25300D46" w14:textId="77777777" w:rsidR="00C45D59" w:rsidRDefault="009B0962">
            <w:pPr>
              <w:pStyle w:val="P68B1DB1-Normal12"/>
              <w:spacing w:before="120" w:after="0" w:line="240" w:lineRule="auto"/>
              <w:rPr>
                <w:rFonts w:eastAsia="Times New Roman"/>
                <w:noProof/>
              </w:rPr>
            </w:pPr>
            <w:r>
              <w:rPr>
                <w:noProof/>
              </w:rPr>
              <w:t>Certificate de formare profesională eliberate angajaților din întreprinderile din sectorul privat</w:t>
            </w:r>
          </w:p>
        </w:tc>
        <w:tc>
          <w:tcPr>
            <w:tcW w:w="1766" w:type="dxa"/>
            <w:shd w:val="clear" w:color="auto" w:fill="C6EFCE"/>
            <w:noWrap/>
          </w:tcPr>
          <w:p w14:paraId="3F7A09C0" w14:textId="06000BE9" w:rsidR="00C45D59" w:rsidRDefault="009B0962">
            <w:pPr>
              <w:pStyle w:val="P68B1DB1-Normal12"/>
              <w:spacing w:before="120" w:after="0" w:line="240" w:lineRule="auto"/>
              <w:rPr>
                <w:rFonts w:eastAsia="Times New Roman"/>
                <w:noProof/>
              </w:rPr>
            </w:pPr>
            <w:r>
              <w:rPr>
                <w:noProof/>
              </w:rPr>
              <w:t xml:space="preserve">Certificate de formare pentru sensibilizarea cu privire la diversitate eliberate pentru 80 000 de angajați din întreprinderi din sectorul privat </w:t>
            </w:r>
          </w:p>
        </w:tc>
        <w:tc>
          <w:tcPr>
            <w:tcW w:w="1404" w:type="dxa"/>
            <w:shd w:val="clear" w:color="auto" w:fill="C6EFCE"/>
            <w:noWrap/>
          </w:tcPr>
          <w:p w14:paraId="47D4E3FD" w14:textId="77777777" w:rsidR="00C45D59" w:rsidRDefault="00C45D59">
            <w:pPr>
              <w:spacing w:before="120" w:after="0" w:line="240" w:lineRule="auto"/>
              <w:rPr>
                <w:rFonts w:ascii="Times New Roman" w:eastAsia="Times New Roman" w:hAnsi="Times New Roman" w:cs="Times New Roman"/>
                <w:noProof/>
                <w:color w:val="006100"/>
                <w:sz w:val="18"/>
                <w:szCs w:val="18"/>
              </w:rPr>
            </w:pPr>
          </w:p>
        </w:tc>
        <w:tc>
          <w:tcPr>
            <w:tcW w:w="1035" w:type="dxa"/>
            <w:shd w:val="clear" w:color="auto" w:fill="C6EFCE"/>
            <w:noWrap/>
          </w:tcPr>
          <w:p w14:paraId="4D3B4790" w14:textId="77777777" w:rsidR="00C45D59" w:rsidRDefault="00C45D59">
            <w:pPr>
              <w:spacing w:before="120" w:after="0" w:line="240" w:lineRule="auto"/>
              <w:rPr>
                <w:rFonts w:ascii="Times New Roman" w:eastAsia="Times New Roman" w:hAnsi="Times New Roman" w:cs="Times New Roman"/>
                <w:noProof/>
                <w:color w:val="006100"/>
                <w:sz w:val="18"/>
                <w:szCs w:val="18"/>
              </w:rPr>
            </w:pPr>
          </w:p>
        </w:tc>
        <w:tc>
          <w:tcPr>
            <w:tcW w:w="1097" w:type="dxa"/>
            <w:shd w:val="clear" w:color="auto" w:fill="C6EFCE"/>
            <w:noWrap/>
          </w:tcPr>
          <w:p w14:paraId="7635334E" w14:textId="77777777" w:rsidR="00C45D59" w:rsidRDefault="00C45D59">
            <w:pPr>
              <w:spacing w:before="120" w:after="0" w:line="240" w:lineRule="auto"/>
              <w:rPr>
                <w:rFonts w:ascii="Times New Roman" w:eastAsia="Times New Roman" w:hAnsi="Times New Roman" w:cs="Times New Roman"/>
                <w:noProof/>
                <w:color w:val="006100"/>
                <w:sz w:val="18"/>
                <w:szCs w:val="18"/>
              </w:rPr>
            </w:pPr>
          </w:p>
        </w:tc>
        <w:tc>
          <w:tcPr>
            <w:tcW w:w="846" w:type="dxa"/>
            <w:shd w:val="clear" w:color="auto" w:fill="C6EFCE"/>
            <w:noWrap/>
          </w:tcPr>
          <w:p w14:paraId="71FE28ED" w14:textId="77777777" w:rsidR="00C45D59" w:rsidRDefault="009B0962">
            <w:pPr>
              <w:pStyle w:val="P68B1DB1-Normal12"/>
              <w:spacing w:before="120" w:after="0" w:line="240" w:lineRule="auto"/>
              <w:rPr>
                <w:rFonts w:eastAsia="Times New Roman"/>
                <w:noProof/>
              </w:rPr>
            </w:pPr>
            <w:r>
              <w:rPr>
                <w:noProof/>
              </w:rPr>
              <w:t>Î3</w:t>
            </w:r>
          </w:p>
        </w:tc>
        <w:tc>
          <w:tcPr>
            <w:tcW w:w="783" w:type="dxa"/>
            <w:shd w:val="clear" w:color="auto" w:fill="C6EFCE"/>
            <w:noWrap/>
          </w:tcPr>
          <w:p w14:paraId="3E74F406" w14:textId="77777777" w:rsidR="00C45D59" w:rsidRDefault="009B0962">
            <w:pPr>
              <w:pStyle w:val="P68B1DB1-Normal12"/>
              <w:spacing w:before="120" w:after="0" w:line="240" w:lineRule="auto"/>
              <w:rPr>
                <w:rFonts w:eastAsia="Times New Roman"/>
                <w:noProof/>
              </w:rPr>
            </w:pPr>
            <w:r>
              <w:rPr>
                <w:noProof/>
              </w:rPr>
              <w:t>2024</w:t>
            </w:r>
          </w:p>
        </w:tc>
        <w:tc>
          <w:tcPr>
            <w:tcW w:w="3117" w:type="dxa"/>
            <w:shd w:val="clear" w:color="auto" w:fill="C6EFCE"/>
            <w:noWrap/>
          </w:tcPr>
          <w:p w14:paraId="27C2619F" w14:textId="13EA93C4" w:rsidR="00C45D59" w:rsidRDefault="009B0962">
            <w:pPr>
              <w:pStyle w:val="P68B1DB1-Normal12"/>
              <w:spacing w:before="120" w:after="0" w:line="240" w:lineRule="auto"/>
              <w:rPr>
                <w:rFonts w:eastAsia="Times New Roman"/>
                <w:noProof/>
              </w:rPr>
            </w:pPr>
            <w:r>
              <w:rPr>
                <w:noProof/>
              </w:rPr>
              <w:t xml:space="preserve">Certificate de formare pentru sensibilizarea cu privire la diversitate eliberate pentru 80 000 de angajați din întreprinderi din sectorul privat </w:t>
            </w:r>
          </w:p>
        </w:tc>
      </w:tr>
      <w:tr w:rsidR="00C45D59" w14:paraId="4BD3B7FE" w14:textId="77777777">
        <w:trPr>
          <w:trHeight w:val="309"/>
          <w:jc w:val="center"/>
        </w:trPr>
        <w:tc>
          <w:tcPr>
            <w:tcW w:w="566" w:type="dxa"/>
            <w:shd w:val="clear" w:color="auto" w:fill="C6EFCE"/>
            <w:noWrap/>
          </w:tcPr>
          <w:p w14:paraId="013A894D" w14:textId="77777777" w:rsidR="00C45D59" w:rsidRDefault="009B0962">
            <w:pPr>
              <w:pStyle w:val="P68B1DB1-Normal12"/>
              <w:spacing w:before="120" w:after="0" w:line="240" w:lineRule="auto"/>
              <w:rPr>
                <w:rFonts w:eastAsia="Times New Roman"/>
                <w:noProof/>
              </w:rPr>
            </w:pPr>
            <w:r>
              <w:rPr>
                <w:noProof/>
              </w:rPr>
              <w:t>184a</w:t>
            </w:r>
          </w:p>
        </w:tc>
        <w:tc>
          <w:tcPr>
            <w:tcW w:w="1942" w:type="dxa"/>
            <w:shd w:val="clear" w:color="auto" w:fill="C6EFCE"/>
            <w:noWrap/>
          </w:tcPr>
          <w:p w14:paraId="3DB21136" w14:textId="77777777" w:rsidR="00C45D59" w:rsidRDefault="009B0962">
            <w:pPr>
              <w:pStyle w:val="P68B1DB1-Normal12"/>
              <w:spacing w:before="120" w:after="0" w:line="240" w:lineRule="auto"/>
              <w:rPr>
                <w:rFonts w:eastAsia="Times New Roman"/>
                <w:noProof/>
              </w:rPr>
            </w:pPr>
            <w:r>
              <w:rPr>
                <w:noProof/>
              </w:rPr>
              <w:t>11-3.4. Creșterea accesului la politici sociale eficace și favorabile incluziunii – 16685_Sensibilizarea cu privire la diversitate</w:t>
            </w:r>
          </w:p>
        </w:tc>
        <w:tc>
          <w:tcPr>
            <w:tcW w:w="1099" w:type="dxa"/>
            <w:shd w:val="clear" w:color="auto" w:fill="C6EFCE"/>
            <w:noWrap/>
          </w:tcPr>
          <w:p w14:paraId="734B0DF8" w14:textId="77777777" w:rsidR="00C45D59" w:rsidRDefault="009B0962">
            <w:pPr>
              <w:pStyle w:val="P68B1DB1-Normal12"/>
              <w:spacing w:before="120" w:after="0" w:line="240" w:lineRule="auto"/>
              <w:rPr>
                <w:rFonts w:eastAsia="Times New Roman"/>
                <w:noProof/>
              </w:rPr>
            </w:pPr>
            <w:r>
              <w:rPr>
                <w:noProof/>
              </w:rPr>
              <w:t>Etapă</w:t>
            </w:r>
          </w:p>
        </w:tc>
        <w:tc>
          <w:tcPr>
            <w:tcW w:w="2107" w:type="dxa"/>
            <w:shd w:val="clear" w:color="auto" w:fill="C6EFCE"/>
            <w:noWrap/>
          </w:tcPr>
          <w:p w14:paraId="2163E818" w14:textId="77777777" w:rsidR="00C45D59" w:rsidRDefault="009B0962">
            <w:pPr>
              <w:pStyle w:val="P68B1DB1-Normal12"/>
              <w:spacing w:before="120" w:after="0" w:line="240" w:lineRule="auto"/>
              <w:rPr>
                <w:rFonts w:eastAsia="Times New Roman"/>
                <w:noProof/>
              </w:rPr>
            </w:pPr>
            <w:r>
              <w:rPr>
                <w:noProof/>
              </w:rPr>
              <w:t xml:space="preserve">Act juridic care specifică rolul Observatorului pentru egalitate și act juridic care prevede începerea unui proiect-pilot pentru sistemul de evaluare și atribuire pentru întreprinderile/organizațiile care promovează diversitatea și incluziunea </w:t>
            </w:r>
          </w:p>
        </w:tc>
        <w:tc>
          <w:tcPr>
            <w:tcW w:w="1766" w:type="dxa"/>
            <w:shd w:val="clear" w:color="auto" w:fill="C6EFCE"/>
            <w:noWrap/>
          </w:tcPr>
          <w:p w14:paraId="10CBA415" w14:textId="77777777" w:rsidR="00C45D59" w:rsidRDefault="009B0962">
            <w:pPr>
              <w:pStyle w:val="P68B1DB1-Normal12"/>
              <w:spacing w:before="120" w:after="0" w:line="240" w:lineRule="auto"/>
              <w:rPr>
                <w:rFonts w:eastAsia="Times New Roman"/>
                <w:noProof/>
              </w:rPr>
            </w:pPr>
            <w:r>
              <w:rPr>
                <w:noProof/>
              </w:rPr>
              <w:t>Dispoziție din actele juridice care indică intrarea în vigoare a actelor juridice</w:t>
            </w:r>
          </w:p>
        </w:tc>
        <w:tc>
          <w:tcPr>
            <w:tcW w:w="1404" w:type="dxa"/>
            <w:shd w:val="clear" w:color="auto" w:fill="C6EFCE"/>
            <w:noWrap/>
          </w:tcPr>
          <w:p w14:paraId="6F62786B" w14:textId="77777777" w:rsidR="00C45D59" w:rsidRDefault="00C45D59">
            <w:pPr>
              <w:spacing w:before="120" w:after="0" w:line="240" w:lineRule="auto"/>
              <w:rPr>
                <w:rFonts w:ascii="Times New Roman" w:eastAsia="Times New Roman" w:hAnsi="Times New Roman" w:cs="Times New Roman"/>
                <w:noProof/>
                <w:color w:val="006100"/>
                <w:sz w:val="18"/>
                <w:szCs w:val="18"/>
              </w:rPr>
            </w:pPr>
          </w:p>
        </w:tc>
        <w:tc>
          <w:tcPr>
            <w:tcW w:w="1035" w:type="dxa"/>
            <w:shd w:val="clear" w:color="auto" w:fill="C6EFCE"/>
            <w:noWrap/>
          </w:tcPr>
          <w:p w14:paraId="2FB282F4" w14:textId="77777777" w:rsidR="00C45D59" w:rsidRDefault="00C45D59">
            <w:pPr>
              <w:spacing w:before="120" w:after="0" w:line="240" w:lineRule="auto"/>
              <w:rPr>
                <w:rFonts w:ascii="Times New Roman" w:eastAsia="Times New Roman" w:hAnsi="Times New Roman" w:cs="Times New Roman"/>
                <w:noProof/>
                <w:color w:val="006100"/>
                <w:sz w:val="18"/>
                <w:szCs w:val="18"/>
              </w:rPr>
            </w:pPr>
          </w:p>
        </w:tc>
        <w:tc>
          <w:tcPr>
            <w:tcW w:w="1097" w:type="dxa"/>
            <w:shd w:val="clear" w:color="auto" w:fill="C6EFCE"/>
            <w:noWrap/>
          </w:tcPr>
          <w:p w14:paraId="6E569BA3" w14:textId="77777777" w:rsidR="00C45D59" w:rsidRDefault="00C45D59">
            <w:pPr>
              <w:spacing w:before="120" w:after="0" w:line="240" w:lineRule="auto"/>
              <w:rPr>
                <w:rFonts w:ascii="Times New Roman" w:eastAsia="Times New Roman" w:hAnsi="Times New Roman" w:cs="Times New Roman"/>
                <w:noProof/>
                <w:color w:val="006100"/>
                <w:sz w:val="18"/>
                <w:szCs w:val="18"/>
              </w:rPr>
            </w:pPr>
          </w:p>
        </w:tc>
        <w:tc>
          <w:tcPr>
            <w:tcW w:w="846" w:type="dxa"/>
            <w:shd w:val="clear" w:color="auto" w:fill="C6EFCE"/>
            <w:noWrap/>
          </w:tcPr>
          <w:p w14:paraId="0B9DA39F" w14:textId="77777777" w:rsidR="00C45D59" w:rsidRDefault="009B0962">
            <w:pPr>
              <w:pStyle w:val="P68B1DB1-Normal12"/>
              <w:spacing w:before="120" w:after="0" w:line="240" w:lineRule="auto"/>
              <w:rPr>
                <w:rFonts w:eastAsia="Times New Roman"/>
                <w:noProof/>
              </w:rPr>
            </w:pPr>
            <w:r>
              <w:rPr>
                <w:noProof/>
              </w:rPr>
              <w:t>Î1</w:t>
            </w:r>
          </w:p>
        </w:tc>
        <w:tc>
          <w:tcPr>
            <w:tcW w:w="783" w:type="dxa"/>
            <w:shd w:val="clear" w:color="auto" w:fill="C6EFCE"/>
            <w:noWrap/>
          </w:tcPr>
          <w:p w14:paraId="399AB15A" w14:textId="77777777" w:rsidR="00C45D59" w:rsidRDefault="009B0962">
            <w:pPr>
              <w:pStyle w:val="P68B1DB1-Normal12"/>
              <w:spacing w:before="120" w:after="0" w:line="240" w:lineRule="auto"/>
              <w:rPr>
                <w:rFonts w:eastAsia="Times New Roman"/>
                <w:noProof/>
              </w:rPr>
            </w:pPr>
            <w:r>
              <w:rPr>
                <w:noProof/>
              </w:rPr>
              <w:t>2025</w:t>
            </w:r>
          </w:p>
        </w:tc>
        <w:tc>
          <w:tcPr>
            <w:tcW w:w="3117" w:type="dxa"/>
            <w:shd w:val="clear" w:color="auto" w:fill="C6EFCE"/>
            <w:noWrap/>
          </w:tcPr>
          <w:p w14:paraId="7E929213" w14:textId="77777777" w:rsidR="00C45D59" w:rsidRDefault="009B0962">
            <w:pPr>
              <w:pStyle w:val="P68B1DB1-Normal12"/>
              <w:spacing w:before="120" w:after="0" w:line="240" w:lineRule="auto"/>
              <w:rPr>
                <w:noProof/>
              </w:rPr>
            </w:pPr>
            <w:r>
              <w:rPr>
                <w:noProof/>
              </w:rPr>
              <w:t>Intrarea în vigoare a unui act juridic care precizează rolul Observatorului pentru egalitate în calitate de componentă operațională a Ministerului Coeziunii Sociale și Familiei și atribuie Observatorului pentru egalitate rolul de a emite rapoarte de evaluare a situației actuale a egalității de șanse.</w:t>
            </w:r>
          </w:p>
          <w:p w14:paraId="57FACE93" w14:textId="77777777" w:rsidR="00C45D59" w:rsidRDefault="009B0962">
            <w:pPr>
              <w:pStyle w:val="P68B1DB1-Normal12"/>
              <w:spacing w:before="120" w:after="0" w:line="240" w:lineRule="auto"/>
              <w:rPr>
                <w:rFonts w:eastAsia="Times New Roman"/>
                <w:noProof/>
              </w:rPr>
            </w:pPr>
            <w:r>
              <w:rPr>
                <w:noProof/>
              </w:rPr>
              <w:t>Intrarea în vigoare a unui act juridic care prevede lansarea unui proiect-pilot pentru evaluarea unui sistem de atribuire pentru întreprinderile/organizațiile care promovează diversitatea și incluziunea.</w:t>
            </w:r>
          </w:p>
        </w:tc>
      </w:tr>
      <w:tr w:rsidR="00C45D59" w14:paraId="259C4231" w14:textId="77777777">
        <w:trPr>
          <w:trHeight w:val="309"/>
          <w:jc w:val="center"/>
        </w:trPr>
        <w:tc>
          <w:tcPr>
            <w:tcW w:w="566" w:type="dxa"/>
            <w:shd w:val="clear" w:color="auto" w:fill="C6EFCE"/>
            <w:noWrap/>
          </w:tcPr>
          <w:p w14:paraId="144655E8" w14:textId="77777777" w:rsidR="00C45D59" w:rsidRDefault="009B0962">
            <w:pPr>
              <w:pStyle w:val="P68B1DB1-Normal12"/>
              <w:spacing w:before="120" w:after="0" w:line="240" w:lineRule="auto"/>
              <w:rPr>
                <w:rFonts w:eastAsia="Times New Roman"/>
                <w:noProof/>
              </w:rPr>
            </w:pPr>
            <w:r>
              <w:rPr>
                <w:noProof/>
              </w:rPr>
              <w:t>185</w:t>
            </w:r>
          </w:p>
        </w:tc>
        <w:tc>
          <w:tcPr>
            <w:tcW w:w="1942" w:type="dxa"/>
            <w:shd w:val="clear" w:color="auto" w:fill="C6EFCE"/>
            <w:noWrap/>
          </w:tcPr>
          <w:p w14:paraId="695A5575" w14:textId="77777777" w:rsidR="00C45D59" w:rsidRDefault="009B0962">
            <w:pPr>
              <w:pStyle w:val="P68B1DB1-Normal12"/>
              <w:spacing w:before="120" w:after="0" w:line="240" w:lineRule="auto"/>
              <w:rPr>
                <w:rFonts w:eastAsia="Times New Roman"/>
                <w:noProof/>
              </w:rPr>
            </w:pPr>
            <w:r>
              <w:rPr>
                <w:noProof/>
              </w:rPr>
              <w:t>11-3.4. Creșterea accesului la politici sociale eficace și favorabile incluziunii – 16763_Transformarea digitală a sistemului de imigrație și azil</w:t>
            </w:r>
          </w:p>
        </w:tc>
        <w:tc>
          <w:tcPr>
            <w:tcW w:w="1099" w:type="dxa"/>
            <w:shd w:val="clear" w:color="auto" w:fill="C6EFCE"/>
            <w:noWrap/>
          </w:tcPr>
          <w:p w14:paraId="498D61D7" w14:textId="77777777" w:rsidR="00C45D59" w:rsidRDefault="009B0962">
            <w:pPr>
              <w:pStyle w:val="P68B1DB1-Normal12"/>
              <w:spacing w:before="120" w:after="0" w:line="240" w:lineRule="auto"/>
              <w:rPr>
                <w:rFonts w:eastAsia="Times New Roman"/>
                <w:noProof/>
              </w:rPr>
            </w:pPr>
            <w:r>
              <w:rPr>
                <w:noProof/>
              </w:rPr>
              <w:t>Etapă</w:t>
            </w:r>
          </w:p>
        </w:tc>
        <w:tc>
          <w:tcPr>
            <w:tcW w:w="2107" w:type="dxa"/>
            <w:shd w:val="clear" w:color="auto" w:fill="C6EFCE"/>
            <w:noWrap/>
          </w:tcPr>
          <w:p w14:paraId="4FEF4401" w14:textId="77777777" w:rsidR="00C45D59" w:rsidRDefault="009B0962">
            <w:pPr>
              <w:pStyle w:val="P68B1DB1-Normal12"/>
              <w:spacing w:before="120" w:after="0" w:line="240" w:lineRule="auto"/>
              <w:rPr>
                <w:rFonts w:eastAsia="Times New Roman"/>
                <w:noProof/>
              </w:rPr>
            </w:pPr>
            <w:r>
              <w:rPr>
                <w:noProof/>
              </w:rPr>
              <w:t xml:space="preserve">Digitalizarea sistemului de azil în materie de migrație </w:t>
            </w:r>
          </w:p>
        </w:tc>
        <w:tc>
          <w:tcPr>
            <w:tcW w:w="1766" w:type="dxa"/>
            <w:shd w:val="clear" w:color="auto" w:fill="C6EFCE"/>
            <w:noWrap/>
          </w:tcPr>
          <w:p w14:paraId="2910BE78" w14:textId="77777777" w:rsidR="00C45D59" w:rsidRDefault="009B0962">
            <w:pPr>
              <w:pStyle w:val="P68B1DB1-Normal12"/>
              <w:spacing w:before="120" w:after="0" w:line="240" w:lineRule="auto"/>
              <w:rPr>
                <w:rFonts w:eastAsia="Times New Roman"/>
                <w:noProof/>
              </w:rPr>
            </w:pPr>
            <w:r>
              <w:rPr>
                <w:noProof/>
              </w:rPr>
              <w:t xml:space="preserve">Proiecte de digitalizare pentru sistemul de azil în materie de migrație </w:t>
            </w:r>
          </w:p>
        </w:tc>
        <w:tc>
          <w:tcPr>
            <w:tcW w:w="1404" w:type="dxa"/>
            <w:shd w:val="clear" w:color="auto" w:fill="C6EFCE"/>
            <w:noWrap/>
          </w:tcPr>
          <w:p w14:paraId="0267CED9" w14:textId="77777777" w:rsidR="00C45D59" w:rsidRDefault="00C45D59">
            <w:pPr>
              <w:spacing w:before="120" w:after="0" w:line="240" w:lineRule="auto"/>
              <w:rPr>
                <w:rFonts w:ascii="Times New Roman" w:eastAsia="Times New Roman" w:hAnsi="Times New Roman" w:cs="Times New Roman"/>
                <w:noProof/>
                <w:color w:val="006100"/>
                <w:sz w:val="18"/>
                <w:szCs w:val="18"/>
              </w:rPr>
            </w:pPr>
          </w:p>
        </w:tc>
        <w:tc>
          <w:tcPr>
            <w:tcW w:w="1035" w:type="dxa"/>
            <w:shd w:val="clear" w:color="auto" w:fill="C6EFCE"/>
            <w:noWrap/>
          </w:tcPr>
          <w:p w14:paraId="637718B9" w14:textId="77777777" w:rsidR="00C45D59" w:rsidRDefault="00C45D59">
            <w:pPr>
              <w:spacing w:before="120" w:after="0" w:line="240" w:lineRule="auto"/>
              <w:rPr>
                <w:rFonts w:ascii="Times New Roman" w:eastAsia="Times New Roman" w:hAnsi="Times New Roman" w:cs="Times New Roman"/>
                <w:noProof/>
                <w:color w:val="006100"/>
                <w:sz w:val="18"/>
                <w:szCs w:val="18"/>
              </w:rPr>
            </w:pPr>
          </w:p>
        </w:tc>
        <w:tc>
          <w:tcPr>
            <w:tcW w:w="1097" w:type="dxa"/>
            <w:shd w:val="clear" w:color="auto" w:fill="C6EFCE"/>
            <w:noWrap/>
          </w:tcPr>
          <w:p w14:paraId="6AFC4C65" w14:textId="77777777" w:rsidR="00C45D59" w:rsidRDefault="00C45D59">
            <w:pPr>
              <w:spacing w:before="120" w:after="0" w:line="240" w:lineRule="auto"/>
              <w:rPr>
                <w:rFonts w:ascii="Times New Roman" w:eastAsia="Times New Roman" w:hAnsi="Times New Roman" w:cs="Times New Roman"/>
                <w:noProof/>
                <w:color w:val="006100"/>
                <w:sz w:val="18"/>
                <w:szCs w:val="18"/>
              </w:rPr>
            </w:pPr>
          </w:p>
        </w:tc>
        <w:tc>
          <w:tcPr>
            <w:tcW w:w="846" w:type="dxa"/>
            <w:shd w:val="clear" w:color="auto" w:fill="C6EFCE"/>
            <w:noWrap/>
          </w:tcPr>
          <w:p w14:paraId="6C0BB1B4" w14:textId="77777777" w:rsidR="00C45D59" w:rsidRDefault="009B0962">
            <w:pPr>
              <w:pStyle w:val="P68B1DB1-Normal12"/>
              <w:spacing w:before="120" w:after="0" w:line="240" w:lineRule="auto"/>
              <w:rPr>
                <w:rFonts w:eastAsia="Times New Roman"/>
                <w:noProof/>
              </w:rPr>
            </w:pPr>
            <w:r>
              <w:rPr>
                <w:noProof/>
              </w:rPr>
              <w:t>Î2</w:t>
            </w:r>
          </w:p>
        </w:tc>
        <w:tc>
          <w:tcPr>
            <w:tcW w:w="783" w:type="dxa"/>
            <w:shd w:val="clear" w:color="auto" w:fill="C6EFCE"/>
            <w:noWrap/>
          </w:tcPr>
          <w:p w14:paraId="17AD3FB4" w14:textId="77777777" w:rsidR="00C45D59" w:rsidRDefault="009B0962">
            <w:pPr>
              <w:pStyle w:val="P68B1DB1-Normal12"/>
              <w:spacing w:before="120" w:after="0" w:line="240" w:lineRule="auto"/>
              <w:rPr>
                <w:rFonts w:eastAsia="Times New Roman"/>
                <w:noProof/>
              </w:rPr>
            </w:pPr>
            <w:r>
              <w:rPr>
                <w:noProof/>
              </w:rPr>
              <w:t>2025</w:t>
            </w:r>
          </w:p>
        </w:tc>
        <w:tc>
          <w:tcPr>
            <w:tcW w:w="3117" w:type="dxa"/>
            <w:shd w:val="clear" w:color="auto" w:fill="C6EFCE"/>
            <w:noWrap/>
          </w:tcPr>
          <w:p w14:paraId="6C7192DC" w14:textId="77777777" w:rsidR="00C45D59" w:rsidRDefault="009B0962">
            <w:pPr>
              <w:pStyle w:val="P68B1DB1-Normal12"/>
              <w:spacing w:before="120" w:after="0" w:line="240" w:lineRule="auto"/>
              <w:rPr>
                <w:noProof/>
              </w:rPr>
            </w:pPr>
            <w:r>
              <w:rPr>
                <w:noProof/>
              </w:rPr>
              <w:t>1. Digitalizarea și sistemul de gestionare a documentelor privind migrația legală al Ministerului Migrației și Azilului pentru o gestionare unificată a întregului ciclu de viață al procedurilor legate de fluxurile de refugiați.</w:t>
            </w:r>
          </w:p>
          <w:p w14:paraId="5C1C0425" w14:textId="77777777" w:rsidR="00C45D59" w:rsidRDefault="009B0962">
            <w:pPr>
              <w:pStyle w:val="P68B1DB1-Normal12"/>
              <w:spacing w:before="120" w:after="0" w:line="240" w:lineRule="auto"/>
              <w:rPr>
                <w:rFonts w:eastAsia="Times New Roman"/>
                <w:noProof/>
              </w:rPr>
            </w:pPr>
            <w:r>
              <w:rPr>
                <w:noProof/>
              </w:rPr>
              <w:t>2. Crearea unor servicii integrate de migrație digitală și a unor servicii de infrastructură de securitate cibernetică pentru protecția infrastructurilor de informații ale Ministerului Migrației și Azilului</w:t>
            </w:r>
          </w:p>
          <w:p w14:paraId="39D7F3F5" w14:textId="77777777" w:rsidR="00C45D59" w:rsidRDefault="009B0962">
            <w:pPr>
              <w:pStyle w:val="P68B1DB1-Normal12"/>
              <w:spacing w:before="120" w:after="0" w:line="240" w:lineRule="auto"/>
              <w:rPr>
                <w:noProof/>
              </w:rPr>
            </w:pPr>
            <w:r>
              <w:rPr>
                <w:noProof/>
              </w:rPr>
              <w:t>3. Furnizarea de internet de mare viteză pentru centrele de cazare temporară (REA)</w:t>
            </w:r>
          </w:p>
          <w:p w14:paraId="2CB6C2CA" w14:textId="77777777" w:rsidR="00C45D59" w:rsidRDefault="009B0962">
            <w:pPr>
              <w:pStyle w:val="P68B1DB1-Normal12"/>
              <w:spacing w:before="120" w:after="0" w:line="240" w:lineRule="auto"/>
              <w:rPr>
                <w:noProof/>
              </w:rPr>
            </w:pPr>
            <w:r>
              <w:rPr>
                <w:noProof/>
              </w:rPr>
              <w:t>4. Crearea unui sistem de gestionare a solicitanților de azil (HYPERION).</w:t>
            </w:r>
          </w:p>
          <w:p w14:paraId="7A5B8F7A" w14:textId="77777777" w:rsidR="00C45D59" w:rsidRDefault="009B0962">
            <w:pPr>
              <w:pStyle w:val="P68B1DB1-Normal12"/>
              <w:spacing w:before="120" w:after="0" w:line="240" w:lineRule="auto"/>
              <w:rPr>
                <w:noProof/>
              </w:rPr>
            </w:pPr>
            <w:r>
              <w:rPr>
                <w:noProof/>
              </w:rPr>
              <w:t>5. Crearea unui sistem digital integrat de gestionare a securității electronice și fizice (KENTAVROS).</w:t>
            </w:r>
          </w:p>
        </w:tc>
      </w:tr>
      <w:tr w:rsidR="00C45D59" w14:paraId="2B8631B0" w14:textId="77777777">
        <w:trPr>
          <w:trHeight w:val="425"/>
          <w:jc w:val="center"/>
        </w:trPr>
        <w:tc>
          <w:tcPr>
            <w:tcW w:w="566" w:type="dxa"/>
            <w:shd w:val="clear" w:color="auto" w:fill="C6EFCE"/>
            <w:noWrap/>
          </w:tcPr>
          <w:p w14:paraId="76A429D7" w14:textId="77777777" w:rsidR="00C45D59" w:rsidRDefault="009B0962">
            <w:pPr>
              <w:pStyle w:val="P68B1DB1-Normal12"/>
              <w:spacing w:before="120" w:after="0" w:line="240" w:lineRule="auto"/>
              <w:rPr>
                <w:rFonts w:eastAsia="Times New Roman"/>
                <w:noProof/>
              </w:rPr>
            </w:pPr>
            <w:r>
              <w:rPr>
                <w:noProof/>
              </w:rPr>
              <w:t>186</w:t>
            </w:r>
          </w:p>
        </w:tc>
        <w:tc>
          <w:tcPr>
            <w:tcW w:w="1942" w:type="dxa"/>
            <w:shd w:val="clear" w:color="auto" w:fill="C6EFCE"/>
            <w:noWrap/>
          </w:tcPr>
          <w:p w14:paraId="12E6075B" w14:textId="77777777" w:rsidR="00C45D59" w:rsidRDefault="009B0962">
            <w:pPr>
              <w:pStyle w:val="P68B1DB1-Normal12"/>
              <w:spacing w:before="120" w:after="0" w:line="240" w:lineRule="auto"/>
              <w:rPr>
                <w:rFonts w:eastAsia="Times New Roman"/>
                <w:noProof/>
              </w:rPr>
            </w:pPr>
            <w:r>
              <w:rPr>
                <w:noProof/>
              </w:rPr>
              <w:t>11-3.4. Creșterea accesului la politici sociale eficace și favorabile incluziunii – 16922_Integrare socială</w:t>
            </w:r>
          </w:p>
        </w:tc>
        <w:tc>
          <w:tcPr>
            <w:tcW w:w="1099" w:type="dxa"/>
            <w:shd w:val="clear" w:color="auto" w:fill="C6EFCE"/>
            <w:noWrap/>
          </w:tcPr>
          <w:p w14:paraId="1DB4F76A" w14:textId="77777777" w:rsidR="00C45D59" w:rsidRDefault="009B0962">
            <w:pPr>
              <w:pStyle w:val="P68B1DB1-Normal12"/>
              <w:spacing w:before="120" w:after="0" w:line="240" w:lineRule="auto"/>
              <w:rPr>
                <w:rFonts w:eastAsia="Times New Roman"/>
                <w:noProof/>
              </w:rPr>
            </w:pPr>
            <w:r>
              <w:rPr>
                <w:noProof/>
              </w:rPr>
              <w:t>Țintă</w:t>
            </w:r>
          </w:p>
        </w:tc>
        <w:tc>
          <w:tcPr>
            <w:tcW w:w="2107" w:type="dxa"/>
            <w:shd w:val="clear" w:color="auto" w:fill="C6EFCE"/>
            <w:noWrap/>
          </w:tcPr>
          <w:p w14:paraId="428470AE" w14:textId="77777777" w:rsidR="00C45D59" w:rsidRDefault="009B0962">
            <w:pPr>
              <w:pStyle w:val="P68B1DB1-Normal12"/>
              <w:spacing w:before="120" w:after="0" w:line="240" w:lineRule="auto"/>
              <w:rPr>
                <w:rFonts w:eastAsia="Times New Roman"/>
                <w:noProof/>
              </w:rPr>
            </w:pPr>
            <w:r>
              <w:rPr>
                <w:noProof/>
              </w:rPr>
              <w:t xml:space="preserve">Renovarea locuințelor sociale – finalizarea apartamentelor </w:t>
            </w:r>
          </w:p>
        </w:tc>
        <w:tc>
          <w:tcPr>
            <w:tcW w:w="1766" w:type="dxa"/>
            <w:shd w:val="clear" w:color="auto" w:fill="C6EFCE"/>
            <w:noWrap/>
          </w:tcPr>
          <w:p w14:paraId="6DE38E83" w14:textId="77777777" w:rsidR="00C45D59" w:rsidRDefault="00C45D59">
            <w:pPr>
              <w:spacing w:before="120" w:after="0" w:line="240" w:lineRule="auto"/>
              <w:rPr>
                <w:rFonts w:ascii="Times New Roman" w:eastAsia="Times New Roman" w:hAnsi="Times New Roman" w:cs="Times New Roman"/>
                <w:noProof/>
                <w:color w:val="006100"/>
                <w:sz w:val="18"/>
                <w:szCs w:val="18"/>
              </w:rPr>
            </w:pPr>
          </w:p>
        </w:tc>
        <w:tc>
          <w:tcPr>
            <w:tcW w:w="1404" w:type="dxa"/>
            <w:shd w:val="clear" w:color="auto" w:fill="C6EFCE"/>
            <w:noWrap/>
          </w:tcPr>
          <w:p w14:paraId="4DDF267C" w14:textId="77777777" w:rsidR="00C45D59" w:rsidRDefault="009B0962">
            <w:pPr>
              <w:pStyle w:val="P68B1DB1-Normal12"/>
              <w:spacing w:before="120" w:after="0" w:line="240" w:lineRule="auto"/>
              <w:rPr>
                <w:rFonts w:eastAsia="Times New Roman"/>
                <w:noProof/>
              </w:rPr>
            </w:pPr>
            <w:r>
              <w:rPr>
                <w:noProof/>
              </w:rPr>
              <w:t>Apartamente renovate</w:t>
            </w:r>
          </w:p>
        </w:tc>
        <w:tc>
          <w:tcPr>
            <w:tcW w:w="1035" w:type="dxa"/>
            <w:shd w:val="clear" w:color="auto" w:fill="C6EFCE"/>
            <w:noWrap/>
          </w:tcPr>
          <w:p w14:paraId="04D4364C" w14:textId="77777777" w:rsidR="00C45D59" w:rsidRDefault="009B0962">
            <w:pPr>
              <w:pStyle w:val="P68B1DB1-Normal12"/>
              <w:spacing w:before="120" w:after="0" w:line="240" w:lineRule="auto"/>
              <w:rPr>
                <w:rFonts w:eastAsia="Times New Roman"/>
                <w:noProof/>
              </w:rPr>
            </w:pPr>
            <w:r>
              <w:rPr>
                <w:noProof/>
              </w:rPr>
              <w:t>0</w:t>
            </w:r>
          </w:p>
        </w:tc>
        <w:tc>
          <w:tcPr>
            <w:tcW w:w="1097" w:type="dxa"/>
            <w:shd w:val="clear" w:color="auto" w:fill="C6EFCE"/>
            <w:noWrap/>
          </w:tcPr>
          <w:p w14:paraId="5C33AD84" w14:textId="77777777" w:rsidR="00C45D59" w:rsidRDefault="009B0962">
            <w:pPr>
              <w:pStyle w:val="P68B1DB1-Normal12"/>
              <w:spacing w:before="120" w:after="0" w:line="240" w:lineRule="auto"/>
              <w:rPr>
                <w:rFonts w:eastAsia="Times New Roman"/>
                <w:noProof/>
              </w:rPr>
            </w:pPr>
            <w:r>
              <w:rPr>
                <w:noProof/>
              </w:rPr>
              <w:t>50</w:t>
            </w:r>
          </w:p>
          <w:p w14:paraId="45948BBA" w14:textId="77777777" w:rsidR="00C45D59" w:rsidRDefault="00C45D59">
            <w:pPr>
              <w:spacing w:before="120" w:after="0" w:line="240" w:lineRule="auto"/>
              <w:rPr>
                <w:rFonts w:ascii="Times New Roman" w:eastAsia="Times New Roman" w:hAnsi="Times New Roman" w:cs="Times New Roman"/>
                <w:noProof/>
                <w:color w:val="006100"/>
                <w:sz w:val="18"/>
                <w:szCs w:val="18"/>
              </w:rPr>
            </w:pPr>
          </w:p>
        </w:tc>
        <w:tc>
          <w:tcPr>
            <w:tcW w:w="846" w:type="dxa"/>
            <w:shd w:val="clear" w:color="auto" w:fill="C6EFCE"/>
            <w:noWrap/>
          </w:tcPr>
          <w:p w14:paraId="6EC13230" w14:textId="77777777" w:rsidR="00C45D59" w:rsidRDefault="009B0962">
            <w:pPr>
              <w:pStyle w:val="P68B1DB1-Normal12"/>
              <w:spacing w:before="120" w:after="0" w:line="240" w:lineRule="auto"/>
              <w:rPr>
                <w:noProof/>
              </w:rPr>
            </w:pPr>
            <w:r>
              <w:rPr>
                <w:noProof/>
              </w:rPr>
              <w:t>Î2</w:t>
            </w:r>
          </w:p>
        </w:tc>
        <w:tc>
          <w:tcPr>
            <w:tcW w:w="783" w:type="dxa"/>
            <w:shd w:val="clear" w:color="auto" w:fill="C6EFCE"/>
            <w:noWrap/>
          </w:tcPr>
          <w:p w14:paraId="04AF508E" w14:textId="77777777" w:rsidR="00C45D59" w:rsidRDefault="009B0962">
            <w:pPr>
              <w:pStyle w:val="P68B1DB1-Normal12"/>
              <w:spacing w:before="120" w:after="0" w:line="240" w:lineRule="auto"/>
              <w:rPr>
                <w:noProof/>
              </w:rPr>
            </w:pPr>
            <w:r>
              <w:rPr>
                <w:noProof/>
              </w:rPr>
              <w:t>2025</w:t>
            </w:r>
          </w:p>
        </w:tc>
        <w:tc>
          <w:tcPr>
            <w:tcW w:w="3117" w:type="dxa"/>
            <w:shd w:val="clear" w:color="auto" w:fill="C6EFCE"/>
            <w:noWrap/>
          </w:tcPr>
          <w:p w14:paraId="54B20777" w14:textId="77777777" w:rsidR="00C45D59" w:rsidRDefault="009B0962">
            <w:pPr>
              <w:pStyle w:val="P68B1DB1-Normal12"/>
              <w:spacing w:before="120" w:after="0" w:line="240" w:lineRule="auto"/>
              <w:rPr>
                <w:rFonts w:eastAsia="Times New Roman"/>
                <w:noProof/>
              </w:rPr>
            </w:pPr>
            <w:r>
              <w:rPr>
                <w:noProof/>
              </w:rPr>
              <w:t xml:space="preserve">50 de apartamente renovate. </w:t>
            </w:r>
          </w:p>
          <w:p w14:paraId="4CD53CB1" w14:textId="77777777" w:rsidR="00C45D59" w:rsidRDefault="00C45D59">
            <w:pPr>
              <w:spacing w:before="120" w:after="0" w:line="240" w:lineRule="auto"/>
              <w:rPr>
                <w:rFonts w:ascii="Times New Roman" w:eastAsia="Times New Roman" w:hAnsi="Times New Roman" w:cs="Times New Roman"/>
                <w:noProof/>
                <w:color w:val="006100"/>
                <w:sz w:val="18"/>
                <w:szCs w:val="18"/>
              </w:rPr>
            </w:pPr>
          </w:p>
        </w:tc>
      </w:tr>
      <w:tr w:rsidR="00C45D59" w14:paraId="3192CAAA" w14:textId="77777777">
        <w:trPr>
          <w:trHeight w:val="309"/>
          <w:jc w:val="center"/>
        </w:trPr>
        <w:tc>
          <w:tcPr>
            <w:tcW w:w="566" w:type="dxa"/>
            <w:shd w:val="clear" w:color="auto" w:fill="C6EFCE"/>
            <w:noWrap/>
          </w:tcPr>
          <w:p w14:paraId="562CE92E" w14:textId="77777777" w:rsidR="00C45D59" w:rsidRDefault="009B0962">
            <w:pPr>
              <w:pStyle w:val="P68B1DB1-Normal12"/>
              <w:spacing w:before="120" w:after="0" w:line="240" w:lineRule="auto"/>
              <w:rPr>
                <w:rFonts w:eastAsia="Times New Roman"/>
                <w:noProof/>
              </w:rPr>
            </w:pPr>
            <w:r>
              <w:rPr>
                <w:noProof/>
              </w:rPr>
              <w:t>186a</w:t>
            </w:r>
          </w:p>
        </w:tc>
        <w:tc>
          <w:tcPr>
            <w:tcW w:w="1942" w:type="dxa"/>
            <w:shd w:val="clear" w:color="auto" w:fill="C6EFCE"/>
            <w:noWrap/>
          </w:tcPr>
          <w:p w14:paraId="13FA650D" w14:textId="77777777" w:rsidR="00C45D59" w:rsidRDefault="009B0962">
            <w:pPr>
              <w:pStyle w:val="P68B1DB1-Normal12"/>
              <w:spacing w:before="120" w:after="0" w:line="240" w:lineRule="auto"/>
              <w:rPr>
                <w:rFonts w:eastAsia="Times New Roman"/>
                <w:noProof/>
              </w:rPr>
            </w:pPr>
            <w:r>
              <w:rPr>
                <w:noProof/>
              </w:rPr>
              <w:t>11-3.4. Creșterea accesului la politici sociale eficace și favorabile incluziunii – 16922_Integrare socială</w:t>
            </w:r>
          </w:p>
        </w:tc>
        <w:tc>
          <w:tcPr>
            <w:tcW w:w="1099" w:type="dxa"/>
            <w:shd w:val="clear" w:color="auto" w:fill="C6EFCE"/>
            <w:noWrap/>
          </w:tcPr>
          <w:p w14:paraId="08036750" w14:textId="77777777" w:rsidR="00C45D59" w:rsidRDefault="009B0962">
            <w:pPr>
              <w:pStyle w:val="P68B1DB1-Normal12"/>
              <w:spacing w:before="120" w:after="0" w:line="240" w:lineRule="auto"/>
              <w:rPr>
                <w:rFonts w:eastAsia="Times New Roman"/>
                <w:noProof/>
              </w:rPr>
            </w:pPr>
            <w:r>
              <w:rPr>
                <w:noProof/>
              </w:rPr>
              <w:t>Etapă</w:t>
            </w:r>
          </w:p>
        </w:tc>
        <w:tc>
          <w:tcPr>
            <w:tcW w:w="2107" w:type="dxa"/>
            <w:shd w:val="clear" w:color="auto" w:fill="C6EFCE"/>
            <w:noWrap/>
          </w:tcPr>
          <w:p w14:paraId="059F1566" w14:textId="77777777" w:rsidR="00C45D59" w:rsidRDefault="009B0962">
            <w:pPr>
              <w:pStyle w:val="P68B1DB1-Normal12"/>
              <w:spacing w:before="120" w:after="0" w:line="240" w:lineRule="auto"/>
              <w:rPr>
                <w:rFonts w:eastAsia="Times New Roman"/>
                <w:noProof/>
              </w:rPr>
            </w:pPr>
            <w:r>
              <w:rPr>
                <w:noProof/>
              </w:rPr>
              <w:t>Integrarea socială a grupurilor vulnerabile, formarea digitală</w:t>
            </w:r>
          </w:p>
        </w:tc>
        <w:tc>
          <w:tcPr>
            <w:tcW w:w="1766" w:type="dxa"/>
            <w:shd w:val="clear" w:color="auto" w:fill="C6EFCE"/>
            <w:noWrap/>
          </w:tcPr>
          <w:p w14:paraId="43049969" w14:textId="77777777" w:rsidR="00C45D59" w:rsidRDefault="009B0962">
            <w:pPr>
              <w:pStyle w:val="P68B1DB1-Normal12"/>
              <w:spacing w:before="120" w:after="0" w:line="240" w:lineRule="auto"/>
              <w:rPr>
                <w:rFonts w:eastAsia="Times New Roman"/>
                <w:noProof/>
              </w:rPr>
            </w:pPr>
            <w:r>
              <w:rPr>
                <w:noProof/>
              </w:rPr>
              <w:t>Persoanele în vârstă și persoanele cu handicap s-au înscris la un curs de formare în urma lansării cererii de candidaturi</w:t>
            </w:r>
          </w:p>
        </w:tc>
        <w:tc>
          <w:tcPr>
            <w:tcW w:w="1404" w:type="dxa"/>
            <w:shd w:val="clear" w:color="auto" w:fill="C6EFCE"/>
            <w:noWrap/>
          </w:tcPr>
          <w:p w14:paraId="227E2331" w14:textId="77777777" w:rsidR="00C45D59" w:rsidRDefault="00C45D59">
            <w:pPr>
              <w:spacing w:before="120" w:after="0" w:line="240" w:lineRule="auto"/>
              <w:rPr>
                <w:rFonts w:ascii="Times New Roman" w:eastAsia="Times New Roman" w:hAnsi="Times New Roman" w:cs="Times New Roman"/>
                <w:noProof/>
                <w:color w:val="006100"/>
                <w:sz w:val="18"/>
                <w:szCs w:val="18"/>
              </w:rPr>
            </w:pPr>
          </w:p>
        </w:tc>
        <w:tc>
          <w:tcPr>
            <w:tcW w:w="1035" w:type="dxa"/>
            <w:shd w:val="clear" w:color="auto" w:fill="C6EFCE"/>
            <w:noWrap/>
          </w:tcPr>
          <w:p w14:paraId="5C18E4AB" w14:textId="77777777" w:rsidR="00C45D59" w:rsidRDefault="00C45D59">
            <w:pPr>
              <w:spacing w:before="120" w:after="0" w:line="240" w:lineRule="auto"/>
              <w:rPr>
                <w:rFonts w:ascii="Times New Roman" w:eastAsia="Times New Roman" w:hAnsi="Times New Roman" w:cs="Times New Roman"/>
                <w:noProof/>
                <w:color w:val="006100"/>
                <w:sz w:val="18"/>
                <w:szCs w:val="18"/>
              </w:rPr>
            </w:pPr>
          </w:p>
        </w:tc>
        <w:tc>
          <w:tcPr>
            <w:tcW w:w="1097" w:type="dxa"/>
            <w:shd w:val="clear" w:color="auto" w:fill="C6EFCE"/>
            <w:noWrap/>
          </w:tcPr>
          <w:p w14:paraId="4209541B" w14:textId="77777777" w:rsidR="00C45D59" w:rsidRDefault="00C45D59">
            <w:pPr>
              <w:spacing w:before="120" w:after="0" w:line="240" w:lineRule="auto"/>
              <w:rPr>
                <w:rFonts w:ascii="Times New Roman" w:eastAsia="Times New Roman" w:hAnsi="Times New Roman" w:cs="Times New Roman"/>
                <w:noProof/>
                <w:color w:val="006100"/>
                <w:sz w:val="18"/>
                <w:szCs w:val="18"/>
              </w:rPr>
            </w:pPr>
          </w:p>
        </w:tc>
        <w:tc>
          <w:tcPr>
            <w:tcW w:w="846" w:type="dxa"/>
            <w:shd w:val="clear" w:color="auto" w:fill="C6EFCE"/>
            <w:noWrap/>
          </w:tcPr>
          <w:p w14:paraId="7AEC5D6E" w14:textId="77777777" w:rsidR="00C45D59" w:rsidRDefault="009B0962">
            <w:pPr>
              <w:pStyle w:val="P68B1DB1-Normal12"/>
              <w:spacing w:before="120" w:after="0" w:line="240" w:lineRule="auto"/>
              <w:rPr>
                <w:rFonts w:eastAsia="Times New Roman"/>
                <w:noProof/>
              </w:rPr>
            </w:pPr>
            <w:r>
              <w:rPr>
                <w:noProof/>
              </w:rPr>
              <w:t>Î4</w:t>
            </w:r>
          </w:p>
        </w:tc>
        <w:tc>
          <w:tcPr>
            <w:tcW w:w="783" w:type="dxa"/>
            <w:shd w:val="clear" w:color="auto" w:fill="C6EFCE"/>
            <w:noWrap/>
          </w:tcPr>
          <w:p w14:paraId="58C94C0E" w14:textId="77777777" w:rsidR="00C45D59" w:rsidRDefault="009B0962">
            <w:pPr>
              <w:pStyle w:val="P68B1DB1-Normal12"/>
              <w:spacing w:before="120" w:after="0" w:line="240" w:lineRule="auto"/>
              <w:rPr>
                <w:rFonts w:eastAsia="Times New Roman"/>
                <w:noProof/>
              </w:rPr>
            </w:pPr>
            <w:r>
              <w:rPr>
                <w:noProof/>
              </w:rPr>
              <w:t>2025</w:t>
            </w:r>
          </w:p>
        </w:tc>
        <w:tc>
          <w:tcPr>
            <w:tcW w:w="3117" w:type="dxa"/>
            <w:shd w:val="clear" w:color="auto" w:fill="C6EFCE"/>
            <w:noWrap/>
          </w:tcPr>
          <w:p w14:paraId="3D77A21B" w14:textId="77777777" w:rsidR="00C45D59" w:rsidRDefault="009B0962">
            <w:pPr>
              <w:pStyle w:val="P68B1DB1-Normal12"/>
              <w:spacing w:before="120" w:after="0" w:line="240" w:lineRule="auto"/>
              <w:rPr>
                <w:rFonts w:eastAsia="Times New Roman"/>
                <w:noProof/>
              </w:rPr>
            </w:pPr>
            <w:r>
              <w:rPr>
                <w:noProof/>
              </w:rPr>
              <w:t xml:space="preserve">5 400 de persoane în vârstă și persoane cu handicap s-au înscris la un curs de formare în domeniul digital </w:t>
            </w:r>
          </w:p>
        </w:tc>
      </w:tr>
      <w:tr w:rsidR="00C45D59" w14:paraId="31A731C6" w14:textId="77777777">
        <w:trPr>
          <w:trHeight w:val="309"/>
          <w:jc w:val="center"/>
        </w:trPr>
        <w:tc>
          <w:tcPr>
            <w:tcW w:w="566" w:type="dxa"/>
            <w:shd w:val="clear" w:color="auto" w:fill="C6EFCE"/>
            <w:noWrap/>
          </w:tcPr>
          <w:p w14:paraId="6775A1F7" w14:textId="77777777" w:rsidR="00C45D59" w:rsidRDefault="009B0962">
            <w:pPr>
              <w:pStyle w:val="P68B1DB1-Normal12"/>
              <w:spacing w:before="120" w:after="0" w:line="240" w:lineRule="auto"/>
              <w:rPr>
                <w:rFonts w:eastAsia="Times New Roman"/>
                <w:noProof/>
              </w:rPr>
            </w:pPr>
            <w:r>
              <w:rPr>
                <w:noProof/>
              </w:rPr>
              <w:t>187</w:t>
            </w:r>
          </w:p>
        </w:tc>
        <w:tc>
          <w:tcPr>
            <w:tcW w:w="1942" w:type="dxa"/>
            <w:shd w:val="clear" w:color="auto" w:fill="C6EFCE"/>
            <w:noWrap/>
          </w:tcPr>
          <w:p w14:paraId="26D36224" w14:textId="77777777" w:rsidR="00C45D59" w:rsidRDefault="009B0962">
            <w:pPr>
              <w:pStyle w:val="P68B1DB1-Normal12"/>
              <w:spacing w:before="120" w:after="120" w:line="240" w:lineRule="auto"/>
              <w:rPr>
                <w:rFonts w:eastAsia="Times New Roman"/>
                <w:noProof/>
              </w:rPr>
            </w:pPr>
            <w:r>
              <w:rPr>
                <w:noProof/>
              </w:rPr>
              <w:t>11-3.4. Creșterea accesului la politici sociale eficace și favorabile incluziunii – 16688: Promovarea integrării populației de refugiați pe piața forței de muncă </w:t>
            </w:r>
          </w:p>
          <w:p w14:paraId="1668B7A7" w14:textId="77777777" w:rsidR="00C45D59" w:rsidRDefault="00C45D59">
            <w:pPr>
              <w:spacing w:before="120" w:after="0" w:line="240" w:lineRule="auto"/>
              <w:rPr>
                <w:rFonts w:ascii="Times New Roman" w:eastAsia="Times New Roman" w:hAnsi="Times New Roman" w:cs="Times New Roman"/>
                <w:noProof/>
                <w:color w:val="006100"/>
                <w:sz w:val="18"/>
                <w:szCs w:val="18"/>
              </w:rPr>
            </w:pPr>
          </w:p>
        </w:tc>
        <w:tc>
          <w:tcPr>
            <w:tcW w:w="1099" w:type="dxa"/>
            <w:shd w:val="clear" w:color="auto" w:fill="C6EFCE"/>
            <w:noWrap/>
          </w:tcPr>
          <w:p w14:paraId="4A5A3A77" w14:textId="77777777" w:rsidR="00C45D59" w:rsidRDefault="009B0962">
            <w:pPr>
              <w:pStyle w:val="P68B1DB1-Normal12"/>
              <w:spacing w:before="120" w:after="0" w:line="240" w:lineRule="auto"/>
              <w:rPr>
                <w:rFonts w:eastAsia="Times New Roman"/>
                <w:noProof/>
              </w:rPr>
            </w:pPr>
            <w:r>
              <w:rPr>
                <w:noProof/>
              </w:rPr>
              <w:t>Etapă</w:t>
            </w:r>
          </w:p>
        </w:tc>
        <w:tc>
          <w:tcPr>
            <w:tcW w:w="2107" w:type="dxa"/>
            <w:shd w:val="clear" w:color="auto" w:fill="C6EFCE"/>
            <w:noWrap/>
          </w:tcPr>
          <w:p w14:paraId="0281B4EF" w14:textId="77777777" w:rsidR="00C45D59" w:rsidRDefault="009B0962">
            <w:pPr>
              <w:pStyle w:val="P68B1DB1-Normal12"/>
              <w:spacing w:before="120" w:after="0" w:line="240" w:lineRule="auto"/>
              <w:rPr>
                <w:rFonts w:eastAsia="Times New Roman"/>
                <w:noProof/>
              </w:rPr>
            </w:pPr>
            <w:r>
              <w:rPr>
                <w:noProof/>
              </w:rPr>
              <w:t>Integrarea refugiaților pe piața muncii</w:t>
            </w:r>
          </w:p>
        </w:tc>
        <w:tc>
          <w:tcPr>
            <w:tcW w:w="1766" w:type="dxa"/>
            <w:shd w:val="clear" w:color="auto" w:fill="C6EFCE"/>
            <w:noWrap/>
          </w:tcPr>
          <w:p w14:paraId="4506F629" w14:textId="77777777" w:rsidR="00C45D59" w:rsidRDefault="009B0962">
            <w:pPr>
              <w:pStyle w:val="P68B1DB1-Normal23"/>
              <w:spacing w:before="120" w:after="0" w:line="240" w:lineRule="auto"/>
              <w:rPr>
                <w:noProof/>
              </w:rPr>
            </w:pPr>
            <w:r>
              <w:rPr>
                <w:noProof/>
              </w:rPr>
              <w:t>Program de formare profesională</w:t>
            </w:r>
          </w:p>
        </w:tc>
        <w:tc>
          <w:tcPr>
            <w:tcW w:w="1404" w:type="dxa"/>
            <w:shd w:val="clear" w:color="auto" w:fill="C6EFCE"/>
            <w:noWrap/>
          </w:tcPr>
          <w:p w14:paraId="371E6BB9" w14:textId="77777777" w:rsidR="00C45D59" w:rsidRDefault="009B0962">
            <w:pPr>
              <w:pStyle w:val="P68B1DB1-Normal12"/>
              <w:spacing w:before="120" w:after="0" w:line="240" w:lineRule="auto"/>
              <w:rPr>
                <w:rFonts w:eastAsia="Times New Roman"/>
                <w:noProof/>
              </w:rPr>
            </w:pPr>
            <w:r>
              <w:rPr>
                <w:noProof/>
              </w:rPr>
              <w:t xml:space="preserve"> </w:t>
            </w:r>
          </w:p>
        </w:tc>
        <w:tc>
          <w:tcPr>
            <w:tcW w:w="1035" w:type="dxa"/>
            <w:shd w:val="clear" w:color="auto" w:fill="C6EFCE"/>
            <w:noWrap/>
          </w:tcPr>
          <w:p w14:paraId="2517671C" w14:textId="77777777" w:rsidR="00C45D59" w:rsidRDefault="00C45D59">
            <w:pPr>
              <w:spacing w:before="120" w:after="0" w:line="240" w:lineRule="auto"/>
              <w:rPr>
                <w:rFonts w:ascii="Times New Roman" w:eastAsia="Times New Roman" w:hAnsi="Times New Roman" w:cs="Times New Roman"/>
                <w:noProof/>
                <w:color w:val="006100"/>
                <w:sz w:val="18"/>
                <w:szCs w:val="18"/>
              </w:rPr>
            </w:pPr>
          </w:p>
        </w:tc>
        <w:tc>
          <w:tcPr>
            <w:tcW w:w="1097" w:type="dxa"/>
            <w:shd w:val="clear" w:color="auto" w:fill="C6EFCE"/>
            <w:noWrap/>
          </w:tcPr>
          <w:p w14:paraId="0DDB5AEB" w14:textId="77777777" w:rsidR="00C45D59" w:rsidRDefault="00C45D59">
            <w:pPr>
              <w:spacing w:before="120" w:after="0" w:line="240" w:lineRule="auto"/>
              <w:rPr>
                <w:rFonts w:ascii="Times New Roman" w:eastAsia="Times New Roman" w:hAnsi="Times New Roman" w:cs="Times New Roman"/>
                <w:noProof/>
                <w:color w:val="006100"/>
                <w:sz w:val="18"/>
                <w:szCs w:val="18"/>
              </w:rPr>
            </w:pPr>
          </w:p>
        </w:tc>
        <w:tc>
          <w:tcPr>
            <w:tcW w:w="846" w:type="dxa"/>
            <w:shd w:val="clear" w:color="auto" w:fill="C6EFCE"/>
            <w:noWrap/>
          </w:tcPr>
          <w:p w14:paraId="333B9043" w14:textId="77777777" w:rsidR="00C45D59" w:rsidRDefault="009B0962">
            <w:pPr>
              <w:pStyle w:val="P68B1DB1-Normal12"/>
              <w:spacing w:before="120" w:after="0" w:line="240" w:lineRule="auto"/>
              <w:rPr>
                <w:rFonts w:eastAsia="Times New Roman"/>
                <w:noProof/>
              </w:rPr>
            </w:pPr>
            <w:r>
              <w:rPr>
                <w:noProof/>
              </w:rPr>
              <w:t>Î4</w:t>
            </w:r>
          </w:p>
        </w:tc>
        <w:tc>
          <w:tcPr>
            <w:tcW w:w="783" w:type="dxa"/>
            <w:shd w:val="clear" w:color="auto" w:fill="C6EFCE"/>
            <w:noWrap/>
          </w:tcPr>
          <w:p w14:paraId="0F1A183C" w14:textId="77777777" w:rsidR="00C45D59" w:rsidRDefault="009B0962">
            <w:pPr>
              <w:pStyle w:val="P68B1DB1-Normal12"/>
              <w:spacing w:before="120" w:after="0" w:line="240" w:lineRule="auto"/>
              <w:rPr>
                <w:rFonts w:eastAsia="Times New Roman"/>
                <w:noProof/>
              </w:rPr>
            </w:pPr>
            <w:r>
              <w:rPr>
                <w:noProof/>
              </w:rPr>
              <w:t>2025</w:t>
            </w:r>
          </w:p>
        </w:tc>
        <w:tc>
          <w:tcPr>
            <w:tcW w:w="3117" w:type="dxa"/>
            <w:shd w:val="clear" w:color="auto" w:fill="C6EFCE"/>
            <w:noWrap/>
          </w:tcPr>
          <w:p w14:paraId="77206A9E" w14:textId="4DA3C334" w:rsidR="00C45D59" w:rsidRDefault="009B0962">
            <w:pPr>
              <w:pStyle w:val="P68B1DB1-Normal12"/>
              <w:spacing w:before="120" w:after="0" w:line="240" w:lineRule="auto"/>
              <w:rPr>
                <w:rFonts w:eastAsia="Times New Roman"/>
                <w:noProof/>
                <w:highlight w:val="yellow"/>
              </w:rPr>
            </w:pPr>
            <w:r>
              <w:rPr>
                <w:noProof/>
              </w:rPr>
              <w:t>Furnizarea a 7 800 de cursuri de formare profesională sau lingvistică pentru anumiți refugiați, inclusiv refugiați recunoscuți (beneficiari de protecție internațională) care locuiesc fie în centrele de cazare ale Ministerului Migrației și Azilului, fie în zona urbană, beneficiari de protecție temporară, migranți legali și solicitanți de azil. Dintre acești beneficiari, 618 au semnat contracte de stagiu.</w:t>
            </w:r>
          </w:p>
        </w:tc>
      </w:tr>
    </w:tbl>
    <w:p w14:paraId="762D54DD" w14:textId="77777777" w:rsidR="00C45D59" w:rsidRDefault="00C45D59">
      <w:pPr>
        <w:tabs>
          <w:tab w:val="left" w:pos="3423"/>
        </w:tabs>
        <w:spacing w:before="120" w:after="120" w:line="240" w:lineRule="auto"/>
        <w:jc w:val="both"/>
        <w:rPr>
          <w:rFonts w:ascii="Times New Roman" w:hAnsi="Times New Roman" w:cs="Times New Roman"/>
          <w:noProof/>
          <w:sz w:val="24"/>
        </w:rPr>
        <w:sectPr w:rsidR="00C45D59">
          <w:headerReference w:type="even" r:id="rId234"/>
          <w:headerReference w:type="default" r:id="rId235"/>
          <w:footerReference w:type="even" r:id="rId236"/>
          <w:footerReference w:type="default" r:id="rId237"/>
          <w:headerReference w:type="first" r:id="rId238"/>
          <w:footerReference w:type="first" r:id="rId239"/>
          <w:pgSz w:w="16839" w:h="11907" w:orient="landscape"/>
          <w:pgMar w:top="1134" w:right="1134" w:bottom="1134" w:left="1134" w:header="567" w:footer="567" w:gutter="0"/>
          <w:cols w:space="720"/>
          <w:docGrid w:linePitch="360"/>
        </w:sectPr>
      </w:pPr>
    </w:p>
    <w:p w14:paraId="441D9D9E" w14:textId="77777777" w:rsidR="00C45D59" w:rsidRDefault="009B0962">
      <w:pPr>
        <w:pStyle w:val="P68B1DB1-Normal19"/>
        <w:spacing w:before="120" w:after="120" w:line="240" w:lineRule="auto"/>
        <w:jc w:val="both"/>
        <w:rPr>
          <w:rFonts w:cs="Times New Roman"/>
          <w:bCs/>
          <w:i/>
          <w:iCs/>
          <w:noProof/>
          <w:color w:val="4F81BD"/>
        </w:rPr>
      </w:pPr>
      <w:r>
        <w:rPr>
          <w:noProof/>
        </w:rPr>
        <w:t xml:space="preserve">K.3. Descrierea reformelor și a investițiilor pentru împrumut </w:t>
      </w:r>
    </w:p>
    <w:p w14:paraId="3F348FA3" w14:textId="77777777" w:rsidR="00C45D59" w:rsidRDefault="009B0962">
      <w:pPr>
        <w:pStyle w:val="P68B1DB1-Normal5"/>
        <w:spacing w:before="120" w:after="120" w:line="240" w:lineRule="auto"/>
        <w:jc w:val="both"/>
        <w:rPr>
          <w:rFonts w:cs="Times New Roman"/>
          <w:noProof/>
        </w:rPr>
      </w:pPr>
      <w:r>
        <w:rPr>
          <w:b/>
          <w:noProof/>
        </w:rPr>
        <w:t>Investiții:</w:t>
      </w:r>
      <w:r>
        <w:rPr>
          <w:noProof/>
        </w:rPr>
        <w:t xml:space="preserve"> Programul pentru locuințe la prețuri accesibile „My Home II” (măsura ID 16400)</w:t>
      </w:r>
    </w:p>
    <w:p w14:paraId="5E7746DD" w14:textId="42354502" w:rsidR="00C45D59" w:rsidRDefault="009B0962">
      <w:pPr>
        <w:pStyle w:val="P68B1DB1-Normal14"/>
        <w:spacing w:line="240" w:lineRule="auto"/>
        <w:jc w:val="both"/>
        <w:rPr>
          <w:rFonts w:ascii="Times New Roman" w:hAnsi="Times New Roman" w:cs="Times New Roman"/>
          <w:noProof/>
          <w:szCs w:val="24"/>
        </w:rPr>
      </w:pPr>
      <w:r>
        <w:rPr>
          <w:rFonts w:ascii="Times New Roman" w:hAnsi="Times New Roman" w:cs="Times New Roman"/>
          <w:noProof/>
          <w:szCs w:val="24"/>
        </w:rPr>
        <w:t>Această măsură constă într-o investiție publică în facilitatea „</w:t>
      </w:r>
      <w:r>
        <w:rPr>
          <w:rFonts w:ascii="Times New Roman" w:hAnsi="Times New Roman"/>
          <w:noProof/>
        </w:rPr>
        <w:t>My Home II</w:t>
      </w:r>
      <w:r>
        <w:rPr>
          <w:rFonts w:ascii="Times New Roman" w:hAnsi="Times New Roman" w:cs="Times New Roman"/>
          <w:noProof/>
          <w:szCs w:val="24"/>
        </w:rPr>
        <w:t>”, pentru a stimula investițiile private și a îmbunătăți accesul la finanțare în sectorul locuințelor din Grecia. Mecanismul funcționează prin acordarea de împrumuturi direct sectorului privat. Pe baza investiției MRR, facilitatea „</w:t>
      </w:r>
      <w:r>
        <w:rPr>
          <w:rFonts w:ascii="Times New Roman" w:hAnsi="Times New Roman"/>
          <w:noProof/>
        </w:rPr>
        <w:t>My Home II” urmărește să ofere inițial o finanțare de cel puțin 760 000 000 EUR.</w:t>
      </w:r>
    </w:p>
    <w:p w14:paraId="20E686A5" w14:textId="77777777" w:rsidR="00C45D59" w:rsidRDefault="009B0962">
      <w:pPr>
        <w:pStyle w:val="P68B1DB1-Normal14"/>
        <w:spacing w:line="240" w:lineRule="auto"/>
        <w:jc w:val="both"/>
        <w:rPr>
          <w:rFonts w:ascii="Times New Roman" w:hAnsi="Times New Roman" w:cs="Times New Roman"/>
          <w:noProof/>
          <w:szCs w:val="24"/>
        </w:rPr>
      </w:pPr>
      <w:r>
        <w:rPr>
          <w:rFonts w:ascii="Times New Roman" w:hAnsi="Times New Roman" w:cs="Times New Roman"/>
          <w:noProof/>
          <w:szCs w:val="24"/>
        </w:rPr>
        <w:t>Facilitatea „</w:t>
      </w:r>
      <w:r>
        <w:rPr>
          <w:rFonts w:ascii="Times New Roman" w:hAnsi="Times New Roman"/>
          <w:noProof/>
        </w:rPr>
        <w:t>My Home II</w:t>
      </w:r>
      <w:r>
        <w:rPr>
          <w:rFonts w:ascii="Times New Roman" w:hAnsi="Times New Roman" w:cs="Times New Roman"/>
          <w:noProof/>
          <w:szCs w:val="24"/>
        </w:rPr>
        <w:t xml:space="preserve">” este gestionată de Banca Elenă de Dezvoltare în calitate de partener de implementare. Facilitatea include următoarea linie de produse: </w:t>
      </w:r>
    </w:p>
    <w:p w14:paraId="46C8332B" w14:textId="77777777" w:rsidR="00C45D59" w:rsidRDefault="009B0962">
      <w:pPr>
        <w:pStyle w:val="P68B1DB1-LegalNumPar220"/>
        <w:numPr>
          <w:ilvl w:val="1"/>
          <w:numId w:val="24"/>
        </w:numPr>
        <w:jc w:val="both"/>
        <w:rPr>
          <w:noProof/>
        </w:rPr>
      </w:pPr>
      <w:r>
        <w:rPr>
          <w:noProof/>
        </w:rPr>
        <w:t>Banca Elenă de Dezvoltare selectează băncile comerciale în calitate de intermediari financiari pentru a participa la facilitate, în mod deschis, transparent și nediscriminatoriu, prin intermediul unei cereri deschise de propuneri. Băncile comerciale cofinanțează împrumuturile acordate în cadrul mecanismului. Aceste împrumuturi vor fi acordate persoanelor fizice pentru achiziționarea reședinței principale. Structura de împrumut prevede o finanțare fără dobândă de 50 % din partea mecanismului „My Home II” și o finanțare de 50 % din partea băncilor participante la ratele pieței.</w:t>
      </w:r>
    </w:p>
    <w:p w14:paraId="095FE08D" w14:textId="77777777" w:rsidR="00C45D59" w:rsidRDefault="009B0962">
      <w:pPr>
        <w:pStyle w:val="P68B1DB1-Normal14"/>
        <w:spacing w:line="240" w:lineRule="auto"/>
        <w:jc w:val="both"/>
        <w:rPr>
          <w:rFonts w:ascii="Times New Roman" w:hAnsi="Times New Roman" w:cs="Times New Roman"/>
          <w:noProof/>
          <w:szCs w:val="24"/>
        </w:rPr>
      </w:pPr>
      <w:r>
        <w:rPr>
          <w:rFonts w:ascii="Times New Roman" w:hAnsi="Times New Roman" w:cs="Times New Roman"/>
          <w:noProof/>
          <w:szCs w:val="24"/>
        </w:rPr>
        <w:t>Pentru a pune în aplicare investiția în facilitatea „</w:t>
      </w:r>
      <w:r>
        <w:rPr>
          <w:rFonts w:ascii="Times New Roman" w:hAnsi="Times New Roman"/>
          <w:noProof/>
        </w:rPr>
        <w:t>My Home II</w:t>
      </w:r>
      <w:r>
        <w:rPr>
          <w:rFonts w:ascii="Times New Roman" w:hAnsi="Times New Roman" w:cs="Times New Roman"/>
          <w:noProof/>
          <w:szCs w:val="24"/>
        </w:rPr>
        <w:t>”, Grecia și Banca Elenă de Dezvoltare semnează un acord de punere în aplicare. Acordul de punere în aplicare include următorul conținut:</w:t>
      </w:r>
    </w:p>
    <w:p w14:paraId="3E36323A" w14:textId="77777777" w:rsidR="00C45D59" w:rsidRDefault="009B0962">
      <w:pPr>
        <w:pStyle w:val="P68B1DB1-LegalNumPar46"/>
        <w:numPr>
          <w:ilvl w:val="0"/>
          <w:numId w:val="54"/>
        </w:numPr>
        <w:jc w:val="both"/>
        <w:rPr>
          <w:rFonts w:ascii="Times New Roman" w:eastAsia="Times New Roman" w:hAnsi="Times New Roman" w:cs="Times New Roman"/>
          <w:noProof/>
          <w:szCs w:val="24"/>
        </w:rPr>
      </w:pPr>
      <w:r>
        <w:rPr>
          <w:rFonts w:ascii="Times New Roman" w:hAnsi="Times New Roman" w:cs="Times New Roman"/>
          <w:noProof/>
          <w:szCs w:val="24"/>
        </w:rPr>
        <w:t>Descrierea procesului decizional al instrumentului „</w:t>
      </w:r>
      <w:r>
        <w:rPr>
          <w:rFonts w:ascii="Times New Roman" w:hAnsi="Times New Roman"/>
          <w:noProof/>
        </w:rPr>
        <w:t>My Home II</w:t>
      </w:r>
      <w:r>
        <w:rPr>
          <w:rFonts w:ascii="Times New Roman" w:hAnsi="Times New Roman" w:cs="Times New Roman"/>
          <w:noProof/>
          <w:szCs w:val="24"/>
        </w:rPr>
        <w:t>”. Decizia finală de investiții a facilității este luată de un comitet pentru investiții sau de un alt organ de conducere echivalent relevant și este aprobată cu o majoritate de voturi de către membri care sunt independenți de guvern.</w:t>
      </w:r>
    </w:p>
    <w:p w14:paraId="4031ACF8" w14:textId="77777777" w:rsidR="00C45D59" w:rsidRDefault="009B0962">
      <w:pPr>
        <w:pStyle w:val="P68B1DB1-LegalNumPar21"/>
        <w:jc w:val="both"/>
        <w:rPr>
          <w:noProof/>
        </w:rPr>
      </w:pPr>
      <w:r>
        <w:rPr>
          <w:noProof/>
        </w:rPr>
        <w:t>Cerințele-cheie ale produselor financiare,</w:t>
      </w:r>
      <w:r>
        <w:rPr>
          <w:b/>
          <w:noProof/>
        </w:rPr>
        <w:t xml:space="preserve"> </w:t>
      </w:r>
      <w:r>
        <w:rPr>
          <w:noProof/>
        </w:rPr>
        <w:t>care includ:</w:t>
      </w:r>
    </w:p>
    <w:p w14:paraId="4CC56E06" w14:textId="77777777" w:rsidR="00C45D59" w:rsidRDefault="009B0962">
      <w:pPr>
        <w:pStyle w:val="P68B1DB1-LegalNumPar220"/>
        <w:jc w:val="both"/>
        <w:rPr>
          <w:noProof/>
        </w:rPr>
      </w:pPr>
      <w:r>
        <w:rPr>
          <w:noProof/>
        </w:rPr>
        <w:t>Descrierea produselor financiare și a beneficiarilor finali eligibili.</w:t>
      </w:r>
    </w:p>
    <w:p w14:paraId="4D1AC468" w14:textId="77777777" w:rsidR="00C45D59" w:rsidRDefault="009B0962">
      <w:pPr>
        <w:pStyle w:val="P68B1DB1-LegalNumPar220"/>
        <w:jc w:val="both"/>
        <w:rPr>
          <w:noProof/>
        </w:rPr>
      </w:pPr>
      <w:r>
        <w:rPr>
          <w:noProof/>
        </w:rPr>
        <w:t>Cerința ca toate investițiile care beneficiază de sprijin să fie viabile din punct de vedere economic.</w:t>
      </w:r>
    </w:p>
    <w:p w14:paraId="16ED96A9" w14:textId="77777777" w:rsidR="00C45D59" w:rsidRDefault="009B0962">
      <w:pPr>
        <w:pStyle w:val="P68B1DB1-LegalNumPar220"/>
        <w:jc w:val="both"/>
        <w:rPr>
          <w:noProof/>
        </w:rPr>
      </w:pPr>
      <w:r>
        <w:rPr>
          <w:noProof/>
        </w:rPr>
        <w:t>Cerința ca beneficiarii finali ai mecanismului să nu primească sprijin din partea altor instrumente ale Uniunii pentru a acoperi aceleași costuri.</w:t>
      </w:r>
    </w:p>
    <w:p w14:paraId="33B992CF" w14:textId="77777777" w:rsidR="00C45D59" w:rsidRDefault="009B0962">
      <w:pPr>
        <w:pStyle w:val="P68B1DB1-LegalNumPar22"/>
        <w:jc w:val="both"/>
        <w:rPr>
          <w:rFonts w:ascii="Times New Roman" w:hAnsi="Times New Roman" w:cs="Times New Roman"/>
          <w:noProof/>
        </w:rPr>
      </w:pPr>
      <w:r>
        <w:rPr>
          <w:rFonts w:ascii="Times New Roman" w:hAnsi="Times New Roman" w:cs="Times New Roman"/>
          <w:noProof/>
        </w:rPr>
        <w:t xml:space="preserve">Suma care face obiectul acordului de punere în aplicare, structura comisioanelor pentru partenerul de implementare și intermediarii financiari și </w:t>
      </w:r>
      <w:r>
        <w:rPr>
          <w:rFonts w:ascii="Times New Roman" w:eastAsia="Times New Roman" w:hAnsi="Times New Roman" w:cs="Times New Roman"/>
          <w:noProof/>
          <w:color w:val="000000" w:themeColor="text1"/>
        </w:rPr>
        <w:t>cerința de a reinvesti orice restituiri în conformitate cu politica de investiții a mecanismului, cu excepția cazului în care acestea sunt utilizate pentru a rambursa împrumuturile din cadrul Mecanismului de redresare și reziliență.</w:t>
      </w:r>
    </w:p>
    <w:p w14:paraId="7141D8A0" w14:textId="77777777" w:rsidR="00C45D59" w:rsidRDefault="009B0962">
      <w:pPr>
        <w:pStyle w:val="P68B1DB1-LegalNumPar21"/>
        <w:jc w:val="both"/>
        <w:rPr>
          <w:noProof/>
        </w:rPr>
      </w:pPr>
      <w:r>
        <w:rPr>
          <w:noProof/>
        </w:rPr>
        <w:t>Cerințele de monitorizare, audit și control, inclusiv descrierea procedurilor partenerului de implementare care asigură prevenirea, depistarea și corectarea fraudei, a corupției și a conflictelor de interese.</w:t>
      </w:r>
    </w:p>
    <w:p w14:paraId="062072A2" w14:textId="77777777" w:rsidR="00C45D59" w:rsidRDefault="009B0962">
      <w:pPr>
        <w:pStyle w:val="P68B1DB1-LegalNumPar21"/>
        <w:jc w:val="both"/>
        <w:rPr>
          <w:noProof/>
        </w:rPr>
      </w:pPr>
      <w:r>
        <w:rPr>
          <w:noProof/>
        </w:rPr>
        <w:t>Banca Elenă de Dezvoltare semnează acorduri de finanțare cu intermediarii financiari în conformitate cu cerințele-cheie care vor fi furnizate ca anexă la acordul de punere în aplicare. Cerințele-cheie ale acordurilor de finanțare includ toate cerințele în temeiul cărora funcționează mecanismul, inclusiv: </w:t>
      </w:r>
    </w:p>
    <w:p w14:paraId="25DA51BF" w14:textId="77777777" w:rsidR="00C45D59" w:rsidRDefault="009B0962">
      <w:pPr>
        <w:pStyle w:val="P68B1DB1-LegalNumPar220"/>
        <w:numPr>
          <w:ilvl w:val="1"/>
          <w:numId w:val="24"/>
        </w:numPr>
        <w:jc w:val="both"/>
        <w:rPr>
          <w:noProof/>
        </w:rPr>
      </w:pPr>
      <w:r>
        <w:rPr>
          <w:noProof/>
        </w:rPr>
        <w:t>Decizia finală privind emisiunile de credite este luată de intermediarii financiari în conformitate cu politicile și procedurile lor, independent de guvern.</w:t>
      </w:r>
    </w:p>
    <w:p w14:paraId="437EDC43" w14:textId="77777777" w:rsidR="00C45D59" w:rsidRDefault="009B0962">
      <w:pPr>
        <w:pStyle w:val="P68B1DB1-LegalNumPar220"/>
        <w:numPr>
          <w:ilvl w:val="1"/>
          <w:numId w:val="24"/>
        </w:numPr>
        <w:jc w:val="both"/>
        <w:rPr>
          <w:noProof/>
        </w:rPr>
      </w:pPr>
      <w:r>
        <w:rPr>
          <w:noProof/>
        </w:rPr>
        <w:t xml:space="preserve">Obligația intermediarilor financiari de a lua decizii în conformitate, </w:t>
      </w:r>
      <w:r>
        <w:rPr>
          <w:i/>
          <w:noProof/>
        </w:rPr>
        <w:t>mutatis mutandis</w:t>
      </w:r>
      <w:r>
        <w:rPr>
          <w:noProof/>
        </w:rPr>
        <w:t>, cu cerințele politicii de investiții menționate mai sus. </w:t>
      </w:r>
    </w:p>
    <w:p w14:paraId="74D4C1F1" w14:textId="77777777" w:rsidR="00C45D59" w:rsidRDefault="009B0962">
      <w:pPr>
        <w:pStyle w:val="P68B1DB1-LegalNumPar220"/>
        <w:numPr>
          <w:ilvl w:val="1"/>
          <w:numId w:val="24"/>
        </w:numPr>
        <w:jc w:val="both"/>
        <w:rPr>
          <w:noProof/>
        </w:rPr>
      </w:pPr>
      <w:r>
        <w:rPr>
          <w:noProof/>
        </w:rPr>
        <w:t>Cerințe de monitorizare, audit și control pentru intermediarii financiari, inclusiv:</w:t>
      </w:r>
    </w:p>
    <w:p w14:paraId="21211EF5" w14:textId="77777777" w:rsidR="00C45D59" w:rsidRDefault="009B0962">
      <w:pPr>
        <w:pStyle w:val="P68B1DB1-LegalNumPar220"/>
        <w:numPr>
          <w:ilvl w:val="2"/>
          <w:numId w:val="26"/>
        </w:numPr>
        <w:jc w:val="both"/>
        <w:rPr>
          <w:noProof/>
        </w:rPr>
      </w:pPr>
      <w:r>
        <w:rPr>
          <w:noProof/>
        </w:rPr>
        <w:t>Descrierea sistemului de monitorizare al intermediarilor financiari pentru raportarea cu privire la investițiile mobilizate.</w:t>
      </w:r>
    </w:p>
    <w:p w14:paraId="0EAD5FC5" w14:textId="77777777" w:rsidR="00C45D59" w:rsidRDefault="009B0962">
      <w:pPr>
        <w:pStyle w:val="P68B1DB1-LegalNumPar220"/>
        <w:numPr>
          <w:ilvl w:val="2"/>
          <w:numId w:val="26"/>
        </w:numPr>
        <w:jc w:val="both"/>
        <w:rPr>
          <w:noProof/>
        </w:rPr>
      </w:pPr>
      <w:r>
        <w:rPr>
          <w:noProof/>
        </w:rPr>
        <w:t xml:space="preserve">Descrierea procedurilor intermediarilor financiari care asigură prevenirea, detectarea și corectarea fraudei, a corupției și a conflictelor de interese. </w:t>
      </w:r>
    </w:p>
    <w:p w14:paraId="2C3FB5F9" w14:textId="77777777" w:rsidR="00C45D59" w:rsidRDefault="009B0962">
      <w:pPr>
        <w:pStyle w:val="P68B1DB1-LegalNumPar220"/>
        <w:numPr>
          <w:ilvl w:val="2"/>
          <w:numId w:val="26"/>
        </w:numPr>
        <w:jc w:val="both"/>
        <w:rPr>
          <w:noProof/>
        </w:rPr>
      </w:pPr>
      <w:r>
        <w:rPr>
          <w:noProof/>
        </w:rPr>
        <w:t>Obligația de a verifica eligibilitatea fiecărei operațiuni în conformitate cu cerințele prevăzute în acordul de punere în aplicare înainte de a se angaja să finanțeze o operațiune.</w:t>
      </w:r>
    </w:p>
    <w:p w14:paraId="2334EE25" w14:textId="77777777" w:rsidR="00C45D59" w:rsidRDefault="009B0962">
      <w:pPr>
        <w:pStyle w:val="P68B1DB1-LegalNumPar220"/>
        <w:numPr>
          <w:ilvl w:val="2"/>
          <w:numId w:val="26"/>
        </w:numPr>
        <w:jc w:val="both"/>
        <w:rPr>
          <w:noProof/>
        </w:rPr>
      </w:pPr>
      <w:r>
        <w:rPr>
          <w:noProof/>
        </w:rPr>
        <w:t xml:space="preserve">Obligația de a efectua audituri ex post bazate pe riscuri, în conformitate cu un plan de audit al intermediarilor financiari. Aceste audituri verifică: că sistemele de control sunt eficace, inclusiv detectarea fraudei, a corupției și a conflictelor de interese; și ii) respectarea cerinței ca beneficiarii finali ai mecanismului să nu fi primit sprijin din partea altor instrumente ale Uniunii pentru a acoperi aceleași costuri. Auditurile verifică, de asemenea, legalitatea tranzacțiilor și respectarea condițiilor acordurilor aplicabile. </w:t>
      </w:r>
    </w:p>
    <w:p w14:paraId="40A0CF5E" w14:textId="77777777" w:rsidR="00C45D59" w:rsidRDefault="00C45D59">
      <w:pPr>
        <w:spacing w:before="120" w:after="120" w:line="240" w:lineRule="auto"/>
        <w:jc w:val="both"/>
        <w:rPr>
          <w:rFonts w:ascii="Times New Roman" w:hAnsi="Times New Roman"/>
          <w:b/>
          <w:noProof/>
          <w:sz w:val="24"/>
        </w:rPr>
        <w:sectPr w:rsidR="00C45D59">
          <w:headerReference w:type="even" r:id="rId240"/>
          <w:headerReference w:type="default" r:id="rId241"/>
          <w:footerReference w:type="even" r:id="rId242"/>
          <w:footerReference w:type="default" r:id="rId243"/>
          <w:headerReference w:type="first" r:id="rId244"/>
          <w:footerReference w:type="first" r:id="rId245"/>
          <w:pgSz w:w="11906" w:h="16838"/>
          <w:pgMar w:top="1134" w:right="1134" w:bottom="1134" w:left="1134" w:header="567" w:footer="567" w:gutter="0"/>
          <w:cols w:space="708"/>
          <w:docGrid w:linePitch="360"/>
        </w:sectPr>
      </w:pPr>
    </w:p>
    <w:p w14:paraId="74401F63" w14:textId="77777777" w:rsidR="00C45D59" w:rsidRDefault="009B0962">
      <w:pPr>
        <w:pStyle w:val="P68B1DB1-Normal9"/>
        <w:keepNext/>
        <w:keepLines/>
        <w:spacing w:before="40" w:after="240" w:line="240" w:lineRule="auto"/>
        <w:jc w:val="both"/>
        <w:outlineLvl w:val="4"/>
        <w:rPr>
          <w:rFonts w:eastAsia="Times New Roman"/>
          <w:noProof/>
        </w:rPr>
      </w:pPr>
      <w:r>
        <w:rPr>
          <w:noProof/>
        </w:rPr>
        <w:t>Programul pentru locuințe la prețuri accesibile „My Home II” (16400)</w:t>
      </w:r>
    </w:p>
    <w:tbl>
      <w:tblPr>
        <w:tblW w:w="158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1701"/>
        <w:gridCol w:w="1197"/>
        <w:gridCol w:w="1320"/>
        <w:gridCol w:w="1560"/>
        <w:gridCol w:w="1320"/>
        <w:gridCol w:w="1200"/>
        <w:gridCol w:w="960"/>
        <w:gridCol w:w="1080"/>
        <w:gridCol w:w="840"/>
        <w:gridCol w:w="4001"/>
      </w:tblGrid>
      <w:tr w:rsidR="00C45D59" w14:paraId="76BDA53C" w14:textId="77777777">
        <w:trPr>
          <w:trHeight w:val="810"/>
          <w:tblHeader/>
          <w:jc w:val="center"/>
        </w:trPr>
        <w:tc>
          <w:tcPr>
            <w:tcW w:w="704" w:type="dxa"/>
            <w:vMerge w:val="restart"/>
            <w:shd w:val="clear" w:color="auto" w:fill="BDD7EE"/>
            <w:vAlign w:val="center"/>
            <w:hideMark/>
          </w:tcPr>
          <w:p w14:paraId="5B011BCA" w14:textId="342AA0A2" w:rsidR="00C45D59" w:rsidRDefault="00097639">
            <w:pPr>
              <w:pStyle w:val="P68B1DB1-Normal15"/>
              <w:spacing w:after="0" w:line="240" w:lineRule="auto"/>
              <w:jc w:val="center"/>
              <w:rPr>
                <w:rFonts w:eastAsia="Times New Roman"/>
                <w:noProof/>
              </w:rPr>
            </w:pPr>
            <w:r>
              <w:rPr>
                <w:noProof/>
              </w:rPr>
              <w:t>Nr. crt.</w:t>
            </w:r>
          </w:p>
        </w:tc>
        <w:tc>
          <w:tcPr>
            <w:tcW w:w="1701" w:type="dxa"/>
            <w:vMerge w:val="restart"/>
            <w:shd w:val="clear" w:color="auto" w:fill="BDD7EE"/>
            <w:vAlign w:val="center"/>
            <w:hideMark/>
          </w:tcPr>
          <w:p w14:paraId="5493F3EA" w14:textId="77777777" w:rsidR="00C45D59" w:rsidRDefault="009B0962">
            <w:pPr>
              <w:pStyle w:val="P68B1DB1-Normal15"/>
              <w:spacing w:after="0" w:line="240" w:lineRule="auto"/>
              <w:jc w:val="center"/>
              <w:rPr>
                <w:rFonts w:eastAsia="Times New Roman"/>
                <w:noProof/>
              </w:rPr>
            </w:pPr>
            <w:r>
              <w:rPr>
                <w:noProof/>
              </w:rPr>
              <w:t>Măsură conexă (reformă sau investiții)</w:t>
            </w:r>
          </w:p>
        </w:tc>
        <w:tc>
          <w:tcPr>
            <w:tcW w:w="1197" w:type="dxa"/>
            <w:vMerge w:val="restart"/>
            <w:shd w:val="clear" w:color="auto" w:fill="BDD7EE"/>
            <w:vAlign w:val="center"/>
            <w:hideMark/>
          </w:tcPr>
          <w:p w14:paraId="4B01488D" w14:textId="77777777" w:rsidR="00C45D59" w:rsidRDefault="009B0962">
            <w:pPr>
              <w:pStyle w:val="P68B1DB1-Normal15"/>
              <w:spacing w:after="0" w:line="240" w:lineRule="auto"/>
              <w:jc w:val="center"/>
              <w:rPr>
                <w:rFonts w:eastAsia="Times New Roman"/>
                <w:noProof/>
              </w:rPr>
            </w:pPr>
            <w:r>
              <w:rPr>
                <w:noProof/>
              </w:rPr>
              <w:t>Etapă/Obiectiv</w:t>
            </w:r>
          </w:p>
        </w:tc>
        <w:tc>
          <w:tcPr>
            <w:tcW w:w="1320" w:type="dxa"/>
            <w:vMerge w:val="restart"/>
            <w:shd w:val="clear" w:color="auto" w:fill="BDD7EE"/>
            <w:vAlign w:val="center"/>
            <w:hideMark/>
          </w:tcPr>
          <w:p w14:paraId="0B491C52" w14:textId="32451B80" w:rsidR="00C45D59" w:rsidRDefault="00892E7E">
            <w:pPr>
              <w:pStyle w:val="P68B1DB1-Normal15"/>
              <w:spacing w:after="0" w:line="240" w:lineRule="auto"/>
              <w:jc w:val="center"/>
              <w:rPr>
                <w:rFonts w:eastAsia="Times New Roman"/>
                <w:noProof/>
              </w:rPr>
            </w:pPr>
            <w:r>
              <w:rPr>
                <w:noProof/>
              </w:rPr>
              <w:t>Denumire</w:t>
            </w:r>
          </w:p>
        </w:tc>
        <w:tc>
          <w:tcPr>
            <w:tcW w:w="1560" w:type="dxa"/>
            <w:vMerge w:val="restart"/>
            <w:shd w:val="clear" w:color="auto" w:fill="BDD7EE"/>
            <w:vAlign w:val="center"/>
            <w:hideMark/>
          </w:tcPr>
          <w:p w14:paraId="0ED03A21" w14:textId="77777777" w:rsidR="00C45D59" w:rsidRDefault="009B0962">
            <w:pPr>
              <w:pStyle w:val="P68B1DB1-Normal15"/>
              <w:spacing w:after="0" w:line="240" w:lineRule="auto"/>
              <w:jc w:val="center"/>
              <w:rPr>
                <w:rFonts w:eastAsia="Times New Roman"/>
                <w:noProof/>
              </w:rPr>
            </w:pPr>
            <w:r>
              <w:rPr>
                <w:noProof/>
              </w:rPr>
              <w:t>Indicatori calitativi (pentru obiectivele de etapă)</w:t>
            </w:r>
          </w:p>
        </w:tc>
        <w:tc>
          <w:tcPr>
            <w:tcW w:w="3480" w:type="dxa"/>
            <w:gridSpan w:val="3"/>
            <w:shd w:val="clear" w:color="auto" w:fill="BDD7EE"/>
            <w:vAlign w:val="center"/>
            <w:hideMark/>
          </w:tcPr>
          <w:p w14:paraId="6552AA46" w14:textId="77777777" w:rsidR="00C45D59" w:rsidRDefault="009B0962">
            <w:pPr>
              <w:pStyle w:val="P68B1DB1-Normal15"/>
              <w:spacing w:after="0" w:line="240" w:lineRule="auto"/>
              <w:jc w:val="center"/>
              <w:rPr>
                <w:rFonts w:eastAsia="Times New Roman"/>
                <w:noProof/>
              </w:rPr>
            </w:pPr>
            <w:r>
              <w:rPr>
                <w:noProof/>
              </w:rPr>
              <w:t>Indicatori cantitativi (pentru ținte)</w:t>
            </w:r>
          </w:p>
        </w:tc>
        <w:tc>
          <w:tcPr>
            <w:tcW w:w="1920" w:type="dxa"/>
            <w:gridSpan w:val="2"/>
            <w:shd w:val="clear" w:color="auto" w:fill="BDD7EE"/>
            <w:vAlign w:val="center"/>
            <w:hideMark/>
          </w:tcPr>
          <w:p w14:paraId="2F5B38AA" w14:textId="77777777" w:rsidR="00C45D59" w:rsidRDefault="009B0962">
            <w:pPr>
              <w:pStyle w:val="P68B1DB1-Normal15"/>
              <w:spacing w:after="0" w:line="240" w:lineRule="auto"/>
              <w:jc w:val="center"/>
              <w:rPr>
                <w:rFonts w:eastAsia="Times New Roman"/>
                <w:noProof/>
              </w:rPr>
            </w:pPr>
            <w:r>
              <w:rPr>
                <w:noProof/>
              </w:rPr>
              <w:t>Calendar orientativ pentru finalizare</w:t>
            </w:r>
          </w:p>
        </w:tc>
        <w:tc>
          <w:tcPr>
            <w:tcW w:w="4001" w:type="dxa"/>
            <w:vMerge w:val="restart"/>
            <w:shd w:val="clear" w:color="auto" w:fill="BDD7EE"/>
            <w:vAlign w:val="center"/>
            <w:hideMark/>
          </w:tcPr>
          <w:p w14:paraId="5999A78D" w14:textId="77777777" w:rsidR="00C45D59" w:rsidRDefault="009B0962">
            <w:pPr>
              <w:pStyle w:val="P68B1DB1-Normal15"/>
              <w:spacing w:after="0" w:line="240" w:lineRule="auto"/>
              <w:jc w:val="center"/>
              <w:rPr>
                <w:rFonts w:eastAsia="Times New Roman"/>
                <w:noProof/>
              </w:rPr>
            </w:pPr>
            <w:r>
              <w:rPr>
                <w:noProof/>
              </w:rPr>
              <w:t>Descrierea fiecărui jalon și a fiecărei ținte</w:t>
            </w:r>
          </w:p>
        </w:tc>
      </w:tr>
      <w:tr w:rsidR="00C45D59" w14:paraId="177C6918" w14:textId="77777777">
        <w:trPr>
          <w:trHeight w:val="581"/>
          <w:tblHeader/>
          <w:jc w:val="center"/>
        </w:trPr>
        <w:tc>
          <w:tcPr>
            <w:tcW w:w="704" w:type="dxa"/>
            <w:vMerge/>
            <w:vAlign w:val="center"/>
            <w:hideMark/>
          </w:tcPr>
          <w:p w14:paraId="6478E6E8" w14:textId="77777777" w:rsidR="00C45D59" w:rsidRDefault="00C45D59">
            <w:pPr>
              <w:spacing w:after="0" w:line="240" w:lineRule="auto"/>
              <w:rPr>
                <w:rFonts w:ascii="Times New Roman" w:eastAsia="Times New Roman" w:hAnsi="Times New Roman" w:cs="Times New Roman"/>
                <w:b/>
                <w:noProof/>
                <w:sz w:val="18"/>
                <w:szCs w:val="18"/>
              </w:rPr>
            </w:pPr>
          </w:p>
        </w:tc>
        <w:tc>
          <w:tcPr>
            <w:tcW w:w="1701" w:type="dxa"/>
            <w:vMerge/>
            <w:vAlign w:val="center"/>
            <w:hideMark/>
          </w:tcPr>
          <w:p w14:paraId="0D3F32B8" w14:textId="77777777" w:rsidR="00C45D59" w:rsidRDefault="00C45D59">
            <w:pPr>
              <w:spacing w:after="0" w:line="240" w:lineRule="auto"/>
              <w:rPr>
                <w:rFonts w:ascii="Times New Roman" w:eastAsia="Times New Roman" w:hAnsi="Times New Roman" w:cs="Times New Roman"/>
                <w:b/>
                <w:noProof/>
                <w:sz w:val="18"/>
                <w:szCs w:val="18"/>
              </w:rPr>
            </w:pPr>
          </w:p>
        </w:tc>
        <w:tc>
          <w:tcPr>
            <w:tcW w:w="1197" w:type="dxa"/>
            <w:vMerge/>
            <w:vAlign w:val="center"/>
            <w:hideMark/>
          </w:tcPr>
          <w:p w14:paraId="4C89678D" w14:textId="77777777" w:rsidR="00C45D59" w:rsidRDefault="00C45D59">
            <w:pPr>
              <w:spacing w:after="0" w:line="240" w:lineRule="auto"/>
              <w:rPr>
                <w:rFonts w:ascii="Times New Roman" w:eastAsia="Times New Roman" w:hAnsi="Times New Roman" w:cs="Times New Roman"/>
                <w:b/>
                <w:noProof/>
                <w:sz w:val="18"/>
                <w:szCs w:val="18"/>
              </w:rPr>
            </w:pPr>
          </w:p>
        </w:tc>
        <w:tc>
          <w:tcPr>
            <w:tcW w:w="1320" w:type="dxa"/>
            <w:vMerge/>
            <w:vAlign w:val="center"/>
            <w:hideMark/>
          </w:tcPr>
          <w:p w14:paraId="4E567A97" w14:textId="77777777" w:rsidR="00C45D59" w:rsidRDefault="00C45D59">
            <w:pPr>
              <w:spacing w:after="0" w:line="240" w:lineRule="auto"/>
              <w:rPr>
                <w:rFonts w:ascii="Times New Roman" w:eastAsia="Times New Roman" w:hAnsi="Times New Roman" w:cs="Times New Roman"/>
                <w:b/>
                <w:noProof/>
                <w:sz w:val="18"/>
                <w:szCs w:val="18"/>
              </w:rPr>
            </w:pPr>
          </w:p>
        </w:tc>
        <w:tc>
          <w:tcPr>
            <w:tcW w:w="1560" w:type="dxa"/>
            <w:vMerge/>
            <w:vAlign w:val="center"/>
            <w:hideMark/>
          </w:tcPr>
          <w:p w14:paraId="66A9E20C" w14:textId="77777777" w:rsidR="00C45D59" w:rsidRDefault="00C45D59">
            <w:pPr>
              <w:spacing w:after="0" w:line="240" w:lineRule="auto"/>
              <w:rPr>
                <w:rFonts w:ascii="Times New Roman" w:eastAsia="Times New Roman" w:hAnsi="Times New Roman" w:cs="Times New Roman"/>
                <w:b/>
                <w:noProof/>
                <w:sz w:val="18"/>
                <w:szCs w:val="18"/>
              </w:rPr>
            </w:pPr>
          </w:p>
        </w:tc>
        <w:tc>
          <w:tcPr>
            <w:tcW w:w="1320" w:type="dxa"/>
            <w:shd w:val="clear" w:color="auto" w:fill="BDD7EE"/>
            <w:vAlign w:val="center"/>
            <w:hideMark/>
          </w:tcPr>
          <w:p w14:paraId="1E51D57B" w14:textId="77777777" w:rsidR="00C45D59" w:rsidRDefault="009B0962">
            <w:pPr>
              <w:pStyle w:val="P68B1DB1-Normal10"/>
              <w:spacing w:after="0" w:line="240" w:lineRule="auto"/>
              <w:jc w:val="center"/>
              <w:rPr>
                <w:rFonts w:eastAsia="Times New Roman" w:cs="Times New Roman"/>
                <w:noProof/>
                <w:szCs w:val="18"/>
              </w:rPr>
            </w:pPr>
            <w:r>
              <w:rPr>
                <w:noProof/>
              </w:rPr>
              <w:t>Unitatea de măsură</w:t>
            </w:r>
          </w:p>
        </w:tc>
        <w:tc>
          <w:tcPr>
            <w:tcW w:w="1200" w:type="dxa"/>
            <w:shd w:val="clear" w:color="auto" w:fill="BDD7EE"/>
            <w:vAlign w:val="center"/>
            <w:hideMark/>
          </w:tcPr>
          <w:p w14:paraId="44779178" w14:textId="77777777" w:rsidR="00C45D59" w:rsidRDefault="009B0962">
            <w:pPr>
              <w:pStyle w:val="P68B1DB1-Normal10"/>
              <w:spacing w:after="0" w:line="240" w:lineRule="auto"/>
              <w:jc w:val="center"/>
              <w:rPr>
                <w:rFonts w:eastAsia="Times New Roman" w:cs="Times New Roman"/>
                <w:noProof/>
                <w:szCs w:val="18"/>
              </w:rPr>
            </w:pPr>
            <w:r>
              <w:rPr>
                <w:noProof/>
              </w:rPr>
              <w:t>Situația de referință</w:t>
            </w:r>
          </w:p>
        </w:tc>
        <w:tc>
          <w:tcPr>
            <w:tcW w:w="960" w:type="dxa"/>
            <w:shd w:val="clear" w:color="auto" w:fill="BDD7EE"/>
            <w:vAlign w:val="center"/>
            <w:hideMark/>
          </w:tcPr>
          <w:p w14:paraId="3A1494DE" w14:textId="77777777" w:rsidR="00C45D59" w:rsidRDefault="009B0962">
            <w:pPr>
              <w:pStyle w:val="P68B1DB1-Normal10"/>
              <w:spacing w:after="0" w:line="240" w:lineRule="auto"/>
              <w:jc w:val="center"/>
              <w:rPr>
                <w:rFonts w:eastAsia="Times New Roman" w:cs="Times New Roman"/>
                <w:noProof/>
                <w:szCs w:val="18"/>
              </w:rPr>
            </w:pPr>
            <w:r>
              <w:rPr>
                <w:noProof/>
              </w:rPr>
              <w:t>Obiectiv</w:t>
            </w:r>
          </w:p>
        </w:tc>
        <w:tc>
          <w:tcPr>
            <w:tcW w:w="1080" w:type="dxa"/>
            <w:shd w:val="clear" w:color="auto" w:fill="BDD7EE"/>
            <w:vAlign w:val="center"/>
            <w:hideMark/>
          </w:tcPr>
          <w:p w14:paraId="429FCE2F" w14:textId="77777777" w:rsidR="00C45D59" w:rsidRDefault="009B0962">
            <w:pPr>
              <w:pStyle w:val="P68B1DB1-Normal10"/>
              <w:spacing w:after="0" w:line="240" w:lineRule="auto"/>
              <w:jc w:val="center"/>
              <w:rPr>
                <w:rFonts w:eastAsia="Times New Roman" w:cs="Times New Roman"/>
                <w:noProof/>
                <w:szCs w:val="18"/>
              </w:rPr>
            </w:pPr>
            <w:r>
              <w:rPr>
                <w:noProof/>
              </w:rPr>
              <w:t>Trimestru</w:t>
            </w:r>
          </w:p>
        </w:tc>
        <w:tc>
          <w:tcPr>
            <w:tcW w:w="840" w:type="dxa"/>
            <w:shd w:val="clear" w:color="auto" w:fill="BDD7EE"/>
            <w:vAlign w:val="center"/>
            <w:hideMark/>
          </w:tcPr>
          <w:p w14:paraId="07B5AA22" w14:textId="77777777" w:rsidR="00C45D59" w:rsidRDefault="009B0962">
            <w:pPr>
              <w:pStyle w:val="P68B1DB1-Normal10"/>
              <w:spacing w:after="0" w:line="240" w:lineRule="auto"/>
              <w:jc w:val="center"/>
              <w:rPr>
                <w:rFonts w:eastAsia="Times New Roman" w:cs="Times New Roman"/>
                <w:noProof/>
                <w:szCs w:val="18"/>
              </w:rPr>
            </w:pPr>
            <w:r>
              <w:rPr>
                <w:noProof/>
              </w:rPr>
              <w:t>Anul</w:t>
            </w:r>
          </w:p>
        </w:tc>
        <w:tc>
          <w:tcPr>
            <w:tcW w:w="4001" w:type="dxa"/>
            <w:vMerge/>
            <w:vAlign w:val="center"/>
            <w:hideMark/>
          </w:tcPr>
          <w:p w14:paraId="5F4C91A6" w14:textId="77777777" w:rsidR="00C45D59" w:rsidRDefault="00C45D59">
            <w:pPr>
              <w:spacing w:after="0" w:line="240" w:lineRule="auto"/>
              <w:rPr>
                <w:rFonts w:ascii="Times New Roman" w:eastAsia="Times New Roman" w:hAnsi="Times New Roman" w:cs="Times New Roman"/>
                <w:b/>
                <w:noProof/>
                <w:sz w:val="18"/>
                <w:szCs w:val="18"/>
              </w:rPr>
            </w:pPr>
          </w:p>
        </w:tc>
      </w:tr>
      <w:tr w:rsidR="00C45D59" w14:paraId="6CE4E806" w14:textId="77777777">
        <w:trPr>
          <w:trHeight w:val="314"/>
          <w:jc w:val="center"/>
        </w:trPr>
        <w:tc>
          <w:tcPr>
            <w:tcW w:w="704" w:type="dxa"/>
            <w:shd w:val="clear" w:color="auto" w:fill="C6EFCE"/>
            <w:noWrap/>
          </w:tcPr>
          <w:p w14:paraId="1AD884C1" w14:textId="77777777" w:rsidR="00C45D59" w:rsidRDefault="009B0962">
            <w:pPr>
              <w:pStyle w:val="P68B1DB1-Normal12"/>
              <w:spacing w:after="0" w:line="240" w:lineRule="auto"/>
              <w:rPr>
                <w:noProof/>
              </w:rPr>
            </w:pPr>
            <w:r>
              <w:rPr>
                <w:noProof/>
              </w:rPr>
              <w:t>378</w:t>
            </w:r>
          </w:p>
        </w:tc>
        <w:tc>
          <w:tcPr>
            <w:tcW w:w="1701" w:type="dxa"/>
            <w:shd w:val="clear" w:color="auto" w:fill="C6EFCE"/>
            <w:noWrap/>
          </w:tcPr>
          <w:p w14:paraId="7F699B14" w14:textId="77777777" w:rsidR="00C45D59" w:rsidRDefault="009B0962">
            <w:pPr>
              <w:pStyle w:val="P68B1DB1-Normal12"/>
              <w:spacing w:after="0" w:line="240" w:lineRule="auto"/>
              <w:rPr>
                <w:rFonts w:eastAsia="Times New Roman"/>
                <w:noProof/>
              </w:rPr>
            </w:pPr>
            <w:r>
              <w:rPr>
                <w:noProof/>
              </w:rPr>
              <w:t>11-3.4. Creșterea accesului la politici sociale eficace și favorabile incluziunii – 16400_ Programul pentru locuințe la prețuri accesibile „My Home II”</w:t>
            </w:r>
          </w:p>
        </w:tc>
        <w:tc>
          <w:tcPr>
            <w:tcW w:w="1197" w:type="dxa"/>
            <w:shd w:val="clear" w:color="auto" w:fill="C6EFCE"/>
            <w:noWrap/>
          </w:tcPr>
          <w:p w14:paraId="116F4C99" w14:textId="77777777" w:rsidR="00C45D59" w:rsidRDefault="009B0962">
            <w:pPr>
              <w:pStyle w:val="P68B1DB1-Normal12"/>
              <w:spacing w:after="0" w:line="240" w:lineRule="auto"/>
              <w:rPr>
                <w:rFonts w:eastAsia="Times New Roman"/>
                <w:noProof/>
              </w:rPr>
            </w:pPr>
            <w:r>
              <w:rPr>
                <w:noProof/>
              </w:rPr>
              <w:t>Etapă</w:t>
            </w:r>
          </w:p>
        </w:tc>
        <w:tc>
          <w:tcPr>
            <w:tcW w:w="1320" w:type="dxa"/>
            <w:shd w:val="clear" w:color="auto" w:fill="C6EFCE"/>
            <w:noWrap/>
          </w:tcPr>
          <w:p w14:paraId="75DA46A5" w14:textId="77777777" w:rsidR="00C45D59" w:rsidRDefault="009B0962">
            <w:pPr>
              <w:pStyle w:val="P68B1DB1-Normal12"/>
              <w:spacing w:after="0" w:line="240" w:lineRule="auto"/>
              <w:rPr>
                <w:rFonts w:eastAsia="Times New Roman"/>
                <w:noProof/>
              </w:rPr>
            </w:pPr>
            <w:r>
              <w:rPr>
                <w:noProof/>
              </w:rPr>
              <w:t>Casa mea II – Acord de punere în aplicare între Banca Elenă de Dezvoltare și Ministerul Finanțelor</w:t>
            </w:r>
          </w:p>
        </w:tc>
        <w:tc>
          <w:tcPr>
            <w:tcW w:w="1560" w:type="dxa"/>
            <w:shd w:val="clear" w:color="auto" w:fill="C6EFCE"/>
            <w:noWrap/>
          </w:tcPr>
          <w:p w14:paraId="51D52991" w14:textId="77777777" w:rsidR="00C45D59" w:rsidRDefault="009B0962">
            <w:pPr>
              <w:pStyle w:val="P68B1DB1-Normal12"/>
              <w:spacing w:after="0" w:line="240" w:lineRule="auto"/>
              <w:rPr>
                <w:rFonts w:eastAsia="Times New Roman"/>
                <w:noProof/>
              </w:rPr>
            </w:pPr>
            <w:r>
              <w:rPr>
                <w:noProof/>
              </w:rPr>
              <w:t>Intrarea în vigoare a acordului de punere în aplicare</w:t>
            </w:r>
          </w:p>
        </w:tc>
        <w:tc>
          <w:tcPr>
            <w:tcW w:w="1320" w:type="dxa"/>
            <w:shd w:val="clear" w:color="auto" w:fill="C6EFCE"/>
            <w:noWrap/>
          </w:tcPr>
          <w:p w14:paraId="79A882CD"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200" w:type="dxa"/>
            <w:shd w:val="clear" w:color="auto" w:fill="C6EFCE"/>
            <w:noWrap/>
          </w:tcPr>
          <w:p w14:paraId="50AEFE96"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960" w:type="dxa"/>
            <w:shd w:val="clear" w:color="auto" w:fill="C6EFCE"/>
            <w:noWrap/>
          </w:tcPr>
          <w:p w14:paraId="6469B41B"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080" w:type="dxa"/>
            <w:shd w:val="clear" w:color="auto" w:fill="C6EFCE"/>
            <w:noWrap/>
          </w:tcPr>
          <w:p w14:paraId="462F5410" w14:textId="77777777" w:rsidR="00C45D59" w:rsidRDefault="009B0962">
            <w:pPr>
              <w:pStyle w:val="P68B1DB1-Normal12"/>
              <w:spacing w:after="0" w:line="240" w:lineRule="auto"/>
              <w:rPr>
                <w:rFonts w:eastAsia="Times New Roman"/>
                <w:noProof/>
              </w:rPr>
            </w:pPr>
            <w:r>
              <w:rPr>
                <w:noProof/>
              </w:rPr>
              <w:t>Î4</w:t>
            </w:r>
          </w:p>
        </w:tc>
        <w:tc>
          <w:tcPr>
            <w:tcW w:w="840" w:type="dxa"/>
            <w:shd w:val="clear" w:color="auto" w:fill="C6EFCE"/>
            <w:noWrap/>
          </w:tcPr>
          <w:p w14:paraId="20B8C501" w14:textId="77777777" w:rsidR="00C45D59" w:rsidRDefault="009B0962">
            <w:pPr>
              <w:pStyle w:val="P68B1DB1-Normal12"/>
              <w:spacing w:after="0" w:line="240" w:lineRule="auto"/>
              <w:rPr>
                <w:rFonts w:eastAsia="Times New Roman"/>
                <w:noProof/>
              </w:rPr>
            </w:pPr>
            <w:r>
              <w:rPr>
                <w:noProof/>
              </w:rPr>
              <w:t>2024</w:t>
            </w:r>
          </w:p>
        </w:tc>
        <w:tc>
          <w:tcPr>
            <w:tcW w:w="4001" w:type="dxa"/>
            <w:shd w:val="clear" w:color="auto" w:fill="C6EFCE"/>
            <w:noWrap/>
          </w:tcPr>
          <w:p w14:paraId="6B6A6D02" w14:textId="77777777" w:rsidR="00C45D59" w:rsidRDefault="009B0962">
            <w:pPr>
              <w:pStyle w:val="P68B1DB1-Normal12"/>
              <w:spacing w:after="0" w:line="240" w:lineRule="auto"/>
              <w:rPr>
                <w:rFonts w:eastAsia="Times New Roman"/>
                <w:noProof/>
              </w:rPr>
            </w:pPr>
            <w:r>
              <w:rPr>
                <w:noProof/>
              </w:rPr>
              <w:t>Intrarea în vigoare a acordului de punere în aplicare.</w:t>
            </w:r>
          </w:p>
        </w:tc>
      </w:tr>
      <w:tr w:rsidR="00C45D59" w14:paraId="48FC959A" w14:textId="77777777">
        <w:trPr>
          <w:trHeight w:val="314"/>
          <w:jc w:val="center"/>
        </w:trPr>
        <w:tc>
          <w:tcPr>
            <w:tcW w:w="704" w:type="dxa"/>
            <w:shd w:val="clear" w:color="auto" w:fill="C6EFCE"/>
            <w:noWrap/>
            <w:hideMark/>
          </w:tcPr>
          <w:p w14:paraId="24A62997" w14:textId="77777777" w:rsidR="00C45D59" w:rsidRDefault="009B0962">
            <w:pPr>
              <w:pStyle w:val="P68B1DB1-Normal12"/>
              <w:spacing w:after="0" w:line="240" w:lineRule="auto"/>
              <w:rPr>
                <w:noProof/>
              </w:rPr>
            </w:pPr>
            <w:r>
              <w:rPr>
                <w:noProof/>
              </w:rPr>
              <w:t>379</w:t>
            </w:r>
          </w:p>
        </w:tc>
        <w:tc>
          <w:tcPr>
            <w:tcW w:w="1701" w:type="dxa"/>
            <w:shd w:val="clear" w:color="auto" w:fill="C6EFCE"/>
            <w:noWrap/>
            <w:hideMark/>
          </w:tcPr>
          <w:p w14:paraId="15963FA1" w14:textId="77777777" w:rsidR="00C45D59" w:rsidRDefault="009B0962">
            <w:pPr>
              <w:pStyle w:val="P68B1DB1-Normal12"/>
              <w:spacing w:after="0" w:line="240" w:lineRule="auto"/>
              <w:rPr>
                <w:rFonts w:eastAsia="Times New Roman"/>
                <w:noProof/>
              </w:rPr>
            </w:pPr>
            <w:r>
              <w:rPr>
                <w:noProof/>
              </w:rPr>
              <w:t>11-3.4. Creșterea accesului la politici sociale eficace și favorabile incluziunii – 16400_ Programul pentru locuințe la prețuri accesibile „My Home II”</w:t>
            </w:r>
          </w:p>
        </w:tc>
        <w:tc>
          <w:tcPr>
            <w:tcW w:w="1197" w:type="dxa"/>
            <w:shd w:val="clear" w:color="auto" w:fill="C6EFCE"/>
            <w:noWrap/>
          </w:tcPr>
          <w:p w14:paraId="4013B8B0" w14:textId="77777777" w:rsidR="00C45D59" w:rsidRDefault="009B0962">
            <w:pPr>
              <w:pStyle w:val="P68B1DB1-Normal23"/>
              <w:spacing w:after="0" w:line="240" w:lineRule="auto"/>
              <w:rPr>
                <w:noProof/>
              </w:rPr>
            </w:pPr>
            <w:r>
              <w:rPr>
                <w:noProof/>
              </w:rPr>
              <w:t>Țintă</w:t>
            </w:r>
          </w:p>
        </w:tc>
        <w:tc>
          <w:tcPr>
            <w:tcW w:w="1320" w:type="dxa"/>
            <w:shd w:val="clear" w:color="auto" w:fill="C6EFCE"/>
            <w:noWrap/>
          </w:tcPr>
          <w:p w14:paraId="4FA1106D" w14:textId="77777777" w:rsidR="00C45D59" w:rsidRDefault="009B0962">
            <w:pPr>
              <w:pStyle w:val="P68B1DB1-Normal12"/>
              <w:spacing w:after="0" w:line="240" w:lineRule="auto"/>
              <w:rPr>
                <w:rFonts w:eastAsia="Times New Roman"/>
                <w:noProof/>
              </w:rPr>
            </w:pPr>
            <w:r>
              <w:rPr>
                <w:noProof/>
              </w:rPr>
              <w:t>Casa mea II – Acorduri juridice semnate cu beneficiarii finali – 50 %</w:t>
            </w:r>
          </w:p>
        </w:tc>
        <w:tc>
          <w:tcPr>
            <w:tcW w:w="1560" w:type="dxa"/>
            <w:shd w:val="clear" w:color="auto" w:fill="C6EFCE"/>
            <w:noWrap/>
          </w:tcPr>
          <w:p w14:paraId="7100134A"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320" w:type="dxa"/>
            <w:shd w:val="clear" w:color="auto" w:fill="C6EFCE"/>
            <w:noWrap/>
          </w:tcPr>
          <w:p w14:paraId="2AF0FB17" w14:textId="77777777" w:rsidR="00C45D59" w:rsidRDefault="009B0962">
            <w:pPr>
              <w:pStyle w:val="P68B1DB1-Normal12"/>
              <w:spacing w:after="0" w:line="240" w:lineRule="auto"/>
              <w:rPr>
                <w:rFonts w:eastAsia="Times New Roman"/>
                <w:noProof/>
              </w:rPr>
            </w:pPr>
            <w:r>
              <w:rPr>
                <w:noProof/>
              </w:rPr>
              <w:t>Procentul (%)</w:t>
            </w:r>
          </w:p>
        </w:tc>
        <w:tc>
          <w:tcPr>
            <w:tcW w:w="1200" w:type="dxa"/>
            <w:shd w:val="clear" w:color="auto" w:fill="C6EFCE"/>
            <w:noWrap/>
          </w:tcPr>
          <w:p w14:paraId="79DD68E9" w14:textId="77777777" w:rsidR="00C45D59" w:rsidRDefault="009B0962">
            <w:pPr>
              <w:pStyle w:val="P68B1DB1-Normal12"/>
              <w:spacing w:after="0" w:line="240" w:lineRule="auto"/>
              <w:rPr>
                <w:rFonts w:eastAsia="Times New Roman"/>
                <w:noProof/>
              </w:rPr>
            </w:pPr>
            <w:r>
              <w:rPr>
                <w:noProof/>
              </w:rPr>
              <w:t>0 %</w:t>
            </w:r>
          </w:p>
        </w:tc>
        <w:tc>
          <w:tcPr>
            <w:tcW w:w="960" w:type="dxa"/>
            <w:shd w:val="clear" w:color="auto" w:fill="C6EFCE"/>
            <w:noWrap/>
          </w:tcPr>
          <w:p w14:paraId="3E0E9E64" w14:textId="77777777" w:rsidR="00C45D59" w:rsidRDefault="009B0962">
            <w:pPr>
              <w:pStyle w:val="P68B1DB1-Normal12"/>
              <w:spacing w:after="0" w:line="240" w:lineRule="auto"/>
              <w:rPr>
                <w:rFonts w:eastAsia="Times New Roman"/>
                <w:noProof/>
              </w:rPr>
            </w:pPr>
            <w:r>
              <w:rPr>
                <w:noProof/>
              </w:rPr>
              <w:t>50 %</w:t>
            </w:r>
          </w:p>
        </w:tc>
        <w:tc>
          <w:tcPr>
            <w:tcW w:w="1080" w:type="dxa"/>
            <w:shd w:val="clear" w:color="auto" w:fill="C6EFCE"/>
            <w:noWrap/>
          </w:tcPr>
          <w:p w14:paraId="51DF43F5" w14:textId="77777777" w:rsidR="00C45D59" w:rsidRDefault="009B0962">
            <w:pPr>
              <w:pStyle w:val="P68B1DB1-Normal12"/>
              <w:spacing w:after="0" w:line="240" w:lineRule="auto"/>
              <w:rPr>
                <w:rFonts w:eastAsia="Times New Roman"/>
                <w:noProof/>
              </w:rPr>
            </w:pPr>
            <w:r>
              <w:rPr>
                <w:noProof/>
              </w:rPr>
              <w:t>Î4</w:t>
            </w:r>
          </w:p>
        </w:tc>
        <w:tc>
          <w:tcPr>
            <w:tcW w:w="840" w:type="dxa"/>
            <w:shd w:val="clear" w:color="auto" w:fill="C6EFCE"/>
            <w:noWrap/>
          </w:tcPr>
          <w:p w14:paraId="7D3F01D7" w14:textId="77777777" w:rsidR="00C45D59" w:rsidRDefault="009B0962">
            <w:pPr>
              <w:pStyle w:val="P68B1DB1-Normal12"/>
              <w:spacing w:after="0" w:line="240" w:lineRule="auto"/>
              <w:rPr>
                <w:rFonts w:eastAsia="Times New Roman"/>
                <w:noProof/>
              </w:rPr>
            </w:pPr>
            <w:r>
              <w:rPr>
                <w:noProof/>
              </w:rPr>
              <w:t>2025</w:t>
            </w:r>
          </w:p>
        </w:tc>
        <w:tc>
          <w:tcPr>
            <w:tcW w:w="4001" w:type="dxa"/>
            <w:shd w:val="clear" w:color="auto" w:fill="C6EFCE"/>
            <w:noWrap/>
          </w:tcPr>
          <w:p w14:paraId="75368E43" w14:textId="77777777" w:rsidR="00C45D59" w:rsidRDefault="009B0962">
            <w:pPr>
              <w:pStyle w:val="P68B1DB1-Normal12"/>
              <w:spacing w:after="0" w:line="240" w:lineRule="auto"/>
              <w:rPr>
                <w:rFonts w:eastAsia="Times New Roman"/>
                <w:noProof/>
              </w:rPr>
            </w:pPr>
            <w:r>
              <w:rPr>
                <w:noProof/>
              </w:rPr>
              <w:t>Intermediarii financiari trebuie să fi încheiat acorduri juridice de finanțare cu beneficiarii finali pentru o sumă necesară pentru a utiliza cel puțin 50 % din investițiile MRR în mecanismul „My Home II” (luând în considerare comisioanele de gestionare).</w:t>
            </w:r>
          </w:p>
        </w:tc>
      </w:tr>
      <w:tr w:rsidR="00C45D59" w14:paraId="7BE01A7F" w14:textId="77777777">
        <w:trPr>
          <w:trHeight w:val="314"/>
          <w:jc w:val="center"/>
        </w:trPr>
        <w:tc>
          <w:tcPr>
            <w:tcW w:w="704" w:type="dxa"/>
            <w:shd w:val="clear" w:color="auto" w:fill="C6EFCE"/>
            <w:noWrap/>
          </w:tcPr>
          <w:p w14:paraId="1D041920" w14:textId="77777777" w:rsidR="00C45D59" w:rsidRDefault="009B0962">
            <w:pPr>
              <w:pStyle w:val="P68B1DB1-Normal12"/>
              <w:spacing w:after="0" w:line="240" w:lineRule="auto"/>
              <w:rPr>
                <w:noProof/>
              </w:rPr>
            </w:pPr>
            <w:r>
              <w:rPr>
                <w:noProof/>
              </w:rPr>
              <w:t>380</w:t>
            </w:r>
          </w:p>
        </w:tc>
        <w:tc>
          <w:tcPr>
            <w:tcW w:w="1701" w:type="dxa"/>
            <w:shd w:val="clear" w:color="auto" w:fill="C6EFCE"/>
            <w:noWrap/>
          </w:tcPr>
          <w:p w14:paraId="4144B4D8" w14:textId="77777777" w:rsidR="00C45D59" w:rsidRDefault="009B0962">
            <w:pPr>
              <w:pStyle w:val="P68B1DB1-Normal12"/>
              <w:spacing w:after="0" w:line="240" w:lineRule="auto"/>
              <w:rPr>
                <w:noProof/>
              </w:rPr>
            </w:pPr>
            <w:r>
              <w:rPr>
                <w:noProof/>
              </w:rPr>
              <w:t>11-3.4. Creșterea accesului la politici sociale eficace și favorabile incluziunii – 16400_ Programul pentru locuințe la prețuri accesibile „My Home II”</w:t>
            </w:r>
          </w:p>
        </w:tc>
        <w:tc>
          <w:tcPr>
            <w:tcW w:w="1197" w:type="dxa"/>
            <w:shd w:val="clear" w:color="auto" w:fill="C6EFCE"/>
            <w:noWrap/>
          </w:tcPr>
          <w:p w14:paraId="03DAA29B" w14:textId="77777777" w:rsidR="00C45D59" w:rsidRDefault="009B0962">
            <w:pPr>
              <w:pStyle w:val="P68B1DB1-Normal23"/>
              <w:spacing w:after="0" w:line="240" w:lineRule="auto"/>
              <w:rPr>
                <w:noProof/>
              </w:rPr>
            </w:pPr>
            <w:r>
              <w:rPr>
                <w:noProof/>
              </w:rPr>
              <w:t>Țintă</w:t>
            </w:r>
          </w:p>
        </w:tc>
        <w:tc>
          <w:tcPr>
            <w:tcW w:w="1320" w:type="dxa"/>
            <w:shd w:val="clear" w:color="auto" w:fill="C6EFCE"/>
            <w:noWrap/>
          </w:tcPr>
          <w:p w14:paraId="759CC981" w14:textId="6EE4398C" w:rsidR="00C45D59" w:rsidRDefault="009B0962">
            <w:pPr>
              <w:pStyle w:val="P68B1DB1-Normal12"/>
              <w:spacing w:after="0" w:line="240" w:lineRule="auto"/>
              <w:rPr>
                <w:rFonts w:eastAsia="Times New Roman"/>
                <w:noProof/>
              </w:rPr>
            </w:pPr>
            <w:r>
              <w:rPr>
                <w:noProof/>
              </w:rPr>
              <w:t>Casa mea II – Acorduri juridice semnate cu beneficiarii finali – 100 %</w:t>
            </w:r>
          </w:p>
        </w:tc>
        <w:tc>
          <w:tcPr>
            <w:tcW w:w="1560" w:type="dxa"/>
            <w:shd w:val="clear" w:color="auto" w:fill="C6EFCE"/>
            <w:noWrap/>
          </w:tcPr>
          <w:p w14:paraId="1AEB58B8"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320" w:type="dxa"/>
            <w:shd w:val="clear" w:color="auto" w:fill="C6EFCE"/>
            <w:noWrap/>
          </w:tcPr>
          <w:p w14:paraId="51B75240" w14:textId="514555CA" w:rsidR="00C45D59" w:rsidRDefault="009B0962">
            <w:pPr>
              <w:pStyle w:val="P68B1DB1-Normal12"/>
              <w:spacing w:after="0" w:line="240" w:lineRule="auto"/>
              <w:rPr>
                <w:rFonts w:eastAsia="Times New Roman"/>
                <w:noProof/>
              </w:rPr>
            </w:pPr>
            <w:r>
              <w:rPr>
                <w:noProof/>
              </w:rPr>
              <w:t>Procentul (%)</w:t>
            </w:r>
          </w:p>
        </w:tc>
        <w:tc>
          <w:tcPr>
            <w:tcW w:w="1200" w:type="dxa"/>
            <w:shd w:val="clear" w:color="auto" w:fill="C6EFCE"/>
            <w:noWrap/>
          </w:tcPr>
          <w:p w14:paraId="00DB3F10" w14:textId="264BA82A" w:rsidR="00C45D59" w:rsidRDefault="009B0962">
            <w:pPr>
              <w:pStyle w:val="P68B1DB1-Normal12"/>
              <w:spacing w:after="0" w:line="240" w:lineRule="auto"/>
              <w:rPr>
                <w:rFonts w:eastAsia="Times New Roman"/>
                <w:noProof/>
              </w:rPr>
            </w:pPr>
            <w:r>
              <w:rPr>
                <w:noProof/>
              </w:rPr>
              <w:t>50 %</w:t>
            </w:r>
          </w:p>
        </w:tc>
        <w:tc>
          <w:tcPr>
            <w:tcW w:w="960" w:type="dxa"/>
            <w:shd w:val="clear" w:color="auto" w:fill="C6EFCE"/>
            <w:noWrap/>
          </w:tcPr>
          <w:p w14:paraId="760F0C2C" w14:textId="19B5C9F6" w:rsidR="00C45D59" w:rsidRDefault="009B0962">
            <w:pPr>
              <w:pStyle w:val="P68B1DB1-Normal12"/>
              <w:spacing w:after="0" w:line="240" w:lineRule="auto"/>
              <w:rPr>
                <w:rFonts w:eastAsia="Times New Roman"/>
                <w:noProof/>
              </w:rPr>
            </w:pPr>
            <w:r>
              <w:rPr>
                <w:noProof/>
              </w:rPr>
              <w:t>100 %</w:t>
            </w:r>
          </w:p>
        </w:tc>
        <w:tc>
          <w:tcPr>
            <w:tcW w:w="1080" w:type="dxa"/>
            <w:shd w:val="clear" w:color="auto" w:fill="C6EFCE"/>
            <w:noWrap/>
          </w:tcPr>
          <w:p w14:paraId="3A52D924" w14:textId="77777777" w:rsidR="00C45D59" w:rsidRDefault="009B0962">
            <w:pPr>
              <w:pStyle w:val="P68B1DB1-Normal12"/>
              <w:spacing w:after="0" w:line="240" w:lineRule="auto"/>
              <w:rPr>
                <w:rFonts w:eastAsia="Times New Roman"/>
                <w:noProof/>
              </w:rPr>
            </w:pPr>
            <w:r>
              <w:rPr>
                <w:noProof/>
              </w:rPr>
              <w:t>Î2</w:t>
            </w:r>
          </w:p>
        </w:tc>
        <w:tc>
          <w:tcPr>
            <w:tcW w:w="840" w:type="dxa"/>
            <w:shd w:val="clear" w:color="auto" w:fill="C6EFCE"/>
            <w:noWrap/>
          </w:tcPr>
          <w:p w14:paraId="17610156" w14:textId="77777777" w:rsidR="00C45D59" w:rsidRDefault="009B0962">
            <w:pPr>
              <w:pStyle w:val="P68B1DB1-Normal12"/>
              <w:spacing w:after="0" w:line="240" w:lineRule="auto"/>
              <w:rPr>
                <w:rFonts w:eastAsia="Times New Roman"/>
                <w:noProof/>
              </w:rPr>
            </w:pPr>
            <w:r>
              <w:rPr>
                <w:noProof/>
              </w:rPr>
              <w:t>2026</w:t>
            </w:r>
          </w:p>
        </w:tc>
        <w:tc>
          <w:tcPr>
            <w:tcW w:w="4001" w:type="dxa"/>
            <w:shd w:val="clear" w:color="auto" w:fill="C6EFCE"/>
            <w:noWrap/>
          </w:tcPr>
          <w:p w14:paraId="7F7D101D" w14:textId="0142C24E" w:rsidR="00C45D59" w:rsidRDefault="009B0962">
            <w:pPr>
              <w:pStyle w:val="P68B1DB1-Normal12"/>
              <w:spacing w:after="0" w:line="240" w:lineRule="auto"/>
              <w:rPr>
                <w:rFonts w:eastAsia="Times New Roman"/>
                <w:noProof/>
              </w:rPr>
            </w:pPr>
            <w:r>
              <w:rPr>
                <w:noProof/>
              </w:rPr>
              <w:t>Intermediarii financiari trebuie să fi încheiat acorduri juridice de finanțare cu beneficiarii finali pentru o sumă necesară pentru a utiliza 100 % din investițiile MRR în mecanismul „My Home II” (luând în considerare comisioanele de administrare).</w:t>
            </w:r>
          </w:p>
        </w:tc>
      </w:tr>
      <w:tr w:rsidR="00C45D59" w14:paraId="5E2F5ADA" w14:textId="77777777">
        <w:trPr>
          <w:trHeight w:val="314"/>
          <w:jc w:val="center"/>
        </w:trPr>
        <w:tc>
          <w:tcPr>
            <w:tcW w:w="704" w:type="dxa"/>
            <w:shd w:val="clear" w:color="auto" w:fill="C6EFCE"/>
            <w:noWrap/>
          </w:tcPr>
          <w:p w14:paraId="5F6584FA" w14:textId="77777777" w:rsidR="00C45D59" w:rsidRDefault="009B0962">
            <w:pPr>
              <w:pStyle w:val="P68B1DB1-Normal12"/>
              <w:spacing w:after="0" w:line="240" w:lineRule="auto"/>
              <w:rPr>
                <w:rFonts w:eastAsia="Times New Roman"/>
                <w:noProof/>
              </w:rPr>
            </w:pPr>
            <w:r>
              <w:rPr>
                <w:noProof/>
              </w:rPr>
              <w:t>381</w:t>
            </w:r>
          </w:p>
        </w:tc>
        <w:tc>
          <w:tcPr>
            <w:tcW w:w="1701" w:type="dxa"/>
            <w:shd w:val="clear" w:color="auto" w:fill="C6EFCE"/>
            <w:noWrap/>
          </w:tcPr>
          <w:p w14:paraId="54AB5AFD" w14:textId="16C10F3E" w:rsidR="00C45D59" w:rsidRDefault="009B0962">
            <w:pPr>
              <w:pStyle w:val="P68B1DB1-Normal12"/>
              <w:spacing w:after="0" w:line="240" w:lineRule="auto"/>
              <w:rPr>
                <w:noProof/>
              </w:rPr>
            </w:pPr>
            <w:r>
              <w:rPr>
                <w:noProof/>
              </w:rPr>
              <w:t>11-3.4. Creșterea accesului la politici sociale eficace și favorabile incluziunii – 16 400_ Programul pentru locuințe la prețuri accesibile „My Home II”</w:t>
            </w:r>
          </w:p>
        </w:tc>
        <w:tc>
          <w:tcPr>
            <w:tcW w:w="1197" w:type="dxa"/>
            <w:shd w:val="clear" w:color="auto" w:fill="C6EFCE"/>
            <w:noWrap/>
          </w:tcPr>
          <w:p w14:paraId="4CCE7287" w14:textId="77777777" w:rsidR="00C45D59" w:rsidRDefault="009B0962">
            <w:pPr>
              <w:pStyle w:val="P68B1DB1-Normal12"/>
              <w:spacing w:after="0" w:line="240" w:lineRule="auto"/>
              <w:rPr>
                <w:rFonts w:eastAsia="Times New Roman"/>
                <w:noProof/>
              </w:rPr>
            </w:pPr>
            <w:r>
              <w:rPr>
                <w:noProof/>
              </w:rPr>
              <w:t>Etapă</w:t>
            </w:r>
          </w:p>
        </w:tc>
        <w:tc>
          <w:tcPr>
            <w:tcW w:w="1320" w:type="dxa"/>
            <w:shd w:val="clear" w:color="auto" w:fill="C6EFCE"/>
            <w:noWrap/>
          </w:tcPr>
          <w:p w14:paraId="270C7DFC" w14:textId="77777777" w:rsidR="00C45D59" w:rsidRDefault="009B0962">
            <w:pPr>
              <w:pStyle w:val="P68B1DB1-Normal12"/>
              <w:spacing w:after="0" w:line="240" w:lineRule="auto"/>
              <w:rPr>
                <w:rFonts w:eastAsia="Times New Roman"/>
                <w:noProof/>
              </w:rPr>
            </w:pPr>
            <w:r>
              <w:rPr>
                <w:noProof/>
              </w:rPr>
              <w:t>Ministerul meu de Interne II – Ministerul Finanțelor a finalizat investiția</w:t>
            </w:r>
          </w:p>
        </w:tc>
        <w:tc>
          <w:tcPr>
            <w:tcW w:w="1560" w:type="dxa"/>
            <w:shd w:val="clear" w:color="auto" w:fill="C6EFCE"/>
            <w:noWrap/>
          </w:tcPr>
          <w:p w14:paraId="2549F754" w14:textId="77777777" w:rsidR="00C45D59" w:rsidRDefault="009B0962">
            <w:pPr>
              <w:pStyle w:val="P68B1DB1-Normal12"/>
              <w:spacing w:after="0" w:line="240" w:lineRule="auto"/>
              <w:rPr>
                <w:rFonts w:eastAsia="Times New Roman"/>
                <w:noProof/>
              </w:rPr>
            </w:pPr>
            <w:r>
              <w:rPr>
                <w:noProof/>
              </w:rPr>
              <w:t xml:space="preserve">Certificatul de transfer </w:t>
            </w:r>
          </w:p>
        </w:tc>
        <w:tc>
          <w:tcPr>
            <w:tcW w:w="1320" w:type="dxa"/>
            <w:shd w:val="clear" w:color="auto" w:fill="C6EFCE"/>
            <w:noWrap/>
          </w:tcPr>
          <w:p w14:paraId="21A20FA2"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200" w:type="dxa"/>
            <w:shd w:val="clear" w:color="auto" w:fill="C6EFCE"/>
            <w:noWrap/>
          </w:tcPr>
          <w:p w14:paraId="613E8394"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960" w:type="dxa"/>
            <w:shd w:val="clear" w:color="auto" w:fill="C6EFCE"/>
            <w:noWrap/>
          </w:tcPr>
          <w:p w14:paraId="364ABAC7"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080" w:type="dxa"/>
            <w:shd w:val="clear" w:color="auto" w:fill="C6EFCE"/>
            <w:noWrap/>
          </w:tcPr>
          <w:p w14:paraId="6BEC415A" w14:textId="77777777" w:rsidR="00C45D59" w:rsidRDefault="009B0962">
            <w:pPr>
              <w:pStyle w:val="P68B1DB1-Normal12"/>
              <w:spacing w:after="0" w:line="240" w:lineRule="auto"/>
              <w:rPr>
                <w:rFonts w:eastAsia="Times New Roman"/>
                <w:noProof/>
              </w:rPr>
            </w:pPr>
            <w:r>
              <w:rPr>
                <w:noProof/>
              </w:rPr>
              <w:t>Î2</w:t>
            </w:r>
          </w:p>
        </w:tc>
        <w:tc>
          <w:tcPr>
            <w:tcW w:w="840" w:type="dxa"/>
            <w:shd w:val="clear" w:color="auto" w:fill="C6EFCE"/>
            <w:noWrap/>
          </w:tcPr>
          <w:p w14:paraId="61940A76" w14:textId="77777777" w:rsidR="00C45D59" w:rsidRDefault="009B0962">
            <w:pPr>
              <w:pStyle w:val="P68B1DB1-Normal12"/>
              <w:spacing w:after="0" w:line="240" w:lineRule="auto"/>
              <w:rPr>
                <w:rFonts w:eastAsia="Times New Roman"/>
                <w:noProof/>
              </w:rPr>
            </w:pPr>
            <w:r>
              <w:rPr>
                <w:noProof/>
              </w:rPr>
              <w:t>2026</w:t>
            </w:r>
          </w:p>
        </w:tc>
        <w:tc>
          <w:tcPr>
            <w:tcW w:w="4001" w:type="dxa"/>
            <w:shd w:val="clear" w:color="auto" w:fill="C6EFCE"/>
            <w:noWrap/>
          </w:tcPr>
          <w:p w14:paraId="076238F2" w14:textId="4520DD63" w:rsidR="00C45D59" w:rsidRDefault="009B0962">
            <w:pPr>
              <w:pStyle w:val="P68B1DB1-Normal12"/>
              <w:spacing w:after="0" w:line="240" w:lineRule="auto"/>
              <w:rPr>
                <w:rFonts w:eastAsia="Times New Roman"/>
                <w:noProof/>
              </w:rPr>
            </w:pPr>
            <w:r>
              <w:rPr>
                <w:noProof/>
              </w:rPr>
              <w:t>Grecia transferă 760 000 000 EUR către Banca Elenă de Dezvoltare pentru instrument.</w:t>
            </w:r>
          </w:p>
        </w:tc>
      </w:tr>
    </w:tbl>
    <w:p w14:paraId="59BD4D36" w14:textId="77777777" w:rsidR="00C45D59" w:rsidRDefault="00C45D59">
      <w:pPr>
        <w:spacing w:before="120" w:after="120" w:line="240" w:lineRule="auto"/>
        <w:jc w:val="both"/>
        <w:rPr>
          <w:rFonts w:ascii="Times New Roman" w:hAnsi="Times New Roman" w:cs="Times New Roman"/>
          <w:noProof/>
          <w:sz w:val="24"/>
        </w:rPr>
        <w:sectPr w:rsidR="00C45D59">
          <w:headerReference w:type="even" r:id="rId246"/>
          <w:headerReference w:type="default" r:id="rId247"/>
          <w:footerReference w:type="even" r:id="rId248"/>
          <w:footerReference w:type="default" r:id="rId249"/>
          <w:headerReference w:type="first" r:id="rId250"/>
          <w:footerReference w:type="first" r:id="rId251"/>
          <w:pgSz w:w="16839" w:h="11907" w:orient="landscape"/>
          <w:pgMar w:top="1134" w:right="1134" w:bottom="1134" w:left="1134" w:header="567" w:footer="567" w:gutter="0"/>
          <w:cols w:space="720"/>
          <w:docGrid w:linePitch="360"/>
        </w:sectPr>
      </w:pPr>
    </w:p>
    <w:p w14:paraId="4E47FFA9" w14:textId="77777777" w:rsidR="00C45D59" w:rsidRDefault="009B0962">
      <w:pPr>
        <w:pStyle w:val="P68B1DB1-Normal17"/>
        <w:spacing w:before="120" w:after="120" w:line="240" w:lineRule="auto"/>
        <w:ind w:firstLine="6"/>
        <w:jc w:val="both"/>
        <w:outlineLvl w:val="3"/>
        <w:rPr>
          <w:rFonts w:cs="Times New Roman"/>
          <w:noProof/>
          <w:szCs w:val="24"/>
        </w:rPr>
      </w:pPr>
      <w:r>
        <w:rPr>
          <w:noProof/>
        </w:rPr>
        <w:t>L. COMPONENTA 4.1: IMPOZITE MAI FAVORABILE CREȘTERII ECONOMICE ȘI O MAI BUNĂ ADMINISTRARE FISCALĂ ȘI COLECTARE A IMPOZITELOR</w:t>
      </w:r>
    </w:p>
    <w:p w14:paraId="3B27D794" w14:textId="77777777" w:rsidR="00C45D59" w:rsidRDefault="009B0962">
      <w:pPr>
        <w:pStyle w:val="P68B1DB1-Normal5"/>
        <w:spacing w:before="120" w:after="120" w:line="240" w:lineRule="auto"/>
        <w:jc w:val="both"/>
        <w:rPr>
          <w:rFonts w:cs="Times New Roman"/>
          <w:noProof/>
        </w:rPr>
      </w:pPr>
      <w:r>
        <w:rPr>
          <w:noProof/>
        </w:rPr>
        <w:t>Această componentă a planului de redresare și reziliență al Greciei cuprinde reforme și investiții specifice menite să îmbunătățească în continuare funcționarea administrației veniturilor publice și să combată evaziunea fiscală. În primul rând, această componentă include reforme ale politicii fiscale, pentru a facilita codificarea legislației fiscale, precum și pentru a introduce stimulente pentru consolidarea tranzacțiilor electronice, pentru promovarea investițiilor private verzi și digitale și pentru creșterea dimensiunii întreprinderilor. În al doilea rând, componenta conține reforme și investiții care vizează transformarea administrației veniturilor publice, prin digitalizarea proceselor și introducerea unor inițiative legislative de combatere a contrabandei și de promovare a accelerării rambursărilor de TVA.</w:t>
      </w:r>
    </w:p>
    <w:p w14:paraId="028612CD" w14:textId="77777777" w:rsidR="00C45D59" w:rsidRDefault="009B0962">
      <w:pPr>
        <w:pStyle w:val="P68B1DB1-Normal7"/>
        <w:spacing w:before="120" w:after="120" w:line="240" w:lineRule="auto"/>
        <w:jc w:val="both"/>
        <w:rPr>
          <w:rFonts w:cs="Times New Roman"/>
          <w:noProof/>
        </w:rPr>
      </w:pPr>
      <w:r>
        <w:rPr>
          <w:noProof/>
        </w:rPr>
        <w:t>Componenta contribuie la tranziția digitală, prin înlocuirea și modernizarea sistemelor digitale de bază ale Autorității Independente pentru Venituri Publice (AIVP), prin introducerea unor procese automatizate de birou și de lucru, prin digitalizarea auditurilor și a controalelor, precum și prin actualizarea și îmbunătățirea serviciilor electronice furnizate contribuabililor.</w:t>
      </w:r>
    </w:p>
    <w:p w14:paraId="6C8BE144" w14:textId="77777777" w:rsidR="00C45D59" w:rsidRDefault="009B0962">
      <w:pPr>
        <w:pStyle w:val="P68B1DB1-Normal5"/>
        <w:spacing w:before="120" w:after="120" w:line="240" w:lineRule="auto"/>
        <w:jc w:val="both"/>
        <w:rPr>
          <w:rFonts w:cs="Times New Roman"/>
          <w:noProof/>
          <w:szCs w:val="24"/>
        </w:rPr>
      </w:pPr>
      <w:r>
        <w:rPr>
          <w:noProof/>
        </w:rPr>
        <w:t>Această componentă sprijină abordarea recomandărilor specifice fiecărei țări privind investițiile publice și private (Recomandarea specifică fiecărei țări 3 2020), reformele structurale pentru îmbunătățirea funcționării economiei (Recomandarea specifică fiecărei țări 4 2020) și politica fiscală și administrația fiscală (Recomandarea specifică fiecărei țări 1 2022 și Recomandarea specifică fiecărei țări 1 2023). Se preconizează că nicio măsură din cadrul acestei componente nu prejudiciază în mod semnificativ obiectivele de mediu în sensul articolului 17 din Regulamentul (UE) 2020/852, ținând seama de descrierea măsurilor și a etapelor de atenuare prevăzute în planul de redresare și reziliență în conformitate cu Orientările tehnice privind aplicarea principiului de „a nu prejudicia în mod semnificativ” (2021/C58/01).</w:t>
      </w:r>
    </w:p>
    <w:p w14:paraId="4D4DE0A5" w14:textId="77777777" w:rsidR="00C45D59" w:rsidRDefault="009B0962">
      <w:pPr>
        <w:pStyle w:val="P68B1DB1-Normal6"/>
        <w:spacing w:before="120" w:after="120" w:line="240" w:lineRule="auto"/>
        <w:jc w:val="both"/>
        <w:rPr>
          <w:rFonts w:cs="Times New Roman"/>
          <w:bCs/>
          <w:i/>
          <w:iCs/>
          <w:noProof/>
          <w:color w:val="4F81BD"/>
        </w:rPr>
      </w:pPr>
      <w:r>
        <w:rPr>
          <w:noProof/>
        </w:rPr>
        <w:t>L.1. Descrierea reformelor și a investițiilor pentru sprijinul financiar nerambursabil</w:t>
      </w:r>
    </w:p>
    <w:p w14:paraId="3FAFFCEC" w14:textId="77777777" w:rsidR="00C45D59" w:rsidRDefault="009B0962">
      <w:pPr>
        <w:pStyle w:val="P68B1DB1-Normal7"/>
        <w:spacing w:before="120" w:after="120" w:line="240" w:lineRule="auto"/>
        <w:jc w:val="both"/>
        <w:rPr>
          <w:rFonts w:cs="Times New Roman"/>
          <w:noProof/>
        </w:rPr>
      </w:pPr>
      <w:r>
        <w:rPr>
          <w:b/>
          <w:noProof/>
        </w:rPr>
        <w:t>Investiții:</w:t>
      </w:r>
      <w:r>
        <w:rPr>
          <w:noProof/>
        </w:rPr>
        <w:t xml:space="preserve"> Transformarea digitală a auditurilor fiscale (măsura ID 16611)</w:t>
      </w:r>
    </w:p>
    <w:p w14:paraId="5D86C18D" w14:textId="77777777" w:rsidR="00C45D59" w:rsidRDefault="009B0962">
      <w:pPr>
        <w:pStyle w:val="P68B1DB1-Normal8"/>
        <w:spacing w:before="120" w:after="120" w:line="240" w:lineRule="auto"/>
        <w:jc w:val="both"/>
        <w:rPr>
          <w:rFonts w:ascii="Times New Roman" w:hAnsi="Times New Roman"/>
          <w:noProof/>
        </w:rPr>
      </w:pPr>
      <w:r>
        <w:rPr>
          <w:rFonts w:ascii="Times New Roman" w:hAnsi="Times New Roman"/>
          <w:noProof/>
        </w:rPr>
        <w:t>Obiectivul investiției este (i) de a facilita completarea automată a declarațiilor fiscale, (ii) de a spori eficacitatea auditurilor fiscale și a colectării veniturilor publice și (iii) de a spori eficacitatea auditurilor fiscale și de a combate contrabanda.</w:t>
      </w:r>
      <w:r>
        <w:rPr>
          <w:rFonts w:asciiTheme="minorHAnsi" w:eastAsiaTheme="minorEastAsia" w:hAnsiTheme="minorHAnsi" w:cstheme="minorBidi"/>
          <w:noProof/>
        </w:rPr>
        <w:t xml:space="preserve"> Măsura </w:t>
      </w:r>
      <w:r>
        <w:rPr>
          <w:rFonts w:ascii="Times New Roman" w:hAnsi="Times New Roman"/>
          <w:noProof/>
        </w:rPr>
        <w:t>constă în furnizarea sistemului de informații comerciale/de analiză a datelor și în punerea în funcțiune a sistemului „ELEGXOSlive”.</w:t>
      </w:r>
    </w:p>
    <w:p w14:paraId="15BC1392" w14:textId="77777777" w:rsidR="00C45D59" w:rsidRDefault="009B0962">
      <w:pPr>
        <w:pStyle w:val="P68B1DB1-Normal5"/>
        <w:spacing w:before="120" w:after="120" w:line="240" w:lineRule="auto"/>
        <w:jc w:val="both"/>
        <w:rPr>
          <w:rFonts w:cs="Times New Roman"/>
          <w:noProof/>
        </w:rPr>
      </w:pPr>
      <w:r>
        <w:rPr>
          <w:b/>
          <w:noProof/>
        </w:rPr>
        <w:t>Reformă:</w:t>
      </w:r>
      <w:r>
        <w:rPr>
          <w:noProof/>
        </w:rPr>
        <w:t xml:space="preserve"> Codificarea și simplificarea legislației fiscale (măsura ID 16643)</w:t>
      </w:r>
    </w:p>
    <w:p w14:paraId="6B47773E" w14:textId="77777777" w:rsidR="00C45D59" w:rsidRDefault="009B0962">
      <w:pPr>
        <w:pStyle w:val="P68B1DB1-Normal7"/>
        <w:spacing w:before="120" w:after="120" w:line="240" w:lineRule="auto"/>
        <w:jc w:val="both"/>
        <w:rPr>
          <w:noProof/>
        </w:rPr>
      </w:pPr>
      <w:r>
        <w:rPr>
          <w:noProof/>
        </w:rPr>
        <w:t xml:space="preserve">Obiectivul măsurii este de a spori transparența legislației fiscale și vamale și de a asigura securitatea juridică pentru administrația fiscală, contribuabili și întreprinderi. </w:t>
      </w:r>
    </w:p>
    <w:p w14:paraId="2FB66FFF" w14:textId="77777777" w:rsidR="00C45D59" w:rsidRDefault="009B0962">
      <w:pPr>
        <w:pStyle w:val="P68B1DB1-Normal7"/>
        <w:spacing w:before="120" w:after="120" w:line="240" w:lineRule="auto"/>
        <w:jc w:val="both"/>
        <w:rPr>
          <w:noProof/>
        </w:rPr>
      </w:pPr>
      <w:r>
        <w:rPr>
          <w:noProof/>
        </w:rPr>
        <w:t>Măsura constă în codificarea legislației fiscale și vamale primare și secundare și publicarea acesteia pe un site web dedicat contribuabililor.</w:t>
      </w:r>
    </w:p>
    <w:p w14:paraId="04F367D3" w14:textId="77777777" w:rsidR="00C45D59" w:rsidRDefault="009B0962">
      <w:pPr>
        <w:pStyle w:val="P68B1DB1-Normal7"/>
        <w:spacing w:before="120" w:after="120" w:line="240" w:lineRule="auto"/>
        <w:jc w:val="both"/>
        <w:rPr>
          <w:rFonts w:cs="Times New Roman"/>
          <w:noProof/>
        </w:rPr>
      </w:pPr>
      <w:r>
        <w:rPr>
          <w:b/>
          <w:noProof/>
        </w:rPr>
        <w:t>Reformă:</w:t>
      </w:r>
      <w:r>
        <w:rPr>
          <w:noProof/>
        </w:rPr>
        <w:t xml:space="preserve"> Promovarea accelerării rambursărilor de TVA (măsura ID 16610)</w:t>
      </w:r>
    </w:p>
    <w:p w14:paraId="08E2C97F" w14:textId="77777777" w:rsidR="00C45D59" w:rsidRDefault="009B0962">
      <w:pPr>
        <w:pStyle w:val="P68B1DB1-Normal7"/>
        <w:spacing w:before="120" w:after="120" w:line="240" w:lineRule="auto"/>
        <w:jc w:val="both"/>
        <w:rPr>
          <w:rFonts w:ascii="card" w:hAnsi="card" w:cs="Times New Roman"/>
          <w:noProof/>
        </w:rPr>
      </w:pPr>
      <w:r>
        <w:rPr>
          <w:noProof/>
        </w:rPr>
        <w:t>AIVP simplifică procesele administrative de rambursare a TVA pentru întreprinderi, prin punerea în aplicare a unor proceduri automatizate de rambursare a TVA, prin depunerea electronică și prin facilitarea unui proces de analiză a riscurilor pentru cererile de rambursare. Noul proces urmărește să limiteze intervenția umană prin tranzacții digitale și să abordeze întârzierile în ceea ce privește rambursările de TVA. Reforma trebuie să fie în conformitate cu Directiva privind rambursarea TVA (Directiva 2008/9/CE a Consiliului). Punerea în aplicare a reformei se finalizează până la 31 decembrie 2023.</w:t>
      </w:r>
    </w:p>
    <w:p w14:paraId="7F58B751" w14:textId="77777777" w:rsidR="00C45D59" w:rsidRDefault="009B0962">
      <w:pPr>
        <w:pStyle w:val="P68B1DB1-Normal7"/>
        <w:spacing w:before="120" w:after="120" w:line="240" w:lineRule="auto"/>
        <w:jc w:val="both"/>
        <w:rPr>
          <w:rFonts w:cs="Times New Roman"/>
          <w:noProof/>
        </w:rPr>
      </w:pPr>
      <w:r>
        <w:rPr>
          <w:b/>
          <w:noProof/>
        </w:rPr>
        <w:t>Reformă:</w:t>
      </w:r>
      <w:r>
        <w:rPr>
          <w:noProof/>
        </w:rPr>
        <w:t xml:space="preserve"> Adoptarea de măsuri și stimulente pentru creșterea numărului de tranzacții electronice (măsura ID 16616)</w:t>
      </w:r>
    </w:p>
    <w:p w14:paraId="097DA8BF" w14:textId="77777777" w:rsidR="00C45D59" w:rsidRDefault="009B0962">
      <w:pPr>
        <w:pStyle w:val="P68B1DB1-Normal5"/>
        <w:spacing w:before="120" w:after="120" w:line="240" w:lineRule="auto"/>
        <w:jc w:val="both"/>
        <w:rPr>
          <w:rFonts w:cs="Times New Roman"/>
          <w:noProof/>
        </w:rPr>
      </w:pPr>
      <w:r>
        <w:rPr>
          <w:noProof/>
        </w:rPr>
        <w:t>Reforma urmărește să reducă sarcina administrativă pentru întreprinderi și să îmbunătățească respectarea obligațiilor fiscale prin promovarea tranzacțiilor electronice. IAPR utilizează sistemul myDATA pentru evidența contabilă electronică, facturarea electronică și conectarea tuturor caselor de marcat fiscale la sistemele sale informatice pentru a facilita completarea automată a declarațiilor fiscale și pentru a spori eficacitatea auditurilor fiscale. Punerea în aplicare a stimulentelor fiscale ale reformei se finalizează până la 31 decembrie 2023.</w:t>
      </w:r>
    </w:p>
    <w:p w14:paraId="34BF66DA" w14:textId="77777777" w:rsidR="00C45D59" w:rsidRDefault="009B0962">
      <w:pPr>
        <w:pStyle w:val="P68B1DB1-Normal7"/>
        <w:spacing w:before="120" w:after="120" w:line="240" w:lineRule="auto"/>
        <w:jc w:val="both"/>
        <w:rPr>
          <w:rFonts w:cs="Times New Roman"/>
          <w:noProof/>
        </w:rPr>
      </w:pPr>
      <w:r>
        <w:rPr>
          <w:b/>
          <w:noProof/>
        </w:rPr>
        <w:t>Reformă:</w:t>
      </w:r>
      <w:r>
        <w:rPr>
          <w:noProof/>
        </w:rPr>
        <w:t xml:space="preserve"> Super-deducerea cheltuielilor IMM-urilor legate de economia verde, energie și tranziția digitală (măsura ID 16863)</w:t>
      </w:r>
    </w:p>
    <w:p w14:paraId="2DD98D44" w14:textId="77777777" w:rsidR="00C45D59" w:rsidRDefault="009B0962">
      <w:pPr>
        <w:pStyle w:val="P68B1DB1-Normal5"/>
        <w:spacing w:before="120" w:after="120" w:line="240" w:lineRule="auto"/>
        <w:jc w:val="both"/>
        <w:rPr>
          <w:rFonts w:cs="Times New Roman"/>
          <w:noProof/>
        </w:rPr>
      </w:pPr>
      <w:r>
        <w:rPr>
          <w:noProof/>
        </w:rPr>
        <w:t>Reforma constă în stimulente fiscale pentru super-deducerea cheltuielilor în vederea consolidării investițiilor întreprinderilor mici și mijlocii în echipamente legate de adaptarea la schimbările climatice, de promovarea economiei circulare și de digitalizare. Aceasta trebuie să fie în deplină conformitate cu normele UE privind ajutoarele de stat. Punerea în aplicare a stimulentelor fiscale ale reformei se finalizează până la 31 decembrie 2024.</w:t>
      </w:r>
    </w:p>
    <w:p w14:paraId="0E0D3BE7" w14:textId="77777777" w:rsidR="00C45D59" w:rsidRDefault="009B0962">
      <w:pPr>
        <w:pStyle w:val="P68B1DB1-Normal7"/>
        <w:spacing w:before="120" w:after="120" w:line="240" w:lineRule="auto"/>
        <w:jc w:val="both"/>
        <w:rPr>
          <w:rFonts w:cs="Times New Roman"/>
          <w:noProof/>
        </w:rPr>
      </w:pPr>
      <w:r>
        <w:rPr>
          <w:b/>
          <w:noProof/>
        </w:rPr>
        <w:t>Reformă:</w:t>
      </w:r>
      <w:r>
        <w:rPr>
          <w:noProof/>
        </w:rPr>
        <w:t xml:space="preserve"> Noul cadru pentru combaterea contrabandei, în special pentru produsele supuse accizelor (tutun, alcool și energie) (măsura ID 16656)</w:t>
      </w:r>
    </w:p>
    <w:p w14:paraId="2CBFCA5C" w14:textId="77777777" w:rsidR="00C45D59" w:rsidRDefault="009B0962">
      <w:pPr>
        <w:pStyle w:val="P68B1DB1-Normal5"/>
        <w:spacing w:before="120" w:after="120" w:line="240" w:lineRule="auto"/>
        <w:jc w:val="both"/>
        <w:rPr>
          <w:rFonts w:cs="Times New Roman"/>
          <w:noProof/>
        </w:rPr>
      </w:pPr>
      <w:r>
        <w:rPr>
          <w:noProof/>
        </w:rPr>
        <w:t>Reforma urmărește să sprijine lupta împotriva contrabandei, în special pentru produsele supuse accizelor (tutun, alcool, energie), prin modernizarea sistemelor de urmărire, a proceselor de audit și a echipamentelor autorităților vamale, pentru a spori eficacitatea auditurilor mărfurilor. Acest lucru necesită, de asemenea, modernizarea sistemelor informatice ale AIVP necesare pentru a obține informații din bazele de date europene și naționale. Punerea în aplicare a reformei se finalizează până la 31 decembrie 2025.</w:t>
      </w:r>
    </w:p>
    <w:p w14:paraId="54C30329" w14:textId="77777777" w:rsidR="00C45D59" w:rsidRDefault="009B0962">
      <w:pPr>
        <w:pStyle w:val="P68B1DB1-Normal7"/>
        <w:spacing w:before="120" w:after="120" w:line="240" w:lineRule="auto"/>
        <w:jc w:val="both"/>
        <w:rPr>
          <w:rFonts w:cs="Times New Roman"/>
          <w:noProof/>
        </w:rPr>
      </w:pPr>
      <w:r>
        <w:rPr>
          <w:b/>
          <w:noProof/>
        </w:rPr>
        <w:t xml:space="preserve">Reformă: </w:t>
      </w:r>
      <w:r>
        <w:rPr>
          <w:noProof/>
        </w:rPr>
        <w:t>Case de marcat online &amp; POS (măsura ID 16614)</w:t>
      </w:r>
    </w:p>
    <w:p w14:paraId="585D30A2" w14:textId="77777777" w:rsidR="00C45D59" w:rsidRDefault="009B0962">
      <w:pPr>
        <w:pStyle w:val="P68B1DB1-Normal7"/>
        <w:spacing w:before="120" w:after="120" w:line="240" w:lineRule="auto"/>
        <w:jc w:val="both"/>
        <w:rPr>
          <w:rFonts w:cs="Times New Roman"/>
          <w:noProof/>
        </w:rPr>
      </w:pPr>
      <w:r>
        <w:rPr>
          <w:noProof/>
        </w:rPr>
        <w:t>IAPR elaborează un cadru pentru a facilita conectarea caselor de marcat la terminalele POS (Point-of-Sale) și la sistemele sale informatice. Proiectul include: (I) stabilirea specificațiilor pentru interconectarea caselor de marcat cu terminalele POS pentru a certifica faptul că fiecare tranzacție POS se înregistrează în casa de marcat, iar datele produse se transmit în timp aproape real către IAPR; și (ii) dezvoltarea infrastructurii și a aplicațiilor pentru monitorizarea tranzacțiilor din casele de marcat și sprijinirea mecanismului de control. După finalizarea sa, măsura urmărește să limiteze potențialul de evaziune fiscală și, în cele din urmă, să reducă deficitul de încasare a TVA. Punerea în aplicare a reformei se finalizează până la 30 iunie 2024.</w:t>
      </w:r>
    </w:p>
    <w:p w14:paraId="0A1F908B" w14:textId="77777777" w:rsidR="00C45D59" w:rsidRDefault="009B0962">
      <w:pPr>
        <w:pStyle w:val="P68B1DB1-Normal7"/>
        <w:spacing w:before="120" w:after="120" w:line="240" w:lineRule="auto"/>
        <w:jc w:val="both"/>
        <w:rPr>
          <w:rFonts w:cs="Times New Roman"/>
          <w:noProof/>
        </w:rPr>
      </w:pPr>
      <w:r>
        <w:rPr>
          <w:b/>
          <w:noProof/>
        </w:rPr>
        <w:t>Investiții:</w:t>
      </w:r>
      <w:r>
        <w:rPr>
          <w:noProof/>
        </w:rPr>
        <w:t xml:space="preserve"> Transformarea digitală a administrației fiscale și vamale (măsura ID 16291)</w:t>
      </w:r>
    </w:p>
    <w:p w14:paraId="77F8E83A" w14:textId="77777777" w:rsidR="00C45D59" w:rsidRDefault="009B0962">
      <w:pPr>
        <w:pStyle w:val="P68B1DB1-Normal7"/>
        <w:spacing w:before="120" w:after="120" w:line="240" w:lineRule="auto"/>
        <w:jc w:val="both"/>
        <w:rPr>
          <w:rFonts w:cs="Times New Roman"/>
          <w:noProof/>
        </w:rPr>
      </w:pPr>
      <w:r>
        <w:rPr>
          <w:noProof/>
        </w:rPr>
        <w:t>Investiția urmărește să realizeze transformarea digitală a administrării veniturilor și a serviciilor, cu obiectivul de a consolida capacitatea AIVP de a-și îndeplini obligațiile în calitate de autoritate pe deplin independentă (în conformitate cu Legea de abilitare 4389/2016) și de a-și îmbunătăți performanța generală prin îmbunătățirea calității serviciilor furnizate persoanelor fizice și întreprinderilor. Această investiție consolidează subproiectele de infrastructură digitală care urmează să fie puse în aplicare de AIVP, clasificate în patru domenii de intervenție:</w:t>
      </w:r>
    </w:p>
    <w:p w14:paraId="22F20111" w14:textId="77777777" w:rsidR="00C45D59" w:rsidRDefault="009B0962">
      <w:pPr>
        <w:pStyle w:val="P68B1DB1-ListParagraph47"/>
        <w:numPr>
          <w:ilvl w:val="0"/>
          <w:numId w:val="55"/>
        </w:numPr>
        <w:spacing w:before="120" w:after="120" w:line="240" w:lineRule="auto"/>
        <w:ind w:left="426" w:hanging="426"/>
        <w:jc w:val="both"/>
        <w:rPr>
          <w:rFonts w:cs="Times New Roman"/>
          <w:noProof/>
        </w:rPr>
      </w:pPr>
      <w:r>
        <w:rPr>
          <w:noProof/>
        </w:rPr>
        <w:t>Înlocuirea sistemelor digitale de bază și extinderea funcționalității furnizării de servicii, inclusiv punerea în aplicare a mecanismelor de interoperabilitate a sistemelor de informații ale AIVP cu sistemele de informații privind datele bancare;</w:t>
      </w:r>
    </w:p>
    <w:p w14:paraId="391FB6BA" w14:textId="77777777" w:rsidR="00C45D59" w:rsidRDefault="009B0962">
      <w:pPr>
        <w:pStyle w:val="P68B1DB1-ListParagraph47"/>
        <w:numPr>
          <w:ilvl w:val="0"/>
          <w:numId w:val="55"/>
        </w:numPr>
        <w:spacing w:before="120" w:after="120" w:line="240" w:lineRule="auto"/>
        <w:ind w:left="426" w:hanging="426"/>
        <w:jc w:val="both"/>
        <w:rPr>
          <w:rFonts w:cs="Times New Roman"/>
          <w:noProof/>
        </w:rPr>
      </w:pPr>
      <w:r>
        <w:rPr>
          <w:noProof/>
        </w:rPr>
        <w:t>Automatizarea proceselor de birou și de lucru;</w:t>
      </w:r>
    </w:p>
    <w:p w14:paraId="10B1D756" w14:textId="77777777" w:rsidR="00C45D59" w:rsidRDefault="009B0962">
      <w:pPr>
        <w:pStyle w:val="P68B1DB1-ListParagraph47"/>
        <w:numPr>
          <w:ilvl w:val="0"/>
          <w:numId w:val="55"/>
        </w:numPr>
        <w:spacing w:before="120" w:after="120" w:line="240" w:lineRule="auto"/>
        <w:ind w:left="426" w:hanging="426"/>
        <w:jc w:val="both"/>
        <w:rPr>
          <w:rFonts w:cs="Times New Roman"/>
          <w:noProof/>
        </w:rPr>
      </w:pPr>
      <w:r>
        <w:rPr>
          <w:noProof/>
        </w:rPr>
        <w:t>Digitalizarea auditurilor și a controalelor; și</w:t>
      </w:r>
    </w:p>
    <w:p w14:paraId="119EC8F3" w14:textId="77777777" w:rsidR="00C45D59" w:rsidRDefault="009B0962">
      <w:pPr>
        <w:pStyle w:val="P68B1DB1-ListParagraph47"/>
        <w:numPr>
          <w:ilvl w:val="0"/>
          <w:numId w:val="55"/>
        </w:numPr>
        <w:spacing w:before="120" w:after="120" w:line="240" w:lineRule="auto"/>
        <w:ind w:left="426" w:hanging="426"/>
        <w:jc w:val="both"/>
        <w:rPr>
          <w:rFonts w:cs="Times New Roman"/>
          <w:noProof/>
        </w:rPr>
      </w:pPr>
      <w:r>
        <w:rPr>
          <w:noProof/>
        </w:rPr>
        <w:t>Modernizarea serviciilor pentru contribuabili.</w:t>
      </w:r>
    </w:p>
    <w:p w14:paraId="138FC96D" w14:textId="77777777" w:rsidR="00C45D59" w:rsidRDefault="009B0962">
      <w:pPr>
        <w:pStyle w:val="P68B1DB1-Normal7"/>
        <w:spacing w:before="120" w:after="120" w:line="240" w:lineRule="auto"/>
        <w:jc w:val="both"/>
        <w:rPr>
          <w:rFonts w:cs="Times New Roman"/>
          <w:noProof/>
        </w:rPr>
      </w:pPr>
      <w:r>
        <w:rPr>
          <w:b/>
          <w:noProof/>
        </w:rPr>
        <w:t>Reformă:</w:t>
      </w:r>
      <w:r>
        <w:rPr>
          <w:noProof/>
        </w:rPr>
        <w:t xml:space="preserve"> Modificări ale cadrului de politică fiscală al Greciei (numărul de identificare al măsurii: 16985)</w:t>
      </w:r>
    </w:p>
    <w:p w14:paraId="0E2F2874" w14:textId="77777777" w:rsidR="00C45D59" w:rsidRDefault="009B0962">
      <w:pPr>
        <w:pStyle w:val="P68B1DB1-Normal5"/>
        <w:spacing w:before="120" w:after="120" w:line="240" w:lineRule="auto"/>
        <w:jc w:val="both"/>
        <w:rPr>
          <w:rFonts w:cs="Times New Roman"/>
          <w:noProof/>
          <w:szCs w:val="24"/>
        </w:rPr>
      </w:pPr>
      <w:r>
        <w:rPr>
          <w:noProof/>
        </w:rPr>
        <w:t>Reforma urmărește să combată evaziunea fiscală și să îmbunătățească stimulentele, prin promovarea plăților electronice și îmbunătățirea structurii impozitelor pentru persoanele care desfășoară o activitate independentă, precum și să consolideze autonomia operațională a administrației fiscale. În special, această reformă: (I) reformarea impozitării persoanelor care desfășoară o activitate independentă și a taxei de timbru; (II) să combată evaziunea fiscală prin extinderea acceptării obligatorii a plăților electronice; (III) să stabilească noi cerințe de raportare cu privire la datele transmise administrației fiscale și să permită utilizarea acestor date în scopuri de TVA și de impozit pe venit; și (iv) consolidarea autonomiei operaționale, a rezilienței și a nivelului serviciilor pentru clienți ale Autorității Independente pentru Venituri Publice (AIVP).</w:t>
      </w:r>
    </w:p>
    <w:p w14:paraId="422F930D" w14:textId="77777777" w:rsidR="00C45D59" w:rsidRDefault="009B0962">
      <w:pPr>
        <w:pStyle w:val="P68B1DB1-Normal7"/>
        <w:spacing w:before="120" w:after="120" w:line="240" w:lineRule="auto"/>
        <w:jc w:val="both"/>
        <w:rPr>
          <w:rFonts w:cs="Times New Roman"/>
          <w:noProof/>
        </w:rPr>
      </w:pPr>
      <w:r>
        <w:rPr>
          <w:noProof/>
        </w:rPr>
        <w:t>Punerea în aplicare a reformei se finalizează până la 31 decembrie 2024.</w:t>
      </w:r>
    </w:p>
    <w:p w14:paraId="36293A4E" w14:textId="77777777" w:rsidR="00C45D59" w:rsidRDefault="00C45D59">
      <w:pPr>
        <w:spacing w:before="120" w:after="120" w:line="240" w:lineRule="auto"/>
        <w:ind w:left="709"/>
        <w:jc w:val="both"/>
        <w:rPr>
          <w:rFonts w:ascii="Times New Roman" w:hAnsi="Times New Roman" w:cs="Times New Roman"/>
          <w:noProof/>
          <w:sz w:val="24"/>
        </w:rPr>
      </w:pPr>
    </w:p>
    <w:p w14:paraId="66AEA158" w14:textId="77777777" w:rsidR="00C45D59" w:rsidRDefault="00C45D59">
      <w:pPr>
        <w:spacing w:before="120" w:after="120" w:line="240" w:lineRule="auto"/>
        <w:ind w:left="709"/>
        <w:jc w:val="both"/>
        <w:rPr>
          <w:rFonts w:ascii="Times New Roman" w:hAnsi="Times New Roman" w:cs="Times New Roman"/>
          <w:noProof/>
          <w:sz w:val="24"/>
        </w:rPr>
        <w:sectPr w:rsidR="00C45D59">
          <w:headerReference w:type="even" r:id="rId252"/>
          <w:headerReference w:type="default" r:id="rId253"/>
          <w:footerReference w:type="even" r:id="rId254"/>
          <w:footerReference w:type="default" r:id="rId255"/>
          <w:headerReference w:type="first" r:id="rId256"/>
          <w:footerReference w:type="first" r:id="rId257"/>
          <w:pgSz w:w="11906" w:h="16838"/>
          <w:pgMar w:top="1134" w:right="1134" w:bottom="1134" w:left="1134" w:header="567" w:footer="567" w:gutter="0"/>
          <w:cols w:space="708"/>
          <w:docGrid w:linePitch="360"/>
        </w:sectPr>
      </w:pPr>
    </w:p>
    <w:p w14:paraId="54709318" w14:textId="77777777" w:rsidR="00C45D59" w:rsidRDefault="009B0962">
      <w:pPr>
        <w:pStyle w:val="P68B1DB1-Normal6"/>
        <w:spacing w:before="120" w:after="120" w:line="240" w:lineRule="auto"/>
        <w:jc w:val="both"/>
        <w:rPr>
          <w:rFonts w:cs="Times New Roman"/>
          <w:bCs/>
          <w:noProof/>
        </w:rPr>
      </w:pPr>
      <w:r>
        <w:rPr>
          <w:noProof/>
        </w:rPr>
        <w:t>L.2. Jaloane, ținte, indicatori și calendarul de monitorizare și implementare aplicabile sprijinului financiar nerambursabil</w:t>
      </w:r>
    </w:p>
    <w:p w14:paraId="7DC7EFA8" w14:textId="77777777" w:rsidR="00C45D59" w:rsidRDefault="009B0962">
      <w:pPr>
        <w:pStyle w:val="P68B1DB1-Normal9"/>
        <w:keepNext/>
        <w:keepLines/>
        <w:spacing w:before="40" w:after="0" w:line="240" w:lineRule="auto"/>
        <w:jc w:val="both"/>
        <w:outlineLvl w:val="4"/>
        <w:rPr>
          <w:noProof/>
        </w:rPr>
      </w:pPr>
      <w:r>
        <w:rPr>
          <w:noProof/>
        </w:rPr>
        <w:t>Reforma cheie 8: Case de marcat online &amp; POS</w:t>
      </w:r>
    </w:p>
    <w:tbl>
      <w:tblPr>
        <w:tblW w:w="163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7"/>
        <w:gridCol w:w="1876"/>
        <w:gridCol w:w="1376"/>
        <w:gridCol w:w="1550"/>
        <w:gridCol w:w="2363"/>
        <w:gridCol w:w="1200"/>
        <w:gridCol w:w="1200"/>
        <w:gridCol w:w="960"/>
        <w:gridCol w:w="1080"/>
        <w:gridCol w:w="840"/>
        <w:gridCol w:w="3396"/>
      </w:tblGrid>
      <w:tr w:rsidR="00C45D59" w14:paraId="35B284D3" w14:textId="77777777">
        <w:trPr>
          <w:trHeight w:val="798"/>
          <w:tblHeader/>
          <w:jc w:val="center"/>
        </w:trPr>
        <w:tc>
          <w:tcPr>
            <w:tcW w:w="757" w:type="dxa"/>
            <w:vMerge w:val="restart"/>
            <w:shd w:val="clear" w:color="auto" w:fill="BDD7EE"/>
            <w:vAlign w:val="center"/>
            <w:hideMark/>
          </w:tcPr>
          <w:p w14:paraId="7A420E77" w14:textId="1CBCC290" w:rsidR="00C45D59" w:rsidRDefault="00892E7E">
            <w:pPr>
              <w:pStyle w:val="P68B1DB1-Normal15"/>
              <w:spacing w:after="0" w:line="240" w:lineRule="auto"/>
              <w:jc w:val="center"/>
              <w:rPr>
                <w:rFonts w:eastAsia="Times New Roman"/>
                <w:bCs/>
                <w:noProof/>
              </w:rPr>
            </w:pPr>
            <w:r>
              <w:rPr>
                <w:noProof/>
              </w:rPr>
              <w:t>Nr. crt.</w:t>
            </w:r>
          </w:p>
        </w:tc>
        <w:tc>
          <w:tcPr>
            <w:tcW w:w="1876" w:type="dxa"/>
            <w:vMerge w:val="restart"/>
            <w:shd w:val="clear" w:color="auto" w:fill="BDD7EE"/>
            <w:vAlign w:val="center"/>
            <w:hideMark/>
          </w:tcPr>
          <w:p w14:paraId="5331F6F9" w14:textId="77777777" w:rsidR="00C45D59" w:rsidRDefault="009B0962">
            <w:pPr>
              <w:pStyle w:val="P68B1DB1-Normal10"/>
              <w:spacing w:after="0" w:line="240" w:lineRule="auto"/>
              <w:jc w:val="center"/>
              <w:rPr>
                <w:rFonts w:eastAsia="Times New Roman" w:cs="Times New Roman"/>
                <w:bCs/>
                <w:noProof/>
                <w:szCs w:val="18"/>
              </w:rPr>
            </w:pPr>
            <w:r>
              <w:rPr>
                <w:noProof/>
              </w:rPr>
              <w:t>Măsură conexă (reformă sau investiții)</w:t>
            </w:r>
          </w:p>
        </w:tc>
        <w:tc>
          <w:tcPr>
            <w:tcW w:w="1122" w:type="dxa"/>
            <w:vMerge w:val="restart"/>
            <w:shd w:val="clear" w:color="auto" w:fill="BDD7EE"/>
            <w:vAlign w:val="center"/>
            <w:hideMark/>
          </w:tcPr>
          <w:p w14:paraId="3EDC7F28" w14:textId="77777777" w:rsidR="00C45D59" w:rsidRDefault="009B0962">
            <w:pPr>
              <w:pStyle w:val="P68B1DB1-Normal10"/>
              <w:spacing w:after="0" w:line="240" w:lineRule="auto"/>
              <w:jc w:val="center"/>
              <w:rPr>
                <w:rFonts w:eastAsia="Times New Roman" w:cs="Times New Roman"/>
                <w:bCs/>
                <w:noProof/>
                <w:szCs w:val="18"/>
              </w:rPr>
            </w:pPr>
            <w:r>
              <w:rPr>
                <w:noProof/>
              </w:rPr>
              <w:t>Etapă/Obiectiv</w:t>
            </w:r>
          </w:p>
        </w:tc>
        <w:tc>
          <w:tcPr>
            <w:tcW w:w="1550" w:type="dxa"/>
            <w:vMerge w:val="restart"/>
            <w:shd w:val="clear" w:color="auto" w:fill="BDD7EE"/>
            <w:vAlign w:val="center"/>
            <w:hideMark/>
          </w:tcPr>
          <w:p w14:paraId="2C06ED0F" w14:textId="368314F6" w:rsidR="00C45D59" w:rsidRDefault="00892E7E">
            <w:pPr>
              <w:pStyle w:val="P68B1DB1-Normal10"/>
              <w:spacing w:after="0" w:line="240" w:lineRule="auto"/>
              <w:jc w:val="center"/>
              <w:rPr>
                <w:rFonts w:eastAsia="Times New Roman" w:cs="Times New Roman"/>
                <w:bCs/>
                <w:noProof/>
                <w:szCs w:val="18"/>
              </w:rPr>
            </w:pPr>
            <w:r>
              <w:rPr>
                <w:noProof/>
              </w:rPr>
              <w:t>Denumire</w:t>
            </w:r>
          </w:p>
        </w:tc>
        <w:tc>
          <w:tcPr>
            <w:tcW w:w="2363" w:type="dxa"/>
            <w:vMerge w:val="restart"/>
            <w:shd w:val="clear" w:color="auto" w:fill="BDD7EE"/>
            <w:vAlign w:val="center"/>
            <w:hideMark/>
          </w:tcPr>
          <w:p w14:paraId="20C135E3" w14:textId="77777777" w:rsidR="00C45D59" w:rsidRDefault="009B0962">
            <w:pPr>
              <w:pStyle w:val="P68B1DB1-Normal10"/>
              <w:spacing w:after="0" w:line="240" w:lineRule="auto"/>
              <w:jc w:val="center"/>
              <w:rPr>
                <w:rFonts w:eastAsia="Times New Roman" w:cs="Times New Roman"/>
                <w:bCs/>
                <w:noProof/>
                <w:szCs w:val="18"/>
              </w:rPr>
            </w:pPr>
            <w:r>
              <w:rPr>
                <w:noProof/>
              </w:rPr>
              <w:t>Indicatori calitativi (pentru obiectivele de etapă)</w:t>
            </w:r>
          </w:p>
        </w:tc>
        <w:tc>
          <w:tcPr>
            <w:tcW w:w="3360" w:type="dxa"/>
            <w:gridSpan w:val="3"/>
            <w:shd w:val="clear" w:color="auto" w:fill="BDD7EE"/>
            <w:vAlign w:val="center"/>
            <w:hideMark/>
          </w:tcPr>
          <w:p w14:paraId="2F3D0C59" w14:textId="77777777" w:rsidR="00C45D59" w:rsidRDefault="009B0962">
            <w:pPr>
              <w:pStyle w:val="P68B1DB1-Normal10"/>
              <w:spacing w:after="0" w:line="240" w:lineRule="auto"/>
              <w:jc w:val="center"/>
              <w:rPr>
                <w:rFonts w:eastAsia="Times New Roman" w:cs="Times New Roman"/>
                <w:bCs/>
                <w:noProof/>
                <w:szCs w:val="18"/>
              </w:rPr>
            </w:pPr>
            <w:r>
              <w:rPr>
                <w:noProof/>
              </w:rPr>
              <w:t>Indicatori cantitativi (pentru ținte)</w:t>
            </w:r>
          </w:p>
        </w:tc>
        <w:tc>
          <w:tcPr>
            <w:tcW w:w="1920" w:type="dxa"/>
            <w:gridSpan w:val="2"/>
            <w:shd w:val="clear" w:color="auto" w:fill="BDD7EE"/>
            <w:vAlign w:val="center"/>
            <w:hideMark/>
          </w:tcPr>
          <w:p w14:paraId="540F85BA" w14:textId="77777777" w:rsidR="00C45D59" w:rsidRDefault="009B0962">
            <w:pPr>
              <w:pStyle w:val="P68B1DB1-Normal10"/>
              <w:spacing w:after="0" w:line="240" w:lineRule="auto"/>
              <w:jc w:val="center"/>
              <w:rPr>
                <w:rFonts w:eastAsia="Times New Roman" w:cs="Times New Roman"/>
                <w:bCs/>
                <w:noProof/>
                <w:szCs w:val="18"/>
              </w:rPr>
            </w:pPr>
            <w:r>
              <w:rPr>
                <w:noProof/>
              </w:rPr>
              <w:t xml:space="preserve">Calendar orientativ pentru finalizare </w:t>
            </w:r>
          </w:p>
        </w:tc>
        <w:tc>
          <w:tcPr>
            <w:tcW w:w="3396" w:type="dxa"/>
            <w:vMerge w:val="restart"/>
            <w:shd w:val="clear" w:color="auto" w:fill="BDD7EE"/>
            <w:vAlign w:val="center"/>
            <w:hideMark/>
          </w:tcPr>
          <w:p w14:paraId="728A10C7" w14:textId="77777777" w:rsidR="00C45D59" w:rsidRDefault="009B0962">
            <w:pPr>
              <w:pStyle w:val="P68B1DB1-Normal10"/>
              <w:spacing w:after="0" w:line="240" w:lineRule="auto"/>
              <w:jc w:val="center"/>
              <w:rPr>
                <w:rFonts w:eastAsia="Times New Roman" w:cs="Times New Roman"/>
                <w:bCs/>
                <w:noProof/>
                <w:szCs w:val="18"/>
              </w:rPr>
            </w:pPr>
            <w:r>
              <w:rPr>
                <w:noProof/>
              </w:rPr>
              <w:t>Descrierea fiecărui jalon și a fiecărei ținte</w:t>
            </w:r>
          </w:p>
        </w:tc>
      </w:tr>
      <w:tr w:rsidR="00C45D59" w14:paraId="13BDA289" w14:textId="77777777">
        <w:trPr>
          <w:trHeight w:val="441"/>
          <w:jc w:val="center"/>
        </w:trPr>
        <w:tc>
          <w:tcPr>
            <w:tcW w:w="757" w:type="dxa"/>
            <w:vMerge/>
            <w:vAlign w:val="center"/>
            <w:hideMark/>
          </w:tcPr>
          <w:p w14:paraId="1C9E6719" w14:textId="77777777" w:rsidR="00C45D59" w:rsidRDefault="00C45D59">
            <w:pPr>
              <w:spacing w:after="0" w:line="240" w:lineRule="auto"/>
              <w:rPr>
                <w:rFonts w:ascii="Times New Roman" w:eastAsia="Times New Roman" w:hAnsi="Times New Roman" w:cs="Times New Roman"/>
                <w:b/>
                <w:noProof/>
                <w:sz w:val="18"/>
                <w:szCs w:val="18"/>
              </w:rPr>
            </w:pPr>
          </w:p>
        </w:tc>
        <w:tc>
          <w:tcPr>
            <w:tcW w:w="1876" w:type="dxa"/>
            <w:vMerge/>
            <w:vAlign w:val="center"/>
            <w:hideMark/>
          </w:tcPr>
          <w:p w14:paraId="03E5F8C3" w14:textId="77777777" w:rsidR="00C45D59" w:rsidRDefault="00C45D59">
            <w:pPr>
              <w:spacing w:after="0" w:line="240" w:lineRule="auto"/>
              <w:rPr>
                <w:rFonts w:ascii="Times New Roman" w:eastAsia="Times New Roman" w:hAnsi="Times New Roman" w:cs="Times New Roman"/>
                <w:b/>
                <w:noProof/>
                <w:sz w:val="18"/>
                <w:szCs w:val="18"/>
              </w:rPr>
            </w:pPr>
          </w:p>
        </w:tc>
        <w:tc>
          <w:tcPr>
            <w:tcW w:w="1122" w:type="dxa"/>
            <w:vMerge/>
            <w:vAlign w:val="center"/>
            <w:hideMark/>
          </w:tcPr>
          <w:p w14:paraId="2884F9AD" w14:textId="77777777" w:rsidR="00C45D59" w:rsidRDefault="00C45D59">
            <w:pPr>
              <w:spacing w:after="0" w:line="240" w:lineRule="auto"/>
              <w:rPr>
                <w:rFonts w:ascii="Times New Roman" w:eastAsia="Times New Roman" w:hAnsi="Times New Roman" w:cs="Times New Roman"/>
                <w:b/>
                <w:noProof/>
                <w:sz w:val="18"/>
                <w:szCs w:val="18"/>
              </w:rPr>
            </w:pPr>
          </w:p>
        </w:tc>
        <w:tc>
          <w:tcPr>
            <w:tcW w:w="1550" w:type="dxa"/>
            <w:vMerge/>
            <w:vAlign w:val="center"/>
            <w:hideMark/>
          </w:tcPr>
          <w:p w14:paraId="106B3B77" w14:textId="77777777" w:rsidR="00C45D59" w:rsidRDefault="00C45D59">
            <w:pPr>
              <w:spacing w:after="0" w:line="240" w:lineRule="auto"/>
              <w:rPr>
                <w:rFonts w:ascii="Times New Roman" w:eastAsia="Times New Roman" w:hAnsi="Times New Roman" w:cs="Times New Roman"/>
                <w:b/>
                <w:noProof/>
                <w:sz w:val="18"/>
                <w:szCs w:val="18"/>
              </w:rPr>
            </w:pPr>
          </w:p>
        </w:tc>
        <w:tc>
          <w:tcPr>
            <w:tcW w:w="2363" w:type="dxa"/>
            <w:vMerge/>
            <w:vAlign w:val="center"/>
            <w:hideMark/>
          </w:tcPr>
          <w:p w14:paraId="7CD500FE" w14:textId="77777777" w:rsidR="00C45D59" w:rsidRDefault="00C45D59">
            <w:pPr>
              <w:spacing w:after="0" w:line="240" w:lineRule="auto"/>
              <w:rPr>
                <w:rFonts w:ascii="Times New Roman" w:eastAsia="Times New Roman" w:hAnsi="Times New Roman" w:cs="Times New Roman"/>
                <w:b/>
                <w:noProof/>
                <w:sz w:val="18"/>
                <w:szCs w:val="18"/>
              </w:rPr>
            </w:pPr>
          </w:p>
        </w:tc>
        <w:tc>
          <w:tcPr>
            <w:tcW w:w="1200" w:type="dxa"/>
            <w:shd w:val="clear" w:color="auto" w:fill="BDD7EE"/>
            <w:vAlign w:val="center"/>
            <w:hideMark/>
          </w:tcPr>
          <w:p w14:paraId="12941C64" w14:textId="77777777" w:rsidR="00C45D59" w:rsidRDefault="009B0962">
            <w:pPr>
              <w:pStyle w:val="P68B1DB1-Normal10"/>
              <w:spacing w:after="0" w:line="240" w:lineRule="auto"/>
              <w:jc w:val="center"/>
              <w:rPr>
                <w:rFonts w:eastAsia="Times New Roman" w:cs="Times New Roman"/>
                <w:bCs/>
                <w:noProof/>
                <w:szCs w:val="18"/>
              </w:rPr>
            </w:pPr>
            <w:r>
              <w:rPr>
                <w:noProof/>
              </w:rPr>
              <w:t>Unitatea de măsură</w:t>
            </w:r>
          </w:p>
        </w:tc>
        <w:tc>
          <w:tcPr>
            <w:tcW w:w="1200" w:type="dxa"/>
            <w:shd w:val="clear" w:color="auto" w:fill="BDD7EE"/>
            <w:vAlign w:val="center"/>
            <w:hideMark/>
          </w:tcPr>
          <w:p w14:paraId="5711F594" w14:textId="77777777" w:rsidR="00C45D59" w:rsidRDefault="009B0962">
            <w:pPr>
              <w:pStyle w:val="P68B1DB1-Normal10"/>
              <w:spacing w:after="0" w:line="240" w:lineRule="auto"/>
              <w:jc w:val="center"/>
              <w:rPr>
                <w:rFonts w:eastAsia="Times New Roman" w:cs="Times New Roman"/>
                <w:bCs/>
                <w:noProof/>
                <w:szCs w:val="18"/>
              </w:rPr>
            </w:pPr>
            <w:r>
              <w:rPr>
                <w:noProof/>
              </w:rPr>
              <w:t xml:space="preserve">Situația de referință </w:t>
            </w:r>
          </w:p>
        </w:tc>
        <w:tc>
          <w:tcPr>
            <w:tcW w:w="960" w:type="dxa"/>
            <w:shd w:val="clear" w:color="auto" w:fill="BDD7EE"/>
            <w:vAlign w:val="center"/>
            <w:hideMark/>
          </w:tcPr>
          <w:p w14:paraId="67071305" w14:textId="77777777" w:rsidR="00C45D59" w:rsidRDefault="009B0962">
            <w:pPr>
              <w:pStyle w:val="P68B1DB1-Normal10"/>
              <w:spacing w:after="0" w:line="240" w:lineRule="auto"/>
              <w:jc w:val="center"/>
              <w:rPr>
                <w:rFonts w:eastAsia="Times New Roman" w:cs="Times New Roman"/>
                <w:bCs/>
                <w:noProof/>
                <w:szCs w:val="18"/>
              </w:rPr>
            </w:pPr>
            <w:r>
              <w:rPr>
                <w:noProof/>
              </w:rPr>
              <w:t xml:space="preserve">Obiectiv </w:t>
            </w:r>
          </w:p>
        </w:tc>
        <w:tc>
          <w:tcPr>
            <w:tcW w:w="1080" w:type="dxa"/>
            <w:shd w:val="clear" w:color="auto" w:fill="BDD7EE"/>
            <w:vAlign w:val="center"/>
            <w:hideMark/>
          </w:tcPr>
          <w:p w14:paraId="15718202" w14:textId="77777777" w:rsidR="00C45D59" w:rsidRDefault="009B0962">
            <w:pPr>
              <w:pStyle w:val="P68B1DB1-Normal10"/>
              <w:spacing w:after="0" w:line="240" w:lineRule="auto"/>
              <w:jc w:val="center"/>
              <w:rPr>
                <w:rFonts w:eastAsia="Times New Roman" w:cs="Times New Roman"/>
                <w:bCs/>
                <w:noProof/>
                <w:szCs w:val="18"/>
              </w:rPr>
            </w:pPr>
            <w:r>
              <w:rPr>
                <w:noProof/>
              </w:rPr>
              <w:t>Trimestru</w:t>
            </w:r>
          </w:p>
        </w:tc>
        <w:tc>
          <w:tcPr>
            <w:tcW w:w="840" w:type="dxa"/>
            <w:shd w:val="clear" w:color="auto" w:fill="BDD7EE"/>
            <w:vAlign w:val="center"/>
            <w:hideMark/>
          </w:tcPr>
          <w:p w14:paraId="3E953C60" w14:textId="77777777" w:rsidR="00C45D59" w:rsidRDefault="009B0962">
            <w:pPr>
              <w:pStyle w:val="P68B1DB1-Normal10"/>
              <w:spacing w:after="0" w:line="240" w:lineRule="auto"/>
              <w:jc w:val="center"/>
              <w:rPr>
                <w:rFonts w:eastAsia="Times New Roman" w:cs="Times New Roman"/>
                <w:bCs/>
                <w:noProof/>
                <w:szCs w:val="18"/>
              </w:rPr>
            </w:pPr>
            <w:r>
              <w:rPr>
                <w:noProof/>
              </w:rPr>
              <w:t>Anul</w:t>
            </w:r>
          </w:p>
        </w:tc>
        <w:tc>
          <w:tcPr>
            <w:tcW w:w="3396" w:type="dxa"/>
            <w:vMerge/>
            <w:vAlign w:val="center"/>
            <w:hideMark/>
          </w:tcPr>
          <w:p w14:paraId="7E3A0ACF" w14:textId="77777777" w:rsidR="00C45D59" w:rsidRDefault="00C45D59">
            <w:pPr>
              <w:spacing w:after="0" w:line="240" w:lineRule="auto"/>
              <w:rPr>
                <w:rFonts w:ascii="Times New Roman" w:eastAsia="Times New Roman" w:hAnsi="Times New Roman" w:cs="Times New Roman"/>
                <w:b/>
                <w:noProof/>
                <w:sz w:val="18"/>
                <w:szCs w:val="18"/>
              </w:rPr>
            </w:pPr>
          </w:p>
        </w:tc>
      </w:tr>
      <w:tr w:rsidR="00C45D59" w14:paraId="3884ED21" w14:textId="77777777">
        <w:trPr>
          <w:trHeight w:val="309"/>
          <w:jc w:val="center"/>
        </w:trPr>
        <w:tc>
          <w:tcPr>
            <w:tcW w:w="757" w:type="dxa"/>
            <w:shd w:val="clear" w:color="auto" w:fill="C6EFCE"/>
            <w:noWrap/>
          </w:tcPr>
          <w:p w14:paraId="6D1114A5" w14:textId="77777777" w:rsidR="00C45D59" w:rsidRDefault="009B0962">
            <w:pPr>
              <w:pStyle w:val="P68B1DB1-Normal12"/>
              <w:spacing w:after="0" w:line="240" w:lineRule="auto"/>
              <w:rPr>
                <w:rFonts w:eastAsia="Times New Roman"/>
                <w:noProof/>
              </w:rPr>
            </w:pPr>
            <w:r>
              <w:rPr>
                <w:noProof/>
              </w:rPr>
              <w:t>188</w:t>
            </w:r>
          </w:p>
        </w:tc>
        <w:tc>
          <w:tcPr>
            <w:tcW w:w="1876" w:type="dxa"/>
            <w:shd w:val="clear" w:color="auto" w:fill="C6EFCE"/>
            <w:noWrap/>
          </w:tcPr>
          <w:p w14:paraId="4351E498" w14:textId="77777777" w:rsidR="00C45D59" w:rsidRDefault="009B0962">
            <w:pPr>
              <w:pStyle w:val="P68B1DB1-Normal13"/>
              <w:spacing w:after="0" w:line="240" w:lineRule="auto"/>
              <w:rPr>
                <w:rFonts w:eastAsia="Times New Roman"/>
                <w:noProof/>
                <w:szCs w:val="18"/>
              </w:rPr>
            </w:pPr>
            <w:r>
              <w:rPr>
                <w:noProof/>
              </w:rPr>
              <w:t>12-4.1. O fiscalitate mai favorabilă creșterii economice și o mai bună administrare fiscală și colectare a impozitelor – 16614_Casele de marcat online &amp; POS (reformă)</w:t>
            </w:r>
          </w:p>
        </w:tc>
        <w:tc>
          <w:tcPr>
            <w:tcW w:w="1122" w:type="dxa"/>
            <w:shd w:val="clear" w:color="auto" w:fill="C6EFCE"/>
            <w:noWrap/>
          </w:tcPr>
          <w:p w14:paraId="37BB6F5D" w14:textId="77777777" w:rsidR="00C45D59" w:rsidRDefault="009B0962">
            <w:pPr>
              <w:pStyle w:val="P68B1DB1-Normal13"/>
              <w:spacing w:after="0" w:line="240" w:lineRule="auto"/>
              <w:rPr>
                <w:rFonts w:eastAsia="Times New Roman"/>
                <w:noProof/>
                <w:szCs w:val="18"/>
              </w:rPr>
            </w:pPr>
            <w:r>
              <w:rPr>
                <w:noProof/>
              </w:rPr>
              <w:t>Etapă</w:t>
            </w:r>
          </w:p>
        </w:tc>
        <w:tc>
          <w:tcPr>
            <w:tcW w:w="1550" w:type="dxa"/>
            <w:shd w:val="clear" w:color="auto" w:fill="C6EFCE"/>
            <w:noWrap/>
          </w:tcPr>
          <w:p w14:paraId="2CAC1BF4" w14:textId="77777777" w:rsidR="00C45D59" w:rsidRDefault="009B0962">
            <w:pPr>
              <w:pStyle w:val="P68B1DB1-Normal13"/>
              <w:spacing w:after="0" w:line="240" w:lineRule="auto"/>
              <w:rPr>
                <w:rFonts w:eastAsia="Times New Roman"/>
                <w:noProof/>
                <w:szCs w:val="18"/>
              </w:rPr>
            </w:pPr>
            <w:r>
              <w:rPr>
                <w:noProof/>
              </w:rPr>
              <w:t>Autoritatea Independentă pentru Venituri Publice (AIVP): Case de marcat online &amp; Point-of-Sale (POS) – Intrarea în vigoare a cadrului juridic</w:t>
            </w:r>
          </w:p>
        </w:tc>
        <w:tc>
          <w:tcPr>
            <w:tcW w:w="2363" w:type="dxa"/>
            <w:shd w:val="clear" w:color="auto" w:fill="C6EFCE"/>
            <w:noWrap/>
          </w:tcPr>
          <w:p w14:paraId="61B918F6" w14:textId="77777777" w:rsidR="00C45D59" w:rsidRDefault="009B0962">
            <w:pPr>
              <w:pStyle w:val="P68B1DB1-Normal13"/>
              <w:spacing w:after="0" w:line="240" w:lineRule="auto"/>
              <w:rPr>
                <w:rFonts w:eastAsia="Times New Roman"/>
                <w:noProof/>
                <w:szCs w:val="18"/>
              </w:rPr>
            </w:pPr>
            <w:r>
              <w:rPr>
                <w:noProof/>
              </w:rPr>
              <w:t>Intrarea în vigoare a legii</w:t>
            </w:r>
          </w:p>
        </w:tc>
        <w:tc>
          <w:tcPr>
            <w:tcW w:w="1200" w:type="dxa"/>
            <w:shd w:val="clear" w:color="auto" w:fill="C6EFCE"/>
            <w:noWrap/>
          </w:tcPr>
          <w:p w14:paraId="14FF6D7C"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200" w:type="dxa"/>
            <w:shd w:val="clear" w:color="auto" w:fill="C6EFCE"/>
            <w:noWrap/>
          </w:tcPr>
          <w:p w14:paraId="2617F8E7"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960" w:type="dxa"/>
            <w:shd w:val="clear" w:color="auto" w:fill="C6EFCE"/>
            <w:noWrap/>
          </w:tcPr>
          <w:p w14:paraId="00B47B02"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080" w:type="dxa"/>
            <w:shd w:val="clear" w:color="auto" w:fill="C6EFCE"/>
            <w:noWrap/>
          </w:tcPr>
          <w:p w14:paraId="26DF9AF9" w14:textId="77777777" w:rsidR="00C45D59" w:rsidRDefault="009B0962">
            <w:pPr>
              <w:pStyle w:val="P68B1DB1-Normal13"/>
              <w:spacing w:after="0" w:line="240" w:lineRule="auto"/>
              <w:rPr>
                <w:rFonts w:eastAsia="Times New Roman"/>
                <w:noProof/>
                <w:szCs w:val="18"/>
              </w:rPr>
            </w:pPr>
            <w:r>
              <w:rPr>
                <w:noProof/>
              </w:rPr>
              <w:t>Î1</w:t>
            </w:r>
          </w:p>
        </w:tc>
        <w:tc>
          <w:tcPr>
            <w:tcW w:w="840" w:type="dxa"/>
            <w:shd w:val="clear" w:color="auto" w:fill="C6EFCE"/>
            <w:noWrap/>
          </w:tcPr>
          <w:p w14:paraId="6B49127B" w14:textId="77777777" w:rsidR="00C45D59" w:rsidRDefault="009B0962">
            <w:pPr>
              <w:pStyle w:val="P68B1DB1-Normal13"/>
              <w:spacing w:after="0" w:line="240" w:lineRule="auto"/>
              <w:rPr>
                <w:rFonts w:eastAsia="Times New Roman"/>
                <w:noProof/>
                <w:szCs w:val="18"/>
              </w:rPr>
            </w:pPr>
            <w:r>
              <w:rPr>
                <w:noProof/>
              </w:rPr>
              <w:t>2022</w:t>
            </w:r>
          </w:p>
        </w:tc>
        <w:tc>
          <w:tcPr>
            <w:tcW w:w="3396" w:type="dxa"/>
            <w:shd w:val="clear" w:color="auto" w:fill="C6EFCE"/>
            <w:noWrap/>
          </w:tcPr>
          <w:p w14:paraId="6D56DDB9" w14:textId="77777777" w:rsidR="00C45D59" w:rsidRDefault="009B0962">
            <w:pPr>
              <w:pStyle w:val="P68B1DB1-Normal12"/>
              <w:spacing w:after="0" w:line="240" w:lineRule="auto"/>
              <w:rPr>
                <w:rFonts w:eastAsia="Times New Roman"/>
                <w:noProof/>
              </w:rPr>
            </w:pPr>
            <w:r>
              <w:rPr>
                <w:noProof/>
              </w:rPr>
              <w:t>Intrarea în vigoare a deciziei unui guvernator independent al veniturilor publice privind cerințele tehnice (în temeiul articolului 12 din Legea nr. 4308/2014) și a unei decizii ministeriale comune privind transmiterea electronică a datelor către Autoritatea independentă pentru veniturile publice (în temeiul articolului 15 din Legea nr. 4174/2013), care stabilește principalele caracteristici necesare pentru interconectarea caselor de marcat online și a sistemelor de puncte de vânzare (POS) cu Autoritatea independentă pentru veniturile publice, inclusiv revizuirea sancțiunilor pentru casele de marcat (articolul 54 din Legea nr. 4174/2013).</w:t>
            </w:r>
          </w:p>
        </w:tc>
      </w:tr>
      <w:tr w:rsidR="00C45D59" w14:paraId="00616752" w14:textId="77777777">
        <w:trPr>
          <w:trHeight w:val="309"/>
          <w:jc w:val="center"/>
        </w:trPr>
        <w:tc>
          <w:tcPr>
            <w:tcW w:w="757" w:type="dxa"/>
            <w:shd w:val="clear" w:color="auto" w:fill="C6EFCE"/>
            <w:noWrap/>
          </w:tcPr>
          <w:p w14:paraId="5E89EC9E" w14:textId="77777777" w:rsidR="00C45D59" w:rsidRDefault="009B0962">
            <w:pPr>
              <w:pStyle w:val="P68B1DB1-Normal12"/>
              <w:spacing w:after="0" w:line="240" w:lineRule="auto"/>
              <w:rPr>
                <w:rFonts w:eastAsia="Times New Roman"/>
                <w:noProof/>
              </w:rPr>
            </w:pPr>
            <w:r>
              <w:rPr>
                <w:noProof/>
              </w:rPr>
              <w:t>189</w:t>
            </w:r>
          </w:p>
        </w:tc>
        <w:tc>
          <w:tcPr>
            <w:tcW w:w="1876" w:type="dxa"/>
            <w:shd w:val="clear" w:color="auto" w:fill="C6EFCE"/>
            <w:noWrap/>
          </w:tcPr>
          <w:p w14:paraId="6C475D3C" w14:textId="77777777" w:rsidR="00C45D59" w:rsidRDefault="009B0962">
            <w:pPr>
              <w:pStyle w:val="P68B1DB1-Normal13"/>
              <w:spacing w:after="0" w:line="240" w:lineRule="auto"/>
              <w:rPr>
                <w:rFonts w:eastAsia="Times New Roman"/>
                <w:noProof/>
                <w:szCs w:val="18"/>
              </w:rPr>
            </w:pPr>
            <w:r>
              <w:rPr>
                <w:noProof/>
              </w:rPr>
              <w:t>12-4.1. O fiscalitate mai favorabilă creșterii economice și o mai bună administrare fiscală și colectare a impozitelor – 16614_Casele de marcat online &amp; POS (reformă)</w:t>
            </w:r>
          </w:p>
        </w:tc>
        <w:tc>
          <w:tcPr>
            <w:tcW w:w="1122" w:type="dxa"/>
            <w:shd w:val="clear" w:color="auto" w:fill="C6EFCE"/>
            <w:noWrap/>
          </w:tcPr>
          <w:p w14:paraId="08D0BFF6" w14:textId="77777777" w:rsidR="00C45D59" w:rsidRDefault="009B0962">
            <w:pPr>
              <w:pStyle w:val="P68B1DB1-Normal13"/>
              <w:spacing w:after="0" w:line="240" w:lineRule="auto"/>
              <w:rPr>
                <w:rFonts w:eastAsia="Times New Roman"/>
                <w:noProof/>
                <w:szCs w:val="18"/>
              </w:rPr>
            </w:pPr>
            <w:r>
              <w:rPr>
                <w:noProof/>
              </w:rPr>
              <w:t>Țintă</w:t>
            </w:r>
          </w:p>
        </w:tc>
        <w:tc>
          <w:tcPr>
            <w:tcW w:w="1550" w:type="dxa"/>
            <w:shd w:val="clear" w:color="auto" w:fill="C6EFCE"/>
            <w:noWrap/>
          </w:tcPr>
          <w:p w14:paraId="4B60E8E7" w14:textId="77777777" w:rsidR="00C45D59" w:rsidRDefault="009B0962">
            <w:pPr>
              <w:pStyle w:val="P68B1DB1-Normal12"/>
              <w:spacing w:after="0" w:line="240" w:lineRule="auto"/>
              <w:rPr>
                <w:rFonts w:eastAsia="Times New Roman"/>
                <w:noProof/>
              </w:rPr>
            </w:pPr>
            <w:r>
              <w:rPr>
                <w:noProof/>
              </w:rPr>
              <w:t xml:space="preserve">Autoritatea independentă pentru venituri publice: Case de marcat online &amp; Point-of-Sale (POS) – integrare și interconectare </w:t>
            </w:r>
          </w:p>
        </w:tc>
        <w:tc>
          <w:tcPr>
            <w:tcW w:w="2363" w:type="dxa"/>
            <w:shd w:val="clear" w:color="auto" w:fill="C6EFCE"/>
            <w:noWrap/>
          </w:tcPr>
          <w:p w14:paraId="5FD3CA05" w14:textId="77777777" w:rsidR="00C45D59" w:rsidRDefault="00C45D59">
            <w:pPr>
              <w:spacing w:after="0" w:line="240" w:lineRule="auto"/>
              <w:rPr>
                <w:rFonts w:ascii="Times New Roman" w:eastAsia="Times New Roman" w:hAnsi="Times New Roman" w:cs="Times New Roman"/>
                <w:noProof/>
                <w:color w:val="006100"/>
                <w:sz w:val="18"/>
                <w:szCs w:val="18"/>
                <w:highlight w:val="yellow"/>
              </w:rPr>
            </w:pPr>
          </w:p>
        </w:tc>
        <w:tc>
          <w:tcPr>
            <w:tcW w:w="1200" w:type="dxa"/>
            <w:shd w:val="clear" w:color="auto" w:fill="C6EFCE"/>
            <w:noWrap/>
          </w:tcPr>
          <w:p w14:paraId="5AFA156E" w14:textId="77777777" w:rsidR="00C45D59" w:rsidRDefault="009B0962">
            <w:pPr>
              <w:pStyle w:val="P68B1DB1-Normal13"/>
              <w:spacing w:after="0" w:line="240" w:lineRule="auto"/>
              <w:rPr>
                <w:rFonts w:eastAsia="Times New Roman"/>
                <w:noProof/>
                <w:szCs w:val="18"/>
              </w:rPr>
            </w:pPr>
            <w:r>
              <w:rPr>
                <w:noProof/>
              </w:rPr>
              <w:t>Numărul de case de marcat</w:t>
            </w:r>
          </w:p>
        </w:tc>
        <w:tc>
          <w:tcPr>
            <w:tcW w:w="1200" w:type="dxa"/>
            <w:shd w:val="clear" w:color="auto" w:fill="C6EFCE"/>
            <w:noWrap/>
          </w:tcPr>
          <w:p w14:paraId="47150137" w14:textId="77777777" w:rsidR="00C45D59" w:rsidRDefault="009B0962">
            <w:pPr>
              <w:pStyle w:val="P68B1DB1-Normal13"/>
              <w:spacing w:after="0" w:line="240" w:lineRule="auto"/>
              <w:rPr>
                <w:rFonts w:eastAsia="Times New Roman"/>
                <w:noProof/>
                <w:szCs w:val="18"/>
              </w:rPr>
            </w:pPr>
            <w:r>
              <w:rPr>
                <w:noProof/>
              </w:rPr>
              <w:t>0</w:t>
            </w:r>
          </w:p>
        </w:tc>
        <w:tc>
          <w:tcPr>
            <w:tcW w:w="960" w:type="dxa"/>
            <w:shd w:val="clear" w:color="auto" w:fill="C6EFCE"/>
            <w:noWrap/>
          </w:tcPr>
          <w:p w14:paraId="0BDC762C" w14:textId="77777777" w:rsidR="00C45D59" w:rsidRDefault="009B0962">
            <w:pPr>
              <w:pStyle w:val="P68B1DB1-Normal13"/>
              <w:spacing w:after="0" w:line="240" w:lineRule="auto"/>
              <w:rPr>
                <w:rFonts w:eastAsia="Times New Roman"/>
                <w:noProof/>
                <w:szCs w:val="18"/>
              </w:rPr>
            </w:pPr>
            <w:r>
              <w:rPr>
                <w:noProof/>
              </w:rPr>
              <w:t>400 000</w:t>
            </w:r>
          </w:p>
        </w:tc>
        <w:tc>
          <w:tcPr>
            <w:tcW w:w="1080" w:type="dxa"/>
            <w:shd w:val="clear" w:color="auto" w:fill="C6EFCE"/>
            <w:noWrap/>
          </w:tcPr>
          <w:p w14:paraId="23AE2BA3" w14:textId="77777777" w:rsidR="00C45D59" w:rsidRDefault="009B0962">
            <w:pPr>
              <w:pStyle w:val="P68B1DB1-Normal13"/>
              <w:spacing w:after="0" w:line="240" w:lineRule="auto"/>
              <w:rPr>
                <w:rFonts w:eastAsia="Times New Roman"/>
                <w:noProof/>
                <w:szCs w:val="18"/>
              </w:rPr>
            </w:pPr>
            <w:r>
              <w:rPr>
                <w:noProof/>
              </w:rPr>
              <w:t>Î2</w:t>
            </w:r>
          </w:p>
        </w:tc>
        <w:tc>
          <w:tcPr>
            <w:tcW w:w="840" w:type="dxa"/>
            <w:shd w:val="clear" w:color="auto" w:fill="C6EFCE"/>
            <w:noWrap/>
          </w:tcPr>
          <w:p w14:paraId="6BCCC1C9" w14:textId="77777777" w:rsidR="00C45D59" w:rsidRDefault="009B0962">
            <w:pPr>
              <w:pStyle w:val="P68B1DB1-Normal13"/>
              <w:spacing w:after="0" w:line="240" w:lineRule="auto"/>
              <w:rPr>
                <w:rFonts w:eastAsia="Times New Roman"/>
                <w:noProof/>
                <w:szCs w:val="18"/>
              </w:rPr>
            </w:pPr>
            <w:r>
              <w:rPr>
                <w:noProof/>
              </w:rPr>
              <w:t>2024</w:t>
            </w:r>
          </w:p>
        </w:tc>
        <w:tc>
          <w:tcPr>
            <w:tcW w:w="3396" w:type="dxa"/>
            <w:shd w:val="clear" w:color="auto" w:fill="C6EFCE"/>
            <w:noWrap/>
          </w:tcPr>
          <w:p w14:paraId="2933375A" w14:textId="77777777" w:rsidR="00C45D59" w:rsidRDefault="009B0962">
            <w:pPr>
              <w:pStyle w:val="P68B1DB1-Normal12"/>
              <w:spacing w:after="0" w:line="240" w:lineRule="auto"/>
              <w:rPr>
                <w:rFonts w:eastAsia="Times New Roman"/>
                <w:noProof/>
              </w:rPr>
            </w:pPr>
            <w:r>
              <w:rPr>
                <w:noProof/>
              </w:rPr>
              <w:t xml:space="preserve">Integrarea sistemului informatic și a bazei de date relevante în cadrul platformei myDATA – toate întreprinderile care intră sub incidența cadrului juridic și-au interconectat casele de marcat online cu sistemele de puncte de vânzare la Autoritatea Independentă pentru Venituri Publice. </w:t>
            </w:r>
          </w:p>
          <w:p w14:paraId="2CDF50F0" w14:textId="77777777" w:rsidR="00C45D59" w:rsidRDefault="00C45D59">
            <w:pPr>
              <w:spacing w:after="0" w:line="240" w:lineRule="auto"/>
              <w:rPr>
                <w:rFonts w:ascii="Times New Roman" w:eastAsia="Times New Roman" w:hAnsi="Times New Roman" w:cs="Times New Roman"/>
                <w:noProof/>
                <w:color w:val="006100"/>
                <w:sz w:val="18"/>
                <w:szCs w:val="18"/>
              </w:rPr>
            </w:pPr>
          </w:p>
          <w:p w14:paraId="0E30C77B" w14:textId="77777777" w:rsidR="00C45D59" w:rsidRDefault="009B0962">
            <w:pPr>
              <w:pStyle w:val="P68B1DB1-Normal12"/>
              <w:spacing w:after="0" w:line="240" w:lineRule="auto"/>
              <w:rPr>
                <w:rFonts w:eastAsia="Times New Roman"/>
                <w:noProof/>
              </w:rPr>
            </w:pPr>
            <w:r>
              <w:rPr>
                <w:noProof/>
              </w:rPr>
              <w:t>Un raport al Autorității Independente pentru Venituri Publice care să ateste finalizarea reformei și să indice numărul total de case de marcat online care și-au interconectat sistemele de puncte de vânzare cu Autoritatea Independentă pentru Venituri Publice. Casele de marcat eligibile sunt de cel puțin 400 000.</w:t>
            </w:r>
          </w:p>
        </w:tc>
      </w:tr>
    </w:tbl>
    <w:p w14:paraId="33C559A8" w14:textId="77777777" w:rsidR="00C45D59" w:rsidRDefault="00C45D59">
      <w:pPr>
        <w:spacing w:before="120" w:after="120" w:line="240" w:lineRule="auto"/>
        <w:ind w:left="709"/>
        <w:jc w:val="both"/>
        <w:rPr>
          <w:rFonts w:ascii="Times New Roman" w:hAnsi="Times New Roman" w:cs="Times New Roman"/>
          <w:noProof/>
          <w:sz w:val="24"/>
          <w:szCs w:val="24"/>
        </w:rPr>
      </w:pPr>
    </w:p>
    <w:p w14:paraId="350D4399" w14:textId="77777777" w:rsidR="00C45D59" w:rsidRDefault="009B0962">
      <w:pPr>
        <w:pStyle w:val="NormalWeb"/>
        <w:spacing w:after="0" w:line="240" w:lineRule="auto"/>
        <w:rPr>
          <w:noProof/>
        </w:rPr>
      </w:pPr>
      <w:r>
        <w:rPr>
          <w:noProof/>
        </w:rPr>
        <w:br w:type="page"/>
      </w:r>
    </w:p>
    <w:p w14:paraId="58E703F8" w14:textId="77777777" w:rsidR="00C45D59" w:rsidRDefault="009B0962">
      <w:pPr>
        <w:pStyle w:val="P68B1DB1-Normal9"/>
        <w:keepNext/>
        <w:keepLines/>
        <w:spacing w:before="40" w:after="0" w:line="240" w:lineRule="auto"/>
        <w:jc w:val="both"/>
        <w:outlineLvl w:val="4"/>
        <w:rPr>
          <w:rFonts w:eastAsia="Times New Roman"/>
          <w:noProof/>
        </w:rPr>
      </w:pPr>
      <w:r>
        <w:rPr>
          <w:noProof/>
        </w:rPr>
        <w:t>Grupul 17: Măsuri de administrare fiscală</w:t>
      </w:r>
    </w:p>
    <w:p w14:paraId="3190348F" w14:textId="77777777" w:rsidR="00C45D59" w:rsidRDefault="009B0962">
      <w:pPr>
        <w:pStyle w:val="P68B1DB1-Normal5"/>
        <w:numPr>
          <w:ilvl w:val="0"/>
          <w:numId w:val="56"/>
        </w:numPr>
        <w:spacing w:before="120" w:after="0" w:line="240" w:lineRule="auto"/>
        <w:jc w:val="both"/>
        <w:rPr>
          <w:rFonts w:cs="Times New Roman"/>
          <w:noProof/>
        </w:rPr>
      </w:pPr>
      <w:r>
        <w:rPr>
          <w:noProof/>
        </w:rPr>
        <w:t>Transformarea digitală a auditurilor fiscale (ID: 16611)</w:t>
      </w:r>
    </w:p>
    <w:p w14:paraId="043D2845" w14:textId="77777777" w:rsidR="00C45D59" w:rsidRDefault="009B0962">
      <w:pPr>
        <w:pStyle w:val="P68B1DB1-Normal5"/>
        <w:numPr>
          <w:ilvl w:val="0"/>
          <w:numId w:val="56"/>
        </w:numPr>
        <w:spacing w:before="120" w:after="0" w:line="240" w:lineRule="auto"/>
        <w:jc w:val="both"/>
        <w:rPr>
          <w:rFonts w:cs="Times New Roman"/>
          <w:noProof/>
        </w:rPr>
      </w:pPr>
      <w:r>
        <w:rPr>
          <w:noProof/>
        </w:rPr>
        <w:t>Promovarea accelerării rambursărilor de TVA (ID: 16610)</w:t>
      </w:r>
    </w:p>
    <w:p w14:paraId="393E9C22" w14:textId="77777777" w:rsidR="00C45D59" w:rsidRDefault="009B0962">
      <w:pPr>
        <w:pStyle w:val="P68B1DB1-Normal5"/>
        <w:numPr>
          <w:ilvl w:val="0"/>
          <w:numId w:val="56"/>
        </w:numPr>
        <w:spacing w:before="120" w:after="0" w:line="240" w:lineRule="auto"/>
        <w:jc w:val="both"/>
        <w:rPr>
          <w:rFonts w:cs="Times New Roman"/>
          <w:noProof/>
        </w:rPr>
      </w:pPr>
      <w:r>
        <w:rPr>
          <w:noProof/>
        </w:rPr>
        <w:t>Un nou cadru pentru combaterea contrabandei, în special pentru produsele supuse accizelor (tutun, alcool și energie) (ID: 16656)</w:t>
      </w:r>
    </w:p>
    <w:p w14:paraId="31F89F9E" w14:textId="77777777" w:rsidR="00C45D59" w:rsidRDefault="009B0962">
      <w:pPr>
        <w:pStyle w:val="P68B1DB1-Normal5"/>
        <w:numPr>
          <w:ilvl w:val="0"/>
          <w:numId w:val="56"/>
        </w:numPr>
        <w:spacing w:before="120" w:after="120" w:line="240" w:lineRule="auto"/>
        <w:jc w:val="both"/>
        <w:rPr>
          <w:rFonts w:cs="Times New Roman"/>
          <w:noProof/>
        </w:rPr>
      </w:pPr>
      <w:r>
        <w:rPr>
          <w:noProof/>
        </w:rPr>
        <w:t>Transformarea digitală a administrației fiscale și vamale (ID: 16291)</w:t>
      </w:r>
    </w:p>
    <w:tbl>
      <w:tblPr>
        <w:tblW w:w="16160" w:type="dxa"/>
        <w:jc w:val="center"/>
        <w:tblLayout w:type="fixed"/>
        <w:tblLook w:val="04A0" w:firstRow="1" w:lastRow="0" w:firstColumn="1" w:lastColumn="0" w:noHBand="0" w:noVBand="1"/>
      </w:tblPr>
      <w:tblGrid>
        <w:gridCol w:w="6"/>
        <w:gridCol w:w="669"/>
        <w:gridCol w:w="2410"/>
        <w:gridCol w:w="1134"/>
        <w:gridCol w:w="1409"/>
        <w:gridCol w:w="1803"/>
        <w:gridCol w:w="1065"/>
        <w:gridCol w:w="961"/>
        <w:gridCol w:w="826"/>
        <w:gridCol w:w="1098"/>
        <w:gridCol w:w="1369"/>
        <w:gridCol w:w="3410"/>
      </w:tblGrid>
      <w:tr w:rsidR="00C45D59" w14:paraId="42E0663E" w14:textId="77777777">
        <w:trPr>
          <w:trHeight w:val="939"/>
          <w:tblHeader/>
          <w:jc w:val="center"/>
        </w:trPr>
        <w:tc>
          <w:tcPr>
            <w:tcW w:w="675" w:type="dxa"/>
            <w:gridSpan w:val="2"/>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A102D04" w14:textId="75FA40D8" w:rsidR="00C45D59" w:rsidRDefault="00892E7E">
            <w:pPr>
              <w:pStyle w:val="P68B1DB1-Normal15"/>
              <w:spacing w:after="0" w:line="240" w:lineRule="auto"/>
              <w:jc w:val="center"/>
              <w:rPr>
                <w:rFonts w:eastAsia="Times New Roman"/>
                <w:bCs/>
                <w:noProof/>
              </w:rPr>
            </w:pPr>
            <w:r>
              <w:rPr>
                <w:noProof/>
              </w:rPr>
              <w:t>Nr. crt.</w:t>
            </w:r>
          </w:p>
        </w:tc>
        <w:tc>
          <w:tcPr>
            <w:tcW w:w="241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99BCA45" w14:textId="77777777" w:rsidR="00C45D59" w:rsidRDefault="009B0962">
            <w:pPr>
              <w:pStyle w:val="P68B1DB1-Normal10"/>
              <w:spacing w:after="0" w:line="240" w:lineRule="auto"/>
              <w:jc w:val="center"/>
              <w:rPr>
                <w:rFonts w:eastAsia="Times New Roman" w:cs="Times New Roman"/>
                <w:bCs/>
                <w:noProof/>
                <w:szCs w:val="18"/>
              </w:rPr>
            </w:pPr>
            <w:r>
              <w:rPr>
                <w:noProof/>
              </w:rPr>
              <w:t>Măsură conexă (reformă sau investiții)</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8AB8E68" w14:textId="2E37F2A3" w:rsidR="00C45D59" w:rsidRDefault="009B0962">
            <w:pPr>
              <w:pStyle w:val="P68B1DB1-Normal10"/>
              <w:spacing w:after="0" w:line="240" w:lineRule="auto"/>
              <w:jc w:val="center"/>
              <w:rPr>
                <w:rFonts w:eastAsia="Times New Roman" w:cs="Times New Roman"/>
                <w:bCs/>
                <w:noProof/>
                <w:szCs w:val="18"/>
              </w:rPr>
            </w:pPr>
            <w:r>
              <w:rPr>
                <w:noProof/>
              </w:rPr>
              <w:t>Etapă/</w:t>
            </w:r>
            <w:r w:rsidR="00892E7E">
              <w:rPr>
                <w:noProof/>
              </w:rPr>
              <w:t xml:space="preserve"> </w:t>
            </w:r>
            <w:r>
              <w:rPr>
                <w:noProof/>
              </w:rPr>
              <w:t>Obiectiv</w:t>
            </w:r>
          </w:p>
        </w:tc>
        <w:tc>
          <w:tcPr>
            <w:tcW w:w="140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88327B6" w14:textId="57919268" w:rsidR="00C45D59" w:rsidRDefault="00892E7E">
            <w:pPr>
              <w:pStyle w:val="P68B1DB1-Normal10"/>
              <w:spacing w:after="0" w:line="240" w:lineRule="auto"/>
              <w:jc w:val="center"/>
              <w:rPr>
                <w:rFonts w:eastAsia="Times New Roman" w:cs="Times New Roman"/>
                <w:bCs/>
                <w:noProof/>
                <w:szCs w:val="18"/>
              </w:rPr>
            </w:pPr>
            <w:r>
              <w:rPr>
                <w:noProof/>
              </w:rPr>
              <w:t>Denumire</w:t>
            </w:r>
          </w:p>
        </w:tc>
        <w:tc>
          <w:tcPr>
            <w:tcW w:w="180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A975BBE" w14:textId="77777777" w:rsidR="00C45D59" w:rsidRDefault="009B0962">
            <w:pPr>
              <w:pStyle w:val="P68B1DB1-Normal10"/>
              <w:spacing w:after="0" w:line="240" w:lineRule="auto"/>
              <w:jc w:val="center"/>
              <w:rPr>
                <w:rFonts w:eastAsia="Times New Roman" w:cs="Times New Roman"/>
                <w:bCs/>
                <w:noProof/>
                <w:szCs w:val="18"/>
              </w:rPr>
            </w:pPr>
            <w:r>
              <w:rPr>
                <w:noProof/>
              </w:rPr>
              <w:t>Indicatori calitativi (pentru obiectivele de etapă)</w:t>
            </w:r>
          </w:p>
        </w:tc>
        <w:tc>
          <w:tcPr>
            <w:tcW w:w="2852"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6BA74DB4" w14:textId="77777777" w:rsidR="00C45D59" w:rsidRDefault="009B0962">
            <w:pPr>
              <w:pStyle w:val="P68B1DB1-Normal36"/>
              <w:spacing w:after="0" w:line="240" w:lineRule="auto"/>
              <w:jc w:val="center"/>
              <w:rPr>
                <w:rFonts w:ascii="Times New Roman" w:eastAsia="Times New Roman" w:hAnsi="Times New Roman" w:cs="Times New Roman"/>
                <w:b/>
                <w:bCs/>
                <w:noProof/>
                <w:szCs w:val="18"/>
              </w:rPr>
            </w:pPr>
            <w:r>
              <w:rPr>
                <w:rFonts w:ascii="Times New Roman" w:hAnsi="Times New Roman"/>
                <w:b/>
                <w:noProof/>
              </w:rPr>
              <w:t>Indicatori cantitativi</w:t>
            </w:r>
            <w:r>
              <w:rPr>
                <w:rFonts w:ascii="Times New Roman" w:hAnsi="Times New Roman" w:cs="Times New Roman"/>
                <w:noProof/>
                <w:szCs w:val="18"/>
              </w:rPr>
              <w:t xml:space="preserve"> </w:t>
            </w:r>
            <w:r>
              <w:rPr>
                <w:rFonts w:ascii="Times New Roman" w:hAnsi="Times New Roman"/>
                <w:b/>
                <w:noProof/>
              </w:rPr>
              <w:t>(pentru ținte)</w:t>
            </w:r>
          </w:p>
        </w:tc>
        <w:tc>
          <w:tcPr>
            <w:tcW w:w="2467" w:type="dxa"/>
            <w:gridSpan w:val="2"/>
            <w:tcBorders>
              <w:top w:val="single" w:sz="4" w:space="0" w:color="auto"/>
              <w:left w:val="nil"/>
              <w:bottom w:val="single" w:sz="4" w:space="0" w:color="auto"/>
              <w:right w:val="single" w:sz="4" w:space="0" w:color="auto"/>
            </w:tcBorders>
            <w:shd w:val="clear" w:color="auto" w:fill="BDD7EE"/>
            <w:vAlign w:val="center"/>
            <w:hideMark/>
          </w:tcPr>
          <w:p w14:paraId="0C5CEFC0" w14:textId="77777777" w:rsidR="00C45D59" w:rsidRDefault="009B0962">
            <w:pPr>
              <w:pStyle w:val="P68B1DB1-Normal10"/>
              <w:spacing w:after="0" w:line="240" w:lineRule="auto"/>
              <w:jc w:val="center"/>
              <w:rPr>
                <w:rFonts w:eastAsia="Times New Roman" w:cs="Times New Roman"/>
                <w:bCs/>
                <w:noProof/>
                <w:szCs w:val="18"/>
              </w:rPr>
            </w:pPr>
            <w:r>
              <w:rPr>
                <w:noProof/>
              </w:rPr>
              <w:t xml:space="preserve">Calendar orientativ pentru finalizare </w:t>
            </w:r>
          </w:p>
        </w:tc>
        <w:tc>
          <w:tcPr>
            <w:tcW w:w="341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46647E1" w14:textId="77777777" w:rsidR="00C45D59" w:rsidRDefault="009B0962">
            <w:pPr>
              <w:pStyle w:val="P68B1DB1-Normal10"/>
              <w:spacing w:after="0" w:line="240" w:lineRule="auto"/>
              <w:jc w:val="center"/>
              <w:rPr>
                <w:rFonts w:eastAsia="Times New Roman" w:cs="Times New Roman"/>
                <w:bCs/>
                <w:noProof/>
                <w:szCs w:val="18"/>
              </w:rPr>
            </w:pPr>
            <w:r>
              <w:rPr>
                <w:noProof/>
              </w:rPr>
              <w:t>Descrierea fiecărui jalon și a fiecărei ținte</w:t>
            </w:r>
          </w:p>
        </w:tc>
      </w:tr>
      <w:tr w:rsidR="00C45D59" w14:paraId="35538512" w14:textId="77777777">
        <w:trPr>
          <w:trHeight w:val="464"/>
          <w:tblHeader/>
          <w:jc w:val="center"/>
        </w:trPr>
        <w:tc>
          <w:tcPr>
            <w:tcW w:w="675" w:type="dxa"/>
            <w:gridSpan w:val="2"/>
            <w:vMerge/>
            <w:tcBorders>
              <w:top w:val="single" w:sz="4" w:space="0" w:color="auto"/>
              <w:left w:val="single" w:sz="4" w:space="0" w:color="auto"/>
              <w:bottom w:val="single" w:sz="4" w:space="0" w:color="auto"/>
              <w:right w:val="single" w:sz="4" w:space="0" w:color="auto"/>
            </w:tcBorders>
            <w:vAlign w:val="center"/>
            <w:hideMark/>
          </w:tcPr>
          <w:p w14:paraId="35BF3AC1" w14:textId="77777777" w:rsidR="00C45D59" w:rsidRDefault="00C45D59">
            <w:pPr>
              <w:spacing w:after="0" w:line="240" w:lineRule="auto"/>
              <w:rPr>
                <w:rFonts w:ascii="Times New Roman" w:eastAsia="Times New Roman" w:hAnsi="Times New Roman" w:cs="Times New Roman"/>
                <w:b/>
                <w:bCs/>
                <w:noProof/>
                <w:sz w:val="18"/>
                <w:szCs w:val="18"/>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043DDCFA" w14:textId="77777777" w:rsidR="00C45D59" w:rsidRDefault="00C45D59">
            <w:pPr>
              <w:spacing w:after="0" w:line="240" w:lineRule="auto"/>
              <w:rPr>
                <w:rFonts w:ascii="Times New Roman" w:eastAsia="Times New Roman" w:hAnsi="Times New Roman" w:cs="Times New Roman"/>
                <w:b/>
                <w:bCs/>
                <w:noProof/>
                <w:sz w:val="18"/>
                <w:szCs w:val="18"/>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545314A6" w14:textId="77777777" w:rsidR="00C45D59" w:rsidRDefault="00C45D59">
            <w:pPr>
              <w:spacing w:after="0" w:line="240" w:lineRule="auto"/>
              <w:rPr>
                <w:rFonts w:ascii="Times New Roman" w:eastAsia="Times New Roman" w:hAnsi="Times New Roman" w:cs="Times New Roman"/>
                <w:b/>
                <w:bCs/>
                <w:noProof/>
                <w:sz w:val="18"/>
                <w:szCs w:val="18"/>
              </w:rPr>
            </w:pPr>
          </w:p>
        </w:tc>
        <w:tc>
          <w:tcPr>
            <w:tcW w:w="1409" w:type="dxa"/>
            <w:vMerge/>
            <w:tcBorders>
              <w:top w:val="single" w:sz="4" w:space="0" w:color="auto"/>
              <w:left w:val="single" w:sz="4" w:space="0" w:color="auto"/>
              <w:bottom w:val="single" w:sz="4" w:space="0" w:color="auto"/>
              <w:right w:val="single" w:sz="4" w:space="0" w:color="auto"/>
            </w:tcBorders>
            <w:vAlign w:val="center"/>
            <w:hideMark/>
          </w:tcPr>
          <w:p w14:paraId="124BF621" w14:textId="77777777" w:rsidR="00C45D59" w:rsidRDefault="00C45D59">
            <w:pPr>
              <w:spacing w:after="0" w:line="240" w:lineRule="auto"/>
              <w:rPr>
                <w:rFonts w:ascii="Times New Roman" w:eastAsia="Times New Roman" w:hAnsi="Times New Roman" w:cs="Times New Roman"/>
                <w:b/>
                <w:bCs/>
                <w:noProof/>
                <w:sz w:val="18"/>
                <w:szCs w:val="18"/>
              </w:rPr>
            </w:pPr>
          </w:p>
        </w:tc>
        <w:tc>
          <w:tcPr>
            <w:tcW w:w="1803" w:type="dxa"/>
            <w:vMerge/>
            <w:tcBorders>
              <w:top w:val="single" w:sz="4" w:space="0" w:color="auto"/>
              <w:left w:val="single" w:sz="4" w:space="0" w:color="auto"/>
              <w:bottom w:val="single" w:sz="4" w:space="0" w:color="auto"/>
              <w:right w:val="single" w:sz="4" w:space="0" w:color="auto"/>
            </w:tcBorders>
            <w:vAlign w:val="center"/>
            <w:hideMark/>
          </w:tcPr>
          <w:p w14:paraId="072E10F4" w14:textId="77777777" w:rsidR="00C45D59" w:rsidRDefault="00C45D59">
            <w:pPr>
              <w:spacing w:after="0" w:line="240" w:lineRule="auto"/>
              <w:rPr>
                <w:rFonts w:ascii="Times New Roman" w:eastAsia="Times New Roman" w:hAnsi="Times New Roman" w:cs="Times New Roman"/>
                <w:b/>
                <w:bCs/>
                <w:noProof/>
                <w:sz w:val="18"/>
                <w:szCs w:val="18"/>
              </w:rPr>
            </w:pPr>
          </w:p>
        </w:tc>
        <w:tc>
          <w:tcPr>
            <w:tcW w:w="1065"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0D4D26A1" w14:textId="77777777" w:rsidR="00C45D59" w:rsidRDefault="009B0962">
            <w:pPr>
              <w:pStyle w:val="P68B1DB1-Normal10"/>
              <w:spacing w:after="0" w:line="240" w:lineRule="auto"/>
              <w:jc w:val="center"/>
              <w:rPr>
                <w:rFonts w:eastAsia="Times New Roman" w:cs="Times New Roman"/>
                <w:bCs/>
                <w:noProof/>
                <w:szCs w:val="18"/>
              </w:rPr>
            </w:pPr>
            <w:r>
              <w:rPr>
                <w:noProof/>
              </w:rPr>
              <w:t>Unitatea de măsură</w:t>
            </w:r>
          </w:p>
        </w:tc>
        <w:tc>
          <w:tcPr>
            <w:tcW w:w="961"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63CF94A0" w14:textId="77777777" w:rsidR="00C45D59" w:rsidRDefault="009B0962">
            <w:pPr>
              <w:pStyle w:val="P68B1DB1-Normal10"/>
              <w:spacing w:after="0" w:line="240" w:lineRule="auto"/>
              <w:jc w:val="center"/>
              <w:rPr>
                <w:rFonts w:eastAsia="Times New Roman" w:cs="Times New Roman"/>
                <w:bCs/>
                <w:noProof/>
                <w:szCs w:val="18"/>
              </w:rPr>
            </w:pPr>
            <w:r>
              <w:rPr>
                <w:noProof/>
              </w:rPr>
              <w:t xml:space="preserve">Situația de referință </w:t>
            </w:r>
          </w:p>
        </w:tc>
        <w:tc>
          <w:tcPr>
            <w:tcW w:w="826"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2D85A96C" w14:textId="77777777" w:rsidR="00C45D59" w:rsidRDefault="009B0962">
            <w:pPr>
              <w:pStyle w:val="P68B1DB1-Normal10"/>
              <w:spacing w:after="0" w:line="240" w:lineRule="auto"/>
              <w:jc w:val="center"/>
              <w:rPr>
                <w:rFonts w:eastAsia="Times New Roman" w:cs="Times New Roman"/>
                <w:bCs/>
                <w:noProof/>
                <w:szCs w:val="18"/>
              </w:rPr>
            </w:pPr>
            <w:r>
              <w:rPr>
                <w:noProof/>
              </w:rPr>
              <w:t xml:space="preserve">Obiectiv </w:t>
            </w:r>
          </w:p>
        </w:tc>
        <w:tc>
          <w:tcPr>
            <w:tcW w:w="1098"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7BC17244" w14:textId="77777777" w:rsidR="00C45D59" w:rsidRDefault="009B0962">
            <w:pPr>
              <w:pStyle w:val="P68B1DB1-Normal10"/>
              <w:spacing w:after="0" w:line="240" w:lineRule="auto"/>
              <w:jc w:val="center"/>
              <w:rPr>
                <w:rFonts w:eastAsia="Times New Roman" w:cs="Times New Roman"/>
                <w:bCs/>
                <w:noProof/>
                <w:szCs w:val="18"/>
              </w:rPr>
            </w:pPr>
            <w:r>
              <w:rPr>
                <w:noProof/>
              </w:rPr>
              <w:t>Trimestru</w:t>
            </w:r>
          </w:p>
        </w:tc>
        <w:tc>
          <w:tcPr>
            <w:tcW w:w="1369"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47499955" w14:textId="77777777" w:rsidR="00C45D59" w:rsidRDefault="009B0962">
            <w:pPr>
              <w:pStyle w:val="P68B1DB1-Normal10"/>
              <w:spacing w:after="0" w:line="240" w:lineRule="auto"/>
              <w:jc w:val="center"/>
              <w:rPr>
                <w:rFonts w:eastAsia="Times New Roman" w:cs="Times New Roman"/>
                <w:bCs/>
                <w:noProof/>
                <w:szCs w:val="18"/>
              </w:rPr>
            </w:pPr>
            <w:r>
              <w:rPr>
                <w:noProof/>
              </w:rPr>
              <w:t>Anul</w:t>
            </w:r>
          </w:p>
        </w:tc>
        <w:tc>
          <w:tcPr>
            <w:tcW w:w="3410" w:type="dxa"/>
            <w:vMerge/>
            <w:tcBorders>
              <w:top w:val="single" w:sz="4" w:space="0" w:color="auto"/>
              <w:left w:val="single" w:sz="4" w:space="0" w:color="auto"/>
              <w:bottom w:val="single" w:sz="4" w:space="0" w:color="auto"/>
              <w:right w:val="single" w:sz="4" w:space="0" w:color="auto"/>
            </w:tcBorders>
            <w:vAlign w:val="center"/>
            <w:hideMark/>
          </w:tcPr>
          <w:p w14:paraId="6D8C2AD1" w14:textId="77777777" w:rsidR="00C45D59" w:rsidRDefault="00C45D59">
            <w:pPr>
              <w:spacing w:after="0" w:line="240" w:lineRule="auto"/>
              <w:rPr>
                <w:rFonts w:ascii="Times New Roman" w:eastAsia="Times New Roman" w:hAnsi="Times New Roman" w:cs="Times New Roman"/>
                <w:b/>
                <w:bCs/>
                <w:noProof/>
                <w:sz w:val="18"/>
                <w:szCs w:val="18"/>
              </w:rPr>
            </w:pPr>
          </w:p>
        </w:tc>
      </w:tr>
      <w:tr w:rsidR="00C45D59" w14:paraId="6C49D787" w14:textId="77777777">
        <w:trPr>
          <w:gridBefore w:val="1"/>
          <w:wBefore w:w="6" w:type="dxa"/>
          <w:trHeight w:val="313"/>
          <w:jc w:val="center"/>
        </w:trPr>
        <w:tc>
          <w:tcPr>
            <w:tcW w:w="669" w:type="dxa"/>
            <w:tcBorders>
              <w:top w:val="single" w:sz="4" w:space="0" w:color="auto"/>
              <w:left w:val="single" w:sz="4" w:space="0" w:color="auto"/>
              <w:bottom w:val="single" w:sz="4" w:space="0" w:color="auto"/>
              <w:right w:val="single" w:sz="4" w:space="0" w:color="auto"/>
            </w:tcBorders>
            <w:shd w:val="clear" w:color="auto" w:fill="C6EFCE"/>
            <w:noWrap/>
          </w:tcPr>
          <w:p w14:paraId="6024C1CE" w14:textId="77777777" w:rsidR="00C45D59" w:rsidRDefault="009B0962">
            <w:pPr>
              <w:pStyle w:val="P68B1DB1-Normal12"/>
              <w:spacing w:after="0" w:line="240" w:lineRule="auto"/>
              <w:rPr>
                <w:rFonts w:eastAsia="Times New Roman"/>
                <w:noProof/>
              </w:rPr>
            </w:pPr>
            <w:r>
              <w:rPr>
                <w:noProof/>
              </w:rPr>
              <w:t>190</w:t>
            </w:r>
          </w:p>
        </w:tc>
        <w:tc>
          <w:tcPr>
            <w:tcW w:w="2410" w:type="dxa"/>
            <w:tcBorders>
              <w:top w:val="single" w:sz="4" w:space="0" w:color="auto"/>
              <w:left w:val="nil"/>
              <w:bottom w:val="single" w:sz="4" w:space="0" w:color="auto"/>
              <w:right w:val="single" w:sz="4" w:space="0" w:color="auto"/>
            </w:tcBorders>
            <w:shd w:val="clear" w:color="auto" w:fill="C6EFCE"/>
            <w:noWrap/>
          </w:tcPr>
          <w:p w14:paraId="7D2BD380" w14:textId="77777777" w:rsidR="00C45D59" w:rsidRDefault="009B0962">
            <w:pPr>
              <w:pStyle w:val="P68B1DB1-Normal12"/>
              <w:spacing w:after="0" w:line="240" w:lineRule="auto"/>
              <w:rPr>
                <w:rFonts w:eastAsia="Times New Roman"/>
                <w:noProof/>
              </w:rPr>
            </w:pPr>
            <w:r>
              <w:rPr>
                <w:noProof/>
              </w:rPr>
              <w:t>12-4.1. O fiscalitate mai favorabilă creșterii economice și o mai bună administrare fiscală și colectare a impozitelor – 16656_Un nou cadru pentru combaterea contrabandei, în special pentru produsele supuse accizelor (tutun, alcool și energie)</w:t>
            </w:r>
          </w:p>
        </w:tc>
        <w:tc>
          <w:tcPr>
            <w:tcW w:w="1134" w:type="dxa"/>
            <w:tcBorders>
              <w:top w:val="single" w:sz="4" w:space="0" w:color="auto"/>
              <w:left w:val="nil"/>
              <w:bottom w:val="single" w:sz="4" w:space="0" w:color="auto"/>
              <w:right w:val="single" w:sz="4" w:space="0" w:color="auto"/>
            </w:tcBorders>
            <w:shd w:val="clear" w:color="auto" w:fill="C6EFCE"/>
            <w:noWrap/>
          </w:tcPr>
          <w:p w14:paraId="155DC346" w14:textId="77777777" w:rsidR="00C45D59" w:rsidRDefault="009B0962">
            <w:pPr>
              <w:pStyle w:val="P68B1DB1-Normal12"/>
              <w:spacing w:after="0" w:line="240" w:lineRule="auto"/>
              <w:rPr>
                <w:rFonts w:eastAsia="Times New Roman"/>
                <w:noProof/>
              </w:rPr>
            </w:pPr>
            <w:r>
              <w:rPr>
                <w:noProof/>
              </w:rPr>
              <w:t>Etapă</w:t>
            </w:r>
          </w:p>
        </w:tc>
        <w:tc>
          <w:tcPr>
            <w:tcW w:w="1409" w:type="dxa"/>
            <w:tcBorders>
              <w:top w:val="single" w:sz="4" w:space="0" w:color="auto"/>
              <w:left w:val="nil"/>
              <w:bottom w:val="single" w:sz="4" w:space="0" w:color="auto"/>
              <w:right w:val="single" w:sz="4" w:space="0" w:color="auto"/>
            </w:tcBorders>
            <w:shd w:val="clear" w:color="auto" w:fill="C6EFCE"/>
            <w:noWrap/>
          </w:tcPr>
          <w:p w14:paraId="49190BF4" w14:textId="77777777" w:rsidR="00C45D59" w:rsidRDefault="009B0962">
            <w:pPr>
              <w:pStyle w:val="P68B1DB1-Normal12"/>
              <w:spacing w:after="0" w:line="240" w:lineRule="auto"/>
              <w:rPr>
                <w:rFonts w:eastAsia="Times New Roman"/>
                <w:noProof/>
              </w:rPr>
            </w:pPr>
            <w:r>
              <w:rPr>
                <w:noProof/>
              </w:rPr>
              <w:t>Combaterea introducerii ilegale de migranți – foaie de parcurs privind deciziile de reglementare</w:t>
            </w:r>
          </w:p>
        </w:tc>
        <w:tc>
          <w:tcPr>
            <w:tcW w:w="1803" w:type="dxa"/>
            <w:tcBorders>
              <w:top w:val="single" w:sz="4" w:space="0" w:color="auto"/>
              <w:left w:val="nil"/>
              <w:bottom w:val="single" w:sz="4" w:space="0" w:color="auto"/>
              <w:right w:val="single" w:sz="4" w:space="0" w:color="auto"/>
            </w:tcBorders>
            <w:shd w:val="clear" w:color="auto" w:fill="C6EFCE"/>
            <w:noWrap/>
          </w:tcPr>
          <w:p w14:paraId="60EC59F8" w14:textId="77777777" w:rsidR="00C45D59" w:rsidRDefault="009B0962">
            <w:pPr>
              <w:pStyle w:val="P68B1DB1-Normal12"/>
              <w:spacing w:after="0" w:line="240" w:lineRule="auto"/>
              <w:rPr>
                <w:rFonts w:eastAsia="Times New Roman"/>
                <w:noProof/>
              </w:rPr>
            </w:pPr>
            <w:r>
              <w:rPr>
                <w:noProof/>
              </w:rPr>
              <w:t>Raportul Autorității Independente pentru Venituri Publice care conține foaia de parcurs pentru deciziile/circularele legate de combaterea introducerii ilegale de migranți.</w:t>
            </w:r>
          </w:p>
        </w:tc>
        <w:tc>
          <w:tcPr>
            <w:tcW w:w="1065" w:type="dxa"/>
            <w:tcBorders>
              <w:top w:val="single" w:sz="4" w:space="0" w:color="auto"/>
              <w:left w:val="nil"/>
              <w:bottom w:val="single" w:sz="4" w:space="0" w:color="auto"/>
              <w:right w:val="single" w:sz="4" w:space="0" w:color="auto"/>
            </w:tcBorders>
            <w:shd w:val="clear" w:color="auto" w:fill="C6EFCE"/>
            <w:noWrap/>
          </w:tcPr>
          <w:p w14:paraId="66446020"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961" w:type="dxa"/>
            <w:tcBorders>
              <w:top w:val="single" w:sz="4" w:space="0" w:color="auto"/>
              <w:left w:val="nil"/>
              <w:bottom w:val="single" w:sz="4" w:space="0" w:color="auto"/>
              <w:right w:val="single" w:sz="4" w:space="0" w:color="auto"/>
            </w:tcBorders>
            <w:shd w:val="clear" w:color="auto" w:fill="C6EFCE"/>
            <w:noWrap/>
          </w:tcPr>
          <w:p w14:paraId="68288E14"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26" w:type="dxa"/>
            <w:tcBorders>
              <w:top w:val="single" w:sz="4" w:space="0" w:color="auto"/>
              <w:left w:val="nil"/>
              <w:bottom w:val="single" w:sz="4" w:space="0" w:color="auto"/>
              <w:right w:val="single" w:sz="4" w:space="0" w:color="auto"/>
            </w:tcBorders>
            <w:shd w:val="clear" w:color="auto" w:fill="C6EFCE"/>
            <w:noWrap/>
          </w:tcPr>
          <w:p w14:paraId="76DF8907"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098" w:type="dxa"/>
            <w:tcBorders>
              <w:top w:val="single" w:sz="4" w:space="0" w:color="auto"/>
              <w:left w:val="nil"/>
              <w:bottom w:val="single" w:sz="4" w:space="0" w:color="auto"/>
              <w:right w:val="single" w:sz="4" w:space="0" w:color="auto"/>
            </w:tcBorders>
            <w:shd w:val="clear" w:color="auto" w:fill="C6EFCE"/>
            <w:noWrap/>
          </w:tcPr>
          <w:p w14:paraId="7898C3BB" w14:textId="77777777" w:rsidR="00C45D59" w:rsidRDefault="009B0962">
            <w:pPr>
              <w:pStyle w:val="P68B1DB1-Normal12"/>
              <w:spacing w:after="0" w:line="240" w:lineRule="auto"/>
              <w:rPr>
                <w:rFonts w:eastAsia="Times New Roman"/>
                <w:noProof/>
              </w:rPr>
            </w:pPr>
            <w:r>
              <w:rPr>
                <w:noProof/>
              </w:rPr>
              <w:t>Î1</w:t>
            </w:r>
          </w:p>
        </w:tc>
        <w:tc>
          <w:tcPr>
            <w:tcW w:w="1369" w:type="dxa"/>
            <w:tcBorders>
              <w:top w:val="single" w:sz="4" w:space="0" w:color="auto"/>
              <w:left w:val="nil"/>
              <w:bottom w:val="single" w:sz="4" w:space="0" w:color="auto"/>
              <w:right w:val="single" w:sz="4" w:space="0" w:color="auto"/>
            </w:tcBorders>
            <w:shd w:val="clear" w:color="auto" w:fill="C6EFCE"/>
            <w:noWrap/>
          </w:tcPr>
          <w:p w14:paraId="1799D63F" w14:textId="77777777" w:rsidR="00C45D59" w:rsidRDefault="009B0962">
            <w:pPr>
              <w:pStyle w:val="P68B1DB1-Normal12"/>
              <w:spacing w:after="0" w:line="240" w:lineRule="auto"/>
              <w:rPr>
                <w:rFonts w:eastAsia="Times New Roman"/>
                <w:noProof/>
              </w:rPr>
            </w:pPr>
            <w:r>
              <w:rPr>
                <w:noProof/>
              </w:rPr>
              <w:t>2022</w:t>
            </w:r>
          </w:p>
        </w:tc>
        <w:tc>
          <w:tcPr>
            <w:tcW w:w="3410" w:type="dxa"/>
            <w:tcBorders>
              <w:top w:val="single" w:sz="4" w:space="0" w:color="auto"/>
              <w:left w:val="single" w:sz="4" w:space="0" w:color="auto"/>
              <w:bottom w:val="single" w:sz="4" w:space="0" w:color="auto"/>
              <w:right w:val="single" w:sz="4" w:space="0" w:color="auto"/>
            </w:tcBorders>
            <w:shd w:val="clear" w:color="auto" w:fill="C6EFCE"/>
            <w:noWrap/>
          </w:tcPr>
          <w:p w14:paraId="03BCE55D" w14:textId="77777777" w:rsidR="00C45D59" w:rsidRDefault="009B0962">
            <w:pPr>
              <w:pStyle w:val="P68B1DB1-Normal12"/>
              <w:spacing w:after="0" w:line="240" w:lineRule="auto"/>
              <w:rPr>
                <w:rFonts w:eastAsia="Times New Roman"/>
                <w:noProof/>
              </w:rPr>
            </w:pPr>
            <w:r>
              <w:rPr>
                <w:noProof/>
              </w:rPr>
              <w:t>Autoritatea Independentă pentru Venituri Publice adoptă o foaie de parcurs (inclusiv un calendar) pentru emiterea deciziilor/circularelor legate de reforma cadrului juridic privind combaterea introducerii ilegale de migranți.</w:t>
            </w:r>
          </w:p>
          <w:p w14:paraId="00B7D64A" w14:textId="77777777" w:rsidR="00C45D59" w:rsidRDefault="00C45D59">
            <w:pPr>
              <w:spacing w:after="0" w:line="240" w:lineRule="auto"/>
              <w:rPr>
                <w:rFonts w:ascii="Times New Roman" w:eastAsia="Times New Roman" w:hAnsi="Times New Roman" w:cs="Times New Roman"/>
                <w:noProof/>
                <w:color w:val="006100"/>
                <w:sz w:val="18"/>
                <w:szCs w:val="18"/>
              </w:rPr>
            </w:pPr>
          </w:p>
          <w:p w14:paraId="27A47C86" w14:textId="77777777" w:rsidR="00C45D59" w:rsidRDefault="009B0962">
            <w:pPr>
              <w:pStyle w:val="P68B1DB1-Normal12"/>
              <w:spacing w:after="0" w:line="240" w:lineRule="auto"/>
              <w:rPr>
                <w:rFonts w:eastAsia="Times New Roman"/>
                <w:noProof/>
              </w:rPr>
            </w:pPr>
            <w:r>
              <w:rPr>
                <w:noProof/>
              </w:rPr>
              <w:t>Autoritatea Independentă pentru Venituri Publice emite un raport privind foaia de parcurs pentru emiterea deciziilor/circularelor, detaliind etapele necesare pentru reproiectarea sistemelor informatice operaționale ICISNET și ELENXIS, cu scopul de a acorda în mod eficace prioritate riscurilor de neconformitate și de a genera cele mai bune profiluri de audit posibile, utilizând informații din bazele de date ale Uniunii Europene și naționale.</w:t>
            </w:r>
          </w:p>
        </w:tc>
      </w:tr>
      <w:tr w:rsidR="00C45D59" w14:paraId="3298A682" w14:textId="77777777">
        <w:trPr>
          <w:gridBefore w:val="1"/>
          <w:wBefore w:w="6" w:type="dxa"/>
          <w:trHeight w:val="313"/>
          <w:jc w:val="center"/>
        </w:trPr>
        <w:tc>
          <w:tcPr>
            <w:tcW w:w="669" w:type="dxa"/>
            <w:tcBorders>
              <w:top w:val="nil"/>
              <w:left w:val="single" w:sz="4" w:space="0" w:color="auto"/>
              <w:bottom w:val="single" w:sz="4" w:space="0" w:color="auto"/>
              <w:right w:val="single" w:sz="4" w:space="0" w:color="auto"/>
            </w:tcBorders>
            <w:shd w:val="clear" w:color="auto" w:fill="C6EFCE"/>
            <w:noWrap/>
          </w:tcPr>
          <w:p w14:paraId="67DE39E2" w14:textId="77777777" w:rsidR="00C45D59" w:rsidRDefault="009B0962">
            <w:pPr>
              <w:pStyle w:val="P68B1DB1-Normal12"/>
              <w:spacing w:after="0" w:line="240" w:lineRule="auto"/>
              <w:rPr>
                <w:rFonts w:eastAsia="Times New Roman"/>
                <w:noProof/>
              </w:rPr>
            </w:pPr>
            <w:r>
              <w:rPr>
                <w:noProof/>
              </w:rPr>
              <w:t>191</w:t>
            </w:r>
          </w:p>
        </w:tc>
        <w:tc>
          <w:tcPr>
            <w:tcW w:w="2410" w:type="dxa"/>
            <w:tcBorders>
              <w:top w:val="nil"/>
              <w:left w:val="nil"/>
              <w:bottom w:val="single" w:sz="4" w:space="0" w:color="auto"/>
              <w:right w:val="single" w:sz="4" w:space="0" w:color="auto"/>
            </w:tcBorders>
            <w:shd w:val="clear" w:color="auto" w:fill="C6EFCE"/>
            <w:noWrap/>
          </w:tcPr>
          <w:p w14:paraId="535F819F" w14:textId="77777777" w:rsidR="00C45D59" w:rsidRDefault="009B0962">
            <w:pPr>
              <w:pStyle w:val="P68B1DB1-Normal12"/>
              <w:spacing w:after="0" w:line="240" w:lineRule="auto"/>
              <w:rPr>
                <w:rFonts w:eastAsia="Times New Roman"/>
                <w:noProof/>
              </w:rPr>
            </w:pPr>
            <w:r>
              <w:rPr>
                <w:noProof/>
              </w:rPr>
              <w:t>12-4.1. O fiscalitate mai favorabilă creșterii economice și o mai bună administrare fiscală și colectare a impozitelor – 16656_Un nou cadru pentru combaterea contrabandei, în special pentru produsele supuse accizelor (tutun, alcool și energie)</w:t>
            </w:r>
          </w:p>
        </w:tc>
        <w:tc>
          <w:tcPr>
            <w:tcW w:w="1134" w:type="dxa"/>
            <w:tcBorders>
              <w:top w:val="nil"/>
              <w:left w:val="nil"/>
              <w:bottom w:val="single" w:sz="4" w:space="0" w:color="auto"/>
              <w:right w:val="single" w:sz="4" w:space="0" w:color="auto"/>
            </w:tcBorders>
            <w:shd w:val="clear" w:color="auto" w:fill="C6EFCE"/>
            <w:noWrap/>
          </w:tcPr>
          <w:p w14:paraId="11FC8788" w14:textId="77777777" w:rsidR="00C45D59" w:rsidRDefault="009B0962">
            <w:pPr>
              <w:pStyle w:val="P68B1DB1-Normal12"/>
              <w:spacing w:after="0" w:line="240" w:lineRule="auto"/>
              <w:rPr>
                <w:rFonts w:eastAsia="Times New Roman"/>
                <w:noProof/>
              </w:rPr>
            </w:pPr>
            <w:r>
              <w:rPr>
                <w:noProof/>
              </w:rPr>
              <w:t>Etapă</w:t>
            </w:r>
          </w:p>
        </w:tc>
        <w:tc>
          <w:tcPr>
            <w:tcW w:w="1409" w:type="dxa"/>
            <w:tcBorders>
              <w:top w:val="nil"/>
              <w:left w:val="nil"/>
              <w:bottom w:val="single" w:sz="4" w:space="0" w:color="auto"/>
              <w:right w:val="single" w:sz="4" w:space="0" w:color="auto"/>
            </w:tcBorders>
            <w:shd w:val="clear" w:color="auto" w:fill="C6EFCE"/>
            <w:noWrap/>
          </w:tcPr>
          <w:p w14:paraId="1FE82CEC" w14:textId="77777777" w:rsidR="00C45D59" w:rsidRDefault="009B0962">
            <w:pPr>
              <w:pStyle w:val="P68B1DB1-Normal12"/>
              <w:spacing w:after="0" w:line="240" w:lineRule="auto"/>
              <w:rPr>
                <w:rFonts w:eastAsia="Times New Roman"/>
                <w:noProof/>
              </w:rPr>
            </w:pPr>
            <w:r>
              <w:rPr>
                <w:noProof/>
              </w:rPr>
              <w:t>Combaterea introducerii ilegale de migranți – intrarea în vigoare a deciziilor de reglementare</w:t>
            </w:r>
          </w:p>
        </w:tc>
        <w:tc>
          <w:tcPr>
            <w:tcW w:w="1803" w:type="dxa"/>
            <w:tcBorders>
              <w:top w:val="nil"/>
              <w:left w:val="nil"/>
              <w:bottom w:val="single" w:sz="4" w:space="0" w:color="auto"/>
              <w:right w:val="single" w:sz="4" w:space="0" w:color="auto"/>
            </w:tcBorders>
            <w:shd w:val="clear" w:color="auto" w:fill="C6EFCE"/>
            <w:noWrap/>
          </w:tcPr>
          <w:p w14:paraId="29101C46" w14:textId="77777777" w:rsidR="00C45D59" w:rsidRDefault="009B0962">
            <w:pPr>
              <w:pStyle w:val="P68B1DB1-Normal12"/>
              <w:spacing w:after="0" w:line="240" w:lineRule="auto"/>
              <w:rPr>
                <w:rFonts w:eastAsia="Times New Roman"/>
                <w:noProof/>
              </w:rPr>
            </w:pPr>
            <w:r>
              <w:rPr>
                <w:noProof/>
              </w:rPr>
              <w:t>Deciziile/circularele de reglementare au intrat în vigoare.</w:t>
            </w:r>
          </w:p>
        </w:tc>
        <w:tc>
          <w:tcPr>
            <w:tcW w:w="1065" w:type="dxa"/>
            <w:tcBorders>
              <w:top w:val="nil"/>
              <w:left w:val="nil"/>
              <w:bottom w:val="single" w:sz="4" w:space="0" w:color="auto"/>
              <w:right w:val="single" w:sz="4" w:space="0" w:color="auto"/>
            </w:tcBorders>
            <w:shd w:val="clear" w:color="auto" w:fill="C6EFCE"/>
            <w:noWrap/>
          </w:tcPr>
          <w:p w14:paraId="6A19684B"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961" w:type="dxa"/>
            <w:tcBorders>
              <w:top w:val="nil"/>
              <w:left w:val="nil"/>
              <w:bottom w:val="single" w:sz="4" w:space="0" w:color="auto"/>
              <w:right w:val="single" w:sz="4" w:space="0" w:color="auto"/>
            </w:tcBorders>
            <w:shd w:val="clear" w:color="auto" w:fill="C6EFCE"/>
            <w:noWrap/>
          </w:tcPr>
          <w:p w14:paraId="6BC2EE4B"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26" w:type="dxa"/>
            <w:tcBorders>
              <w:top w:val="nil"/>
              <w:left w:val="nil"/>
              <w:bottom w:val="single" w:sz="4" w:space="0" w:color="auto"/>
              <w:right w:val="single" w:sz="4" w:space="0" w:color="auto"/>
            </w:tcBorders>
            <w:shd w:val="clear" w:color="auto" w:fill="C6EFCE"/>
            <w:noWrap/>
          </w:tcPr>
          <w:p w14:paraId="303CA66A"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098" w:type="dxa"/>
            <w:tcBorders>
              <w:top w:val="nil"/>
              <w:left w:val="nil"/>
              <w:bottom w:val="single" w:sz="4" w:space="0" w:color="auto"/>
              <w:right w:val="single" w:sz="4" w:space="0" w:color="auto"/>
            </w:tcBorders>
            <w:shd w:val="clear" w:color="auto" w:fill="C6EFCE"/>
            <w:noWrap/>
          </w:tcPr>
          <w:p w14:paraId="21C8EB07" w14:textId="77777777" w:rsidR="00C45D59" w:rsidRDefault="009B0962">
            <w:pPr>
              <w:pStyle w:val="P68B1DB1-Normal12"/>
              <w:spacing w:after="0" w:line="240" w:lineRule="auto"/>
              <w:rPr>
                <w:rFonts w:eastAsia="Times New Roman"/>
                <w:noProof/>
              </w:rPr>
            </w:pPr>
            <w:r>
              <w:rPr>
                <w:noProof/>
              </w:rPr>
              <w:t>Î3</w:t>
            </w:r>
          </w:p>
        </w:tc>
        <w:tc>
          <w:tcPr>
            <w:tcW w:w="1369" w:type="dxa"/>
            <w:tcBorders>
              <w:top w:val="nil"/>
              <w:left w:val="nil"/>
              <w:bottom w:val="single" w:sz="4" w:space="0" w:color="auto"/>
              <w:right w:val="single" w:sz="4" w:space="0" w:color="auto"/>
            </w:tcBorders>
            <w:shd w:val="clear" w:color="auto" w:fill="C6EFCE"/>
            <w:noWrap/>
          </w:tcPr>
          <w:p w14:paraId="33ED4010" w14:textId="77777777" w:rsidR="00C45D59" w:rsidRDefault="009B0962">
            <w:pPr>
              <w:pStyle w:val="P68B1DB1-Normal12"/>
              <w:spacing w:after="0" w:line="240" w:lineRule="auto"/>
              <w:rPr>
                <w:rFonts w:eastAsia="Times New Roman"/>
                <w:noProof/>
              </w:rPr>
            </w:pPr>
            <w:r>
              <w:rPr>
                <w:noProof/>
              </w:rPr>
              <w:t>2022</w:t>
            </w:r>
          </w:p>
        </w:tc>
        <w:tc>
          <w:tcPr>
            <w:tcW w:w="3410" w:type="dxa"/>
            <w:tcBorders>
              <w:top w:val="single" w:sz="4" w:space="0" w:color="auto"/>
              <w:left w:val="nil"/>
              <w:bottom w:val="single" w:sz="4" w:space="0" w:color="auto"/>
              <w:right w:val="single" w:sz="4" w:space="0" w:color="auto"/>
            </w:tcBorders>
            <w:shd w:val="clear" w:color="auto" w:fill="C6EFCE"/>
            <w:noWrap/>
          </w:tcPr>
          <w:p w14:paraId="2FBF7B75" w14:textId="77777777" w:rsidR="00C45D59" w:rsidRDefault="009B0962">
            <w:pPr>
              <w:pStyle w:val="P68B1DB1-Normal12"/>
              <w:spacing w:after="0" w:line="240" w:lineRule="auto"/>
              <w:rPr>
                <w:rFonts w:eastAsia="Times New Roman"/>
                <w:noProof/>
              </w:rPr>
            </w:pPr>
            <w:r>
              <w:rPr>
                <w:noProof/>
              </w:rPr>
              <w:t>Intrarea în vigoare a 15 de decizii/circulare de reglementare adoptate de Autoritatea Independentă pentru Venituri Publice cu privire la conceperea unui nou sistem integrat de combatere a introducerii ilegale de migranți.</w:t>
            </w:r>
          </w:p>
          <w:p w14:paraId="5FF00295" w14:textId="77777777" w:rsidR="00C45D59" w:rsidRDefault="00C45D59">
            <w:pPr>
              <w:spacing w:after="0" w:line="240" w:lineRule="auto"/>
              <w:rPr>
                <w:rFonts w:ascii="Times New Roman" w:eastAsia="Times New Roman" w:hAnsi="Times New Roman" w:cs="Times New Roman"/>
                <w:noProof/>
                <w:color w:val="006100"/>
                <w:sz w:val="18"/>
                <w:szCs w:val="18"/>
              </w:rPr>
            </w:pPr>
          </w:p>
          <w:p w14:paraId="159FE81F" w14:textId="77777777" w:rsidR="00C45D59" w:rsidRDefault="009B0962">
            <w:pPr>
              <w:pStyle w:val="P68B1DB1-Normal12"/>
              <w:spacing w:after="0" w:line="240" w:lineRule="auto"/>
              <w:rPr>
                <w:rFonts w:eastAsia="Times New Roman"/>
                <w:noProof/>
              </w:rPr>
            </w:pPr>
            <w:r>
              <w:rPr>
                <w:noProof/>
              </w:rPr>
              <w:t>În conformitate cu foaia de parcurs stabilită până la 31 martie 2022, decizia/circularele intrate în vigoare se referă la pregătirea unui nou sistem integrat care să sprijine procesul de audit prin monitorizarea tranzacțiilor și procedurilor vamale în timp real. Acest sistem funcționează urmărind o direcționare mai bună și mai rapidă a serviciilor vamale de urmărire penală cu supraveghere centrală și în punctele de mare interes.</w:t>
            </w:r>
          </w:p>
        </w:tc>
      </w:tr>
      <w:tr w:rsidR="00C45D59" w14:paraId="06581D34" w14:textId="77777777">
        <w:trPr>
          <w:gridBefore w:val="1"/>
          <w:wBefore w:w="6" w:type="dxa"/>
          <w:trHeight w:val="313"/>
          <w:jc w:val="center"/>
        </w:trPr>
        <w:tc>
          <w:tcPr>
            <w:tcW w:w="669" w:type="dxa"/>
            <w:tcBorders>
              <w:top w:val="nil"/>
              <w:left w:val="single" w:sz="4" w:space="0" w:color="auto"/>
              <w:bottom w:val="single" w:sz="4" w:space="0" w:color="auto"/>
              <w:right w:val="single" w:sz="4" w:space="0" w:color="auto"/>
            </w:tcBorders>
            <w:shd w:val="clear" w:color="auto" w:fill="C6EFCE"/>
            <w:noWrap/>
          </w:tcPr>
          <w:p w14:paraId="25389A60" w14:textId="77777777" w:rsidR="00C45D59" w:rsidRDefault="009B0962">
            <w:pPr>
              <w:pStyle w:val="P68B1DB1-Normal12"/>
              <w:spacing w:after="0" w:line="240" w:lineRule="auto"/>
              <w:rPr>
                <w:rFonts w:eastAsia="Times New Roman"/>
                <w:noProof/>
              </w:rPr>
            </w:pPr>
            <w:r>
              <w:rPr>
                <w:noProof/>
              </w:rPr>
              <w:t>192</w:t>
            </w:r>
          </w:p>
        </w:tc>
        <w:tc>
          <w:tcPr>
            <w:tcW w:w="2410" w:type="dxa"/>
            <w:tcBorders>
              <w:top w:val="nil"/>
              <w:left w:val="nil"/>
              <w:bottom w:val="single" w:sz="4" w:space="0" w:color="auto"/>
              <w:right w:val="single" w:sz="4" w:space="0" w:color="auto"/>
            </w:tcBorders>
            <w:shd w:val="clear" w:color="auto" w:fill="C6EFCE"/>
            <w:noWrap/>
          </w:tcPr>
          <w:p w14:paraId="078723DA" w14:textId="77777777" w:rsidR="00C45D59" w:rsidRDefault="009B0962">
            <w:pPr>
              <w:pStyle w:val="P68B1DB1-Normal12"/>
              <w:spacing w:after="0" w:line="240" w:lineRule="auto"/>
              <w:rPr>
                <w:rFonts w:eastAsia="Times New Roman"/>
                <w:noProof/>
                <w:highlight w:val="yellow"/>
              </w:rPr>
            </w:pPr>
            <w:r>
              <w:rPr>
                <w:noProof/>
              </w:rPr>
              <w:t>12-4.1. O fiscalitate mai favorabilă creșterii economice și o mai bună administrare fiscală și colectare a impozitelor – 16611_Transformarea digitală a auditurilor fiscale</w:t>
            </w:r>
          </w:p>
        </w:tc>
        <w:tc>
          <w:tcPr>
            <w:tcW w:w="1134" w:type="dxa"/>
            <w:tcBorders>
              <w:top w:val="nil"/>
              <w:left w:val="nil"/>
              <w:bottom w:val="single" w:sz="4" w:space="0" w:color="auto"/>
              <w:right w:val="single" w:sz="4" w:space="0" w:color="auto"/>
            </w:tcBorders>
            <w:shd w:val="clear" w:color="auto" w:fill="C6EFCE"/>
            <w:noWrap/>
          </w:tcPr>
          <w:p w14:paraId="667726E7" w14:textId="77777777" w:rsidR="00C45D59" w:rsidRDefault="009B0962">
            <w:pPr>
              <w:pStyle w:val="P68B1DB1-Normal12"/>
              <w:spacing w:after="0" w:line="240" w:lineRule="auto"/>
              <w:rPr>
                <w:rFonts w:eastAsia="Times New Roman"/>
                <w:noProof/>
              </w:rPr>
            </w:pPr>
            <w:r>
              <w:rPr>
                <w:noProof/>
              </w:rPr>
              <w:t>Etapă</w:t>
            </w:r>
          </w:p>
        </w:tc>
        <w:tc>
          <w:tcPr>
            <w:tcW w:w="1409" w:type="dxa"/>
            <w:tcBorders>
              <w:top w:val="nil"/>
              <w:left w:val="nil"/>
              <w:bottom w:val="single" w:sz="4" w:space="0" w:color="auto"/>
              <w:right w:val="single" w:sz="4" w:space="0" w:color="auto"/>
            </w:tcBorders>
            <w:shd w:val="clear" w:color="auto" w:fill="C6EFCE"/>
            <w:noWrap/>
          </w:tcPr>
          <w:p w14:paraId="041C5B6A" w14:textId="77777777" w:rsidR="00C45D59" w:rsidRDefault="009B0962">
            <w:pPr>
              <w:pStyle w:val="P68B1DB1-Normal12"/>
              <w:spacing w:after="0" w:line="240" w:lineRule="auto"/>
              <w:rPr>
                <w:rFonts w:eastAsia="Times New Roman"/>
                <w:noProof/>
              </w:rPr>
            </w:pPr>
            <w:r>
              <w:rPr>
                <w:noProof/>
              </w:rPr>
              <w:t>Audituri fiscale – Mydata și informații bancare</w:t>
            </w:r>
          </w:p>
        </w:tc>
        <w:tc>
          <w:tcPr>
            <w:tcW w:w="1803" w:type="dxa"/>
            <w:tcBorders>
              <w:top w:val="nil"/>
              <w:left w:val="nil"/>
              <w:bottom w:val="single" w:sz="4" w:space="0" w:color="auto"/>
              <w:right w:val="single" w:sz="4" w:space="0" w:color="auto"/>
            </w:tcBorders>
            <w:shd w:val="clear" w:color="auto" w:fill="C6EFCE"/>
            <w:noWrap/>
          </w:tcPr>
          <w:p w14:paraId="4EEBAFC6" w14:textId="77777777" w:rsidR="00C45D59" w:rsidRDefault="009B0962">
            <w:pPr>
              <w:pStyle w:val="P68B1DB1-Normal12"/>
              <w:spacing w:after="0" w:line="240" w:lineRule="auto"/>
              <w:rPr>
                <w:rFonts w:eastAsia="Times New Roman"/>
                <w:noProof/>
              </w:rPr>
            </w:pPr>
            <w:r>
              <w:rPr>
                <w:noProof/>
              </w:rPr>
              <w:t>Raportul Autorității Independente pentru Venituri Publice care atestă:</w:t>
            </w:r>
          </w:p>
          <w:p w14:paraId="42C31699" w14:textId="77777777" w:rsidR="00C45D59" w:rsidRDefault="009B0962">
            <w:pPr>
              <w:pStyle w:val="P68B1DB1-Normal12"/>
              <w:spacing w:after="0" w:line="240" w:lineRule="auto"/>
              <w:rPr>
                <w:rFonts w:eastAsia="Times New Roman"/>
                <w:noProof/>
              </w:rPr>
            </w:pPr>
            <w:r>
              <w:rPr>
                <w:noProof/>
              </w:rPr>
              <w:t>a) Activarea completă a sistemului Mydata.</w:t>
            </w:r>
          </w:p>
          <w:p w14:paraId="5146B2FD" w14:textId="77777777" w:rsidR="00C45D59" w:rsidRDefault="009B0962">
            <w:pPr>
              <w:pStyle w:val="P68B1DB1-Normal12"/>
              <w:spacing w:after="0" w:line="240" w:lineRule="auto"/>
              <w:rPr>
                <w:rFonts w:eastAsia="Times New Roman"/>
                <w:noProof/>
              </w:rPr>
            </w:pPr>
            <w:r>
              <w:rPr>
                <w:noProof/>
              </w:rPr>
              <w:t>b) Finalizarea proiectului de interconectare și utilizare a informațiilor bancare ale terților de către Autoritatea Independentă pentru Venituri Publice.</w:t>
            </w:r>
          </w:p>
        </w:tc>
        <w:tc>
          <w:tcPr>
            <w:tcW w:w="1065" w:type="dxa"/>
            <w:tcBorders>
              <w:top w:val="nil"/>
              <w:left w:val="nil"/>
              <w:bottom w:val="single" w:sz="4" w:space="0" w:color="auto"/>
              <w:right w:val="single" w:sz="4" w:space="0" w:color="auto"/>
            </w:tcBorders>
            <w:shd w:val="clear" w:color="auto" w:fill="C6EFCE"/>
            <w:noWrap/>
          </w:tcPr>
          <w:p w14:paraId="204D71B9"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961" w:type="dxa"/>
            <w:tcBorders>
              <w:top w:val="nil"/>
              <w:left w:val="nil"/>
              <w:bottom w:val="single" w:sz="4" w:space="0" w:color="auto"/>
              <w:right w:val="single" w:sz="4" w:space="0" w:color="auto"/>
            </w:tcBorders>
            <w:shd w:val="clear" w:color="auto" w:fill="C6EFCE"/>
            <w:noWrap/>
          </w:tcPr>
          <w:p w14:paraId="56108991"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26" w:type="dxa"/>
            <w:tcBorders>
              <w:top w:val="nil"/>
              <w:left w:val="nil"/>
              <w:bottom w:val="single" w:sz="4" w:space="0" w:color="auto"/>
              <w:right w:val="single" w:sz="4" w:space="0" w:color="auto"/>
            </w:tcBorders>
            <w:shd w:val="clear" w:color="auto" w:fill="C6EFCE"/>
            <w:noWrap/>
          </w:tcPr>
          <w:p w14:paraId="537A64D4"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098" w:type="dxa"/>
            <w:tcBorders>
              <w:top w:val="nil"/>
              <w:left w:val="nil"/>
              <w:bottom w:val="single" w:sz="4" w:space="0" w:color="auto"/>
              <w:right w:val="single" w:sz="4" w:space="0" w:color="auto"/>
            </w:tcBorders>
            <w:shd w:val="clear" w:color="auto" w:fill="C6EFCE"/>
            <w:noWrap/>
          </w:tcPr>
          <w:p w14:paraId="197AFB19" w14:textId="77777777" w:rsidR="00C45D59" w:rsidRDefault="009B0962">
            <w:pPr>
              <w:pStyle w:val="P68B1DB1-Normal12"/>
              <w:spacing w:after="0" w:line="240" w:lineRule="auto"/>
              <w:rPr>
                <w:rFonts w:eastAsia="Times New Roman"/>
                <w:noProof/>
              </w:rPr>
            </w:pPr>
            <w:r>
              <w:rPr>
                <w:noProof/>
              </w:rPr>
              <w:t>Î4</w:t>
            </w:r>
          </w:p>
        </w:tc>
        <w:tc>
          <w:tcPr>
            <w:tcW w:w="1369" w:type="dxa"/>
            <w:tcBorders>
              <w:top w:val="nil"/>
              <w:left w:val="nil"/>
              <w:bottom w:val="single" w:sz="4" w:space="0" w:color="auto"/>
              <w:right w:val="single" w:sz="4" w:space="0" w:color="auto"/>
            </w:tcBorders>
            <w:shd w:val="clear" w:color="auto" w:fill="C6EFCE"/>
            <w:noWrap/>
          </w:tcPr>
          <w:p w14:paraId="1DFFBF02" w14:textId="77777777" w:rsidR="00C45D59" w:rsidRDefault="009B0962">
            <w:pPr>
              <w:pStyle w:val="P68B1DB1-Normal12"/>
              <w:spacing w:after="0" w:line="240" w:lineRule="auto"/>
              <w:rPr>
                <w:rFonts w:eastAsia="Times New Roman"/>
                <w:noProof/>
              </w:rPr>
            </w:pPr>
            <w:r>
              <w:rPr>
                <w:noProof/>
              </w:rPr>
              <w:t>2023</w:t>
            </w:r>
          </w:p>
        </w:tc>
        <w:tc>
          <w:tcPr>
            <w:tcW w:w="3410" w:type="dxa"/>
            <w:tcBorders>
              <w:top w:val="nil"/>
              <w:left w:val="nil"/>
              <w:bottom w:val="single" w:sz="4" w:space="0" w:color="auto"/>
              <w:right w:val="single" w:sz="4" w:space="0" w:color="auto"/>
            </w:tcBorders>
            <w:shd w:val="clear" w:color="auto" w:fill="C6EFCE"/>
            <w:noWrap/>
          </w:tcPr>
          <w:p w14:paraId="774F69CB" w14:textId="77777777" w:rsidR="00C45D59" w:rsidRDefault="009B0962">
            <w:pPr>
              <w:pStyle w:val="P68B1DB1-Normal12"/>
              <w:spacing w:after="0" w:line="240" w:lineRule="auto"/>
              <w:rPr>
                <w:noProof/>
              </w:rPr>
            </w:pPr>
            <w:r>
              <w:rPr>
                <w:noProof/>
              </w:rPr>
              <w:t xml:space="preserve">Activarea </w:t>
            </w:r>
          </w:p>
          <w:p w14:paraId="3C9A882F" w14:textId="77777777" w:rsidR="00C45D59" w:rsidRDefault="009B0962">
            <w:pPr>
              <w:pStyle w:val="P68B1DB1-ListParagraph34"/>
              <w:numPr>
                <w:ilvl w:val="0"/>
                <w:numId w:val="57"/>
              </w:numPr>
              <w:spacing w:after="0" w:line="240" w:lineRule="auto"/>
              <w:ind w:left="169" w:hanging="142"/>
              <w:rPr>
                <w:rFonts w:eastAsia="Times New Roman"/>
                <w:noProof/>
              </w:rPr>
            </w:pPr>
            <w:r>
              <w:rPr>
                <w:noProof/>
              </w:rPr>
              <w:t xml:space="preserve">Sistemul myDATA și interconectarea și utilizarea informațiilor bancare furnizate de terți, cu scopul de a îmbunătăți respectarea de către întreprinderi a normelor fiscale, de a facilita completarea automată a declarațiilor fiscale și de a spori eficacitatea auditurilor fiscale. </w:t>
            </w:r>
          </w:p>
          <w:p w14:paraId="0F673B3C" w14:textId="77777777" w:rsidR="00C45D59" w:rsidRDefault="009B0962">
            <w:pPr>
              <w:pStyle w:val="P68B1DB1-ListParagraph34"/>
              <w:numPr>
                <w:ilvl w:val="0"/>
                <w:numId w:val="57"/>
              </w:numPr>
              <w:spacing w:after="0" w:line="240" w:lineRule="auto"/>
              <w:ind w:left="169" w:hanging="164"/>
              <w:rPr>
                <w:rFonts w:eastAsia="Times New Roman"/>
                <w:noProof/>
              </w:rPr>
            </w:pPr>
            <w:r>
              <w:rPr>
                <w:noProof/>
              </w:rPr>
              <w:t>Facilitatea myDATA pentru contabilitatea electronică, facturarea electronică și conectarea tuturor caselor de marcat fiscale la sistemele sale informatice.</w:t>
            </w:r>
          </w:p>
        </w:tc>
      </w:tr>
      <w:tr w:rsidR="00C45D59" w14:paraId="7CEDBF71" w14:textId="77777777">
        <w:trPr>
          <w:gridBefore w:val="1"/>
          <w:wBefore w:w="6" w:type="dxa"/>
          <w:trHeight w:val="313"/>
          <w:jc w:val="center"/>
        </w:trPr>
        <w:tc>
          <w:tcPr>
            <w:tcW w:w="669" w:type="dxa"/>
            <w:tcBorders>
              <w:top w:val="single" w:sz="4" w:space="0" w:color="auto"/>
              <w:left w:val="single" w:sz="4" w:space="0" w:color="auto"/>
              <w:bottom w:val="single" w:sz="4" w:space="0" w:color="auto"/>
              <w:right w:val="single" w:sz="4" w:space="0" w:color="auto"/>
            </w:tcBorders>
            <w:shd w:val="clear" w:color="auto" w:fill="C6EFCE"/>
            <w:noWrap/>
          </w:tcPr>
          <w:p w14:paraId="7D651467" w14:textId="77777777" w:rsidR="00C45D59" w:rsidRDefault="009B0962">
            <w:pPr>
              <w:pStyle w:val="P68B1DB1-Normal12"/>
              <w:spacing w:after="0" w:line="240" w:lineRule="auto"/>
              <w:rPr>
                <w:rFonts w:eastAsia="Times New Roman"/>
                <w:noProof/>
              </w:rPr>
            </w:pPr>
            <w:r>
              <w:rPr>
                <w:noProof/>
              </w:rPr>
              <w:t>193</w:t>
            </w:r>
          </w:p>
        </w:tc>
        <w:tc>
          <w:tcPr>
            <w:tcW w:w="2410" w:type="dxa"/>
            <w:tcBorders>
              <w:top w:val="single" w:sz="4" w:space="0" w:color="auto"/>
              <w:left w:val="nil"/>
              <w:bottom w:val="single" w:sz="4" w:space="0" w:color="auto"/>
              <w:right w:val="single" w:sz="4" w:space="0" w:color="auto"/>
            </w:tcBorders>
            <w:shd w:val="clear" w:color="auto" w:fill="C6EFCE"/>
            <w:noWrap/>
          </w:tcPr>
          <w:p w14:paraId="29CC9C52" w14:textId="77777777" w:rsidR="00C45D59" w:rsidRDefault="009B0962">
            <w:pPr>
              <w:pStyle w:val="P68B1DB1-Normal12"/>
              <w:spacing w:after="0" w:line="240" w:lineRule="auto"/>
              <w:rPr>
                <w:rFonts w:eastAsia="Times New Roman"/>
                <w:noProof/>
              </w:rPr>
            </w:pPr>
            <w:r>
              <w:rPr>
                <w:noProof/>
              </w:rPr>
              <w:t>12-4.1. O fiscalitate mai favorabilă creșterii economice și o mai bună administrare fiscală și colectare a impozitelor – 16610_Promovarea accelerării rambursărilor de TVA</w:t>
            </w:r>
          </w:p>
        </w:tc>
        <w:tc>
          <w:tcPr>
            <w:tcW w:w="1134" w:type="dxa"/>
            <w:tcBorders>
              <w:top w:val="single" w:sz="4" w:space="0" w:color="auto"/>
              <w:left w:val="nil"/>
              <w:bottom w:val="single" w:sz="4" w:space="0" w:color="auto"/>
              <w:right w:val="single" w:sz="4" w:space="0" w:color="auto"/>
            </w:tcBorders>
            <w:shd w:val="clear" w:color="auto" w:fill="C6EFCE"/>
            <w:noWrap/>
          </w:tcPr>
          <w:p w14:paraId="2995B4A8" w14:textId="77777777" w:rsidR="00C45D59" w:rsidRDefault="009B0962">
            <w:pPr>
              <w:pStyle w:val="P68B1DB1-Normal12"/>
              <w:spacing w:after="0" w:line="240" w:lineRule="auto"/>
              <w:rPr>
                <w:rFonts w:eastAsia="Times New Roman"/>
                <w:noProof/>
              </w:rPr>
            </w:pPr>
            <w:r>
              <w:rPr>
                <w:noProof/>
              </w:rPr>
              <w:t>Etapă</w:t>
            </w:r>
          </w:p>
        </w:tc>
        <w:tc>
          <w:tcPr>
            <w:tcW w:w="1409" w:type="dxa"/>
            <w:tcBorders>
              <w:top w:val="single" w:sz="4" w:space="0" w:color="auto"/>
              <w:left w:val="nil"/>
              <w:bottom w:val="single" w:sz="4" w:space="0" w:color="auto"/>
              <w:right w:val="single" w:sz="4" w:space="0" w:color="auto"/>
            </w:tcBorders>
            <w:shd w:val="clear" w:color="auto" w:fill="C6EFCE"/>
            <w:noWrap/>
          </w:tcPr>
          <w:p w14:paraId="6F4053B7" w14:textId="77777777" w:rsidR="00C45D59" w:rsidRDefault="009B0962">
            <w:pPr>
              <w:pStyle w:val="P68B1DB1-Normal12"/>
              <w:spacing w:after="0" w:line="240" w:lineRule="auto"/>
              <w:rPr>
                <w:rFonts w:eastAsia="Times New Roman"/>
                <w:noProof/>
              </w:rPr>
            </w:pPr>
            <w:r>
              <w:rPr>
                <w:noProof/>
              </w:rPr>
              <w:t>Rambursarea TVA complet automatizată – lansarea sistemului informatic</w:t>
            </w:r>
          </w:p>
        </w:tc>
        <w:tc>
          <w:tcPr>
            <w:tcW w:w="1803" w:type="dxa"/>
            <w:tcBorders>
              <w:top w:val="single" w:sz="4" w:space="0" w:color="auto"/>
              <w:left w:val="nil"/>
              <w:bottom w:val="single" w:sz="4" w:space="0" w:color="auto"/>
              <w:right w:val="single" w:sz="4" w:space="0" w:color="auto"/>
            </w:tcBorders>
            <w:shd w:val="clear" w:color="auto" w:fill="C6EFCE"/>
            <w:noWrap/>
          </w:tcPr>
          <w:p w14:paraId="11D886A6" w14:textId="77777777" w:rsidR="00C45D59" w:rsidRDefault="009B0962">
            <w:pPr>
              <w:pStyle w:val="P68B1DB1-Normal12"/>
              <w:spacing w:after="0" w:line="240" w:lineRule="auto"/>
              <w:rPr>
                <w:rFonts w:eastAsia="Times New Roman"/>
                <w:noProof/>
              </w:rPr>
            </w:pPr>
            <w:r>
              <w:rPr>
                <w:noProof/>
              </w:rPr>
              <w:t>Raportul Autorității Independente pentru Venituri Publice care atestă lansarea noului sistem informatic.</w:t>
            </w:r>
          </w:p>
        </w:tc>
        <w:tc>
          <w:tcPr>
            <w:tcW w:w="1065" w:type="dxa"/>
            <w:tcBorders>
              <w:top w:val="single" w:sz="4" w:space="0" w:color="auto"/>
              <w:left w:val="nil"/>
              <w:bottom w:val="single" w:sz="4" w:space="0" w:color="auto"/>
              <w:right w:val="single" w:sz="4" w:space="0" w:color="auto"/>
            </w:tcBorders>
            <w:shd w:val="clear" w:color="auto" w:fill="C6EFCE"/>
            <w:noWrap/>
          </w:tcPr>
          <w:p w14:paraId="3AB248D3"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961" w:type="dxa"/>
            <w:tcBorders>
              <w:top w:val="single" w:sz="4" w:space="0" w:color="auto"/>
              <w:left w:val="nil"/>
              <w:bottom w:val="single" w:sz="4" w:space="0" w:color="auto"/>
              <w:right w:val="single" w:sz="4" w:space="0" w:color="auto"/>
            </w:tcBorders>
            <w:shd w:val="clear" w:color="auto" w:fill="C6EFCE"/>
            <w:noWrap/>
          </w:tcPr>
          <w:p w14:paraId="64A09B2B"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26" w:type="dxa"/>
            <w:tcBorders>
              <w:top w:val="single" w:sz="4" w:space="0" w:color="auto"/>
              <w:left w:val="nil"/>
              <w:bottom w:val="single" w:sz="4" w:space="0" w:color="auto"/>
              <w:right w:val="single" w:sz="4" w:space="0" w:color="auto"/>
            </w:tcBorders>
            <w:shd w:val="clear" w:color="auto" w:fill="C6EFCE"/>
            <w:noWrap/>
          </w:tcPr>
          <w:p w14:paraId="006DBCA2"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098" w:type="dxa"/>
            <w:tcBorders>
              <w:top w:val="single" w:sz="4" w:space="0" w:color="auto"/>
              <w:left w:val="nil"/>
              <w:bottom w:val="single" w:sz="4" w:space="0" w:color="auto"/>
              <w:right w:val="single" w:sz="4" w:space="0" w:color="auto"/>
            </w:tcBorders>
            <w:shd w:val="clear" w:color="auto" w:fill="C6EFCE"/>
            <w:noWrap/>
          </w:tcPr>
          <w:p w14:paraId="0CEA3792" w14:textId="77777777" w:rsidR="00C45D59" w:rsidRDefault="009B0962">
            <w:pPr>
              <w:pStyle w:val="P68B1DB1-Normal12"/>
              <w:spacing w:after="0" w:line="240" w:lineRule="auto"/>
              <w:rPr>
                <w:rFonts w:eastAsia="Times New Roman"/>
                <w:noProof/>
              </w:rPr>
            </w:pPr>
            <w:r>
              <w:rPr>
                <w:noProof/>
              </w:rPr>
              <w:t>Î4</w:t>
            </w:r>
          </w:p>
        </w:tc>
        <w:tc>
          <w:tcPr>
            <w:tcW w:w="1369" w:type="dxa"/>
            <w:tcBorders>
              <w:top w:val="single" w:sz="4" w:space="0" w:color="auto"/>
              <w:left w:val="nil"/>
              <w:bottom w:val="single" w:sz="4" w:space="0" w:color="auto"/>
              <w:right w:val="single" w:sz="4" w:space="0" w:color="auto"/>
            </w:tcBorders>
            <w:shd w:val="clear" w:color="auto" w:fill="C6EFCE"/>
            <w:noWrap/>
          </w:tcPr>
          <w:p w14:paraId="10628FAB" w14:textId="77777777" w:rsidR="00C45D59" w:rsidRDefault="009B0962">
            <w:pPr>
              <w:pStyle w:val="P68B1DB1-Normal12"/>
              <w:spacing w:after="0" w:line="240" w:lineRule="auto"/>
              <w:rPr>
                <w:rFonts w:eastAsia="Times New Roman"/>
                <w:noProof/>
              </w:rPr>
            </w:pPr>
            <w:r>
              <w:rPr>
                <w:noProof/>
              </w:rPr>
              <w:t>2023</w:t>
            </w:r>
          </w:p>
        </w:tc>
        <w:tc>
          <w:tcPr>
            <w:tcW w:w="3410" w:type="dxa"/>
            <w:tcBorders>
              <w:top w:val="single" w:sz="4" w:space="0" w:color="auto"/>
              <w:left w:val="nil"/>
              <w:bottom w:val="single" w:sz="4" w:space="0" w:color="auto"/>
              <w:right w:val="single" w:sz="4" w:space="0" w:color="auto"/>
            </w:tcBorders>
            <w:shd w:val="clear" w:color="auto" w:fill="C6EFCE"/>
            <w:noWrap/>
          </w:tcPr>
          <w:p w14:paraId="302E57DE" w14:textId="77777777" w:rsidR="00C45D59" w:rsidRDefault="009B0962">
            <w:pPr>
              <w:pStyle w:val="P68B1DB1-Normal12"/>
              <w:spacing w:after="0" w:line="240" w:lineRule="auto"/>
              <w:rPr>
                <w:rFonts w:eastAsia="Times New Roman"/>
                <w:noProof/>
              </w:rPr>
            </w:pPr>
            <w:r>
              <w:rPr>
                <w:noProof/>
              </w:rPr>
              <w:t>Punerea în aplicare a procedurii complet automatizate de rambursare a TVA și a platformei informatice care permite ca toate cererile de rambursare să fie completate electronic, atunci când nu se încadrează în eșantionul de audit prin procesul de analiză a riscurilor (cel puțin 90 % din totalul cererilor anual).</w:t>
            </w:r>
          </w:p>
        </w:tc>
      </w:tr>
      <w:tr w:rsidR="00C45D59" w14:paraId="10DA9280" w14:textId="77777777">
        <w:trPr>
          <w:gridBefore w:val="1"/>
          <w:wBefore w:w="6" w:type="dxa"/>
          <w:trHeight w:val="608"/>
          <w:jc w:val="center"/>
        </w:trPr>
        <w:tc>
          <w:tcPr>
            <w:tcW w:w="669" w:type="dxa"/>
            <w:tcBorders>
              <w:top w:val="single" w:sz="4" w:space="0" w:color="auto"/>
              <w:left w:val="single" w:sz="4" w:space="0" w:color="auto"/>
              <w:bottom w:val="single" w:sz="4" w:space="0" w:color="auto"/>
              <w:right w:val="single" w:sz="4" w:space="0" w:color="auto"/>
            </w:tcBorders>
            <w:shd w:val="clear" w:color="auto" w:fill="C6EFCE"/>
            <w:noWrap/>
          </w:tcPr>
          <w:p w14:paraId="47D647CD" w14:textId="77777777" w:rsidR="00C45D59" w:rsidRDefault="009B0962">
            <w:pPr>
              <w:pStyle w:val="P68B1DB1-Normal12"/>
              <w:spacing w:after="0" w:line="240" w:lineRule="auto"/>
              <w:rPr>
                <w:rFonts w:eastAsia="Times New Roman"/>
                <w:noProof/>
              </w:rPr>
            </w:pPr>
            <w:r>
              <w:rPr>
                <w:noProof/>
              </w:rPr>
              <w:t>195a</w:t>
            </w:r>
          </w:p>
        </w:tc>
        <w:tc>
          <w:tcPr>
            <w:tcW w:w="2410" w:type="dxa"/>
            <w:tcBorders>
              <w:top w:val="single" w:sz="4" w:space="0" w:color="auto"/>
              <w:left w:val="nil"/>
              <w:bottom w:val="single" w:sz="4" w:space="0" w:color="auto"/>
              <w:right w:val="single" w:sz="4" w:space="0" w:color="auto"/>
            </w:tcBorders>
            <w:shd w:val="clear" w:color="auto" w:fill="C6EFCE"/>
            <w:noWrap/>
          </w:tcPr>
          <w:p w14:paraId="028D5B5E" w14:textId="77777777" w:rsidR="00C45D59" w:rsidRDefault="009B0962">
            <w:pPr>
              <w:pStyle w:val="P68B1DB1-Normal12"/>
              <w:spacing w:after="0" w:line="240" w:lineRule="auto"/>
              <w:rPr>
                <w:rFonts w:eastAsia="Times New Roman"/>
                <w:noProof/>
              </w:rPr>
            </w:pPr>
            <w:r>
              <w:rPr>
                <w:noProof/>
              </w:rPr>
              <w:t xml:space="preserve">12-4.1. Impozite mai favorabile creșterii economice și o mai bună administrare fiscală și colectare a impozitelor </w:t>
            </w:r>
          </w:p>
          <w:p w14:paraId="03F6DB1A" w14:textId="77777777" w:rsidR="00C45D59" w:rsidRDefault="009B0962">
            <w:pPr>
              <w:pStyle w:val="P68B1DB1-Normal12"/>
              <w:spacing w:after="0" w:line="240" w:lineRule="auto"/>
              <w:rPr>
                <w:rFonts w:eastAsia="Times New Roman"/>
                <w:noProof/>
              </w:rPr>
            </w:pPr>
            <w:r>
              <w:rPr>
                <w:noProof/>
              </w:rPr>
              <w:t>— 16291_Transformarea digitală a administrației fiscale și vamale</w:t>
            </w:r>
          </w:p>
        </w:tc>
        <w:tc>
          <w:tcPr>
            <w:tcW w:w="1134" w:type="dxa"/>
            <w:tcBorders>
              <w:top w:val="single" w:sz="4" w:space="0" w:color="auto"/>
              <w:left w:val="nil"/>
              <w:bottom w:val="single" w:sz="4" w:space="0" w:color="auto"/>
              <w:right w:val="single" w:sz="4" w:space="0" w:color="auto"/>
            </w:tcBorders>
            <w:shd w:val="clear" w:color="auto" w:fill="C6EFCE"/>
            <w:noWrap/>
          </w:tcPr>
          <w:p w14:paraId="30401F88" w14:textId="77777777" w:rsidR="00C45D59" w:rsidRDefault="009B0962">
            <w:pPr>
              <w:pStyle w:val="P68B1DB1-Normal12"/>
              <w:spacing w:after="0" w:line="240" w:lineRule="auto"/>
              <w:rPr>
                <w:rFonts w:eastAsia="Times New Roman"/>
                <w:noProof/>
              </w:rPr>
            </w:pPr>
            <w:r>
              <w:rPr>
                <w:noProof/>
              </w:rPr>
              <w:t>Etapă</w:t>
            </w:r>
          </w:p>
        </w:tc>
        <w:tc>
          <w:tcPr>
            <w:tcW w:w="1409" w:type="dxa"/>
            <w:tcBorders>
              <w:top w:val="single" w:sz="4" w:space="0" w:color="auto"/>
              <w:left w:val="nil"/>
              <w:bottom w:val="single" w:sz="4" w:space="0" w:color="auto"/>
              <w:right w:val="single" w:sz="4" w:space="0" w:color="auto"/>
            </w:tcBorders>
            <w:shd w:val="clear" w:color="auto" w:fill="C6EFCE"/>
            <w:noWrap/>
          </w:tcPr>
          <w:p w14:paraId="27067FE3" w14:textId="77777777" w:rsidR="00C45D59" w:rsidRDefault="009B0962">
            <w:pPr>
              <w:pStyle w:val="P68B1DB1-Normal12"/>
              <w:spacing w:after="0" w:line="240" w:lineRule="auto"/>
              <w:rPr>
                <w:noProof/>
              </w:rPr>
            </w:pPr>
            <w:r>
              <w:rPr>
                <w:noProof/>
              </w:rPr>
              <w:t>Furnizarea i) unui sistem informatic integrat pentru Direcția Generală Servicii Financiare din cadrul IAPR și ii) a hardware-ului de birou și a echipamentelor informatice portabile pentru IAPR</w:t>
            </w:r>
          </w:p>
        </w:tc>
        <w:tc>
          <w:tcPr>
            <w:tcW w:w="1803" w:type="dxa"/>
            <w:tcBorders>
              <w:top w:val="single" w:sz="4" w:space="0" w:color="auto"/>
              <w:left w:val="nil"/>
              <w:bottom w:val="single" w:sz="4" w:space="0" w:color="auto"/>
              <w:right w:val="single" w:sz="4" w:space="0" w:color="auto"/>
            </w:tcBorders>
            <w:shd w:val="clear" w:color="auto" w:fill="C6EFCE"/>
            <w:noWrap/>
          </w:tcPr>
          <w:p w14:paraId="3F64E9BD" w14:textId="77777777" w:rsidR="00C45D59" w:rsidRDefault="009B0962">
            <w:pPr>
              <w:pStyle w:val="P68B1DB1-Normal12"/>
              <w:spacing w:after="0" w:line="240" w:lineRule="auto"/>
              <w:rPr>
                <w:rFonts w:eastAsia="Times New Roman"/>
                <w:noProof/>
              </w:rPr>
            </w:pPr>
            <w:r>
              <w:rPr>
                <w:noProof/>
              </w:rPr>
              <w:t>Realizarea celor două subproiecte</w:t>
            </w:r>
          </w:p>
        </w:tc>
        <w:tc>
          <w:tcPr>
            <w:tcW w:w="1065" w:type="dxa"/>
            <w:tcBorders>
              <w:top w:val="single" w:sz="4" w:space="0" w:color="auto"/>
              <w:left w:val="nil"/>
              <w:bottom w:val="single" w:sz="4" w:space="0" w:color="auto"/>
              <w:right w:val="single" w:sz="4" w:space="0" w:color="auto"/>
            </w:tcBorders>
            <w:shd w:val="clear" w:color="auto" w:fill="C6EFCE"/>
            <w:noWrap/>
          </w:tcPr>
          <w:p w14:paraId="1D67D7AF"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961" w:type="dxa"/>
            <w:tcBorders>
              <w:top w:val="single" w:sz="4" w:space="0" w:color="auto"/>
              <w:left w:val="nil"/>
              <w:bottom w:val="single" w:sz="4" w:space="0" w:color="auto"/>
              <w:right w:val="single" w:sz="4" w:space="0" w:color="auto"/>
            </w:tcBorders>
            <w:shd w:val="clear" w:color="auto" w:fill="C6EFCE"/>
            <w:noWrap/>
          </w:tcPr>
          <w:p w14:paraId="33CA1277"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26" w:type="dxa"/>
            <w:tcBorders>
              <w:top w:val="single" w:sz="4" w:space="0" w:color="auto"/>
              <w:left w:val="nil"/>
              <w:bottom w:val="single" w:sz="4" w:space="0" w:color="auto"/>
              <w:right w:val="single" w:sz="4" w:space="0" w:color="auto"/>
            </w:tcBorders>
            <w:shd w:val="clear" w:color="auto" w:fill="C6EFCE"/>
            <w:noWrap/>
          </w:tcPr>
          <w:p w14:paraId="6A333A6A"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098" w:type="dxa"/>
            <w:tcBorders>
              <w:top w:val="single" w:sz="4" w:space="0" w:color="auto"/>
              <w:left w:val="nil"/>
              <w:bottom w:val="single" w:sz="4" w:space="0" w:color="auto"/>
              <w:right w:val="single" w:sz="4" w:space="0" w:color="auto"/>
            </w:tcBorders>
            <w:shd w:val="clear" w:color="auto" w:fill="C6EFCE"/>
            <w:noWrap/>
          </w:tcPr>
          <w:p w14:paraId="4A54F6E2" w14:textId="77777777" w:rsidR="00C45D59" w:rsidRDefault="009B0962">
            <w:pPr>
              <w:pStyle w:val="P68B1DB1-Normal12"/>
              <w:spacing w:after="0" w:line="240" w:lineRule="auto"/>
              <w:rPr>
                <w:rFonts w:eastAsia="Times New Roman"/>
                <w:noProof/>
              </w:rPr>
            </w:pPr>
            <w:r>
              <w:rPr>
                <w:noProof/>
              </w:rPr>
              <w:t>Î4</w:t>
            </w:r>
          </w:p>
        </w:tc>
        <w:tc>
          <w:tcPr>
            <w:tcW w:w="1369" w:type="dxa"/>
            <w:tcBorders>
              <w:top w:val="single" w:sz="4" w:space="0" w:color="auto"/>
              <w:left w:val="nil"/>
              <w:bottom w:val="single" w:sz="4" w:space="0" w:color="auto"/>
              <w:right w:val="single" w:sz="4" w:space="0" w:color="auto"/>
            </w:tcBorders>
            <w:shd w:val="clear" w:color="auto" w:fill="C6EFCE"/>
            <w:noWrap/>
          </w:tcPr>
          <w:p w14:paraId="3890180A" w14:textId="77777777" w:rsidR="00C45D59" w:rsidRDefault="009B0962">
            <w:pPr>
              <w:pStyle w:val="P68B1DB1-Normal12"/>
              <w:spacing w:after="0" w:line="240" w:lineRule="auto"/>
              <w:rPr>
                <w:rFonts w:eastAsia="Times New Roman"/>
                <w:noProof/>
              </w:rPr>
            </w:pPr>
            <w:r>
              <w:rPr>
                <w:noProof/>
              </w:rPr>
              <w:t>2024</w:t>
            </w:r>
          </w:p>
        </w:tc>
        <w:tc>
          <w:tcPr>
            <w:tcW w:w="3410" w:type="dxa"/>
            <w:tcBorders>
              <w:top w:val="single" w:sz="4" w:space="0" w:color="auto"/>
              <w:left w:val="nil"/>
              <w:bottom w:val="single" w:sz="4" w:space="0" w:color="auto"/>
              <w:right w:val="single" w:sz="4" w:space="0" w:color="auto"/>
            </w:tcBorders>
            <w:shd w:val="clear" w:color="auto" w:fill="C6EFCE"/>
            <w:noWrap/>
          </w:tcPr>
          <w:p w14:paraId="0AF70C9B" w14:textId="77777777" w:rsidR="00C45D59" w:rsidRDefault="009B0962">
            <w:pPr>
              <w:pStyle w:val="P68B1DB1-Normal12"/>
              <w:spacing w:after="0" w:line="240" w:lineRule="auto"/>
              <w:rPr>
                <w:rFonts w:eastAsia="Times New Roman"/>
                <w:noProof/>
              </w:rPr>
            </w:pPr>
            <w:r>
              <w:rPr>
                <w:noProof/>
              </w:rPr>
              <w:t>Se realizează următoarele subproiecte:</w:t>
            </w:r>
          </w:p>
          <w:p w14:paraId="42AB4909" w14:textId="77777777" w:rsidR="00C45D59" w:rsidRDefault="00C45D59">
            <w:pPr>
              <w:spacing w:after="0" w:line="240" w:lineRule="auto"/>
              <w:rPr>
                <w:rFonts w:ascii="Times New Roman" w:eastAsia="Times New Roman" w:hAnsi="Times New Roman" w:cs="Times New Roman"/>
                <w:noProof/>
                <w:color w:val="006100"/>
                <w:sz w:val="18"/>
                <w:szCs w:val="18"/>
              </w:rPr>
            </w:pPr>
          </w:p>
          <w:p w14:paraId="401DB6FC" w14:textId="77777777" w:rsidR="00C45D59" w:rsidRDefault="009B0962">
            <w:pPr>
              <w:pStyle w:val="P68B1DB1-ListParagraph34"/>
              <w:numPr>
                <w:ilvl w:val="0"/>
                <w:numId w:val="58"/>
              </w:numPr>
              <w:spacing w:after="0" w:line="240" w:lineRule="auto"/>
              <w:rPr>
                <w:noProof/>
              </w:rPr>
            </w:pPr>
            <w:r>
              <w:rPr>
                <w:noProof/>
              </w:rPr>
              <w:t>În cadrul domeniului de intervenție „Înlocuirea sistemelor digitale de bază, reînnoirea infrastructurii învechite și extinderea funcționalității de furnizare a serviciilor”: Sistemul integrat de informații pentru Direcția Generală Servicii Financiare din cadrul IAPR.</w:t>
            </w:r>
          </w:p>
          <w:p w14:paraId="4F01BDC8" w14:textId="77777777" w:rsidR="00C45D59" w:rsidRDefault="009B0962">
            <w:pPr>
              <w:pStyle w:val="P68B1DB1-ListParagraph34"/>
              <w:numPr>
                <w:ilvl w:val="0"/>
                <w:numId w:val="58"/>
              </w:numPr>
              <w:spacing w:after="0" w:line="240" w:lineRule="auto"/>
              <w:rPr>
                <w:rFonts w:eastAsia="Times New Roman"/>
                <w:noProof/>
              </w:rPr>
            </w:pPr>
            <w:r>
              <w:rPr>
                <w:noProof/>
              </w:rPr>
              <w:t>În cadrul domeniului de intervenție „Automatizarea birourilor și a proceselor de lucru”: Furnizarea de echipamente pentru IAPR.</w:t>
            </w:r>
          </w:p>
        </w:tc>
      </w:tr>
      <w:tr w:rsidR="00C45D59" w14:paraId="39565989" w14:textId="77777777">
        <w:trPr>
          <w:gridBefore w:val="1"/>
          <w:wBefore w:w="6" w:type="dxa"/>
          <w:trHeight w:val="313"/>
          <w:jc w:val="center"/>
        </w:trPr>
        <w:tc>
          <w:tcPr>
            <w:tcW w:w="669" w:type="dxa"/>
            <w:tcBorders>
              <w:top w:val="single" w:sz="4" w:space="0" w:color="auto"/>
              <w:left w:val="single" w:sz="4" w:space="0" w:color="auto"/>
              <w:bottom w:val="single" w:sz="4" w:space="0" w:color="auto"/>
              <w:right w:val="single" w:sz="4" w:space="0" w:color="auto"/>
            </w:tcBorders>
            <w:shd w:val="clear" w:color="auto" w:fill="C6EFCE"/>
            <w:noWrap/>
          </w:tcPr>
          <w:p w14:paraId="2C33011B" w14:textId="77777777" w:rsidR="00C45D59" w:rsidRDefault="009B0962">
            <w:pPr>
              <w:pStyle w:val="P68B1DB1-Normal12"/>
              <w:spacing w:after="0" w:line="240" w:lineRule="auto"/>
              <w:rPr>
                <w:rFonts w:eastAsia="Times New Roman"/>
                <w:noProof/>
              </w:rPr>
            </w:pPr>
            <w:r>
              <w:rPr>
                <w:noProof/>
              </w:rPr>
              <w:t>194</w:t>
            </w:r>
          </w:p>
        </w:tc>
        <w:tc>
          <w:tcPr>
            <w:tcW w:w="2410" w:type="dxa"/>
            <w:tcBorders>
              <w:top w:val="single" w:sz="4" w:space="0" w:color="auto"/>
              <w:left w:val="nil"/>
              <w:bottom w:val="single" w:sz="4" w:space="0" w:color="auto"/>
              <w:right w:val="single" w:sz="4" w:space="0" w:color="auto"/>
            </w:tcBorders>
            <w:shd w:val="clear" w:color="auto" w:fill="C6EFCE"/>
            <w:noWrap/>
          </w:tcPr>
          <w:p w14:paraId="3BBE4306" w14:textId="77777777" w:rsidR="00C45D59" w:rsidRDefault="009B0962">
            <w:pPr>
              <w:pStyle w:val="P68B1DB1-Normal12"/>
              <w:spacing w:after="0" w:line="240" w:lineRule="auto"/>
              <w:rPr>
                <w:rFonts w:eastAsia="Times New Roman"/>
                <w:noProof/>
              </w:rPr>
            </w:pPr>
            <w:r>
              <w:rPr>
                <w:noProof/>
              </w:rPr>
              <w:t>12-4.1. O fiscalitate mai favorabilă creșterii economice și o mai bună administrare fiscală și colectare a impozitelor – 16611_Transformarea digitală a auditurilor fiscale</w:t>
            </w:r>
          </w:p>
        </w:tc>
        <w:tc>
          <w:tcPr>
            <w:tcW w:w="1134" w:type="dxa"/>
            <w:tcBorders>
              <w:top w:val="single" w:sz="4" w:space="0" w:color="auto"/>
              <w:left w:val="nil"/>
              <w:bottom w:val="single" w:sz="4" w:space="0" w:color="auto"/>
              <w:right w:val="single" w:sz="4" w:space="0" w:color="auto"/>
            </w:tcBorders>
            <w:shd w:val="clear" w:color="auto" w:fill="C6EFCE"/>
            <w:noWrap/>
          </w:tcPr>
          <w:p w14:paraId="0D1E0B55" w14:textId="77777777" w:rsidR="00C45D59" w:rsidRDefault="009B0962">
            <w:pPr>
              <w:pStyle w:val="P68B1DB1-Normal12"/>
              <w:spacing w:after="0" w:line="240" w:lineRule="auto"/>
              <w:rPr>
                <w:rFonts w:eastAsia="Times New Roman"/>
                <w:noProof/>
              </w:rPr>
            </w:pPr>
            <w:r>
              <w:rPr>
                <w:noProof/>
              </w:rPr>
              <w:t>Etapă</w:t>
            </w:r>
          </w:p>
        </w:tc>
        <w:tc>
          <w:tcPr>
            <w:tcW w:w="1409" w:type="dxa"/>
            <w:tcBorders>
              <w:top w:val="single" w:sz="4" w:space="0" w:color="auto"/>
              <w:left w:val="nil"/>
              <w:bottom w:val="single" w:sz="4" w:space="0" w:color="auto"/>
              <w:right w:val="single" w:sz="4" w:space="0" w:color="auto"/>
            </w:tcBorders>
            <w:shd w:val="clear" w:color="auto" w:fill="C6EFCE"/>
            <w:noWrap/>
          </w:tcPr>
          <w:p w14:paraId="54A580AA" w14:textId="77777777" w:rsidR="00C45D59" w:rsidRDefault="009B0962">
            <w:pPr>
              <w:pStyle w:val="P68B1DB1-Normal12"/>
              <w:spacing w:after="0" w:line="240" w:lineRule="auto"/>
              <w:rPr>
                <w:noProof/>
              </w:rPr>
            </w:pPr>
            <w:r>
              <w:rPr>
                <w:noProof/>
              </w:rPr>
              <w:t>Livrarea și punerea în funcțiune a sistemelor legate de transformarea digitală a auditurilor fiscale</w:t>
            </w:r>
          </w:p>
        </w:tc>
        <w:tc>
          <w:tcPr>
            <w:tcW w:w="1803" w:type="dxa"/>
            <w:tcBorders>
              <w:top w:val="single" w:sz="4" w:space="0" w:color="auto"/>
              <w:left w:val="nil"/>
              <w:bottom w:val="single" w:sz="4" w:space="0" w:color="auto"/>
              <w:right w:val="single" w:sz="4" w:space="0" w:color="auto"/>
            </w:tcBorders>
            <w:shd w:val="clear" w:color="auto" w:fill="C6EFCE"/>
            <w:noWrap/>
          </w:tcPr>
          <w:p w14:paraId="6C45C9DB" w14:textId="1DFE36A8" w:rsidR="00C45D59" w:rsidRDefault="009B0962">
            <w:pPr>
              <w:pStyle w:val="P68B1DB1-Normal12"/>
              <w:spacing w:after="0" w:line="240" w:lineRule="auto"/>
              <w:rPr>
                <w:rFonts w:eastAsia="Times New Roman"/>
                <w:noProof/>
              </w:rPr>
            </w:pPr>
            <w:r>
              <w:rPr>
                <w:noProof/>
              </w:rPr>
              <w:t>Furnizarea sistemului de informații comerciale/de analiză a datelor, inclusiv 13 cazuri de utilizare</w:t>
            </w:r>
          </w:p>
          <w:p w14:paraId="4C5DB711" w14:textId="77777777" w:rsidR="00C45D59" w:rsidRDefault="00C45D59">
            <w:pPr>
              <w:spacing w:after="0" w:line="240" w:lineRule="auto"/>
              <w:rPr>
                <w:rFonts w:ascii="Times New Roman" w:hAnsi="Times New Roman" w:cs="Times New Roman"/>
                <w:noProof/>
                <w:color w:val="006100"/>
                <w:sz w:val="18"/>
                <w:szCs w:val="18"/>
              </w:rPr>
            </w:pPr>
          </w:p>
          <w:p w14:paraId="4244DF37" w14:textId="77777777" w:rsidR="00C45D59" w:rsidRDefault="009B0962">
            <w:pPr>
              <w:pStyle w:val="P68B1DB1-Normal12"/>
              <w:spacing w:after="0" w:line="240" w:lineRule="auto"/>
              <w:rPr>
                <w:noProof/>
              </w:rPr>
            </w:pPr>
            <w:r>
              <w:rPr>
                <w:noProof/>
              </w:rPr>
              <w:t>Raportul Autorității Independente pentru Venituri Publice care atestă punerea în funcțiune a sistemului „ELEGXOSlive”</w:t>
            </w:r>
          </w:p>
        </w:tc>
        <w:tc>
          <w:tcPr>
            <w:tcW w:w="1065" w:type="dxa"/>
            <w:tcBorders>
              <w:top w:val="single" w:sz="4" w:space="0" w:color="auto"/>
              <w:left w:val="nil"/>
              <w:bottom w:val="single" w:sz="4" w:space="0" w:color="auto"/>
              <w:right w:val="single" w:sz="4" w:space="0" w:color="auto"/>
            </w:tcBorders>
            <w:shd w:val="clear" w:color="auto" w:fill="C6EFCE"/>
            <w:noWrap/>
          </w:tcPr>
          <w:p w14:paraId="67342B3A"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961" w:type="dxa"/>
            <w:tcBorders>
              <w:top w:val="single" w:sz="4" w:space="0" w:color="auto"/>
              <w:left w:val="nil"/>
              <w:bottom w:val="single" w:sz="4" w:space="0" w:color="auto"/>
              <w:right w:val="single" w:sz="4" w:space="0" w:color="auto"/>
            </w:tcBorders>
            <w:shd w:val="clear" w:color="auto" w:fill="C6EFCE"/>
            <w:noWrap/>
          </w:tcPr>
          <w:p w14:paraId="576B3FA3"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26" w:type="dxa"/>
            <w:tcBorders>
              <w:top w:val="single" w:sz="4" w:space="0" w:color="auto"/>
              <w:left w:val="nil"/>
              <w:bottom w:val="single" w:sz="4" w:space="0" w:color="auto"/>
              <w:right w:val="single" w:sz="4" w:space="0" w:color="auto"/>
            </w:tcBorders>
            <w:shd w:val="clear" w:color="auto" w:fill="C6EFCE"/>
            <w:noWrap/>
          </w:tcPr>
          <w:p w14:paraId="48753BD0"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098" w:type="dxa"/>
            <w:tcBorders>
              <w:top w:val="single" w:sz="4" w:space="0" w:color="auto"/>
              <w:left w:val="nil"/>
              <w:bottom w:val="single" w:sz="4" w:space="0" w:color="auto"/>
              <w:right w:val="single" w:sz="4" w:space="0" w:color="auto"/>
            </w:tcBorders>
            <w:shd w:val="clear" w:color="auto" w:fill="C6EFCE"/>
            <w:noWrap/>
          </w:tcPr>
          <w:p w14:paraId="54846E1B" w14:textId="77777777" w:rsidR="00C45D59" w:rsidRDefault="009B0962">
            <w:pPr>
              <w:pStyle w:val="P68B1DB1-Normal12"/>
              <w:spacing w:after="0" w:line="240" w:lineRule="auto"/>
              <w:rPr>
                <w:rFonts w:eastAsia="Times New Roman"/>
                <w:noProof/>
              </w:rPr>
            </w:pPr>
            <w:r>
              <w:rPr>
                <w:noProof/>
              </w:rPr>
              <w:t>Î4</w:t>
            </w:r>
          </w:p>
        </w:tc>
        <w:tc>
          <w:tcPr>
            <w:tcW w:w="1369" w:type="dxa"/>
            <w:tcBorders>
              <w:top w:val="single" w:sz="4" w:space="0" w:color="auto"/>
              <w:left w:val="nil"/>
              <w:bottom w:val="single" w:sz="4" w:space="0" w:color="auto"/>
              <w:right w:val="single" w:sz="4" w:space="0" w:color="auto"/>
            </w:tcBorders>
            <w:shd w:val="clear" w:color="auto" w:fill="C6EFCE"/>
            <w:noWrap/>
          </w:tcPr>
          <w:p w14:paraId="7780EFF3" w14:textId="77777777" w:rsidR="00C45D59" w:rsidRDefault="009B0962">
            <w:pPr>
              <w:pStyle w:val="P68B1DB1-Normal12"/>
              <w:spacing w:after="0" w:line="240" w:lineRule="auto"/>
              <w:rPr>
                <w:rFonts w:eastAsia="Times New Roman"/>
                <w:noProof/>
              </w:rPr>
            </w:pPr>
            <w:r>
              <w:rPr>
                <w:noProof/>
              </w:rPr>
              <w:t>2025</w:t>
            </w:r>
          </w:p>
        </w:tc>
        <w:tc>
          <w:tcPr>
            <w:tcW w:w="3410" w:type="dxa"/>
            <w:tcBorders>
              <w:top w:val="single" w:sz="4" w:space="0" w:color="auto"/>
              <w:left w:val="nil"/>
              <w:bottom w:val="single" w:sz="4" w:space="0" w:color="auto"/>
              <w:right w:val="single" w:sz="4" w:space="0" w:color="auto"/>
            </w:tcBorders>
            <w:shd w:val="clear" w:color="auto" w:fill="C6EFCE"/>
            <w:noWrap/>
          </w:tcPr>
          <w:p w14:paraId="28823DEE" w14:textId="5DAEE76C" w:rsidR="00C45D59" w:rsidRDefault="009B0962">
            <w:pPr>
              <w:pStyle w:val="P68B1DB1-Normal12"/>
              <w:spacing w:after="0" w:line="240" w:lineRule="auto"/>
              <w:rPr>
                <w:noProof/>
              </w:rPr>
            </w:pPr>
            <w:r>
              <w:rPr>
                <w:noProof/>
              </w:rPr>
              <w:t>(a) Furnizarea sistemului de informații comerciale/de analiză a datelor, inclusiv 13 de cazuri de utilizare.</w:t>
            </w:r>
          </w:p>
          <w:p w14:paraId="278EA8A8" w14:textId="77777777" w:rsidR="00C45D59" w:rsidRDefault="00C45D59">
            <w:pPr>
              <w:spacing w:after="0" w:line="240" w:lineRule="auto"/>
              <w:rPr>
                <w:rFonts w:ascii="Times New Roman" w:eastAsia="Times New Roman" w:hAnsi="Times New Roman" w:cs="Times New Roman"/>
                <w:noProof/>
                <w:color w:val="006100"/>
                <w:sz w:val="18"/>
                <w:szCs w:val="18"/>
              </w:rPr>
            </w:pPr>
          </w:p>
          <w:p w14:paraId="26E8FCAA" w14:textId="77777777" w:rsidR="00C45D59" w:rsidRDefault="009B0962">
            <w:pPr>
              <w:pStyle w:val="P68B1DB1-Normal12"/>
              <w:spacing w:after="0" w:line="240" w:lineRule="auto"/>
              <w:rPr>
                <w:rFonts w:eastAsia="Times New Roman"/>
                <w:noProof/>
              </w:rPr>
            </w:pPr>
            <w:r>
              <w:rPr>
                <w:noProof/>
              </w:rPr>
              <w:t xml:space="preserve">(b) Punerea în funcțiune a sistemului Elenxis Live („ELEGXOSlive”). </w:t>
            </w:r>
          </w:p>
          <w:p w14:paraId="5331D21C" w14:textId="77777777" w:rsidR="00C45D59" w:rsidRDefault="00C45D59">
            <w:pPr>
              <w:spacing w:after="0" w:line="240" w:lineRule="auto"/>
              <w:rPr>
                <w:rFonts w:ascii="Times New Roman" w:eastAsia="Times New Roman" w:hAnsi="Times New Roman" w:cs="Times New Roman"/>
                <w:noProof/>
                <w:color w:val="006100"/>
                <w:sz w:val="18"/>
                <w:szCs w:val="18"/>
              </w:rPr>
            </w:pPr>
          </w:p>
        </w:tc>
      </w:tr>
      <w:tr w:rsidR="00C45D59" w14:paraId="1D15D2A1" w14:textId="77777777">
        <w:trPr>
          <w:gridBefore w:val="1"/>
          <w:wBefore w:w="6" w:type="dxa"/>
          <w:trHeight w:val="313"/>
          <w:jc w:val="center"/>
        </w:trPr>
        <w:tc>
          <w:tcPr>
            <w:tcW w:w="669" w:type="dxa"/>
            <w:tcBorders>
              <w:top w:val="single" w:sz="4" w:space="0" w:color="auto"/>
              <w:left w:val="single" w:sz="4" w:space="0" w:color="auto"/>
              <w:bottom w:val="single" w:sz="4" w:space="0" w:color="auto"/>
              <w:right w:val="single" w:sz="4" w:space="0" w:color="auto"/>
            </w:tcBorders>
            <w:shd w:val="clear" w:color="auto" w:fill="C6EFCE"/>
            <w:noWrap/>
          </w:tcPr>
          <w:p w14:paraId="40B59CAF" w14:textId="77777777" w:rsidR="00C45D59" w:rsidRDefault="009B0962">
            <w:pPr>
              <w:pStyle w:val="P68B1DB1-Normal12"/>
              <w:spacing w:after="0" w:line="240" w:lineRule="auto"/>
              <w:rPr>
                <w:rFonts w:eastAsia="Times New Roman"/>
                <w:noProof/>
              </w:rPr>
            </w:pPr>
            <w:r>
              <w:rPr>
                <w:noProof/>
              </w:rPr>
              <w:t>195</w:t>
            </w:r>
          </w:p>
        </w:tc>
        <w:tc>
          <w:tcPr>
            <w:tcW w:w="2410" w:type="dxa"/>
            <w:tcBorders>
              <w:top w:val="single" w:sz="4" w:space="0" w:color="auto"/>
              <w:left w:val="nil"/>
              <w:bottom w:val="single" w:sz="4" w:space="0" w:color="auto"/>
              <w:right w:val="single" w:sz="4" w:space="0" w:color="auto"/>
            </w:tcBorders>
            <w:shd w:val="clear" w:color="auto" w:fill="C6EFCE"/>
            <w:noWrap/>
          </w:tcPr>
          <w:p w14:paraId="1248BD18" w14:textId="77777777" w:rsidR="00C45D59" w:rsidRDefault="009B0962">
            <w:pPr>
              <w:pStyle w:val="P68B1DB1-Normal12"/>
              <w:spacing w:after="0" w:line="240" w:lineRule="auto"/>
              <w:rPr>
                <w:rFonts w:eastAsia="Times New Roman"/>
                <w:noProof/>
              </w:rPr>
            </w:pPr>
            <w:r>
              <w:rPr>
                <w:noProof/>
              </w:rPr>
              <w:t xml:space="preserve">12-4.1. Impozite mai favorabile creșterii economice și o mai bună administrare fiscală și colectare a impozitelor </w:t>
            </w:r>
          </w:p>
          <w:p w14:paraId="0B8AFB31" w14:textId="77777777" w:rsidR="00C45D59" w:rsidRDefault="009B0962">
            <w:pPr>
              <w:pStyle w:val="P68B1DB1-Normal12"/>
              <w:spacing w:after="0" w:line="240" w:lineRule="auto"/>
              <w:rPr>
                <w:rFonts w:eastAsia="Times New Roman"/>
                <w:noProof/>
              </w:rPr>
            </w:pPr>
            <w:r>
              <w:rPr>
                <w:noProof/>
              </w:rPr>
              <w:t>— 16291_Transformarea digitală a administrației fiscale și vamale</w:t>
            </w:r>
          </w:p>
        </w:tc>
        <w:tc>
          <w:tcPr>
            <w:tcW w:w="1134" w:type="dxa"/>
            <w:tcBorders>
              <w:top w:val="single" w:sz="4" w:space="0" w:color="auto"/>
              <w:left w:val="nil"/>
              <w:bottom w:val="single" w:sz="4" w:space="0" w:color="auto"/>
              <w:right w:val="single" w:sz="4" w:space="0" w:color="auto"/>
            </w:tcBorders>
            <w:shd w:val="clear" w:color="auto" w:fill="C6EFCE"/>
            <w:noWrap/>
          </w:tcPr>
          <w:p w14:paraId="6DD3467D" w14:textId="77777777" w:rsidR="00C45D59" w:rsidRDefault="009B0962">
            <w:pPr>
              <w:pStyle w:val="P68B1DB1-Normal12"/>
              <w:spacing w:after="0" w:line="240" w:lineRule="auto"/>
              <w:rPr>
                <w:rFonts w:eastAsia="Times New Roman"/>
                <w:noProof/>
              </w:rPr>
            </w:pPr>
            <w:r>
              <w:rPr>
                <w:noProof/>
              </w:rPr>
              <w:t>Etapă</w:t>
            </w:r>
          </w:p>
        </w:tc>
        <w:tc>
          <w:tcPr>
            <w:tcW w:w="1409" w:type="dxa"/>
            <w:tcBorders>
              <w:top w:val="single" w:sz="4" w:space="0" w:color="auto"/>
              <w:left w:val="nil"/>
              <w:bottom w:val="single" w:sz="4" w:space="0" w:color="auto"/>
              <w:right w:val="single" w:sz="4" w:space="0" w:color="auto"/>
            </w:tcBorders>
            <w:shd w:val="clear" w:color="auto" w:fill="C6EFCE"/>
            <w:noWrap/>
          </w:tcPr>
          <w:p w14:paraId="5D441262" w14:textId="1E847D9B" w:rsidR="00C45D59" w:rsidRDefault="009B0962">
            <w:pPr>
              <w:pStyle w:val="P68B1DB1-Normal12"/>
              <w:spacing w:after="0" w:line="240" w:lineRule="auto"/>
              <w:rPr>
                <w:rFonts w:eastAsia="Times New Roman"/>
                <w:noProof/>
              </w:rPr>
            </w:pPr>
            <w:r>
              <w:rPr>
                <w:noProof/>
              </w:rPr>
              <w:t>Realizarea primei faze a mediului informatic integrat al Autorității Independente pentru Venituri Publice</w:t>
            </w:r>
          </w:p>
          <w:p w14:paraId="178225E0" w14:textId="77777777" w:rsidR="00C45D59" w:rsidRDefault="00C45D59">
            <w:pPr>
              <w:spacing w:after="0" w:line="240" w:lineRule="auto"/>
              <w:rPr>
                <w:rFonts w:ascii="Times New Roman" w:eastAsia="Times New Roman" w:hAnsi="Times New Roman" w:cs="Times New Roman"/>
                <w:noProof/>
                <w:color w:val="006100"/>
                <w:sz w:val="18"/>
                <w:szCs w:val="18"/>
              </w:rPr>
            </w:pPr>
          </w:p>
          <w:p w14:paraId="76F3C7E8" w14:textId="77777777" w:rsidR="00C45D59" w:rsidRDefault="009B0962">
            <w:pPr>
              <w:pStyle w:val="P68B1DB1-Normal12"/>
              <w:spacing w:after="0" w:line="240" w:lineRule="auto"/>
              <w:rPr>
                <w:noProof/>
              </w:rPr>
            </w:pPr>
            <w:r>
              <w:rPr>
                <w:noProof/>
              </w:rPr>
              <w:t>Realizarea de subproiecte ca parte a transformării digitale a AIVP</w:t>
            </w:r>
          </w:p>
        </w:tc>
        <w:tc>
          <w:tcPr>
            <w:tcW w:w="1803" w:type="dxa"/>
            <w:tcBorders>
              <w:top w:val="single" w:sz="4" w:space="0" w:color="auto"/>
              <w:left w:val="nil"/>
              <w:bottom w:val="single" w:sz="4" w:space="0" w:color="auto"/>
              <w:right w:val="single" w:sz="4" w:space="0" w:color="auto"/>
            </w:tcBorders>
            <w:shd w:val="clear" w:color="auto" w:fill="C6EFCE"/>
            <w:noWrap/>
          </w:tcPr>
          <w:p w14:paraId="0148FEB4" w14:textId="6B4AE37E" w:rsidR="00C45D59" w:rsidRDefault="009B0962">
            <w:pPr>
              <w:pStyle w:val="P68B1DB1-Normal12"/>
              <w:spacing w:after="0" w:line="240" w:lineRule="auto"/>
              <w:rPr>
                <w:rFonts w:eastAsia="Times New Roman"/>
                <w:noProof/>
              </w:rPr>
            </w:pPr>
            <w:r>
              <w:rPr>
                <w:noProof/>
              </w:rPr>
              <w:t>Realizarea i) primei faze a mediului informatic integrat ii) subproiectelor ca parte a transformării digitale a AIVP</w:t>
            </w:r>
          </w:p>
        </w:tc>
        <w:tc>
          <w:tcPr>
            <w:tcW w:w="1065" w:type="dxa"/>
            <w:tcBorders>
              <w:top w:val="single" w:sz="4" w:space="0" w:color="auto"/>
              <w:left w:val="nil"/>
              <w:bottom w:val="single" w:sz="4" w:space="0" w:color="auto"/>
              <w:right w:val="single" w:sz="4" w:space="0" w:color="auto"/>
            </w:tcBorders>
            <w:shd w:val="clear" w:color="auto" w:fill="C6EFCE"/>
            <w:noWrap/>
          </w:tcPr>
          <w:p w14:paraId="685FF6C3"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961" w:type="dxa"/>
            <w:tcBorders>
              <w:top w:val="single" w:sz="4" w:space="0" w:color="auto"/>
              <w:left w:val="nil"/>
              <w:bottom w:val="single" w:sz="4" w:space="0" w:color="auto"/>
              <w:right w:val="single" w:sz="4" w:space="0" w:color="auto"/>
            </w:tcBorders>
            <w:shd w:val="clear" w:color="auto" w:fill="C6EFCE"/>
            <w:noWrap/>
          </w:tcPr>
          <w:p w14:paraId="448A7999"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26" w:type="dxa"/>
            <w:tcBorders>
              <w:top w:val="single" w:sz="4" w:space="0" w:color="auto"/>
              <w:left w:val="nil"/>
              <w:bottom w:val="single" w:sz="4" w:space="0" w:color="auto"/>
              <w:right w:val="single" w:sz="4" w:space="0" w:color="auto"/>
            </w:tcBorders>
            <w:shd w:val="clear" w:color="auto" w:fill="C6EFCE"/>
            <w:noWrap/>
          </w:tcPr>
          <w:p w14:paraId="0F67B0F6"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098" w:type="dxa"/>
            <w:tcBorders>
              <w:top w:val="single" w:sz="4" w:space="0" w:color="auto"/>
              <w:left w:val="nil"/>
              <w:bottom w:val="single" w:sz="4" w:space="0" w:color="auto"/>
              <w:right w:val="single" w:sz="4" w:space="0" w:color="auto"/>
            </w:tcBorders>
            <w:shd w:val="clear" w:color="auto" w:fill="C6EFCE"/>
            <w:noWrap/>
          </w:tcPr>
          <w:p w14:paraId="17FC80B2" w14:textId="77777777" w:rsidR="00C45D59" w:rsidRDefault="009B0962">
            <w:pPr>
              <w:pStyle w:val="P68B1DB1-Normal12"/>
              <w:spacing w:after="0" w:line="240" w:lineRule="auto"/>
              <w:rPr>
                <w:rFonts w:eastAsia="Times New Roman"/>
                <w:noProof/>
              </w:rPr>
            </w:pPr>
            <w:r>
              <w:rPr>
                <w:noProof/>
              </w:rPr>
              <w:t>Î4</w:t>
            </w:r>
          </w:p>
        </w:tc>
        <w:tc>
          <w:tcPr>
            <w:tcW w:w="1369" w:type="dxa"/>
            <w:tcBorders>
              <w:top w:val="single" w:sz="4" w:space="0" w:color="auto"/>
              <w:left w:val="nil"/>
              <w:bottom w:val="single" w:sz="4" w:space="0" w:color="auto"/>
              <w:right w:val="single" w:sz="4" w:space="0" w:color="auto"/>
            </w:tcBorders>
            <w:shd w:val="clear" w:color="auto" w:fill="C6EFCE"/>
            <w:noWrap/>
          </w:tcPr>
          <w:p w14:paraId="4CE1F066" w14:textId="77777777" w:rsidR="00C45D59" w:rsidRDefault="009B0962">
            <w:pPr>
              <w:pStyle w:val="P68B1DB1-Normal12"/>
              <w:spacing w:after="0" w:line="240" w:lineRule="auto"/>
              <w:rPr>
                <w:rFonts w:eastAsia="Times New Roman"/>
                <w:noProof/>
              </w:rPr>
            </w:pPr>
            <w:r>
              <w:rPr>
                <w:noProof/>
              </w:rPr>
              <w:t>2025</w:t>
            </w:r>
          </w:p>
        </w:tc>
        <w:tc>
          <w:tcPr>
            <w:tcW w:w="3410" w:type="dxa"/>
            <w:tcBorders>
              <w:top w:val="single" w:sz="4" w:space="0" w:color="auto"/>
              <w:left w:val="nil"/>
              <w:bottom w:val="single" w:sz="4" w:space="0" w:color="auto"/>
              <w:right w:val="single" w:sz="4" w:space="0" w:color="auto"/>
            </w:tcBorders>
            <w:shd w:val="clear" w:color="auto" w:fill="C6EFCE"/>
            <w:noWrap/>
          </w:tcPr>
          <w:p w14:paraId="12D05AB0" w14:textId="628D714F" w:rsidR="00C45D59" w:rsidRDefault="009B0962">
            <w:pPr>
              <w:pStyle w:val="P68B1DB1-Normal12"/>
              <w:spacing w:after="0" w:line="240" w:lineRule="auto"/>
              <w:rPr>
                <w:rFonts w:eastAsia="Times New Roman"/>
                <w:noProof/>
              </w:rPr>
            </w:pPr>
            <w:r>
              <w:rPr>
                <w:noProof/>
              </w:rPr>
              <w:t xml:space="preserve">Livrarea primei faze a mediului informatic integrat (care înlocuiește TAXIS, TAXISnet și Elenxis). Aceste rezultate constau în toate studiile de proiect necesare, reproiectarea și implementarea unei baze de date complete, furnizarea de interfețe de date și proiectarea subsistemelor aferente primei faze (inclusiv registrul fiscal, contabilitatea). </w:t>
            </w:r>
          </w:p>
          <w:p w14:paraId="5E33DF69" w14:textId="77777777" w:rsidR="00C45D59" w:rsidRDefault="00C45D59">
            <w:pPr>
              <w:spacing w:after="0" w:line="240" w:lineRule="auto"/>
              <w:rPr>
                <w:rFonts w:ascii="Times New Roman" w:hAnsi="Times New Roman" w:cs="Times New Roman"/>
                <w:noProof/>
                <w:color w:val="006100"/>
                <w:sz w:val="18"/>
                <w:szCs w:val="18"/>
              </w:rPr>
            </w:pPr>
          </w:p>
          <w:p w14:paraId="070EB84F" w14:textId="47B4C7BA" w:rsidR="00C45D59" w:rsidRDefault="009B0962">
            <w:pPr>
              <w:pStyle w:val="P68B1DB1-Normal12"/>
              <w:spacing w:after="0" w:line="240" w:lineRule="auto"/>
              <w:rPr>
                <w:noProof/>
              </w:rPr>
            </w:pPr>
            <w:r>
              <w:rPr>
                <w:noProof/>
              </w:rPr>
              <w:t>Livrarea sistemului de supraveghere pentru vehicule comerciale și containere, inclusiv:</w:t>
            </w:r>
          </w:p>
          <w:p w14:paraId="6664A89A" w14:textId="6D34F130" w:rsidR="00C45D59" w:rsidRDefault="009B0962">
            <w:pPr>
              <w:pStyle w:val="P68B1DB1-Normal12"/>
              <w:spacing w:after="0" w:line="240" w:lineRule="auto"/>
              <w:rPr>
                <w:noProof/>
              </w:rPr>
            </w:pPr>
            <w:r>
              <w:rPr>
                <w:noProof/>
              </w:rPr>
              <w:t>1. Sistemul și echipamentele digitale integrate</w:t>
            </w:r>
          </w:p>
          <w:p w14:paraId="5AC15729" w14:textId="6E97AA36" w:rsidR="00C45D59" w:rsidRDefault="009B0962">
            <w:pPr>
              <w:pStyle w:val="P68B1DB1-Normal12"/>
              <w:spacing w:after="0" w:line="240" w:lineRule="auto"/>
              <w:rPr>
                <w:noProof/>
              </w:rPr>
            </w:pPr>
            <w:r>
              <w:rPr>
                <w:noProof/>
              </w:rPr>
              <w:t>2. Instalarea echipamentelor pentru sala de operațiuni, pentru Centrul de monitorizare a infrastructurii și pentru opt (8) birouri vamale.</w:t>
            </w:r>
          </w:p>
          <w:p w14:paraId="46399D08" w14:textId="77777777" w:rsidR="00C45D59" w:rsidRDefault="009B0962">
            <w:pPr>
              <w:pStyle w:val="P68B1DB1-Normal12"/>
              <w:spacing w:after="0" w:line="240" w:lineRule="auto"/>
              <w:rPr>
                <w:noProof/>
                <w:color w:val="8764B8"/>
                <w:u w:val="single"/>
              </w:rPr>
            </w:pPr>
            <w:r>
              <w:rPr>
                <w:noProof/>
              </w:rPr>
              <w:t>Se realizează, de asemenea, următoarele subproiecte:</w:t>
            </w:r>
          </w:p>
          <w:p w14:paraId="2B4A0D48" w14:textId="77777777" w:rsidR="00C45D59" w:rsidRDefault="00C45D59">
            <w:pPr>
              <w:spacing w:after="0" w:line="240" w:lineRule="auto"/>
              <w:rPr>
                <w:rFonts w:ascii="Times New Roman" w:eastAsia="Times New Roman" w:hAnsi="Times New Roman" w:cs="Times New Roman"/>
                <w:noProof/>
                <w:color w:val="006100"/>
                <w:sz w:val="18"/>
                <w:szCs w:val="18"/>
              </w:rPr>
            </w:pPr>
          </w:p>
          <w:p w14:paraId="52EC40AC" w14:textId="77777777" w:rsidR="00C45D59" w:rsidRDefault="009B0962">
            <w:pPr>
              <w:pStyle w:val="P68B1DB1-Normal12"/>
              <w:spacing w:after="0" w:line="240" w:lineRule="auto"/>
              <w:rPr>
                <w:rFonts w:eastAsia="Times New Roman"/>
                <w:noProof/>
              </w:rPr>
            </w:pPr>
            <w:r>
              <w:rPr>
                <w:noProof/>
              </w:rPr>
              <w:t>1. În cadrul domeniului de intervenție „Înlocuirea sistemelor digitale de bază, reînnoirea infrastructurii învechite și extinderea funcționalității de furnizare a serviciilor”:</w:t>
            </w:r>
          </w:p>
          <w:p w14:paraId="4C79E531" w14:textId="77777777" w:rsidR="00C45D59" w:rsidRDefault="009B0962">
            <w:pPr>
              <w:pStyle w:val="P68B1DB1-Normal12"/>
              <w:spacing w:after="0" w:line="240" w:lineRule="auto"/>
              <w:rPr>
                <w:noProof/>
              </w:rPr>
            </w:pPr>
            <w:r>
              <w:rPr>
                <w:noProof/>
              </w:rPr>
              <w:t xml:space="preserve">— Noul sistem informatic integrat pentru laboratorul de stat pentru produse chimice din Grecia; </w:t>
            </w:r>
          </w:p>
          <w:p w14:paraId="7B5A796A" w14:textId="1CDAA33F" w:rsidR="00C45D59" w:rsidRDefault="009B0962">
            <w:pPr>
              <w:pStyle w:val="P68B1DB1-Normal23"/>
              <w:spacing w:after="0" w:line="240" w:lineRule="auto"/>
              <w:rPr>
                <w:noProof/>
              </w:rPr>
            </w:pPr>
            <w:r>
              <w:rPr>
                <w:noProof/>
              </w:rPr>
              <w:t xml:space="preserve">— Sistemul de gestionare a resurselor umane pentru AIVP; și  </w:t>
            </w:r>
          </w:p>
          <w:p w14:paraId="2A98D28D" w14:textId="5AB2DDB5" w:rsidR="00C45D59" w:rsidRDefault="00C45D59">
            <w:pPr>
              <w:spacing w:after="0" w:line="240" w:lineRule="auto"/>
              <w:rPr>
                <w:rFonts w:ascii="Times New Roman" w:eastAsia="Times New Roman" w:hAnsi="Times New Roman" w:cs="Times New Roman"/>
                <w:noProof/>
                <w:color w:val="006100"/>
                <w:sz w:val="18"/>
                <w:szCs w:val="18"/>
              </w:rPr>
            </w:pPr>
          </w:p>
          <w:p w14:paraId="43D24630" w14:textId="77777777" w:rsidR="00C45D59" w:rsidRDefault="009B0962">
            <w:pPr>
              <w:pStyle w:val="P68B1DB1-Normal12"/>
              <w:spacing w:after="0" w:line="240" w:lineRule="auto"/>
              <w:rPr>
                <w:rFonts w:eastAsia="Times New Roman"/>
                <w:noProof/>
              </w:rPr>
            </w:pPr>
            <w:r>
              <w:rPr>
                <w:noProof/>
              </w:rPr>
              <w:t>2. În cadrul „Automatizării birourilor și a proceselor de lucru”:</w:t>
            </w:r>
          </w:p>
          <w:p w14:paraId="74DB668B" w14:textId="77777777" w:rsidR="00C45D59" w:rsidRDefault="009B0962">
            <w:pPr>
              <w:pStyle w:val="P68B1DB1-Normal27"/>
              <w:spacing w:after="0" w:line="240" w:lineRule="auto"/>
              <w:rPr>
                <w:rFonts w:eastAsia="Times New Roman"/>
                <w:noProof/>
              </w:rPr>
            </w:pPr>
            <w:r>
              <w:rPr>
                <w:noProof/>
              </w:rPr>
              <w:t xml:space="preserve">— Servicii de gestionare a birourilor &amp; software pentru IAPR; </w:t>
            </w:r>
          </w:p>
          <w:p w14:paraId="1FF9CACC" w14:textId="77777777" w:rsidR="00C45D59" w:rsidRDefault="009B0962">
            <w:pPr>
              <w:pStyle w:val="P68B1DB1-Normal27"/>
              <w:spacing w:after="0" w:line="240" w:lineRule="auto"/>
              <w:rPr>
                <w:noProof/>
              </w:rPr>
            </w:pPr>
            <w:r>
              <w:rPr>
                <w:noProof/>
              </w:rPr>
              <w:t xml:space="preserve">— Instrumente de gestionare a serviciilor informatice; și </w:t>
            </w:r>
          </w:p>
          <w:p w14:paraId="4CE5C7F4" w14:textId="77777777" w:rsidR="00C45D59" w:rsidRDefault="009B0962">
            <w:pPr>
              <w:pStyle w:val="P68B1DB1-Normal12"/>
              <w:spacing w:after="0" w:line="240" w:lineRule="auto"/>
              <w:textAlignment w:val="baseline"/>
              <w:rPr>
                <w:rFonts w:eastAsia="Times New Roman"/>
                <w:noProof/>
              </w:rPr>
            </w:pPr>
            <w:r>
              <w:rPr>
                <w:noProof/>
              </w:rPr>
              <w:t>— Noul sistem informatic integrat pentru sprijinirea Direcției de gestionare a activelor publice din cadrul Autorității Independente pentru Venituri Publice</w:t>
            </w:r>
          </w:p>
          <w:p w14:paraId="2634BF4C" w14:textId="77777777" w:rsidR="00C45D59" w:rsidRDefault="00C45D59">
            <w:pPr>
              <w:spacing w:after="0" w:line="240" w:lineRule="auto"/>
              <w:rPr>
                <w:rFonts w:ascii="Times New Roman" w:eastAsia="Times New Roman" w:hAnsi="Times New Roman" w:cs="Times New Roman"/>
                <w:noProof/>
                <w:color w:val="006100"/>
                <w:sz w:val="18"/>
                <w:szCs w:val="18"/>
              </w:rPr>
            </w:pPr>
          </w:p>
          <w:p w14:paraId="509B906A" w14:textId="77777777" w:rsidR="00C45D59" w:rsidRDefault="009B0962">
            <w:pPr>
              <w:pStyle w:val="P68B1DB1-Normal12"/>
              <w:spacing w:after="0" w:line="240" w:lineRule="auto"/>
              <w:rPr>
                <w:noProof/>
              </w:rPr>
            </w:pPr>
            <w:r>
              <w:rPr>
                <w:noProof/>
              </w:rPr>
              <w:t xml:space="preserve">3. În cadrul domeniului de intervenție „Modernizarea serviciilor pentru contribuabili”: </w:t>
            </w:r>
          </w:p>
          <w:p w14:paraId="7B00091F" w14:textId="77777777" w:rsidR="00C45D59" w:rsidRDefault="009B0962">
            <w:pPr>
              <w:pStyle w:val="P68B1DB1-Normal12"/>
              <w:spacing w:after="0" w:line="240" w:lineRule="auto"/>
              <w:rPr>
                <w:noProof/>
              </w:rPr>
            </w:pPr>
            <w:r>
              <w:rPr>
                <w:noProof/>
              </w:rPr>
              <w:t>— Extinderea – modernizarea Taxers Service Center &amp; Call Center Services; și </w:t>
            </w:r>
          </w:p>
          <w:p w14:paraId="4B6AE991" w14:textId="3BD0907E" w:rsidR="00C45D59" w:rsidRDefault="009B0962">
            <w:pPr>
              <w:pStyle w:val="P68B1DB1-Normal12"/>
              <w:spacing w:after="0" w:line="240" w:lineRule="auto"/>
              <w:rPr>
                <w:noProof/>
              </w:rPr>
            </w:pPr>
            <w:r>
              <w:rPr>
                <w:noProof/>
              </w:rPr>
              <w:t>— Cadrul de securitate a datelor</w:t>
            </w:r>
          </w:p>
          <w:p w14:paraId="5F8F2A87" w14:textId="77777777" w:rsidR="00C45D59" w:rsidRDefault="00C45D59">
            <w:pPr>
              <w:spacing w:after="0" w:line="240" w:lineRule="auto"/>
              <w:rPr>
                <w:rFonts w:ascii="Times New Roman" w:hAnsi="Times New Roman" w:cs="Times New Roman"/>
                <w:noProof/>
                <w:color w:val="006100"/>
                <w:sz w:val="18"/>
                <w:szCs w:val="18"/>
              </w:rPr>
            </w:pPr>
          </w:p>
          <w:p w14:paraId="125F687E" w14:textId="77777777" w:rsidR="00C45D59" w:rsidRDefault="009B0962">
            <w:pPr>
              <w:pStyle w:val="P68B1DB1-Normal12"/>
              <w:spacing w:after="0" w:line="240" w:lineRule="auto"/>
              <w:rPr>
                <w:noProof/>
              </w:rPr>
            </w:pPr>
            <w:r>
              <w:rPr>
                <w:noProof/>
              </w:rPr>
              <w:t>4. În cadrul domeniului de intervenție „Digitalizarea auditurilor și a controalelor”:</w:t>
            </w:r>
          </w:p>
          <w:p w14:paraId="71386F61" w14:textId="77777777" w:rsidR="00C45D59" w:rsidRDefault="009B0962">
            <w:pPr>
              <w:pStyle w:val="P68B1DB1-Normal12"/>
              <w:spacing w:after="0" w:line="240" w:lineRule="auto"/>
              <w:rPr>
                <w:noProof/>
              </w:rPr>
            </w:pPr>
            <w:r>
              <w:rPr>
                <w:noProof/>
              </w:rPr>
              <w:t>— Sistemul de gestionare a riscurilor întreprinderilor &amp; planul de continuitate a activității pentru AIVP.</w:t>
            </w:r>
          </w:p>
        </w:tc>
      </w:tr>
    </w:tbl>
    <w:p w14:paraId="693E1DAA" w14:textId="77777777" w:rsidR="00C45D59" w:rsidRDefault="009B0962">
      <w:pPr>
        <w:rPr>
          <w:noProof/>
        </w:rPr>
        <w:sectPr w:rsidR="00C45D59">
          <w:headerReference w:type="even" r:id="rId258"/>
          <w:headerReference w:type="default" r:id="rId259"/>
          <w:footerReference w:type="even" r:id="rId260"/>
          <w:footerReference w:type="default" r:id="rId261"/>
          <w:headerReference w:type="first" r:id="rId262"/>
          <w:footerReference w:type="first" r:id="rId263"/>
          <w:pgSz w:w="16839" w:h="11907" w:orient="landscape"/>
          <w:pgMar w:top="1134" w:right="1134" w:bottom="1134" w:left="1134" w:header="567" w:footer="567" w:gutter="0"/>
          <w:cols w:space="720"/>
          <w:docGrid w:linePitch="360"/>
        </w:sectPr>
      </w:pPr>
      <w:r>
        <w:rPr>
          <w:noProof/>
        </w:rPr>
        <w:br/>
      </w:r>
    </w:p>
    <w:p w14:paraId="0F04DEEC" w14:textId="77777777" w:rsidR="00C45D59" w:rsidRDefault="009B0962">
      <w:pPr>
        <w:pStyle w:val="P68B1DB1-Normal9"/>
        <w:keepNext/>
        <w:keepLines/>
        <w:spacing w:before="40" w:after="0" w:line="240" w:lineRule="auto"/>
        <w:jc w:val="both"/>
        <w:outlineLvl w:val="4"/>
        <w:rPr>
          <w:rFonts w:eastAsia="Times New Roman"/>
          <w:noProof/>
        </w:rPr>
      </w:pPr>
      <w:r>
        <w:rPr>
          <w:noProof/>
        </w:rPr>
        <w:t>Grupul 18: Politica fiscală</w:t>
      </w:r>
    </w:p>
    <w:p w14:paraId="48E8C73F" w14:textId="77777777" w:rsidR="00C45D59" w:rsidRDefault="009B0962">
      <w:pPr>
        <w:pStyle w:val="P68B1DB1-Normal7"/>
        <w:numPr>
          <w:ilvl w:val="0"/>
          <w:numId w:val="59"/>
        </w:numPr>
        <w:spacing w:before="120" w:after="0" w:line="240" w:lineRule="auto"/>
        <w:jc w:val="both"/>
        <w:rPr>
          <w:rFonts w:cs="Times New Roman"/>
          <w:noProof/>
        </w:rPr>
      </w:pPr>
      <w:r>
        <w:rPr>
          <w:noProof/>
        </w:rPr>
        <w:t>Codificarea și simplificarea legislației, normelor și procedurilor fiscale (ID: 16643)</w:t>
      </w:r>
    </w:p>
    <w:p w14:paraId="2530889E" w14:textId="77777777" w:rsidR="00C45D59" w:rsidRDefault="009B0962">
      <w:pPr>
        <w:pStyle w:val="P68B1DB1-Normal5"/>
        <w:numPr>
          <w:ilvl w:val="0"/>
          <w:numId w:val="59"/>
        </w:numPr>
        <w:spacing w:before="120" w:after="0" w:line="240" w:lineRule="auto"/>
        <w:jc w:val="both"/>
        <w:rPr>
          <w:rFonts w:cs="Times New Roman"/>
          <w:noProof/>
        </w:rPr>
      </w:pPr>
      <w:r>
        <w:rPr>
          <w:noProof/>
        </w:rPr>
        <w:t>Adoptarea de măsuri și stimulente pentru creșterea numărului de tranzacții electronice (ID: 16616)</w:t>
      </w:r>
    </w:p>
    <w:p w14:paraId="51F5C8E0" w14:textId="77777777" w:rsidR="00C45D59" w:rsidRDefault="009B0962">
      <w:pPr>
        <w:pStyle w:val="P68B1DB1-Normal5"/>
        <w:numPr>
          <w:ilvl w:val="0"/>
          <w:numId w:val="59"/>
        </w:numPr>
        <w:spacing w:before="120" w:after="0" w:line="240" w:lineRule="auto"/>
        <w:jc w:val="both"/>
        <w:rPr>
          <w:rFonts w:cs="Times New Roman"/>
          <w:noProof/>
        </w:rPr>
      </w:pPr>
      <w:r>
        <w:rPr>
          <w:noProof/>
        </w:rPr>
        <w:t>Super – deducerea cheltuielilor IMM-urilor legate de economia verde, energie și digitalizare (ID: 16863)</w:t>
      </w:r>
    </w:p>
    <w:p w14:paraId="5D280B0C" w14:textId="77777777" w:rsidR="00C45D59" w:rsidRDefault="009B0962">
      <w:pPr>
        <w:pStyle w:val="P68B1DB1-Normal5"/>
        <w:numPr>
          <w:ilvl w:val="0"/>
          <w:numId w:val="59"/>
        </w:numPr>
        <w:spacing w:before="120" w:after="120" w:line="240" w:lineRule="auto"/>
        <w:jc w:val="both"/>
        <w:rPr>
          <w:rFonts w:cs="Times New Roman"/>
          <w:noProof/>
        </w:rPr>
      </w:pPr>
      <w:r>
        <w:rPr>
          <w:noProof/>
        </w:rPr>
        <w:t>Regimul de stimulare a productivității și a extinderii întreprinderilor (creșterea dimensiunii întreprinderilor) (ID: 16598)</w:t>
      </w:r>
    </w:p>
    <w:p w14:paraId="643CA4BF" w14:textId="77777777" w:rsidR="00C45D59" w:rsidRDefault="009B0962">
      <w:pPr>
        <w:pStyle w:val="P68B1DB1-Normal5"/>
        <w:numPr>
          <w:ilvl w:val="0"/>
          <w:numId w:val="59"/>
        </w:numPr>
        <w:spacing w:before="120" w:after="120" w:line="240" w:lineRule="auto"/>
        <w:jc w:val="both"/>
        <w:rPr>
          <w:rFonts w:cs="Times New Roman"/>
          <w:noProof/>
        </w:rPr>
      </w:pPr>
      <w:r>
        <w:rPr>
          <w:noProof/>
        </w:rPr>
        <w:t>Modificări ale cadrului de politică fiscală al Greciei (numărul de identificare al măsurii: 16985</w:t>
      </w:r>
    </w:p>
    <w:tbl>
      <w:tblPr>
        <w:tblW w:w="16800" w:type="dxa"/>
        <w:jc w:val="center"/>
        <w:tblLook w:val="04A0" w:firstRow="1" w:lastRow="0" w:firstColumn="1" w:lastColumn="0" w:noHBand="0" w:noVBand="1"/>
      </w:tblPr>
      <w:tblGrid>
        <w:gridCol w:w="682"/>
        <w:gridCol w:w="2210"/>
        <w:gridCol w:w="1376"/>
        <w:gridCol w:w="1366"/>
        <w:gridCol w:w="1984"/>
        <w:gridCol w:w="876"/>
        <w:gridCol w:w="896"/>
        <w:gridCol w:w="866"/>
        <w:gridCol w:w="1006"/>
        <w:gridCol w:w="708"/>
        <w:gridCol w:w="4830"/>
      </w:tblGrid>
      <w:tr w:rsidR="00C45D59" w14:paraId="4A923EAA" w14:textId="77777777" w:rsidTr="00892E7E">
        <w:trPr>
          <w:trHeight w:val="773"/>
          <w:tblHeader/>
          <w:jc w:val="center"/>
        </w:trPr>
        <w:tc>
          <w:tcPr>
            <w:tcW w:w="68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58927FB" w14:textId="7543B951" w:rsidR="00C45D59" w:rsidRDefault="009B0962">
            <w:pPr>
              <w:pStyle w:val="P68B1DB1-Normal15"/>
              <w:spacing w:after="0" w:line="240" w:lineRule="auto"/>
              <w:jc w:val="center"/>
              <w:rPr>
                <w:rFonts w:eastAsia="Times New Roman"/>
                <w:bCs/>
                <w:noProof/>
              </w:rPr>
            </w:pPr>
            <w:r>
              <w:rPr>
                <w:noProof/>
              </w:rPr>
              <w:t>N</w:t>
            </w:r>
            <w:r w:rsidR="00892E7E">
              <w:rPr>
                <w:noProof/>
              </w:rPr>
              <w:t>r. crt.</w:t>
            </w:r>
          </w:p>
        </w:tc>
        <w:tc>
          <w:tcPr>
            <w:tcW w:w="221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9CF6D92" w14:textId="77777777" w:rsidR="00C45D59" w:rsidRDefault="009B0962">
            <w:pPr>
              <w:pStyle w:val="P68B1DB1-Normal10"/>
              <w:spacing w:after="0" w:line="240" w:lineRule="auto"/>
              <w:jc w:val="center"/>
              <w:rPr>
                <w:rFonts w:eastAsia="Times New Roman" w:cs="Times New Roman"/>
                <w:bCs/>
                <w:noProof/>
                <w:szCs w:val="18"/>
              </w:rPr>
            </w:pPr>
            <w:r>
              <w:rPr>
                <w:noProof/>
              </w:rPr>
              <w:t>Măsură conexă (reformă sau investiții)</w:t>
            </w:r>
          </w:p>
        </w:tc>
        <w:tc>
          <w:tcPr>
            <w:tcW w:w="137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5AB6C62" w14:textId="77777777" w:rsidR="00C45D59" w:rsidRDefault="009B0962">
            <w:pPr>
              <w:pStyle w:val="P68B1DB1-Normal10"/>
              <w:spacing w:after="0" w:line="240" w:lineRule="auto"/>
              <w:jc w:val="center"/>
              <w:rPr>
                <w:rFonts w:eastAsia="Times New Roman" w:cs="Times New Roman"/>
                <w:bCs/>
                <w:noProof/>
                <w:szCs w:val="18"/>
              </w:rPr>
            </w:pPr>
            <w:r>
              <w:rPr>
                <w:noProof/>
              </w:rPr>
              <w:t>Etapă/Obiectiv</w:t>
            </w:r>
          </w:p>
        </w:tc>
        <w:tc>
          <w:tcPr>
            <w:tcW w:w="136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C69A645" w14:textId="4417EE3E" w:rsidR="00C45D59" w:rsidRDefault="00892E7E">
            <w:pPr>
              <w:pStyle w:val="P68B1DB1-Normal10"/>
              <w:spacing w:after="0" w:line="240" w:lineRule="auto"/>
              <w:jc w:val="center"/>
              <w:rPr>
                <w:rFonts w:eastAsia="Times New Roman" w:cs="Times New Roman"/>
                <w:bCs/>
                <w:noProof/>
                <w:szCs w:val="18"/>
              </w:rPr>
            </w:pPr>
            <w:r>
              <w:rPr>
                <w:noProof/>
              </w:rPr>
              <w:t>Denumire</w:t>
            </w:r>
          </w:p>
        </w:tc>
        <w:tc>
          <w:tcPr>
            <w:tcW w:w="198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C1C8786" w14:textId="77777777" w:rsidR="00C45D59" w:rsidRDefault="009B0962">
            <w:pPr>
              <w:pStyle w:val="P68B1DB1-Normal36"/>
              <w:spacing w:after="0" w:line="240" w:lineRule="auto"/>
              <w:jc w:val="center"/>
              <w:rPr>
                <w:rFonts w:ascii="Times New Roman" w:eastAsia="Times New Roman" w:hAnsi="Times New Roman" w:cs="Times New Roman"/>
                <w:b/>
                <w:bCs/>
                <w:noProof/>
                <w:szCs w:val="18"/>
              </w:rPr>
            </w:pPr>
            <w:r>
              <w:rPr>
                <w:rFonts w:ascii="Times New Roman" w:hAnsi="Times New Roman"/>
                <w:b/>
                <w:noProof/>
              </w:rPr>
              <w:t>Indicatori calitativi</w:t>
            </w:r>
            <w:r>
              <w:rPr>
                <w:rFonts w:ascii="Times New Roman" w:hAnsi="Times New Roman" w:cs="Times New Roman"/>
                <w:noProof/>
                <w:szCs w:val="18"/>
              </w:rPr>
              <w:t xml:space="preserve"> </w:t>
            </w:r>
            <w:r>
              <w:rPr>
                <w:rFonts w:ascii="Times New Roman" w:hAnsi="Times New Roman"/>
                <w:b/>
                <w:noProof/>
              </w:rPr>
              <w:t>(pentru obiectivele de etapă)</w:t>
            </w:r>
          </w:p>
        </w:tc>
        <w:tc>
          <w:tcPr>
            <w:tcW w:w="2638"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2D87ED15" w14:textId="77777777" w:rsidR="00C45D59" w:rsidRDefault="009B0962">
            <w:pPr>
              <w:pStyle w:val="P68B1DB1-Normal10"/>
              <w:spacing w:after="0" w:line="240" w:lineRule="auto"/>
              <w:jc w:val="center"/>
              <w:rPr>
                <w:rFonts w:eastAsia="Times New Roman" w:cs="Times New Roman"/>
                <w:bCs/>
                <w:noProof/>
                <w:szCs w:val="18"/>
              </w:rPr>
            </w:pPr>
            <w:r>
              <w:rPr>
                <w:noProof/>
              </w:rPr>
              <w:t>Indicatori cantitativi (pentru ținte)</w:t>
            </w:r>
          </w:p>
        </w:tc>
        <w:tc>
          <w:tcPr>
            <w:tcW w:w="1714"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529F0A75" w14:textId="77777777" w:rsidR="00C45D59" w:rsidRDefault="009B0962">
            <w:pPr>
              <w:pStyle w:val="P68B1DB1-Normal10"/>
              <w:spacing w:after="0" w:line="240" w:lineRule="auto"/>
              <w:jc w:val="center"/>
              <w:rPr>
                <w:rFonts w:eastAsia="Times New Roman" w:cs="Times New Roman"/>
                <w:bCs/>
                <w:noProof/>
                <w:szCs w:val="18"/>
              </w:rPr>
            </w:pPr>
            <w:r>
              <w:rPr>
                <w:noProof/>
              </w:rPr>
              <w:t xml:space="preserve">Calendar orientativ pentru finalizare </w:t>
            </w:r>
          </w:p>
        </w:tc>
        <w:tc>
          <w:tcPr>
            <w:tcW w:w="483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A60FD73" w14:textId="77777777" w:rsidR="00C45D59" w:rsidRDefault="00C45D59">
            <w:pPr>
              <w:spacing w:after="0" w:line="240" w:lineRule="auto"/>
              <w:jc w:val="center"/>
              <w:rPr>
                <w:rFonts w:ascii="Times New Roman" w:hAnsi="Times New Roman"/>
                <w:b/>
                <w:noProof/>
                <w:sz w:val="18"/>
              </w:rPr>
            </w:pPr>
          </w:p>
          <w:p w14:paraId="35E8018A" w14:textId="77777777" w:rsidR="00C45D59" w:rsidRDefault="009B0962">
            <w:pPr>
              <w:pStyle w:val="P68B1DB1-Normal10"/>
              <w:spacing w:after="0" w:line="240" w:lineRule="auto"/>
              <w:jc w:val="center"/>
              <w:rPr>
                <w:noProof/>
              </w:rPr>
            </w:pPr>
            <w:r>
              <w:rPr>
                <w:noProof/>
              </w:rPr>
              <w:t>Descrierea fiecărui jalon și a fiecărei ținte</w:t>
            </w:r>
          </w:p>
          <w:p w14:paraId="208FE007" w14:textId="77777777" w:rsidR="00C45D59" w:rsidRDefault="00C45D59">
            <w:pPr>
              <w:rPr>
                <w:rFonts w:ascii="Times New Roman" w:eastAsia="Times New Roman" w:hAnsi="Times New Roman" w:cs="Times New Roman"/>
                <w:noProof/>
                <w:sz w:val="18"/>
                <w:szCs w:val="18"/>
              </w:rPr>
            </w:pPr>
          </w:p>
        </w:tc>
      </w:tr>
      <w:tr w:rsidR="00C45D59" w14:paraId="42298BD3" w14:textId="77777777" w:rsidTr="00892E7E">
        <w:trPr>
          <w:trHeight w:val="532"/>
          <w:tblHeader/>
          <w:jc w:val="center"/>
        </w:trPr>
        <w:tc>
          <w:tcPr>
            <w:tcW w:w="682" w:type="dxa"/>
            <w:vMerge/>
            <w:tcBorders>
              <w:top w:val="single" w:sz="4" w:space="0" w:color="auto"/>
              <w:left w:val="single" w:sz="4" w:space="0" w:color="auto"/>
              <w:bottom w:val="single" w:sz="4" w:space="0" w:color="auto"/>
              <w:right w:val="single" w:sz="4" w:space="0" w:color="auto"/>
            </w:tcBorders>
            <w:vAlign w:val="center"/>
            <w:hideMark/>
          </w:tcPr>
          <w:p w14:paraId="677ADC98" w14:textId="77777777" w:rsidR="00C45D59" w:rsidRDefault="00C45D59">
            <w:pPr>
              <w:spacing w:after="0" w:line="240" w:lineRule="auto"/>
              <w:rPr>
                <w:rFonts w:ascii="Times New Roman" w:eastAsia="Times New Roman" w:hAnsi="Times New Roman" w:cs="Times New Roman"/>
                <w:b/>
                <w:bCs/>
                <w:noProof/>
                <w:sz w:val="18"/>
                <w:szCs w:val="18"/>
              </w:rPr>
            </w:pPr>
          </w:p>
        </w:tc>
        <w:tc>
          <w:tcPr>
            <w:tcW w:w="2210" w:type="dxa"/>
            <w:vMerge/>
            <w:tcBorders>
              <w:top w:val="single" w:sz="4" w:space="0" w:color="auto"/>
              <w:left w:val="single" w:sz="4" w:space="0" w:color="auto"/>
              <w:bottom w:val="single" w:sz="4" w:space="0" w:color="auto"/>
              <w:right w:val="single" w:sz="4" w:space="0" w:color="auto"/>
            </w:tcBorders>
            <w:vAlign w:val="center"/>
            <w:hideMark/>
          </w:tcPr>
          <w:p w14:paraId="6F6D8F14" w14:textId="77777777" w:rsidR="00C45D59" w:rsidRDefault="00C45D59">
            <w:pPr>
              <w:spacing w:after="0" w:line="240" w:lineRule="auto"/>
              <w:rPr>
                <w:rFonts w:ascii="Times New Roman" w:eastAsia="Times New Roman" w:hAnsi="Times New Roman" w:cs="Times New Roman"/>
                <w:b/>
                <w:bCs/>
                <w:noProof/>
                <w:sz w:val="18"/>
                <w:szCs w:val="18"/>
              </w:rPr>
            </w:pPr>
          </w:p>
        </w:tc>
        <w:tc>
          <w:tcPr>
            <w:tcW w:w="1376" w:type="dxa"/>
            <w:vMerge/>
            <w:tcBorders>
              <w:top w:val="single" w:sz="4" w:space="0" w:color="auto"/>
              <w:left w:val="single" w:sz="4" w:space="0" w:color="auto"/>
              <w:bottom w:val="single" w:sz="4" w:space="0" w:color="auto"/>
              <w:right w:val="single" w:sz="4" w:space="0" w:color="auto"/>
            </w:tcBorders>
            <w:vAlign w:val="center"/>
            <w:hideMark/>
          </w:tcPr>
          <w:p w14:paraId="5916E6A1" w14:textId="77777777" w:rsidR="00C45D59" w:rsidRDefault="00C45D59">
            <w:pPr>
              <w:spacing w:after="0" w:line="240" w:lineRule="auto"/>
              <w:rPr>
                <w:rFonts w:ascii="Times New Roman" w:eastAsia="Times New Roman" w:hAnsi="Times New Roman" w:cs="Times New Roman"/>
                <w:b/>
                <w:bCs/>
                <w:noProof/>
                <w:sz w:val="18"/>
                <w:szCs w:val="18"/>
              </w:rPr>
            </w:pPr>
          </w:p>
        </w:tc>
        <w:tc>
          <w:tcPr>
            <w:tcW w:w="1366" w:type="dxa"/>
            <w:vMerge/>
            <w:tcBorders>
              <w:top w:val="single" w:sz="4" w:space="0" w:color="auto"/>
              <w:left w:val="single" w:sz="4" w:space="0" w:color="auto"/>
              <w:bottom w:val="single" w:sz="4" w:space="0" w:color="auto"/>
              <w:right w:val="single" w:sz="4" w:space="0" w:color="auto"/>
            </w:tcBorders>
            <w:vAlign w:val="center"/>
            <w:hideMark/>
          </w:tcPr>
          <w:p w14:paraId="5E9A8BC6" w14:textId="77777777" w:rsidR="00C45D59" w:rsidRDefault="00C45D59">
            <w:pPr>
              <w:spacing w:after="0" w:line="240" w:lineRule="auto"/>
              <w:rPr>
                <w:rFonts w:ascii="Times New Roman" w:eastAsia="Times New Roman" w:hAnsi="Times New Roman" w:cs="Times New Roman"/>
                <w:b/>
                <w:bCs/>
                <w:noProof/>
                <w:sz w:val="18"/>
                <w:szCs w:val="18"/>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14:paraId="69F10A3C" w14:textId="77777777" w:rsidR="00C45D59" w:rsidRDefault="00C45D59">
            <w:pPr>
              <w:spacing w:after="0" w:line="240" w:lineRule="auto"/>
              <w:rPr>
                <w:rFonts w:ascii="Times New Roman" w:eastAsia="Times New Roman" w:hAnsi="Times New Roman" w:cs="Times New Roman"/>
                <w:b/>
                <w:bCs/>
                <w:noProof/>
                <w:sz w:val="18"/>
                <w:szCs w:val="18"/>
              </w:rPr>
            </w:pPr>
          </w:p>
        </w:tc>
        <w:tc>
          <w:tcPr>
            <w:tcW w:w="876"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5F22A1CC" w14:textId="77777777" w:rsidR="00C45D59" w:rsidRDefault="009B0962">
            <w:pPr>
              <w:pStyle w:val="P68B1DB1-Normal10"/>
              <w:spacing w:after="0" w:line="240" w:lineRule="auto"/>
              <w:jc w:val="center"/>
              <w:rPr>
                <w:rFonts w:eastAsia="Times New Roman" w:cs="Times New Roman"/>
                <w:bCs/>
                <w:noProof/>
                <w:szCs w:val="18"/>
              </w:rPr>
            </w:pPr>
            <w:r>
              <w:rPr>
                <w:noProof/>
              </w:rPr>
              <w:t>Unitatea de măsură</w:t>
            </w:r>
          </w:p>
        </w:tc>
        <w:tc>
          <w:tcPr>
            <w:tcW w:w="896"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4EA5EE91" w14:textId="77777777" w:rsidR="00C45D59" w:rsidRDefault="009B0962">
            <w:pPr>
              <w:pStyle w:val="P68B1DB1-Normal10"/>
              <w:spacing w:after="0" w:line="240" w:lineRule="auto"/>
              <w:jc w:val="center"/>
              <w:rPr>
                <w:rFonts w:eastAsia="Times New Roman" w:cs="Times New Roman"/>
                <w:bCs/>
                <w:noProof/>
                <w:szCs w:val="18"/>
              </w:rPr>
            </w:pPr>
            <w:r>
              <w:rPr>
                <w:noProof/>
              </w:rPr>
              <w:t xml:space="preserve">Situația de referință </w:t>
            </w:r>
          </w:p>
        </w:tc>
        <w:tc>
          <w:tcPr>
            <w:tcW w:w="866"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4EBE1A40" w14:textId="77777777" w:rsidR="00C45D59" w:rsidRDefault="009B0962">
            <w:pPr>
              <w:pStyle w:val="P68B1DB1-Normal10"/>
              <w:spacing w:after="0" w:line="240" w:lineRule="auto"/>
              <w:jc w:val="center"/>
              <w:rPr>
                <w:rFonts w:eastAsia="Times New Roman" w:cs="Times New Roman"/>
                <w:bCs/>
                <w:noProof/>
                <w:szCs w:val="18"/>
              </w:rPr>
            </w:pPr>
            <w:r>
              <w:rPr>
                <w:noProof/>
              </w:rPr>
              <w:t xml:space="preserve">Obiectiv </w:t>
            </w:r>
          </w:p>
        </w:tc>
        <w:tc>
          <w:tcPr>
            <w:tcW w:w="1006"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6E01E077" w14:textId="77777777" w:rsidR="00C45D59" w:rsidRDefault="009B0962">
            <w:pPr>
              <w:pStyle w:val="P68B1DB1-Normal10"/>
              <w:spacing w:after="0" w:line="240" w:lineRule="auto"/>
              <w:jc w:val="center"/>
              <w:rPr>
                <w:rFonts w:eastAsia="Times New Roman" w:cs="Times New Roman"/>
                <w:bCs/>
                <w:noProof/>
                <w:szCs w:val="18"/>
              </w:rPr>
            </w:pPr>
            <w:r>
              <w:rPr>
                <w:noProof/>
              </w:rPr>
              <w:t>Trimestru</w:t>
            </w:r>
          </w:p>
        </w:tc>
        <w:tc>
          <w:tcPr>
            <w:tcW w:w="708"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590D1F8D" w14:textId="77777777" w:rsidR="00C45D59" w:rsidRDefault="009B0962">
            <w:pPr>
              <w:pStyle w:val="P68B1DB1-Normal10"/>
              <w:spacing w:after="0" w:line="240" w:lineRule="auto"/>
              <w:jc w:val="center"/>
              <w:rPr>
                <w:rFonts w:eastAsia="Times New Roman" w:cs="Times New Roman"/>
                <w:bCs/>
                <w:noProof/>
                <w:szCs w:val="18"/>
              </w:rPr>
            </w:pPr>
            <w:r>
              <w:rPr>
                <w:noProof/>
              </w:rPr>
              <w:t>Anul</w:t>
            </w:r>
          </w:p>
        </w:tc>
        <w:tc>
          <w:tcPr>
            <w:tcW w:w="4830" w:type="dxa"/>
            <w:vMerge/>
            <w:tcBorders>
              <w:top w:val="single" w:sz="4" w:space="0" w:color="auto"/>
              <w:left w:val="single" w:sz="4" w:space="0" w:color="auto"/>
              <w:bottom w:val="single" w:sz="4" w:space="0" w:color="auto"/>
              <w:right w:val="single" w:sz="4" w:space="0" w:color="auto"/>
            </w:tcBorders>
            <w:vAlign w:val="center"/>
            <w:hideMark/>
          </w:tcPr>
          <w:p w14:paraId="67805AD5" w14:textId="77777777" w:rsidR="00C45D59" w:rsidRDefault="00C45D59">
            <w:pPr>
              <w:spacing w:after="0" w:line="240" w:lineRule="auto"/>
              <w:rPr>
                <w:rFonts w:ascii="Times New Roman" w:eastAsia="Times New Roman" w:hAnsi="Times New Roman" w:cs="Times New Roman"/>
                <w:b/>
                <w:bCs/>
                <w:noProof/>
                <w:sz w:val="18"/>
                <w:szCs w:val="18"/>
              </w:rPr>
            </w:pPr>
          </w:p>
        </w:tc>
      </w:tr>
      <w:tr w:rsidR="00C45D59" w14:paraId="4AA5C5C9" w14:textId="77777777" w:rsidTr="00892E7E">
        <w:trPr>
          <w:trHeight w:val="313"/>
          <w:jc w:val="center"/>
        </w:trPr>
        <w:tc>
          <w:tcPr>
            <w:tcW w:w="682" w:type="dxa"/>
            <w:tcBorders>
              <w:top w:val="single" w:sz="4" w:space="0" w:color="auto"/>
              <w:left w:val="single" w:sz="4" w:space="0" w:color="auto"/>
              <w:bottom w:val="single" w:sz="4" w:space="0" w:color="auto"/>
              <w:right w:val="single" w:sz="4" w:space="0" w:color="auto"/>
            </w:tcBorders>
            <w:shd w:val="clear" w:color="auto" w:fill="C6EFCE"/>
            <w:noWrap/>
          </w:tcPr>
          <w:p w14:paraId="4EE5ED73" w14:textId="77777777" w:rsidR="00C45D59" w:rsidRDefault="009B0962">
            <w:pPr>
              <w:pStyle w:val="P68B1DB1-Normal12"/>
              <w:spacing w:after="0" w:line="240" w:lineRule="auto"/>
              <w:rPr>
                <w:rFonts w:eastAsia="Times New Roman"/>
                <w:noProof/>
              </w:rPr>
            </w:pPr>
            <w:r>
              <w:rPr>
                <w:noProof/>
              </w:rPr>
              <w:t>197</w:t>
            </w:r>
          </w:p>
        </w:tc>
        <w:tc>
          <w:tcPr>
            <w:tcW w:w="2210" w:type="dxa"/>
            <w:tcBorders>
              <w:top w:val="single" w:sz="4" w:space="0" w:color="auto"/>
              <w:left w:val="nil"/>
              <w:bottom w:val="single" w:sz="4" w:space="0" w:color="auto"/>
              <w:right w:val="single" w:sz="4" w:space="0" w:color="auto"/>
            </w:tcBorders>
            <w:shd w:val="clear" w:color="auto" w:fill="C6EFCE"/>
            <w:noWrap/>
          </w:tcPr>
          <w:p w14:paraId="65D33FC6" w14:textId="77777777" w:rsidR="00C45D59" w:rsidRDefault="009B0962">
            <w:pPr>
              <w:pStyle w:val="P68B1DB1-Normal12"/>
              <w:spacing w:after="0" w:line="240" w:lineRule="auto"/>
              <w:rPr>
                <w:rFonts w:eastAsia="Times New Roman"/>
                <w:noProof/>
              </w:rPr>
            </w:pPr>
            <w:r>
              <w:rPr>
                <w:noProof/>
              </w:rPr>
              <w:t>12-4.1. O impozitare mai favorabilă creșterii economice și o mai bună administrare fiscală și colectare a impozitelor – 16863_Super – deducerea cheltuielilor legate de economia verde, energie și tranziția digitală</w:t>
            </w:r>
          </w:p>
        </w:tc>
        <w:tc>
          <w:tcPr>
            <w:tcW w:w="1376" w:type="dxa"/>
            <w:tcBorders>
              <w:top w:val="single" w:sz="4" w:space="0" w:color="auto"/>
              <w:left w:val="nil"/>
              <w:bottom w:val="single" w:sz="4" w:space="0" w:color="auto"/>
              <w:right w:val="single" w:sz="4" w:space="0" w:color="auto"/>
            </w:tcBorders>
            <w:shd w:val="clear" w:color="auto" w:fill="C6EFCE"/>
            <w:noWrap/>
          </w:tcPr>
          <w:p w14:paraId="74427774" w14:textId="77777777" w:rsidR="00C45D59" w:rsidRDefault="009B0962">
            <w:pPr>
              <w:pStyle w:val="P68B1DB1-Normal12"/>
              <w:spacing w:after="0" w:line="240" w:lineRule="auto"/>
              <w:rPr>
                <w:rFonts w:eastAsia="Times New Roman"/>
                <w:noProof/>
              </w:rPr>
            </w:pPr>
            <w:r>
              <w:rPr>
                <w:noProof/>
              </w:rPr>
              <w:t>Etapă</w:t>
            </w:r>
          </w:p>
        </w:tc>
        <w:tc>
          <w:tcPr>
            <w:tcW w:w="1366" w:type="dxa"/>
            <w:tcBorders>
              <w:top w:val="single" w:sz="4" w:space="0" w:color="auto"/>
              <w:left w:val="nil"/>
              <w:bottom w:val="single" w:sz="4" w:space="0" w:color="auto"/>
              <w:right w:val="single" w:sz="4" w:space="0" w:color="auto"/>
            </w:tcBorders>
            <w:shd w:val="clear" w:color="auto" w:fill="C6EFCE"/>
            <w:noWrap/>
          </w:tcPr>
          <w:p w14:paraId="34ED85E4" w14:textId="77777777" w:rsidR="00C45D59" w:rsidRDefault="009B0962">
            <w:pPr>
              <w:pStyle w:val="P68B1DB1-Normal12"/>
              <w:spacing w:after="0" w:line="240" w:lineRule="auto"/>
              <w:rPr>
                <w:rFonts w:eastAsia="Times New Roman"/>
                <w:noProof/>
              </w:rPr>
            </w:pPr>
            <w:r>
              <w:rPr>
                <w:noProof/>
              </w:rPr>
              <w:t>Super-deducere pentru investițiile verzi și digitale ale IMM-urilor</w:t>
            </w:r>
          </w:p>
        </w:tc>
        <w:tc>
          <w:tcPr>
            <w:tcW w:w="1984" w:type="dxa"/>
            <w:tcBorders>
              <w:top w:val="single" w:sz="4" w:space="0" w:color="auto"/>
              <w:left w:val="nil"/>
              <w:bottom w:val="single" w:sz="4" w:space="0" w:color="auto"/>
              <w:right w:val="single" w:sz="4" w:space="0" w:color="auto"/>
            </w:tcBorders>
            <w:shd w:val="clear" w:color="auto" w:fill="C6EFCE"/>
            <w:noWrap/>
          </w:tcPr>
          <w:p w14:paraId="17365346" w14:textId="77777777" w:rsidR="00C45D59" w:rsidRDefault="009B0962">
            <w:pPr>
              <w:pStyle w:val="P68B1DB1-Normal12"/>
              <w:spacing w:after="0" w:line="240" w:lineRule="auto"/>
              <w:rPr>
                <w:rFonts w:eastAsia="Times New Roman"/>
                <w:noProof/>
              </w:rPr>
            </w:pPr>
            <w:r>
              <w:rPr>
                <w:noProof/>
              </w:rPr>
              <w:t>Intrarea în vigoare a legislației primare și secundare privind super-deducerea pentru investițiile verzi și digitale ale IMM-urilor</w:t>
            </w:r>
          </w:p>
        </w:tc>
        <w:tc>
          <w:tcPr>
            <w:tcW w:w="876" w:type="dxa"/>
            <w:tcBorders>
              <w:top w:val="single" w:sz="4" w:space="0" w:color="auto"/>
              <w:left w:val="nil"/>
              <w:bottom w:val="single" w:sz="4" w:space="0" w:color="auto"/>
              <w:right w:val="single" w:sz="4" w:space="0" w:color="auto"/>
            </w:tcBorders>
            <w:shd w:val="clear" w:color="auto" w:fill="C6EFCE"/>
            <w:noWrap/>
          </w:tcPr>
          <w:p w14:paraId="1A2556EF"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96" w:type="dxa"/>
            <w:tcBorders>
              <w:top w:val="single" w:sz="4" w:space="0" w:color="auto"/>
              <w:left w:val="nil"/>
              <w:bottom w:val="single" w:sz="4" w:space="0" w:color="auto"/>
              <w:right w:val="single" w:sz="4" w:space="0" w:color="auto"/>
            </w:tcBorders>
            <w:shd w:val="clear" w:color="auto" w:fill="C6EFCE"/>
            <w:noWrap/>
          </w:tcPr>
          <w:p w14:paraId="2584D2A3"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66" w:type="dxa"/>
            <w:tcBorders>
              <w:top w:val="single" w:sz="4" w:space="0" w:color="auto"/>
              <w:left w:val="nil"/>
              <w:bottom w:val="single" w:sz="4" w:space="0" w:color="auto"/>
              <w:right w:val="single" w:sz="4" w:space="0" w:color="auto"/>
            </w:tcBorders>
            <w:shd w:val="clear" w:color="auto" w:fill="C6EFCE"/>
            <w:noWrap/>
          </w:tcPr>
          <w:p w14:paraId="73917973"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006" w:type="dxa"/>
            <w:tcBorders>
              <w:top w:val="single" w:sz="4" w:space="0" w:color="auto"/>
              <w:left w:val="nil"/>
              <w:bottom w:val="single" w:sz="4" w:space="0" w:color="auto"/>
              <w:right w:val="single" w:sz="4" w:space="0" w:color="auto"/>
            </w:tcBorders>
            <w:shd w:val="clear" w:color="auto" w:fill="C6EFCE"/>
            <w:noWrap/>
          </w:tcPr>
          <w:p w14:paraId="2EED207F" w14:textId="77777777" w:rsidR="00C45D59" w:rsidRDefault="009B0962">
            <w:pPr>
              <w:pStyle w:val="P68B1DB1-Normal12"/>
              <w:spacing w:after="0" w:line="240" w:lineRule="auto"/>
              <w:rPr>
                <w:rFonts w:eastAsia="Times New Roman"/>
                <w:noProof/>
              </w:rPr>
            </w:pPr>
            <w:r>
              <w:rPr>
                <w:noProof/>
              </w:rPr>
              <w:t>Î4</w:t>
            </w:r>
          </w:p>
        </w:tc>
        <w:tc>
          <w:tcPr>
            <w:tcW w:w="708" w:type="dxa"/>
            <w:tcBorders>
              <w:top w:val="single" w:sz="4" w:space="0" w:color="auto"/>
              <w:left w:val="nil"/>
              <w:bottom w:val="single" w:sz="4" w:space="0" w:color="auto"/>
              <w:right w:val="single" w:sz="4" w:space="0" w:color="auto"/>
            </w:tcBorders>
            <w:shd w:val="clear" w:color="auto" w:fill="C6EFCE"/>
            <w:noWrap/>
          </w:tcPr>
          <w:p w14:paraId="5A047B61" w14:textId="77777777" w:rsidR="00C45D59" w:rsidRDefault="009B0962">
            <w:pPr>
              <w:pStyle w:val="P68B1DB1-Normal12"/>
              <w:spacing w:after="0" w:line="240" w:lineRule="auto"/>
              <w:rPr>
                <w:rFonts w:eastAsia="Times New Roman"/>
                <w:noProof/>
              </w:rPr>
            </w:pPr>
            <w:r>
              <w:rPr>
                <w:noProof/>
              </w:rPr>
              <w:t>2021</w:t>
            </w:r>
          </w:p>
        </w:tc>
        <w:tc>
          <w:tcPr>
            <w:tcW w:w="4830" w:type="dxa"/>
            <w:tcBorders>
              <w:top w:val="single" w:sz="4" w:space="0" w:color="auto"/>
              <w:left w:val="nil"/>
              <w:bottom w:val="single" w:sz="4" w:space="0" w:color="auto"/>
              <w:right w:val="single" w:sz="4" w:space="0" w:color="auto"/>
            </w:tcBorders>
            <w:shd w:val="clear" w:color="auto" w:fill="C6EFCE"/>
            <w:noWrap/>
          </w:tcPr>
          <w:p w14:paraId="78FE30DF" w14:textId="77777777" w:rsidR="00C45D59" w:rsidRDefault="009B0962">
            <w:pPr>
              <w:pStyle w:val="P68B1DB1-Normal12"/>
              <w:spacing w:after="0" w:line="240" w:lineRule="auto"/>
              <w:rPr>
                <w:rFonts w:eastAsia="Times New Roman"/>
                <w:noProof/>
              </w:rPr>
            </w:pPr>
            <w:r>
              <w:rPr>
                <w:noProof/>
              </w:rPr>
              <w:t xml:space="preserve">Intrarea în vigoare a legislației primare și a legislației secundare pentru introducerea superdeducerii în scopuri fiscale a cheltuielilor eligibile ale IMM-urilor pentru investiții în economia verde și în digitalizare </w:t>
            </w:r>
          </w:p>
        </w:tc>
      </w:tr>
      <w:tr w:rsidR="00C45D59" w14:paraId="6370C821" w14:textId="77777777" w:rsidTr="00892E7E">
        <w:trPr>
          <w:trHeight w:val="313"/>
          <w:jc w:val="center"/>
        </w:trPr>
        <w:tc>
          <w:tcPr>
            <w:tcW w:w="682" w:type="dxa"/>
            <w:tcBorders>
              <w:top w:val="nil"/>
              <w:left w:val="single" w:sz="4" w:space="0" w:color="auto"/>
              <w:bottom w:val="single" w:sz="4" w:space="0" w:color="auto"/>
              <w:right w:val="single" w:sz="4" w:space="0" w:color="auto"/>
            </w:tcBorders>
            <w:shd w:val="clear" w:color="auto" w:fill="C6EFCE"/>
            <w:noWrap/>
          </w:tcPr>
          <w:p w14:paraId="54A183B7" w14:textId="77777777" w:rsidR="00C45D59" w:rsidRDefault="009B0962">
            <w:pPr>
              <w:pStyle w:val="P68B1DB1-Normal12"/>
              <w:spacing w:after="0" w:line="240" w:lineRule="auto"/>
              <w:rPr>
                <w:rFonts w:eastAsia="Times New Roman"/>
                <w:noProof/>
              </w:rPr>
            </w:pPr>
            <w:r>
              <w:rPr>
                <w:noProof/>
              </w:rPr>
              <w:t>198</w:t>
            </w:r>
          </w:p>
        </w:tc>
        <w:tc>
          <w:tcPr>
            <w:tcW w:w="2210" w:type="dxa"/>
            <w:tcBorders>
              <w:top w:val="nil"/>
              <w:left w:val="nil"/>
              <w:bottom w:val="single" w:sz="4" w:space="0" w:color="auto"/>
              <w:right w:val="single" w:sz="4" w:space="0" w:color="auto"/>
            </w:tcBorders>
            <w:shd w:val="clear" w:color="auto" w:fill="C6EFCE"/>
            <w:noWrap/>
          </w:tcPr>
          <w:p w14:paraId="5346D933" w14:textId="77777777" w:rsidR="00C45D59" w:rsidRDefault="009B0962">
            <w:pPr>
              <w:pStyle w:val="P68B1DB1-Normal12"/>
              <w:spacing w:after="0" w:line="240" w:lineRule="auto"/>
              <w:rPr>
                <w:rFonts w:eastAsia="Times New Roman"/>
                <w:noProof/>
              </w:rPr>
            </w:pPr>
            <w:r>
              <w:rPr>
                <w:noProof/>
              </w:rPr>
              <w:t>12-4.1. O fiscalitate mai favorabilă creșterii economice și o mai bună administrare fiscală și colectare a impozitelor – 16616_Adoptarea de măsuri și stimulente pentru intensificarea tranzacțiilor electronice</w:t>
            </w:r>
          </w:p>
        </w:tc>
        <w:tc>
          <w:tcPr>
            <w:tcW w:w="1376" w:type="dxa"/>
            <w:tcBorders>
              <w:top w:val="nil"/>
              <w:left w:val="nil"/>
              <w:bottom w:val="single" w:sz="4" w:space="0" w:color="auto"/>
              <w:right w:val="single" w:sz="4" w:space="0" w:color="auto"/>
            </w:tcBorders>
            <w:shd w:val="clear" w:color="auto" w:fill="C6EFCE"/>
            <w:noWrap/>
          </w:tcPr>
          <w:p w14:paraId="60074B92" w14:textId="77777777" w:rsidR="00C45D59" w:rsidRDefault="009B0962">
            <w:pPr>
              <w:pStyle w:val="P68B1DB1-Normal12"/>
              <w:spacing w:after="0" w:line="240" w:lineRule="auto"/>
              <w:rPr>
                <w:rFonts w:eastAsia="Times New Roman"/>
                <w:noProof/>
              </w:rPr>
            </w:pPr>
            <w:r>
              <w:rPr>
                <w:noProof/>
              </w:rPr>
              <w:t>Etapă</w:t>
            </w:r>
          </w:p>
        </w:tc>
        <w:tc>
          <w:tcPr>
            <w:tcW w:w="1366" w:type="dxa"/>
            <w:tcBorders>
              <w:top w:val="nil"/>
              <w:left w:val="nil"/>
              <w:bottom w:val="single" w:sz="4" w:space="0" w:color="auto"/>
              <w:right w:val="single" w:sz="4" w:space="0" w:color="auto"/>
            </w:tcBorders>
            <w:shd w:val="clear" w:color="auto" w:fill="C6EFCE"/>
            <w:noWrap/>
          </w:tcPr>
          <w:p w14:paraId="12EB1C46" w14:textId="77777777" w:rsidR="00C45D59" w:rsidRDefault="009B0962">
            <w:pPr>
              <w:pStyle w:val="P68B1DB1-Normal12"/>
              <w:spacing w:after="0" w:line="240" w:lineRule="auto"/>
              <w:rPr>
                <w:rFonts w:eastAsia="Times New Roman"/>
                <w:noProof/>
              </w:rPr>
            </w:pPr>
            <w:r>
              <w:rPr>
                <w:noProof/>
              </w:rPr>
              <w:t>Legislație pentru încurajarea tranzacțiilor electronice</w:t>
            </w:r>
          </w:p>
        </w:tc>
        <w:tc>
          <w:tcPr>
            <w:tcW w:w="1984" w:type="dxa"/>
            <w:tcBorders>
              <w:top w:val="nil"/>
              <w:left w:val="nil"/>
              <w:bottom w:val="single" w:sz="4" w:space="0" w:color="auto"/>
              <w:right w:val="single" w:sz="4" w:space="0" w:color="auto"/>
            </w:tcBorders>
            <w:shd w:val="clear" w:color="auto" w:fill="C6EFCE"/>
            <w:noWrap/>
          </w:tcPr>
          <w:p w14:paraId="60A8630C" w14:textId="77777777" w:rsidR="00C45D59" w:rsidRDefault="009B0962">
            <w:pPr>
              <w:pStyle w:val="P68B1DB1-Normal12"/>
              <w:spacing w:after="0" w:line="240" w:lineRule="auto"/>
              <w:rPr>
                <w:rFonts w:eastAsia="Times New Roman"/>
                <w:noProof/>
              </w:rPr>
            </w:pPr>
            <w:r>
              <w:rPr>
                <w:noProof/>
              </w:rPr>
              <w:t xml:space="preserve">Intrarea în vigoare a legislației primare și secundare, care oferă stimulente pentru îmbunătățirea tranzacțiilor electronice </w:t>
            </w:r>
          </w:p>
        </w:tc>
        <w:tc>
          <w:tcPr>
            <w:tcW w:w="876" w:type="dxa"/>
            <w:tcBorders>
              <w:top w:val="nil"/>
              <w:left w:val="nil"/>
              <w:bottom w:val="single" w:sz="4" w:space="0" w:color="auto"/>
              <w:right w:val="single" w:sz="4" w:space="0" w:color="auto"/>
            </w:tcBorders>
            <w:shd w:val="clear" w:color="auto" w:fill="C6EFCE"/>
            <w:noWrap/>
          </w:tcPr>
          <w:p w14:paraId="36ECB759"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96" w:type="dxa"/>
            <w:tcBorders>
              <w:top w:val="nil"/>
              <w:left w:val="nil"/>
              <w:bottom w:val="single" w:sz="4" w:space="0" w:color="auto"/>
              <w:right w:val="single" w:sz="4" w:space="0" w:color="auto"/>
            </w:tcBorders>
            <w:shd w:val="clear" w:color="auto" w:fill="C6EFCE"/>
            <w:noWrap/>
          </w:tcPr>
          <w:p w14:paraId="3242B211"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66" w:type="dxa"/>
            <w:tcBorders>
              <w:top w:val="nil"/>
              <w:left w:val="nil"/>
              <w:bottom w:val="single" w:sz="4" w:space="0" w:color="auto"/>
              <w:right w:val="single" w:sz="4" w:space="0" w:color="auto"/>
            </w:tcBorders>
            <w:shd w:val="clear" w:color="auto" w:fill="C6EFCE"/>
            <w:noWrap/>
          </w:tcPr>
          <w:p w14:paraId="43B5FCC2"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006" w:type="dxa"/>
            <w:tcBorders>
              <w:top w:val="nil"/>
              <w:left w:val="nil"/>
              <w:bottom w:val="single" w:sz="4" w:space="0" w:color="auto"/>
              <w:right w:val="single" w:sz="4" w:space="0" w:color="auto"/>
            </w:tcBorders>
            <w:shd w:val="clear" w:color="auto" w:fill="C6EFCE"/>
            <w:noWrap/>
          </w:tcPr>
          <w:p w14:paraId="37AE7C5D" w14:textId="77777777" w:rsidR="00C45D59" w:rsidRDefault="009B0962">
            <w:pPr>
              <w:pStyle w:val="P68B1DB1-Normal12"/>
              <w:spacing w:after="0" w:line="240" w:lineRule="auto"/>
              <w:rPr>
                <w:rFonts w:eastAsia="Times New Roman"/>
                <w:noProof/>
              </w:rPr>
            </w:pPr>
            <w:r>
              <w:rPr>
                <w:noProof/>
              </w:rPr>
              <w:t>Î4</w:t>
            </w:r>
          </w:p>
        </w:tc>
        <w:tc>
          <w:tcPr>
            <w:tcW w:w="708" w:type="dxa"/>
            <w:tcBorders>
              <w:top w:val="nil"/>
              <w:left w:val="nil"/>
              <w:bottom w:val="single" w:sz="4" w:space="0" w:color="auto"/>
              <w:right w:val="single" w:sz="4" w:space="0" w:color="auto"/>
            </w:tcBorders>
            <w:shd w:val="clear" w:color="auto" w:fill="C6EFCE"/>
            <w:noWrap/>
          </w:tcPr>
          <w:p w14:paraId="3BE5C61D" w14:textId="77777777" w:rsidR="00C45D59" w:rsidRDefault="009B0962">
            <w:pPr>
              <w:pStyle w:val="P68B1DB1-Normal12"/>
              <w:spacing w:after="0" w:line="240" w:lineRule="auto"/>
              <w:rPr>
                <w:rFonts w:eastAsia="Times New Roman"/>
                <w:noProof/>
              </w:rPr>
            </w:pPr>
            <w:r>
              <w:rPr>
                <w:noProof/>
              </w:rPr>
              <w:t>2021</w:t>
            </w:r>
          </w:p>
        </w:tc>
        <w:tc>
          <w:tcPr>
            <w:tcW w:w="4830" w:type="dxa"/>
            <w:tcBorders>
              <w:top w:val="nil"/>
              <w:left w:val="nil"/>
              <w:bottom w:val="single" w:sz="4" w:space="0" w:color="auto"/>
              <w:right w:val="single" w:sz="4" w:space="0" w:color="auto"/>
            </w:tcBorders>
            <w:shd w:val="clear" w:color="auto" w:fill="C6EFCE"/>
            <w:noWrap/>
          </w:tcPr>
          <w:p w14:paraId="78EE2790" w14:textId="77777777" w:rsidR="00C45D59" w:rsidRDefault="009B0962">
            <w:pPr>
              <w:pStyle w:val="P68B1DB1-Normal12"/>
              <w:spacing w:after="0" w:line="240" w:lineRule="auto"/>
              <w:rPr>
                <w:rFonts w:eastAsia="Times New Roman"/>
                <w:noProof/>
              </w:rPr>
            </w:pPr>
            <w:r>
              <w:rPr>
                <w:noProof/>
              </w:rPr>
              <w:t xml:space="preserve">Intrarea în vigoare a modificării cadrului juridic primar și secundar care prevede stimulente specifice pentru îmbunătățirea tranzacțiilor electronice </w:t>
            </w:r>
          </w:p>
        </w:tc>
      </w:tr>
      <w:tr w:rsidR="00C45D59" w14:paraId="2EB2D0C2" w14:textId="77777777" w:rsidTr="00892E7E">
        <w:trPr>
          <w:trHeight w:val="313"/>
          <w:jc w:val="center"/>
        </w:trPr>
        <w:tc>
          <w:tcPr>
            <w:tcW w:w="682" w:type="dxa"/>
            <w:tcBorders>
              <w:top w:val="nil"/>
              <w:left w:val="single" w:sz="4" w:space="0" w:color="auto"/>
              <w:bottom w:val="single" w:sz="4" w:space="0" w:color="auto"/>
              <w:right w:val="single" w:sz="4" w:space="0" w:color="auto"/>
            </w:tcBorders>
            <w:shd w:val="clear" w:color="auto" w:fill="C6EFCE"/>
            <w:noWrap/>
          </w:tcPr>
          <w:p w14:paraId="78BA8DE6" w14:textId="77777777" w:rsidR="00C45D59" w:rsidRDefault="009B0962">
            <w:pPr>
              <w:pStyle w:val="P68B1DB1-Normal12"/>
              <w:spacing w:after="0" w:line="240" w:lineRule="auto"/>
              <w:rPr>
                <w:rFonts w:eastAsia="Times New Roman"/>
                <w:noProof/>
              </w:rPr>
            </w:pPr>
            <w:r>
              <w:rPr>
                <w:noProof/>
              </w:rPr>
              <w:t>199</w:t>
            </w:r>
          </w:p>
        </w:tc>
        <w:tc>
          <w:tcPr>
            <w:tcW w:w="2210" w:type="dxa"/>
            <w:tcBorders>
              <w:top w:val="nil"/>
              <w:left w:val="nil"/>
              <w:bottom w:val="single" w:sz="4" w:space="0" w:color="auto"/>
              <w:right w:val="single" w:sz="4" w:space="0" w:color="auto"/>
            </w:tcBorders>
            <w:shd w:val="clear" w:color="auto" w:fill="C6EFCE"/>
            <w:noWrap/>
          </w:tcPr>
          <w:p w14:paraId="27E2B0AF" w14:textId="77777777" w:rsidR="00C45D59" w:rsidRDefault="009B0962">
            <w:pPr>
              <w:pStyle w:val="P68B1DB1-Normal12"/>
              <w:spacing w:after="0" w:line="240" w:lineRule="auto"/>
              <w:rPr>
                <w:rFonts w:eastAsia="Times New Roman"/>
                <w:noProof/>
              </w:rPr>
            </w:pPr>
            <w:r>
              <w:rPr>
                <w:noProof/>
              </w:rPr>
              <w:t>12-4.1. O fiscalitate mai favorabilă creșterii economice și o mai bună administrare fiscală și colectare a impozitelor – 16643_Codificarea și simplificarea legislației fiscale</w:t>
            </w:r>
          </w:p>
        </w:tc>
        <w:tc>
          <w:tcPr>
            <w:tcW w:w="1376" w:type="dxa"/>
            <w:tcBorders>
              <w:top w:val="nil"/>
              <w:left w:val="nil"/>
              <w:bottom w:val="single" w:sz="4" w:space="0" w:color="auto"/>
              <w:right w:val="single" w:sz="4" w:space="0" w:color="auto"/>
            </w:tcBorders>
            <w:shd w:val="clear" w:color="auto" w:fill="C6EFCE"/>
            <w:noWrap/>
          </w:tcPr>
          <w:p w14:paraId="3EA0F46E" w14:textId="77777777" w:rsidR="00C45D59" w:rsidRDefault="009B0962">
            <w:pPr>
              <w:pStyle w:val="P68B1DB1-Normal12"/>
              <w:spacing w:after="0" w:line="240" w:lineRule="auto"/>
              <w:rPr>
                <w:rFonts w:eastAsia="Times New Roman"/>
                <w:noProof/>
              </w:rPr>
            </w:pPr>
            <w:r>
              <w:rPr>
                <w:noProof/>
              </w:rPr>
              <w:t>Etapă</w:t>
            </w:r>
          </w:p>
        </w:tc>
        <w:tc>
          <w:tcPr>
            <w:tcW w:w="1366" w:type="dxa"/>
            <w:tcBorders>
              <w:top w:val="nil"/>
              <w:left w:val="nil"/>
              <w:bottom w:val="single" w:sz="4" w:space="0" w:color="auto"/>
              <w:right w:val="single" w:sz="4" w:space="0" w:color="auto"/>
            </w:tcBorders>
            <w:shd w:val="clear" w:color="auto" w:fill="C6EFCE"/>
            <w:noWrap/>
          </w:tcPr>
          <w:p w14:paraId="3FCDE50C" w14:textId="77777777" w:rsidR="00C45D59" w:rsidRDefault="009B0962">
            <w:pPr>
              <w:pStyle w:val="P68B1DB1-Normal12"/>
              <w:spacing w:after="0" w:line="240" w:lineRule="auto"/>
              <w:rPr>
                <w:rFonts w:eastAsia="Times New Roman"/>
                <w:noProof/>
              </w:rPr>
            </w:pPr>
            <w:r>
              <w:rPr>
                <w:noProof/>
              </w:rPr>
              <w:t>Calendarul pentru codificarea fiscală</w:t>
            </w:r>
          </w:p>
        </w:tc>
        <w:tc>
          <w:tcPr>
            <w:tcW w:w="1984" w:type="dxa"/>
            <w:tcBorders>
              <w:top w:val="nil"/>
              <w:left w:val="nil"/>
              <w:bottom w:val="single" w:sz="4" w:space="0" w:color="auto"/>
              <w:right w:val="single" w:sz="4" w:space="0" w:color="auto"/>
            </w:tcBorders>
            <w:shd w:val="clear" w:color="auto" w:fill="C6EFCE"/>
            <w:noWrap/>
          </w:tcPr>
          <w:p w14:paraId="58D8C2F7" w14:textId="77777777" w:rsidR="00C45D59" w:rsidRDefault="009B0962">
            <w:pPr>
              <w:pStyle w:val="P68B1DB1-Normal12"/>
              <w:spacing w:after="0" w:line="240" w:lineRule="auto"/>
              <w:rPr>
                <w:rFonts w:eastAsia="Times New Roman"/>
                <w:noProof/>
              </w:rPr>
            </w:pPr>
            <w:r>
              <w:rPr>
                <w:noProof/>
              </w:rPr>
              <w:t>Publicarea legislației secundare cu înființarea comisiilor și calendarul codificării fiscale.</w:t>
            </w:r>
          </w:p>
        </w:tc>
        <w:tc>
          <w:tcPr>
            <w:tcW w:w="876" w:type="dxa"/>
            <w:tcBorders>
              <w:top w:val="nil"/>
              <w:left w:val="nil"/>
              <w:bottom w:val="single" w:sz="4" w:space="0" w:color="auto"/>
              <w:right w:val="single" w:sz="4" w:space="0" w:color="auto"/>
            </w:tcBorders>
            <w:shd w:val="clear" w:color="auto" w:fill="C6EFCE"/>
            <w:noWrap/>
          </w:tcPr>
          <w:p w14:paraId="0EBC741F"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96" w:type="dxa"/>
            <w:tcBorders>
              <w:top w:val="nil"/>
              <w:left w:val="nil"/>
              <w:bottom w:val="single" w:sz="4" w:space="0" w:color="auto"/>
              <w:right w:val="single" w:sz="4" w:space="0" w:color="auto"/>
            </w:tcBorders>
            <w:shd w:val="clear" w:color="auto" w:fill="C6EFCE"/>
            <w:noWrap/>
          </w:tcPr>
          <w:p w14:paraId="6EBF7C6F"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66" w:type="dxa"/>
            <w:tcBorders>
              <w:top w:val="nil"/>
              <w:left w:val="nil"/>
              <w:bottom w:val="single" w:sz="4" w:space="0" w:color="auto"/>
              <w:right w:val="single" w:sz="4" w:space="0" w:color="auto"/>
            </w:tcBorders>
            <w:shd w:val="clear" w:color="auto" w:fill="C6EFCE"/>
            <w:noWrap/>
          </w:tcPr>
          <w:p w14:paraId="4315B0D9"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006" w:type="dxa"/>
            <w:tcBorders>
              <w:top w:val="nil"/>
              <w:left w:val="nil"/>
              <w:bottom w:val="single" w:sz="4" w:space="0" w:color="auto"/>
              <w:right w:val="single" w:sz="4" w:space="0" w:color="auto"/>
            </w:tcBorders>
            <w:shd w:val="clear" w:color="auto" w:fill="C6EFCE"/>
            <w:noWrap/>
          </w:tcPr>
          <w:p w14:paraId="322E5EDB" w14:textId="77777777" w:rsidR="00C45D59" w:rsidRDefault="009B0962">
            <w:pPr>
              <w:pStyle w:val="P68B1DB1-Normal12"/>
              <w:spacing w:after="0" w:line="240" w:lineRule="auto"/>
              <w:rPr>
                <w:rFonts w:eastAsia="Times New Roman"/>
                <w:noProof/>
              </w:rPr>
            </w:pPr>
            <w:r>
              <w:rPr>
                <w:noProof/>
              </w:rPr>
              <w:t>Î3</w:t>
            </w:r>
          </w:p>
        </w:tc>
        <w:tc>
          <w:tcPr>
            <w:tcW w:w="708" w:type="dxa"/>
            <w:tcBorders>
              <w:top w:val="nil"/>
              <w:left w:val="nil"/>
              <w:bottom w:val="single" w:sz="4" w:space="0" w:color="auto"/>
              <w:right w:val="single" w:sz="4" w:space="0" w:color="auto"/>
            </w:tcBorders>
            <w:shd w:val="clear" w:color="auto" w:fill="C6EFCE"/>
            <w:noWrap/>
          </w:tcPr>
          <w:p w14:paraId="37F9D239" w14:textId="77777777" w:rsidR="00C45D59" w:rsidRDefault="009B0962">
            <w:pPr>
              <w:pStyle w:val="P68B1DB1-Normal12"/>
              <w:spacing w:after="0" w:line="240" w:lineRule="auto"/>
              <w:rPr>
                <w:rFonts w:eastAsia="Times New Roman"/>
                <w:noProof/>
              </w:rPr>
            </w:pPr>
            <w:r>
              <w:rPr>
                <w:noProof/>
              </w:rPr>
              <w:t>2021</w:t>
            </w:r>
          </w:p>
        </w:tc>
        <w:tc>
          <w:tcPr>
            <w:tcW w:w="4830" w:type="dxa"/>
            <w:tcBorders>
              <w:top w:val="nil"/>
              <w:left w:val="nil"/>
              <w:bottom w:val="single" w:sz="4" w:space="0" w:color="auto"/>
              <w:right w:val="single" w:sz="4" w:space="0" w:color="auto"/>
            </w:tcBorders>
            <w:shd w:val="clear" w:color="auto" w:fill="C6EFCE"/>
            <w:noWrap/>
          </w:tcPr>
          <w:p w14:paraId="0602A64F" w14:textId="77777777" w:rsidR="00C45D59" w:rsidRDefault="009B0962">
            <w:pPr>
              <w:pStyle w:val="P68B1DB1-Normal12"/>
              <w:spacing w:after="0" w:line="240" w:lineRule="auto"/>
              <w:rPr>
                <w:rFonts w:eastAsia="Times New Roman"/>
                <w:noProof/>
              </w:rPr>
            </w:pPr>
            <w:r>
              <w:rPr>
                <w:noProof/>
              </w:rPr>
              <w:t xml:space="preserve">Calendarul cuprinzător pentru livrabilele privind codificarea fiscală, inclusiv înființarea comitetelor relevante, calendarul detaliat din partea Ministerului de Finanțe și a AIVP pentru codificarea legislației fiscale și modalitățile de consultare. </w:t>
            </w:r>
          </w:p>
        </w:tc>
      </w:tr>
      <w:tr w:rsidR="00C45D59" w14:paraId="19B6BA7D" w14:textId="77777777" w:rsidTr="00892E7E">
        <w:trPr>
          <w:trHeight w:val="313"/>
          <w:jc w:val="center"/>
        </w:trPr>
        <w:tc>
          <w:tcPr>
            <w:tcW w:w="682" w:type="dxa"/>
            <w:tcBorders>
              <w:top w:val="nil"/>
              <w:left w:val="single" w:sz="4" w:space="0" w:color="auto"/>
              <w:bottom w:val="single" w:sz="4" w:space="0" w:color="auto"/>
              <w:right w:val="single" w:sz="4" w:space="0" w:color="auto"/>
            </w:tcBorders>
            <w:shd w:val="clear" w:color="auto" w:fill="C6EFCE"/>
            <w:noWrap/>
          </w:tcPr>
          <w:p w14:paraId="1CFF74D3" w14:textId="77777777" w:rsidR="00C45D59" w:rsidRDefault="009B0962">
            <w:pPr>
              <w:pStyle w:val="P68B1DB1-Normal12"/>
              <w:spacing w:after="0" w:line="240" w:lineRule="auto"/>
              <w:rPr>
                <w:rFonts w:eastAsia="Times New Roman"/>
                <w:noProof/>
              </w:rPr>
            </w:pPr>
            <w:r>
              <w:rPr>
                <w:noProof/>
              </w:rPr>
              <w:t>200</w:t>
            </w:r>
          </w:p>
        </w:tc>
        <w:tc>
          <w:tcPr>
            <w:tcW w:w="2210" w:type="dxa"/>
            <w:tcBorders>
              <w:top w:val="nil"/>
              <w:left w:val="nil"/>
              <w:bottom w:val="single" w:sz="4" w:space="0" w:color="auto"/>
              <w:right w:val="single" w:sz="4" w:space="0" w:color="auto"/>
            </w:tcBorders>
            <w:shd w:val="clear" w:color="auto" w:fill="C6EFCE"/>
            <w:noWrap/>
          </w:tcPr>
          <w:p w14:paraId="0F318E09" w14:textId="77777777" w:rsidR="00C45D59" w:rsidRDefault="009B0962">
            <w:pPr>
              <w:pStyle w:val="P68B1DB1-Normal12"/>
              <w:spacing w:after="0" w:line="240" w:lineRule="auto"/>
              <w:rPr>
                <w:rFonts w:eastAsia="Times New Roman"/>
                <w:noProof/>
              </w:rPr>
            </w:pPr>
            <w:r>
              <w:rPr>
                <w:noProof/>
              </w:rPr>
              <w:t>18-4.7. Îmbunătățirea competitivității și promovarea investițiilor private și a comerțului – 16598_Regimul de stimulare a productivității și a extinderii întreprinderilor (creșterea dimensiunii întreprinderilor)</w:t>
            </w:r>
          </w:p>
        </w:tc>
        <w:tc>
          <w:tcPr>
            <w:tcW w:w="1376" w:type="dxa"/>
            <w:tcBorders>
              <w:top w:val="nil"/>
              <w:left w:val="nil"/>
              <w:bottom w:val="single" w:sz="4" w:space="0" w:color="auto"/>
              <w:right w:val="single" w:sz="4" w:space="0" w:color="auto"/>
            </w:tcBorders>
            <w:shd w:val="clear" w:color="auto" w:fill="C6EFCE"/>
            <w:noWrap/>
          </w:tcPr>
          <w:p w14:paraId="7B229867" w14:textId="77777777" w:rsidR="00C45D59" w:rsidRDefault="009B0962">
            <w:pPr>
              <w:pStyle w:val="P68B1DB1-Normal12"/>
              <w:spacing w:after="0" w:line="240" w:lineRule="auto"/>
              <w:rPr>
                <w:rFonts w:eastAsia="Times New Roman"/>
                <w:noProof/>
              </w:rPr>
            </w:pPr>
            <w:r>
              <w:rPr>
                <w:noProof/>
              </w:rPr>
              <w:t>Etapă</w:t>
            </w:r>
          </w:p>
        </w:tc>
        <w:tc>
          <w:tcPr>
            <w:tcW w:w="1366" w:type="dxa"/>
            <w:tcBorders>
              <w:top w:val="nil"/>
              <w:left w:val="nil"/>
              <w:bottom w:val="single" w:sz="4" w:space="0" w:color="auto"/>
              <w:right w:val="single" w:sz="4" w:space="0" w:color="auto"/>
            </w:tcBorders>
            <w:shd w:val="clear" w:color="auto" w:fill="C6EFCE"/>
            <w:noWrap/>
          </w:tcPr>
          <w:p w14:paraId="793D9CE7" w14:textId="77777777" w:rsidR="00C45D59" w:rsidRDefault="009B0962">
            <w:pPr>
              <w:pStyle w:val="P68B1DB1-Normal12"/>
              <w:spacing w:after="0" w:line="240" w:lineRule="auto"/>
              <w:rPr>
                <w:rFonts w:eastAsia="Times New Roman"/>
                <w:noProof/>
              </w:rPr>
            </w:pPr>
            <w:r>
              <w:rPr>
                <w:noProof/>
              </w:rPr>
              <w:t>Proiect de legislație pentru încurajarea extroversiunii mediului de afaceri</w:t>
            </w:r>
          </w:p>
        </w:tc>
        <w:tc>
          <w:tcPr>
            <w:tcW w:w="1984" w:type="dxa"/>
            <w:tcBorders>
              <w:top w:val="nil"/>
              <w:left w:val="nil"/>
              <w:bottom w:val="single" w:sz="4" w:space="0" w:color="auto"/>
              <w:right w:val="single" w:sz="4" w:space="0" w:color="auto"/>
            </w:tcBorders>
            <w:shd w:val="clear" w:color="auto" w:fill="C6EFCE"/>
            <w:noWrap/>
          </w:tcPr>
          <w:p w14:paraId="4BB942ED" w14:textId="77777777" w:rsidR="00C45D59" w:rsidRDefault="009B0962">
            <w:pPr>
              <w:pStyle w:val="P68B1DB1-Normal12"/>
              <w:spacing w:after="0" w:line="240" w:lineRule="auto"/>
              <w:rPr>
                <w:rFonts w:eastAsia="Times New Roman"/>
                <w:noProof/>
              </w:rPr>
            </w:pPr>
            <w:r>
              <w:rPr>
                <w:noProof/>
              </w:rPr>
              <w:t xml:space="preserve">Proiecte de legislație primară și secundară pentru a încuraja extroversiunea în afaceri. </w:t>
            </w:r>
          </w:p>
        </w:tc>
        <w:tc>
          <w:tcPr>
            <w:tcW w:w="876" w:type="dxa"/>
            <w:tcBorders>
              <w:top w:val="nil"/>
              <w:left w:val="nil"/>
              <w:bottom w:val="single" w:sz="4" w:space="0" w:color="auto"/>
              <w:right w:val="single" w:sz="4" w:space="0" w:color="auto"/>
            </w:tcBorders>
            <w:shd w:val="clear" w:color="auto" w:fill="C6EFCE"/>
            <w:noWrap/>
          </w:tcPr>
          <w:p w14:paraId="1D49656D"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96" w:type="dxa"/>
            <w:tcBorders>
              <w:top w:val="nil"/>
              <w:left w:val="nil"/>
              <w:bottom w:val="single" w:sz="4" w:space="0" w:color="auto"/>
              <w:right w:val="single" w:sz="4" w:space="0" w:color="auto"/>
            </w:tcBorders>
            <w:shd w:val="clear" w:color="auto" w:fill="C6EFCE"/>
            <w:noWrap/>
          </w:tcPr>
          <w:p w14:paraId="23C4CC95"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66" w:type="dxa"/>
            <w:tcBorders>
              <w:top w:val="nil"/>
              <w:left w:val="nil"/>
              <w:bottom w:val="single" w:sz="4" w:space="0" w:color="auto"/>
              <w:right w:val="single" w:sz="4" w:space="0" w:color="auto"/>
            </w:tcBorders>
            <w:shd w:val="clear" w:color="auto" w:fill="C6EFCE"/>
            <w:noWrap/>
          </w:tcPr>
          <w:p w14:paraId="4FE93CA1"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006" w:type="dxa"/>
            <w:tcBorders>
              <w:top w:val="nil"/>
              <w:left w:val="nil"/>
              <w:bottom w:val="single" w:sz="4" w:space="0" w:color="auto"/>
              <w:right w:val="single" w:sz="4" w:space="0" w:color="auto"/>
            </w:tcBorders>
            <w:shd w:val="clear" w:color="auto" w:fill="C6EFCE"/>
            <w:noWrap/>
          </w:tcPr>
          <w:p w14:paraId="41C7D7C9" w14:textId="77777777" w:rsidR="00C45D59" w:rsidRDefault="009B0962">
            <w:pPr>
              <w:pStyle w:val="P68B1DB1-Normal12"/>
              <w:spacing w:after="0" w:line="240" w:lineRule="auto"/>
              <w:rPr>
                <w:rFonts w:eastAsia="Times New Roman"/>
                <w:noProof/>
              </w:rPr>
            </w:pPr>
            <w:r>
              <w:rPr>
                <w:noProof/>
              </w:rPr>
              <w:t>Î3</w:t>
            </w:r>
          </w:p>
        </w:tc>
        <w:tc>
          <w:tcPr>
            <w:tcW w:w="708" w:type="dxa"/>
            <w:tcBorders>
              <w:top w:val="nil"/>
              <w:left w:val="nil"/>
              <w:bottom w:val="single" w:sz="4" w:space="0" w:color="auto"/>
              <w:right w:val="single" w:sz="4" w:space="0" w:color="auto"/>
            </w:tcBorders>
            <w:shd w:val="clear" w:color="auto" w:fill="C6EFCE"/>
            <w:noWrap/>
          </w:tcPr>
          <w:p w14:paraId="2AAE180E" w14:textId="77777777" w:rsidR="00C45D59" w:rsidRDefault="009B0962">
            <w:pPr>
              <w:pStyle w:val="P68B1DB1-Normal12"/>
              <w:spacing w:after="0" w:line="240" w:lineRule="auto"/>
              <w:rPr>
                <w:rFonts w:eastAsia="Times New Roman"/>
                <w:noProof/>
              </w:rPr>
            </w:pPr>
            <w:r>
              <w:rPr>
                <w:noProof/>
              </w:rPr>
              <w:t>2021</w:t>
            </w:r>
          </w:p>
        </w:tc>
        <w:tc>
          <w:tcPr>
            <w:tcW w:w="4830" w:type="dxa"/>
            <w:tcBorders>
              <w:top w:val="nil"/>
              <w:left w:val="nil"/>
              <w:bottom w:val="single" w:sz="4" w:space="0" w:color="auto"/>
              <w:right w:val="single" w:sz="4" w:space="0" w:color="auto"/>
            </w:tcBorders>
            <w:shd w:val="clear" w:color="auto" w:fill="C6EFCE"/>
            <w:noWrap/>
          </w:tcPr>
          <w:p w14:paraId="73DDA959" w14:textId="77777777" w:rsidR="00C45D59" w:rsidRDefault="009B0962">
            <w:pPr>
              <w:pStyle w:val="P68B1DB1-Normal12"/>
              <w:spacing w:after="0" w:line="240" w:lineRule="auto"/>
              <w:rPr>
                <w:rFonts w:eastAsia="Times New Roman"/>
                <w:noProof/>
              </w:rPr>
            </w:pPr>
            <w:r>
              <w:rPr>
                <w:noProof/>
              </w:rPr>
              <w:t>Proiecte în scopul consultării legislației primare și secundare care oferă îmbunătățiri ale cadrului juridic fiscal, financiar și de acordare a licențelor și stimulente pentru fuziuni, transformări și achiziții</w:t>
            </w:r>
          </w:p>
        </w:tc>
      </w:tr>
      <w:tr w:rsidR="00C45D59" w14:paraId="553B5922" w14:textId="77777777" w:rsidTr="00892E7E">
        <w:trPr>
          <w:trHeight w:val="313"/>
          <w:jc w:val="center"/>
        </w:trPr>
        <w:tc>
          <w:tcPr>
            <w:tcW w:w="682" w:type="dxa"/>
            <w:tcBorders>
              <w:top w:val="single" w:sz="4" w:space="0" w:color="auto"/>
              <w:left w:val="single" w:sz="4" w:space="0" w:color="auto"/>
              <w:bottom w:val="single" w:sz="4" w:space="0" w:color="auto"/>
              <w:right w:val="single" w:sz="4" w:space="0" w:color="auto"/>
            </w:tcBorders>
            <w:shd w:val="clear" w:color="auto" w:fill="C6EFCE"/>
            <w:noWrap/>
          </w:tcPr>
          <w:p w14:paraId="121D0A54" w14:textId="77777777" w:rsidR="00C45D59" w:rsidRDefault="009B0962">
            <w:pPr>
              <w:pStyle w:val="P68B1DB1-Normal12"/>
              <w:spacing w:after="0" w:line="240" w:lineRule="auto"/>
              <w:rPr>
                <w:rFonts w:eastAsia="Times New Roman"/>
                <w:noProof/>
              </w:rPr>
            </w:pPr>
            <w:r>
              <w:rPr>
                <w:noProof/>
              </w:rPr>
              <w:t>201</w:t>
            </w:r>
          </w:p>
        </w:tc>
        <w:tc>
          <w:tcPr>
            <w:tcW w:w="2210" w:type="dxa"/>
            <w:tcBorders>
              <w:top w:val="single" w:sz="4" w:space="0" w:color="auto"/>
              <w:left w:val="nil"/>
              <w:bottom w:val="single" w:sz="4" w:space="0" w:color="auto"/>
              <w:right w:val="single" w:sz="4" w:space="0" w:color="auto"/>
            </w:tcBorders>
            <w:shd w:val="clear" w:color="auto" w:fill="C6EFCE"/>
            <w:noWrap/>
          </w:tcPr>
          <w:p w14:paraId="7F2205D7" w14:textId="77777777" w:rsidR="00C45D59" w:rsidRDefault="009B0962">
            <w:pPr>
              <w:pStyle w:val="P68B1DB1-Normal12"/>
              <w:spacing w:after="0" w:line="240" w:lineRule="auto"/>
              <w:rPr>
                <w:rFonts w:eastAsia="Times New Roman"/>
                <w:noProof/>
              </w:rPr>
            </w:pPr>
            <w:r>
              <w:rPr>
                <w:noProof/>
              </w:rPr>
              <w:t>18-4.7. Îmbunătățirea competitivității și promovarea investițiilor private și a comerțului – 16598_Regimul de stimulare a productivității și a extinderii întreprinderilor (creșterea dimensiunii întreprinderilor)</w:t>
            </w:r>
          </w:p>
        </w:tc>
        <w:tc>
          <w:tcPr>
            <w:tcW w:w="1376" w:type="dxa"/>
            <w:tcBorders>
              <w:top w:val="single" w:sz="4" w:space="0" w:color="auto"/>
              <w:left w:val="nil"/>
              <w:bottom w:val="single" w:sz="4" w:space="0" w:color="auto"/>
              <w:right w:val="single" w:sz="4" w:space="0" w:color="auto"/>
            </w:tcBorders>
            <w:shd w:val="clear" w:color="auto" w:fill="C6EFCE"/>
            <w:noWrap/>
          </w:tcPr>
          <w:p w14:paraId="5746F454" w14:textId="77777777" w:rsidR="00C45D59" w:rsidRDefault="009B0962">
            <w:pPr>
              <w:pStyle w:val="P68B1DB1-Normal12"/>
              <w:spacing w:after="0" w:line="240" w:lineRule="auto"/>
              <w:rPr>
                <w:rFonts w:eastAsia="Times New Roman"/>
                <w:noProof/>
              </w:rPr>
            </w:pPr>
            <w:r>
              <w:rPr>
                <w:noProof/>
              </w:rPr>
              <w:t>Etapă</w:t>
            </w:r>
          </w:p>
        </w:tc>
        <w:tc>
          <w:tcPr>
            <w:tcW w:w="1366" w:type="dxa"/>
            <w:tcBorders>
              <w:top w:val="single" w:sz="4" w:space="0" w:color="auto"/>
              <w:left w:val="nil"/>
              <w:bottom w:val="single" w:sz="4" w:space="0" w:color="auto"/>
              <w:right w:val="single" w:sz="4" w:space="0" w:color="auto"/>
            </w:tcBorders>
            <w:shd w:val="clear" w:color="auto" w:fill="C6EFCE"/>
            <w:noWrap/>
          </w:tcPr>
          <w:p w14:paraId="581811A8" w14:textId="77777777" w:rsidR="00C45D59" w:rsidRDefault="009B0962">
            <w:pPr>
              <w:pStyle w:val="P68B1DB1-Normal12"/>
              <w:spacing w:after="0" w:line="240" w:lineRule="auto"/>
              <w:rPr>
                <w:rFonts w:eastAsia="Times New Roman"/>
                <w:noProof/>
              </w:rPr>
            </w:pPr>
            <w:r>
              <w:rPr>
                <w:noProof/>
              </w:rPr>
              <w:t>Legislație pentru încurajarea extroversiunii întreprinderilor</w:t>
            </w:r>
          </w:p>
        </w:tc>
        <w:tc>
          <w:tcPr>
            <w:tcW w:w="1984" w:type="dxa"/>
            <w:tcBorders>
              <w:top w:val="single" w:sz="4" w:space="0" w:color="auto"/>
              <w:left w:val="nil"/>
              <w:bottom w:val="single" w:sz="4" w:space="0" w:color="auto"/>
              <w:right w:val="single" w:sz="4" w:space="0" w:color="auto"/>
            </w:tcBorders>
            <w:shd w:val="clear" w:color="auto" w:fill="C6EFCE"/>
            <w:noWrap/>
          </w:tcPr>
          <w:p w14:paraId="2E6A3D63" w14:textId="77777777" w:rsidR="00C45D59" w:rsidRDefault="009B0962">
            <w:pPr>
              <w:pStyle w:val="P68B1DB1-Normal12"/>
              <w:spacing w:after="0" w:line="240" w:lineRule="auto"/>
              <w:rPr>
                <w:rFonts w:eastAsia="Times New Roman"/>
                <w:noProof/>
              </w:rPr>
            </w:pPr>
            <w:r>
              <w:rPr>
                <w:noProof/>
              </w:rPr>
              <w:t>Intrarea în vigoare a legislației de încurajare a extroversiunii întreprinderilor</w:t>
            </w:r>
          </w:p>
        </w:tc>
        <w:tc>
          <w:tcPr>
            <w:tcW w:w="876" w:type="dxa"/>
            <w:tcBorders>
              <w:top w:val="single" w:sz="4" w:space="0" w:color="auto"/>
              <w:left w:val="nil"/>
              <w:bottom w:val="single" w:sz="4" w:space="0" w:color="auto"/>
              <w:right w:val="single" w:sz="4" w:space="0" w:color="auto"/>
            </w:tcBorders>
            <w:shd w:val="clear" w:color="auto" w:fill="C6EFCE"/>
            <w:noWrap/>
          </w:tcPr>
          <w:p w14:paraId="3CC1D342"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96" w:type="dxa"/>
            <w:tcBorders>
              <w:top w:val="single" w:sz="4" w:space="0" w:color="auto"/>
              <w:left w:val="nil"/>
              <w:bottom w:val="single" w:sz="4" w:space="0" w:color="auto"/>
              <w:right w:val="single" w:sz="4" w:space="0" w:color="auto"/>
            </w:tcBorders>
            <w:shd w:val="clear" w:color="auto" w:fill="C6EFCE"/>
            <w:noWrap/>
          </w:tcPr>
          <w:p w14:paraId="72D27213"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66" w:type="dxa"/>
            <w:tcBorders>
              <w:top w:val="single" w:sz="4" w:space="0" w:color="auto"/>
              <w:left w:val="nil"/>
              <w:bottom w:val="single" w:sz="4" w:space="0" w:color="auto"/>
              <w:right w:val="single" w:sz="4" w:space="0" w:color="auto"/>
            </w:tcBorders>
            <w:shd w:val="clear" w:color="auto" w:fill="C6EFCE"/>
            <w:noWrap/>
          </w:tcPr>
          <w:p w14:paraId="0E6F40B6"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006" w:type="dxa"/>
            <w:tcBorders>
              <w:top w:val="single" w:sz="4" w:space="0" w:color="auto"/>
              <w:left w:val="nil"/>
              <w:bottom w:val="single" w:sz="4" w:space="0" w:color="auto"/>
              <w:right w:val="single" w:sz="4" w:space="0" w:color="auto"/>
            </w:tcBorders>
            <w:shd w:val="clear" w:color="auto" w:fill="C6EFCE"/>
            <w:noWrap/>
          </w:tcPr>
          <w:p w14:paraId="5D1238B1" w14:textId="77777777" w:rsidR="00C45D59" w:rsidRDefault="009B0962">
            <w:pPr>
              <w:pStyle w:val="P68B1DB1-Normal12"/>
              <w:spacing w:after="0" w:line="240" w:lineRule="auto"/>
              <w:rPr>
                <w:rFonts w:eastAsia="Times New Roman"/>
                <w:noProof/>
              </w:rPr>
            </w:pPr>
            <w:r>
              <w:rPr>
                <w:noProof/>
              </w:rPr>
              <w:t>Î1</w:t>
            </w:r>
          </w:p>
        </w:tc>
        <w:tc>
          <w:tcPr>
            <w:tcW w:w="708" w:type="dxa"/>
            <w:tcBorders>
              <w:top w:val="single" w:sz="4" w:space="0" w:color="auto"/>
              <w:left w:val="nil"/>
              <w:bottom w:val="single" w:sz="4" w:space="0" w:color="auto"/>
              <w:right w:val="single" w:sz="4" w:space="0" w:color="auto"/>
            </w:tcBorders>
            <w:shd w:val="clear" w:color="auto" w:fill="C6EFCE"/>
            <w:noWrap/>
          </w:tcPr>
          <w:p w14:paraId="1F15CF72" w14:textId="77777777" w:rsidR="00C45D59" w:rsidRDefault="009B0962">
            <w:pPr>
              <w:pStyle w:val="P68B1DB1-Normal12"/>
              <w:spacing w:after="0" w:line="240" w:lineRule="auto"/>
              <w:rPr>
                <w:rFonts w:eastAsia="Times New Roman"/>
                <w:noProof/>
              </w:rPr>
            </w:pPr>
            <w:r>
              <w:rPr>
                <w:noProof/>
              </w:rPr>
              <w:t>2022</w:t>
            </w:r>
          </w:p>
        </w:tc>
        <w:tc>
          <w:tcPr>
            <w:tcW w:w="4830" w:type="dxa"/>
            <w:tcBorders>
              <w:top w:val="single" w:sz="4" w:space="0" w:color="auto"/>
              <w:left w:val="nil"/>
              <w:bottom w:val="single" w:sz="4" w:space="0" w:color="auto"/>
              <w:right w:val="single" w:sz="4" w:space="0" w:color="auto"/>
            </w:tcBorders>
            <w:shd w:val="clear" w:color="auto" w:fill="C6EFCE"/>
            <w:noWrap/>
          </w:tcPr>
          <w:p w14:paraId="22C40688" w14:textId="77777777" w:rsidR="00C45D59" w:rsidRDefault="009B0962">
            <w:pPr>
              <w:pStyle w:val="P68B1DB1-Normal12"/>
              <w:spacing w:after="0" w:line="240" w:lineRule="auto"/>
              <w:rPr>
                <w:rFonts w:eastAsia="Times New Roman"/>
                <w:noProof/>
              </w:rPr>
            </w:pPr>
            <w:r>
              <w:rPr>
                <w:noProof/>
              </w:rPr>
              <w:t>Intrarea în vigoare a modificărilor relative care aduc îmbunătățiri cadrului juridic fiscal, financiar și de acordare a licențelor și stimulente pentru fuziuni, transformări și achiziții</w:t>
            </w:r>
          </w:p>
        </w:tc>
      </w:tr>
      <w:tr w:rsidR="00C45D59" w14:paraId="5E36697C" w14:textId="77777777" w:rsidTr="00892E7E">
        <w:trPr>
          <w:trHeight w:val="313"/>
          <w:jc w:val="center"/>
        </w:trPr>
        <w:tc>
          <w:tcPr>
            <w:tcW w:w="682" w:type="dxa"/>
            <w:tcBorders>
              <w:top w:val="single" w:sz="4" w:space="0" w:color="auto"/>
              <w:left w:val="single" w:sz="4" w:space="0" w:color="auto"/>
              <w:bottom w:val="single" w:sz="4" w:space="0" w:color="auto"/>
              <w:right w:val="single" w:sz="4" w:space="0" w:color="auto"/>
            </w:tcBorders>
            <w:shd w:val="clear" w:color="auto" w:fill="C6EFCE"/>
            <w:noWrap/>
          </w:tcPr>
          <w:p w14:paraId="60D7635D" w14:textId="77777777" w:rsidR="00C45D59" w:rsidRDefault="009B0962">
            <w:pPr>
              <w:pStyle w:val="P68B1DB1-Normal12"/>
              <w:spacing w:after="0" w:line="240" w:lineRule="auto"/>
              <w:rPr>
                <w:rFonts w:eastAsia="Times New Roman"/>
                <w:noProof/>
              </w:rPr>
            </w:pPr>
            <w:r>
              <w:rPr>
                <w:noProof/>
              </w:rPr>
              <w:t>202</w:t>
            </w:r>
          </w:p>
        </w:tc>
        <w:tc>
          <w:tcPr>
            <w:tcW w:w="2210" w:type="dxa"/>
            <w:tcBorders>
              <w:top w:val="single" w:sz="4" w:space="0" w:color="auto"/>
              <w:left w:val="nil"/>
              <w:bottom w:val="single" w:sz="4" w:space="0" w:color="auto"/>
              <w:right w:val="single" w:sz="4" w:space="0" w:color="auto"/>
            </w:tcBorders>
            <w:shd w:val="clear" w:color="auto" w:fill="C6EFCE"/>
            <w:noWrap/>
          </w:tcPr>
          <w:p w14:paraId="420BC3D9" w14:textId="77777777" w:rsidR="00C45D59" w:rsidRDefault="009B0962">
            <w:pPr>
              <w:pStyle w:val="P68B1DB1-Normal12"/>
              <w:spacing w:after="0" w:line="240" w:lineRule="auto"/>
              <w:rPr>
                <w:rFonts w:eastAsia="Times New Roman"/>
                <w:noProof/>
              </w:rPr>
            </w:pPr>
            <w:r>
              <w:rPr>
                <w:noProof/>
              </w:rPr>
              <w:t xml:space="preserve"> 4.1. O fiscalitate mai favorabilă creșterii economice și o mai bună administrare fiscală și colectare a impozitelor – 16643_Codificarea și simplificarea legislației fiscale</w:t>
            </w:r>
          </w:p>
        </w:tc>
        <w:tc>
          <w:tcPr>
            <w:tcW w:w="1376" w:type="dxa"/>
            <w:tcBorders>
              <w:top w:val="single" w:sz="4" w:space="0" w:color="auto"/>
              <w:left w:val="nil"/>
              <w:bottom w:val="single" w:sz="4" w:space="0" w:color="auto"/>
              <w:right w:val="single" w:sz="4" w:space="0" w:color="auto"/>
            </w:tcBorders>
            <w:shd w:val="clear" w:color="auto" w:fill="C6EFCE"/>
            <w:noWrap/>
          </w:tcPr>
          <w:p w14:paraId="5865263C" w14:textId="77777777" w:rsidR="00C45D59" w:rsidRDefault="009B0962">
            <w:pPr>
              <w:pStyle w:val="P68B1DB1-Normal12"/>
              <w:spacing w:after="0" w:line="240" w:lineRule="auto"/>
              <w:rPr>
                <w:rFonts w:eastAsia="Times New Roman"/>
                <w:noProof/>
              </w:rPr>
            </w:pPr>
            <w:r>
              <w:rPr>
                <w:noProof/>
              </w:rPr>
              <w:t>Etapă</w:t>
            </w:r>
          </w:p>
        </w:tc>
        <w:tc>
          <w:tcPr>
            <w:tcW w:w="1366" w:type="dxa"/>
            <w:tcBorders>
              <w:top w:val="single" w:sz="4" w:space="0" w:color="auto"/>
              <w:left w:val="nil"/>
              <w:bottom w:val="single" w:sz="4" w:space="0" w:color="auto"/>
              <w:right w:val="single" w:sz="4" w:space="0" w:color="auto"/>
            </w:tcBorders>
            <w:shd w:val="clear" w:color="auto" w:fill="C6EFCE"/>
            <w:noWrap/>
          </w:tcPr>
          <w:p w14:paraId="3B78B3CC" w14:textId="77777777" w:rsidR="00C45D59" w:rsidRDefault="009B0962">
            <w:pPr>
              <w:pStyle w:val="P68B1DB1-Normal12"/>
              <w:spacing w:after="0" w:line="240" w:lineRule="auto"/>
              <w:rPr>
                <w:rFonts w:eastAsia="Times New Roman"/>
                <w:noProof/>
              </w:rPr>
            </w:pPr>
            <w:r>
              <w:rPr>
                <w:noProof/>
              </w:rPr>
              <w:t>Creșterea capacității de codificare fiscală</w:t>
            </w:r>
          </w:p>
        </w:tc>
        <w:tc>
          <w:tcPr>
            <w:tcW w:w="1984" w:type="dxa"/>
            <w:tcBorders>
              <w:top w:val="single" w:sz="4" w:space="0" w:color="auto"/>
              <w:left w:val="nil"/>
              <w:bottom w:val="single" w:sz="4" w:space="0" w:color="auto"/>
              <w:right w:val="single" w:sz="4" w:space="0" w:color="auto"/>
            </w:tcBorders>
            <w:shd w:val="clear" w:color="auto" w:fill="C6EFCE"/>
            <w:noWrap/>
          </w:tcPr>
          <w:p w14:paraId="20967772" w14:textId="77777777" w:rsidR="00C45D59" w:rsidRDefault="009B0962">
            <w:pPr>
              <w:pStyle w:val="P68B1DB1-Normal12"/>
              <w:spacing w:after="0" w:line="240" w:lineRule="auto"/>
              <w:rPr>
                <w:rFonts w:eastAsia="Times New Roman"/>
                <w:noProof/>
              </w:rPr>
            </w:pPr>
            <w:r>
              <w:rPr>
                <w:noProof/>
              </w:rPr>
              <w:t>Publicarea legislației secundare pentru înființarea unității de codificare fiscală în cadrul Direcției pentru furnizarea de servicii și finanțe din cadrul Ministerului Finanțelor din IAPR.</w:t>
            </w:r>
          </w:p>
        </w:tc>
        <w:tc>
          <w:tcPr>
            <w:tcW w:w="876" w:type="dxa"/>
            <w:tcBorders>
              <w:top w:val="single" w:sz="4" w:space="0" w:color="auto"/>
              <w:left w:val="nil"/>
              <w:bottom w:val="single" w:sz="4" w:space="0" w:color="auto"/>
              <w:right w:val="single" w:sz="4" w:space="0" w:color="auto"/>
            </w:tcBorders>
            <w:shd w:val="clear" w:color="auto" w:fill="C6EFCE"/>
            <w:noWrap/>
          </w:tcPr>
          <w:p w14:paraId="47711E31"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96" w:type="dxa"/>
            <w:tcBorders>
              <w:top w:val="single" w:sz="4" w:space="0" w:color="auto"/>
              <w:left w:val="nil"/>
              <w:bottom w:val="single" w:sz="4" w:space="0" w:color="auto"/>
              <w:right w:val="single" w:sz="4" w:space="0" w:color="auto"/>
            </w:tcBorders>
            <w:shd w:val="clear" w:color="auto" w:fill="C6EFCE"/>
            <w:noWrap/>
          </w:tcPr>
          <w:p w14:paraId="59A0061B"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66" w:type="dxa"/>
            <w:tcBorders>
              <w:top w:val="single" w:sz="4" w:space="0" w:color="auto"/>
              <w:left w:val="nil"/>
              <w:bottom w:val="single" w:sz="4" w:space="0" w:color="auto"/>
              <w:right w:val="single" w:sz="4" w:space="0" w:color="auto"/>
            </w:tcBorders>
            <w:shd w:val="clear" w:color="auto" w:fill="C6EFCE"/>
            <w:noWrap/>
          </w:tcPr>
          <w:p w14:paraId="6B171E83"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006" w:type="dxa"/>
            <w:tcBorders>
              <w:top w:val="single" w:sz="4" w:space="0" w:color="auto"/>
              <w:left w:val="nil"/>
              <w:bottom w:val="single" w:sz="4" w:space="0" w:color="auto"/>
              <w:right w:val="single" w:sz="4" w:space="0" w:color="auto"/>
            </w:tcBorders>
            <w:shd w:val="clear" w:color="auto" w:fill="C6EFCE"/>
            <w:noWrap/>
          </w:tcPr>
          <w:p w14:paraId="70FA6639" w14:textId="77777777" w:rsidR="00C45D59" w:rsidRDefault="009B0962">
            <w:pPr>
              <w:pStyle w:val="P68B1DB1-Normal12"/>
              <w:spacing w:after="0" w:line="240" w:lineRule="auto"/>
              <w:rPr>
                <w:rFonts w:eastAsia="Times New Roman"/>
                <w:noProof/>
              </w:rPr>
            </w:pPr>
            <w:r>
              <w:rPr>
                <w:noProof/>
              </w:rPr>
              <w:t>Î2</w:t>
            </w:r>
          </w:p>
        </w:tc>
        <w:tc>
          <w:tcPr>
            <w:tcW w:w="708" w:type="dxa"/>
            <w:tcBorders>
              <w:top w:val="single" w:sz="4" w:space="0" w:color="auto"/>
              <w:left w:val="nil"/>
              <w:bottom w:val="single" w:sz="4" w:space="0" w:color="auto"/>
              <w:right w:val="single" w:sz="4" w:space="0" w:color="auto"/>
            </w:tcBorders>
            <w:shd w:val="clear" w:color="auto" w:fill="C6EFCE"/>
            <w:noWrap/>
          </w:tcPr>
          <w:p w14:paraId="5130826E" w14:textId="77777777" w:rsidR="00C45D59" w:rsidRDefault="009B0962">
            <w:pPr>
              <w:pStyle w:val="P68B1DB1-Normal12"/>
              <w:spacing w:after="0" w:line="240" w:lineRule="auto"/>
              <w:rPr>
                <w:rFonts w:eastAsia="Times New Roman"/>
                <w:noProof/>
              </w:rPr>
            </w:pPr>
            <w:r>
              <w:rPr>
                <w:noProof/>
              </w:rPr>
              <w:t>2022</w:t>
            </w:r>
          </w:p>
        </w:tc>
        <w:tc>
          <w:tcPr>
            <w:tcW w:w="4830" w:type="dxa"/>
            <w:tcBorders>
              <w:top w:val="single" w:sz="4" w:space="0" w:color="auto"/>
              <w:left w:val="nil"/>
              <w:bottom w:val="single" w:sz="4" w:space="0" w:color="auto"/>
              <w:right w:val="single" w:sz="4" w:space="0" w:color="auto"/>
            </w:tcBorders>
            <w:shd w:val="clear" w:color="auto" w:fill="C6EFCE"/>
            <w:noWrap/>
          </w:tcPr>
          <w:p w14:paraId="4D089B30" w14:textId="77777777" w:rsidR="00C45D59" w:rsidRDefault="009B0962">
            <w:pPr>
              <w:pStyle w:val="P68B1DB1-Normal12"/>
              <w:spacing w:after="0" w:line="240" w:lineRule="auto"/>
              <w:rPr>
                <w:rFonts w:eastAsia="Times New Roman"/>
                <w:noProof/>
              </w:rPr>
            </w:pPr>
            <w:r>
              <w:rPr>
                <w:noProof/>
              </w:rPr>
              <w:t>Înființarea unei unități fiscale specifice în cadrul Ministerului Finanțelor, responsabilă cu consolidarea și coerența legislației fiscale primare și a deciziilor ministeriale; Înființarea unei Direcții de prestări servicii în cadrul AIVP, responsabilă, printre altele, de consolidarea legislației secundare, de coordonarea competențelor AIVP în ceea ce privește Codul de procedură fiscală, precum și de actualizarea și întreținerea bazei de date fiscale publice</w:t>
            </w:r>
          </w:p>
        </w:tc>
      </w:tr>
      <w:tr w:rsidR="00C45D59" w14:paraId="7E48133D" w14:textId="77777777" w:rsidTr="00892E7E">
        <w:trPr>
          <w:trHeight w:val="313"/>
          <w:jc w:val="center"/>
        </w:trPr>
        <w:tc>
          <w:tcPr>
            <w:tcW w:w="682" w:type="dxa"/>
            <w:tcBorders>
              <w:top w:val="single" w:sz="4" w:space="0" w:color="auto"/>
              <w:left w:val="single" w:sz="4" w:space="0" w:color="auto"/>
              <w:bottom w:val="single" w:sz="4" w:space="0" w:color="auto"/>
              <w:right w:val="single" w:sz="4" w:space="0" w:color="auto"/>
            </w:tcBorders>
            <w:shd w:val="clear" w:color="auto" w:fill="C6EFCE"/>
            <w:noWrap/>
          </w:tcPr>
          <w:p w14:paraId="6879AD36" w14:textId="77777777" w:rsidR="00C45D59" w:rsidRDefault="009B0962">
            <w:pPr>
              <w:pStyle w:val="P68B1DB1-Normal12"/>
              <w:spacing w:after="0" w:line="240" w:lineRule="auto"/>
              <w:rPr>
                <w:rFonts w:eastAsia="Times New Roman"/>
                <w:noProof/>
              </w:rPr>
            </w:pPr>
            <w:r>
              <w:rPr>
                <w:noProof/>
              </w:rPr>
              <w:t>203</w:t>
            </w:r>
          </w:p>
        </w:tc>
        <w:tc>
          <w:tcPr>
            <w:tcW w:w="2210" w:type="dxa"/>
            <w:tcBorders>
              <w:top w:val="single" w:sz="4" w:space="0" w:color="auto"/>
              <w:left w:val="nil"/>
              <w:bottom w:val="single" w:sz="4" w:space="0" w:color="auto"/>
              <w:right w:val="single" w:sz="4" w:space="0" w:color="auto"/>
            </w:tcBorders>
            <w:shd w:val="clear" w:color="auto" w:fill="C6EFCE"/>
            <w:noWrap/>
          </w:tcPr>
          <w:p w14:paraId="1EF6D16D" w14:textId="77777777" w:rsidR="00C45D59" w:rsidRDefault="009B0962">
            <w:pPr>
              <w:pStyle w:val="P68B1DB1-Normal12"/>
              <w:spacing w:after="0" w:line="240" w:lineRule="auto"/>
              <w:rPr>
                <w:rFonts w:eastAsia="Times New Roman"/>
                <w:noProof/>
              </w:rPr>
            </w:pPr>
            <w:r>
              <w:rPr>
                <w:noProof/>
              </w:rPr>
              <w:t>12-4.1. O fiscalitate mai favorabilă creșterii economice și o mai bună administrare fiscală și colectare a impozitelor – 16643_Codificarea și simplificarea legislației fiscale</w:t>
            </w:r>
          </w:p>
        </w:tc>
        <w:tc>
          <w:tcPr>
            <w:tcW w:w="1376" w:type="dxa"/>
            <w:tcBorders>
              <w:top w:val="single" w:sz="4" w:space="0" w:color="auto"/>
              <w:left w:val="nil"/>
              <w:bottom w:val="single" w:sz="4" w:space="0" w:color="auto"/>
              <w:right w:val="single" w:sz="4" w:space="0" w:color="auto"/>
            </w:tcBorders>
            <w:shd w:val="clear" w:color="auto" w:fill="C6EFCE"/>
            <w:noWrap/>
          </w:tcPr>
          <w:p w14:paraId="7DCD1025" w14:textId="77777777" w:rsidR="00C45D59" w:rsidRDefault="009B0962">
            <w:pPr>
              <w:pStyle w:val="P68B1DB1-Normal12"/>
              <w:spacing w:after="0" w:line="240" w:lineRule="auto"/>
              <w:rPr>
                <w:rFonts w:eastAsia="Times New Roman"/>
                <w:noProof/>
              </w:rPr>
            </w:pPr>
            <w:r>
              <w:rPr>
                <w:noProof/>
              </w:rPr>
              <w:t>Etapă</w:t>
            </w:r>
          </w:p>
        </w:tc>
        <w:tc>
          <w:tcPr>
            <w:tcW w:w="1366" w:type="dxa"/>
            <w:tcBorders>
              <w:top w:val="single" w:sz="4" w:space="0" w:color="auto"/>
              <w:left w:val="nil"/>
              <w:bottom w:val="single" w:sz="4" w:space="0" w:color="auto"/>
              <w:right w:val="single" w:sz="4" w:space="0" w:color="auto"/>
            </w:tcBorders>
            <w:shd w:val="clear" w:color="auto" w:fill="C6EFCE"/>
            <w:noWrap/>
          </w:tcPr>
          <w:p w14:paraId="3EF15B92" w14:textId="77777777" w:rsidR="00C45D59" w:rsidRDefault="009B0962">
            <w:pPr>
              <w:pStyle w:val="P68B1DB1-Normal12"/>
              <w:spacing w:after="0" w:line="240" w:lineRule="auto"/>
              <w:rPr>
                <w:rFonts w:eastAsia="Times New Roman"/>
                <w:noProof/>
              </w:rPr>
            </w:pPr>
            <w:r>
              <w:rPr>
                <w:noProof/>
              </w:rPr>
              <w:t>Recuperarea impozitelor pe venit și a codurilor de procedură fiscală</w:t>
            </w:r>
          </w:p>
        </w:tc>
        <w:tc>
          <w:tcPr>
            <w:tcW w:w="1984" w:type="dxa"/>
            <w:tcBorders>
              <w:top w:val="single" w:sz="4" w:space="0" w:color="auto"/>
              <w:left w:val="nil"/>
              <w:bottom w:val="single" w:sz="4" w:space="0" w:color="auto"/>
              <w:right w:val="single" w:sz="4" w:space="0" w:color="auto"/>
            </w:tcBorders>
            <w:shd w:val="clear" w:color="auto" w:fill="C6EFCE"/>
            <w:noWrap/>
          </w:tcPr>
          <w:p w14:paraId="4C52BAE4" w14:textId="77777777" w:rsidR="00C45D59" w:rsidRDefault="009B0962">
            <w:pPr>
              <w:pStyle w:val="P68B1DB1-Normal12"/>
              <w:spacing w:after="0" w:line="240" w:lineRule="auto"/>
              <w:rPr>
                <w:rFonts w:eastAsia="Times New Roman"/>
                <w:noProof/>
              </w:rPr>
            </w:pPr>
            <w:r>
              <w:rPr>
                <w:noProof/>
              </w:rPr>
              <w:t>Intrarea în vigoare a legislației fiscale primare și secundare codificate pentru Codul privind impozitul pe venit și Codul administrației fiscale</w:t>
            </w:r>
          </w:p>
        </w:tc>
        <w:tc>
          <w:tcPr>
            <w:tcW w:w="876" w:type="dxa"/>
            <w:tcBorders>
              <w:top w:val="single" w:sz="4" w:space="0" w:color="auto"/>
              <w:left w:val="nil"/>
              <w:bottom w:val="single" w:sz="4" w:space="0" w:color="auto"/>
              <w:right w:val="single" w:sz="4" w:space="0" w:color="auto"/>
            </w:tcBorders>
            <w:shd w:val="clear" w:color="auto" w:fill="C6EFCE"/>
            <w:noWrap/>
          </w:tcPr>
          <w:p w14:paraId="1CD8A847"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96" w:type="dxa"/>
            <w:tcBorders>
              <w:top w:val="single" w:sz="4" w:space="0" w:color="auto"/>
              <w:left w:val="nil"/>
              <w:bottom w:val="single" w:sz="4" w:space="0" w:color="auto"/>
              <w:right w:val="single" w:sz="4" w:space="0" w:color="auto"/>
            </w:tcBorders>
            <w:shd w:val="clear" w:color="auto" w:fill="C6EFCE"/>
            <w:noWrap/>
          </w:tcPr>
          <w:p w14:paraId="3EBC7167"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66" w:type="dxa"/>
            <w:tcBorders>
              <w:top w:val="single" w:sz="4" w:space="0" w:color="auto"/>
              <w:left w:val="nil"/>
              <w:bottom w:val="single" w:sz="4" w:space="0" w:color="auto"/>
              <w:right w:val="single" w:sz="4" w:space="0" w:color="auto"/>
            </w:tcBorders>
            <w:shd w:val="clear" w:color="auto" w:fill="C6EFCE"/>
            <w:noWrap/>
          </w:tcPr>
          <w:p w14:paraId="5E574C71"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006" w:type="dxa"/>
            <w:tcBorders>
              <w:top w:val="single" w:sz="4" w:space="0" w:color="auto"/>
              <w:left w:val="nil"/>
              <w:bottom w:val="single" w:sz="4" w:space="0" w:color="auto"/>
              <w:right w:val="single" w:sz="4" w:space="0" w:color="auto"/>
            </w:tcBorders>
            <w:shd w:val="clear" w:color="auto" w:fill="C6EFCE"/>
            <w:noWrap/>
          </w:tcPr>
          <w:p w14:paraId="561C6497" w14:textId="77777777" w:rsidR="00C45D59" w:rsidRDefault="009B0962">
            <w:pPr>
              <w:pStyle w:val="P68B1DB1-Normal12"/>
              <w:spacing w:after="0" w:line="240" w:lineRule="auto"/>
              <w:rPr>
                <w:rFonts w:eastAsia="Times New Roman"/>
                <w:noProof/>
              </w:rPr>
            </w:pPr>
            <w:r>
              <w:rPr>
                <w:noProof/>
              </w:rPr>
              <w:t>Î2</w:t>
            </w:r>
          </w:p>
        </w:tc>
        <w:tc>
          <w:tcPr>
            <w:tcW w:w="708" w:type="dxa"/>
            <w:tcBorders>
              <w:top w:val="single" w:sz="4" w:space="0" w:color="auto"/>
              <w:left w:val="nil"/>
              <w:bottom w:val="single" w:sz="4" w:space="0" w:color="auto"/>
              <w:right w:val="single" w:sz="4" w:space="0" w:color="auto"/>
            </w:tcBorders>
            <w:shd w:val="clear" w:color="auto" w:fill="C6EFCE"/>
            <w:noWrap/>
          </w:tcPr>
          <w:p w14:paraId="1A4BD105" w14:textId="77777777" w:rsidR="00C45D59" w:rsidRDefault="009B0962">
            <w:pPr>
              <w:pStyle w:val="P68B1DB1-Normal12"/>
              <w:spacing w:after="0" w:line="240" w:lineRule="auto"/>
              <w:rPr>
                <w:rFonts w:eastAsia="Times New Roman"/>
                <w:noProof/>
              </w:rPr>
            </w:pPr>
            <w:r>
              <w:rPr>
                <w:noProof/>
              </w:rPr>
              <w:t>2023</w:t>
            </w:r>
          </w:p>
        </w:tc>
        <w:tc>
          <w:tcPr>
            <w:tcW w:w="4830" w:type="dxa"/>
            <w:tcBorders>
              <w:top w:val="single" w:sz="4" w:space="0" w:color="auto"/>
              <w:left w:val="nil"/>
              <w:bottom w:val="single" w:sz="4" w:space="0" w:color="auto"/>
              <w:right w:val="single" w:sz="4" w:space="0" w:color="auto"/>
            </w:tcBorders>
            <w:shd w:val="clear" w:color="auto" w:fill="C6EFCE"/>
            <w:noWrap/>
          </w:tcPr>
          <w:p w14:paraId="699E7053" w14:textId="77777777" w:rsidR="00C45D59" w:rsidRDefault="009B0962">
            <w:pPr>
              <w:pStyle w:val="P68B1DB1-Normal12"/>
              <w:spacing w:after="0" w:line="240" w:lineRule="auto"/>
              <w:rPr>
                <w:rFonts w:eastAsia="Times New Roman"/>
                <w:noProof/>
              </w:rPr>
            </w:pPr>
            <w:r>
              <w:rPr>
                <w:noProof/>
              </w:rPr>
              <w:t>Intrarea în vigoare a Codului codificat al impozitelor pe venit și a Codului administrației fiscale (legislația primară și secundară) pentru a simplifica și a actualiza legislația în lumina digitalizării și a celor mai bune practici ale UE</w:t>
            </w:r>
          </w:p>
        </w:tc>
      </w:tr>
      <w:tr w:rsidR="00C45D59" w14:paraId="21875A0A" w14:textId="77777777" w:rsidTr="00892E7E">
        <w:trPr>
          <w:trHeight w:val="313"/>
          <w:jc w:val="center"/>
        </w:trPr>
        <w:tc>
          <w:tcPr>
            <w:tcW w:w="682" w:type="dxa"/>
            <w:tcBorders>
              <w:top w:val="single" w:sz="4" w:space="0" w:color="auto"/>
              <w:left w:val="single" w:sz="4" w:space="0" w:color="auto"/>
              <w:bottom w:val="single" w:sz="4" w:space="0" w:color="auto"/>
              <w:right w:val="single" w:sz="4" w:space="0" w:color="auto"/>
            </w:tcBorders>
            <w:shd w:val="clear" w:color="auto" w:fill="C6EFCE"/>
            <w:noWrap/>
          </w:tcPr>
          <w:p w14:paraId="2E170B5D" w14:textId="77777777" w:rsidR="00C45D59" w:rsidRDefault="009B0962">
            <w:pPr>
              <w:pStyle w:val="P68B1DB1-Normal12"/>
              <w:spacing w:after="0" w:line="240" w:lineRule="auto"/>
              <w:rPr>
                <w:rFonts w:eastAsia="Times New Roman"/>
                <w:noProof/>
              </w:rPr>
            </w:pPr>
            <w:r>
              <w:rPr>
                <w:noProof/>
              </w:rPr>
              <w:t>204</w:t>
            </w:r>
          </w:p>
        </w:tc>
        <w:tc>
          <w:tcPr>
            <w:tcW w:w="2210" w:type="dxa"/>
            <w:tcBorders>
              <w:top w:val="single" w:sz="4" w:space="0" w:color="auto"/>
              <w:left w:val="nil"/>
              <w:bottom w:val="single" w:sz="4" w:space="0" w:color="auto"/>
              <w:right w:val="single" w:sz="4" w:space="0" w:color="auto"/>
            </w:tcBorders>
            <w:shd w:val="clear" w:color="auto" w:fill="C6EFCE"/>
            <w:noWrap/>
          </w:tcPr>
          <w:p w14:paraId="451BC088" w14:textId="77777777" w:rsidR="00C45D59" w:rsidRDefault="009B0962">
            <w:pPr>
              <w:pStyle w:val="P68B1DB1-Normal12"/>
              <w:spacing w:after="0" w:line="240" w:lineRule="auto"/>
              <w:rPr>
                <w:rFonts w:eastAsia="Times New Roman"/>
                <w:noProof/>
              </w:rPr>
            </w:pPr>
            <w:r>
              <w:rPr>
                <w:noProof/>
              </w:rPr>
              <w:t>12-4.1. O fiscalitate mai favorabilă creșterii economice și o mai bună administrare fiscală și colectare a impozitelor – 16643_Codificarea și simplificarea legislației fiscale</w:t>
            </w:r>
          </w:p>
        </w:tc>
        <w:tc>
          <w:tcPr>
            <w:tcW w:w="1376" w:type="dxa"/>
            <w:tcBorders>
              <w:top w:val="single" w:sz="4" w:space="0" w:color="auto"/>
              <w:left w:val="nil"/>
              <w:bottom w:val="single" w:sz="4" w:space="0" w:color="auto"/>
              <w:right w:val="single" w:sz="4" w:space="0" w:color="auto"/>
            </w:tcBorders>
            <w:shd w:val="clear" w:color="auto" w:fill="C6EFCE"/>
            <w:noWrap/>
          </w:tcPr>
          <w:p w14:paraId="54B601C3" w14:textId="77777777" w:rsidR="00C45D59" w:rsidRDefault="009B0962">
            <w:pPr>
              <w:pStyle w:val="P68B1DB1-Normal12"/>
              <w:spacing w:after="0" w:line="240" w:lineRule="auto"/>
              <w:rPr>
                <w:rFonts w:eastAsia="Times New Roman"/>
                <w:noProof/>
              </w:rPr>
            </w:pPr>
            <w:r>
              <w:rPr>
                <w:noProof/>
              </w:rPr>
              <w:t>Etapă</w:t>
            </w:r>
          </w:p>
        </w:tc>
        <w:tc>
          <w:tcPr>
            <w:tcW w:w="1366" w:type="dxa"/>
            <w:tcBorders>
              <w:top w:val="single" w:sz="4" w:space="0" w:color="auto"/>
              <w:left w:val="nil"/>
              <w:bottom w:val="single" w:sz="4" w:space="0" w:color="auto"/>
              <w:right w:val="single" w:sz="4" w:space="0" w:color="auto"/>
            </w:tcBorders>
            <w:shd w:val="clear" w:color="auto" w:fill="C6EFCE"/>
            <w:noWrap/>
          </w:tcPr>
          <w:p w14:paraId="656E864E" w14:textId="77777777" w:rsidR="00C45D59" w:rsidRDefault="009B0962">
            <w:pPr>
              <w:pStyle w:val="P68B1DB1-Normal12"/>
              <w:spacing w:after="0" w:line="240" w:lineRule="auto"/>
              <w:rPr>
                <w:rFonts w:eastAsia="Times New Roman"/>
                <w:noProof/>
              </w:rPr>
            </w:pPr>
            <w:r>
              <w:rPr>
                <w:noProof/>
              </w:rPr>
              <w:t>Finalizarea codificării fiscale inițiale și a sistemului de informare a contribuabililor</w:t>
            </w:r>
          </w:p>
        </w:tc>
        <w:tc>
          <w:tcPr>
            <w:tcW w:w="1984" w:type="dxa"/>
            <w:tcBorders>
              <w:top w:val="single" w:sz="4" w:space="0" w:color="auto"/>
              <w:left w:val="nil"/>
              <w:bottom w:val="single" w:sz="4" w:space="0" w:color="auto"/>
              <w:right w:val="single" w:sz="4" w:space="0" w:color="auto"/>
            </w:tcBorders>
            <w:shd w:val="clear" w:color="auto" w:fill="C6EFCE"/>
            <w:noWrap/>
          </w:tcPr>
          <w:p w14:paraId="5C2350D3" w14:textId="77777777" w:rsidR="00C45D59" w:rsidRDefault="009B0962">
            <w:pPr>
              <w:pStyle w:val="P68B1DB1-Normal12"/>
              <w:spacing w:after="0" w:line="240" w:lineRule="auto"/>
              <w:rPr>
                <w:rFonts w:eastAsia="Times New Roman"/>
                <w:noProof/>
              </w:rPr>
            </w:pPr>
            <w:r>
              <w:rPr>
                <w:noProof/>
              </w:rPr>
              <w:t>a</w:t>
            </w:r>
            <w:r>
              <w:rPr>
                <w:i/>
                <w:noProof/>
              </w:rPr>
              <w:t>:</w:t>
            </w:r>
            <w:r>
              <w:rPr>
                <w:noProof/>
              </w:rPr>
              <w:t xml:space="preserve"> Intrarea în vigoare a legislației fiscale primare și secundare codificate</w:t>
            </w:r>
          </w:p>
          <w:p w14:paraId="51E09D78" w14:textId="77777777" w:rsidR="00C45D59" w:rsidRDefault="00C45D59">
            <w:pPr>
              <w:spacing w:after="0" w:line="240" w:lineRule="auto"/>
              <w:rPr>
                <w:rFonts w:ascii="Times New Roman" w:eastAsia="Times New Roman" w:hAnsi="Times New Roman" w:cs="Times New Roman"/>
                <w:noProof/>
                <w:color w:val="006100"/>
                <w:sz w:val="18"/>
                <w:szCs w:val="18"/>
              </w:rPr>
            </w:pPr>
          </w:p>
          <w:p w14:paraId="3105F73C" w14:textId="77777777" w:rsidR="00C45D59" w:rsidRDefault="009B0962">
            <w:pPr>
              <w:pStyle w:val="P68B1DB1-Normal12"/>
              <w:spacing w:after="0" w:line="240" w:lineRule="auto"/>
              <w:rPr>
                <w:rFonts w:eastAsia="Times New Roman"/>
                <w:noProof/>
              </w:rPr>
            </w:pPr>
            <w:r>
              <w:rPr>
                <w:noProof/>
              </w:rPr>
              <w:t>b: Dovezi ale acceptării rezultatelor cu privire la instituirea sistemului de gestionare a conținutului și a unui site web dedicat informațiilor destinate contribuabililor.</w:t>
            </w:r>
          </w:p>
        </w:tc>
        <w:tc>
          <w:tcPr>
            <w:tcW w:w="876" w:type="dxa"/>
            <w:tcBorders>
              <w:top w:val="single" w:sz="4" w:space="0" w:color="auto"/>
              <w:left w:val="nil"/>
              <w:bottom w:val="single" w:sz="4" w:space="0" w:color="auto"/>
              <w:right w:val="single" w:sz="4" w:space="0" w:color="auto"/>
            </w:tcBorders>
            <w:shd w:val="clear" w:color="auto" w:fill="C6EFCE"/>
            <w:noWrap/>
          </w:tcPr>
          <w:p w14:paraId="4CEA8F30"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96" w:type="dxa"/>
            <w:tcBorders>
              <w:top w:val="single" w:sz="4" w:space="0" w:color="auto"/>
              <w:left w:val="nil"/>
              <w:bottom w:val="single" w:sz="4" w:space="0" w:color="auto"/>
              <w:right w:val="single" w:sz="4" w:space="0" w:color="auto"/>
            </w:tcBorders>
            <w:shd w:val="clear" w:color="auto" w:fill="C6EFCE"/>
            <w:noWrap/>
          </w:tcPr>
          <w:p w14:paraId="5D840ED6"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66" w:type="dxa"/>
            <w:tcBorders>
              <w:top w:val="single" w:sz="4" w:space="0" w:color="auto"/>
              <w:left w:val="nil"/>
              <w:bottom w:val="single" w:sz="4" w:space="0" w:color="auto"/>
              <w:right w:val="single" w:sz="4" w:space="0" w:color="auto"/>
            </w:tcBorders>
            <w:shd w:val="clear" w:color="auto" w:fill="C6EFCE"/>
            <w:noWrap/>
          </w:tcPr>
          <w:p w14:paraId="2E39FEE3"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006" w:type="dxa"/>
            <w:tcBorders>
              <w:top w:val="single" w:sz="4" w:space="0" w:color="auto"/>
              <w:left w:val="nil"/>
              <w:bottom w:val="single" w:sz="4" w:space="0" w:color="auto"/>
              <w:right w:val="single" w:sz="4" w:space="0" w:color="auto"/>
            </w:tcBorders>
            <w:shd w:val="clear" w:color="auto" w:fill="C6EFCE"/>
            <w:noWrap/>
          </w:tcPr>
          <w:p w14:paraId="01F40776" w14:textId="77777777" w:rsidR="00C45D59" w:rsidRDefault="009B0962">
            <w:pPr>
              <w:pStyle w:val="P68B1DB1-Normal12"/>
              <w:spacing w:after="0" w:line="240" w:lineRule="auto"/>
              <w:rPr>
                <w:rFonts w:eastAsia="Times New Roman"/>
                <w:noProof/>
              </w:rPr>
            </w:pPr>
            <w:r>
              <w:rPr>
                <w:noProof/>
              </w:rPr>
              <w:t>Î2</w:t>
            </w:r>
          </w:p>
        </w:tc>
        <w:tc>
          <w:tcPr>
            <w:tcW w:w="708" w:type="dxa"/>
            <w:tcBorders>
              <w:top w:val="single" w:sz="4" w:space="0" w:color="auto"/>
              <w:left w:val="nil"/>
              <w:bottom w:val="single" w:sz="4" w:space="0" w:color="auto"/>
              <w:right w:val="single" w:sz="4" w:space="0" w:color="auto"/>
            </w:tcBorders>
            <w:shd w:val="clear" w:color="auto" w:fill="C6EFCE"/>
            <w:noWrap/>
          </w:tcPr>
          <w:p w14:paraId="09CEE7CD" w14:textId="77777777" w:rsidR="00C45D59" w:rsidRDefault="009B0962">
            <w:pPr>
              <w:pStyle w:val="P68B1DB1-Normal12"/>
              <w:spacing w:after="0" w:line="240" w:lineRule="auto"/>
              <w:rPr>
                <w:rFonts w:eastAsia="Times New Roman"/>
                <w:noProof/>
              </w:rPr>
            </w:pPr>
            <w:r>
              <w:rPr>
                <w:noProof/>
              </w:rPr>
              <w:t>2024</w:t>
            </w:r>
          </w:p>
        </w:tc>
        <w:tc>
          <w:tcPr>
            <w:tcW w:w="4830" w:type="dxa"/>
            <w:tcBorders>
              <w:top w:val="single" w:sz="4" w:space="0" w:color="auto"/>
              <w:left w:val="nil"/>
              <w:bottom w:val="single" w:sz="4" w:space="0" w:color="auto"/>
              <w:right w:val="single" w:sz="4" w:space="0" w:color="auto"/>
            </w:tcBorders>
            <w:shd w:val="clear" w:color="auto" w:fill="C6EFCE"/>
            <w:noWrap/>
          </w:tcPr>
          <w:p w14:paraId="619F6436" w14:textId="77777777" w:rsidR="00C45D59" w:rsidRDefault="009B0962">
            <w:pPr>
              <w:pStyle w:val="P68B1DB1-Normal12"/>
              <w:spacing w:after="0" w:line="240" w:lineRule="auto"/>
              <w:rPr>
                <w:rFonts w:eastAsia="Times New Roman"/>
                <w:noProof/>
              </w:rPr>
            </w:pPr>
            <w:r>
              <w:rPr>
                <w:noProof/>
              </w:rPr>
              <w:t>a. Intrarea în vigoare a codificării legislației primare și secundare pentru a simplifica și a actualiza legislația în lumina digitalizării și a celor mai bune practici ale UE, inclusiv:</w:t>
            </w:r>
          </w:p>
          <w:p w14:paraId="3AD45A0E" w14:textId="77777777" w:rsidR="00C45D59" w:rsidRDefault="009B0962">
            <w:pPr>
              <w:pStyle w:val="P68B1DB1-Normal12"/>
              <w:numPr>
                <w:ilvl w:val="0"/>
                <w:numId w:val="60"/>
              </w:numPr>
              <w:spacing w:before="120" w:after="0" w:line="259" w:lineRule="auto"/>
              <w:contextualSpacing/>
              <w:jc w:val="both"/>
              <w:rPr>
                <w:rFonts w:eastAsia="Times New Roman"/>
                <w:noProof/>
              </w:rPr>
            </w:pPr>
            <w:r>
              <w:rPr>
                <w:noProof/>
              </w:rPr>
              <w:t>Codul TVA</w:t>
            </w:r>
          </w:p>
          <w:p w14:paraId="7F8F8B98" w14:textId="77777777" w:rsidR="00C45D59" w:rsidRDefault="009B0962">
            <w:pPr>
              <w:pStyle w:val="P68B1DB1-Normal12"/>
              <w:numPr>
                <w:ilvl w:val="0"/>
                <w:numId w:val="60"/>
              </w:numPr>
              <w:spacing w:before="120" w:after="0" w:line="259" w:lineRule="auto"/>
              <w:contextualSpacing/>
              <w:jc w:val="both"/>
              <w:rPr>
                <w:rFonts w:eastAsia="Times New Roman"/>
                <w:noProof/>
              </w:rPr>
            </w:pPr>
            <w:r>
              <w:rPr>
                <w:noProof/>
              </w:rPr>
              <w:t>Taxa de timbru</w:t>
            </w:r>
          </w:p>
          <w:p w14:paraId="40EB557B" w14:textId="77777777" w:rsidR="00C45D59" w:rsidRDefault="009B0962">
            <w:pPr>
              <w:pStyle w:val="P68B1DB1-Normal12"/>
              <w:numPr>
                <w:ilvl w:val="0"/>
                <w:numId w:val="60"/>
              </w:numPr>
              <w:spacing w:before="120" w:after="0" w:line="259" w:lineRule="auto"/>
              <w:contextualSpacing/>
              <w:jc w:val="both"/>
              <w:rPr>
                <w:rFonts w:eastAsia="Times New Roman"/>
                <w:noProof/>
              </w:rPr>
            </w:pPr>
            <w:r>
              <w:rPr>
                <w:noProof/>
              </w:rPr>
              <w:t>Impozite pe proprietate</w:t>
            </w:r>
          </w:p>
          <w:p w14:paraId="1F3B34EA" w14:textId="77777777" w:rsidR="00C45D59" w:rsidRDefault="009B0962">
            <w:pPr>
              <w:pStyle w:val="P68B1DB1-Normal12"/>
              <w:numPr>
                <w:ilvl w:val="0"/>
                <w:numId w:val="60"/>
              </w:numPr>
              <w:spacing w:before="120" w:after="0" w:line="259" w:lineRule="auto"/>
              <w:contextualSpacing/>
              <w:jc w:val="both"/>
              <w:rPr>
                <w:rFonts w:eastAsia="Times New Roman"/>
                <w:noProof/>
              </w:rPr>
            </w:pPr>
            <w:r>
              <w:rPr>
                <w:noProof/>
              </w:rPr>
              <w:t>Colectarea datoriei publice (KEDE)</w:t>
            </w:r>
          </w:p>
          <w:p w14:paraId="3D69B7B2" w14:textId="77777777" w:rsidR="00C45D59" w:rsidRDefault="009B0962">
            <w:pPr>
              <w:pStyle w:val="P68B1DB1-Normal12"/>
              <w:numPr>
                <w:ilvl w:val="0"/>
                <w:numId w:val="60"/>
              </w:numPr>
              <w:spacing w:before="120" w:after="0" w:line="259" w:lineRule="auto"/>
              <w:contextualSpacing/>
              <w:jc w:val="both"/>
              <w:rPr>
                <w:rFonts w:eastAsia="Times New Roman"/>
                <w:noProof/>
              </w:rPr>
            </w:pPr>
            <w:r>
              <w:rPr>
                <w:noProof/>
              </w:rPr>
              <w:t>Codul Vamal Național</w:t>
            </w:r>
          </w:p>
          <w:p w14:paraId="1BB8F478" w14:textId="77777777" w:rsidR="00C45D59" w:rsidRDefault="009B0962">
            <w:pPr>
              <w:pStyle w:val="P68B1DB1-Normal12"/>
              <w:spacing w:after="0" w:line="240" w:lineRule="auto"/>
              <w:rPr>
                <w:rFonts w:eastAsia="Times New Roman"/>
                <w:noProof/>
              </w:rPr>
            </w:pPr>
            <w:r>
              <w:rPr>
                <w:noProof/>
              </w:rPr>
              <w:t>b. Înființarea unui sistem de gestionare a conținutului și a unui site web dedicat informațiilor destinate contribuabililor.</w:t>
            </w:r>
          </w:p>
        </w:tc>
      </w:tr>
      <w:tr w:rsidR="00C45D59" w14:paraId="01DAB4C2" w14:textId="77777777" w:rsidTr="00892E7E">
        <w:trPr>
          <w:trHeight w:val="313"/>
          <w:jc w:val="center"/>
        </w:trPr>
        <w:tc>
          <w:tcPr>
            <w:tcW w:w="682" w:type="dxa"/>
            <w:tcBorders>
              <w:top w:val="single" w:sz="4" w:space="0" w:color="auto"/>
              <w:left w:val="single" w:sz="4" w:space="0" w:color="auto"/>
              <w:bottom w:val="single" w:sz="4" w:space="0" w:color="auto"/>
              <w:right w:val="single" w:sz="4" w:space="0" w:color="auto"/>
            </w:tcBorders>
            <w:shd w:val="clear" w:color="auto" w:fill="C6EFCE"/>
            <w:noWrap/>
          </w:tcPr>
          <w:p w14:paraId="6095FF2F" w14:textId="77777777" w:rsidR="00C45D59" w:rsidRDefault="009B0962">
            <w:pPr>
              <w:pStyle w:val="P68B1DB1-Normal12"/>
              <w:spacing w:after="0" w:line="240" w:lineRule="auto"/>
              <w:rPr>
                <w:noProof/>
              </w:rPr>
            </w:pPr>
            <w:r>
              <w:rPr>
                <w:noProof/>
              </w:rPr>
              <w:t>204a</w:t>
            </w:r>
          </w:p>
        </w:tc>
        <w:tc>
          <w:tcPr>
            <w:tcW w:w="2210" w:type="dxa"/>
            <w:tcBorders>
              <w:top w:val="single" w:sz="4" w:space="0" w:color="auto"/>
              <w:left w:val="nil"/>
              <w:bottom w:val="single" w:sz="4" w:space="0" w:color="auto"/>
              <w:right w:val="single" w:sz="4" w:space="0" w:color="auto"/>
            </w:tcBorders>
            <w:shd w:val="clear" w:color="auto" w:fill="C6EFCE"/>
            <w:noWrap/>
          </w:tcPr>
          <w:p w14:paraId="756B87D6" w14:textId="77777777" w:rsidR="00C45D59" w:rsidRDefault="009B0962">
            <w:pPr>
              <w:pStyle w:val="P68B1DB1-Normal12"/>
              <w:spacing w:after="0" w:line="240" w:lineRule="auto"/>
              <w:rPr>
                <w:noProof/>
              </w:rPr>
            </w:pPr>
            <w:r>
              <w:rPr>
                <w:noProof/>
              </w:rPr>
              <w:t>12-4.1. O fiscalitate mai favorabilă creșterii economice și o mai bună administrare fiscală și colectare a impozitelor – 16643 _Codificarea și simplificarea legislației fiscale</w:t>
            </w:r>
          </w:p>
        </w:tc>
        <w:tc>
          <w:tcPr>
            <w:tcW w:w="1376" w:type="dxa"/>
            <w:tcBorders>
              <w:top w:val="single" w:sz="4" w:space="0" w:color="auto"/>
              <w:left w:val="nil"/>
              <w:bottom w:val="single" w:sz="4" w:space="0" w:color="auto"/>
              <w:right w:val="single" w:sz="4" w:space="0" w:color="auto"/>
            </w:tcBorders>
            <w:shd w:val="clear" w:color="auto" w:fill="C6EFCE"/>
            <w:noWrap/>
          </w:tcPr>
          <w:p w14:paraId="39470DCF" w14:textId="77777777" w:rsidR="00C45D59" w:rsidRDefault="009B0962">
            <w:pPr>
              <w:pStyle w:val="P68B1DB1-Normal12"/>
              <w:spacing w:after="0" w:line="240" w:lineRule="auto"/>
              <w:rPr>
                <w:noProof/>
              </w:rPr>
            </w:pPr>
            <w:r>
              <w:rPr>
                <w:noProof/>
              </w:rPr>
              <w:t>Etapă</w:t>
            </w:r>
          </w:p>
        </w:tc>
        <w:tc>
          <w:tcPr>
            <w:tcW w:w="1366" w:type="dxa"/>
            <w:tcBorders>
              <w:top w:val="single" w:sz="4" w:space="0" w:color="auto"/>
              <w:left w:val="nil"/>
              <w:bottom w:val="single" w:sz="4" w:space="0" w:color="auto"/>
              <w:right w:val="single" w:sz="4" w:space="0" w:color="auto"/>
            </w:tcBorders>
            <w:shd w:val="clear" w:color="auto" w:fill="C6EFCE"/>
            <w:noWrap/>
          </w:tcPr>
          <w:p w14:paraId="75E99BC8" w14:textId="77777777" w:rsidR="00C45D59" w:rsidRDefault="009B0962">
            <w:pPr>
              <w:pStyle w:val="P68B1DB1-Normal12"/>
              <w:spacing w:after="0" w:line="240" w:lineRule="auto"/>
              <w:rPr>
                <w:noProof/>
              </w:rPr>
            </w:pPr>
            <w:r>
              <w:rPr>
                <w:noProof/>
              </w:rPr>
              <w:t>Publicarea legislației primare și secundare pe site-ul web al contribuabilului</w:t>
            </w:r>
          </w:p>
        </w:tc>
        <w:tc>
          <w:tcPr>
            <w:tcW w:w="1984" w:type="dxa"/>
            <w:tcBorders>
              <w:top w:val="single" w:sz="4" w:space="0" w:color="auto"/>
              <w:left w:val="nil"/>
              <w:bottom w:val="single" w:sz="4" w:space="0" w:color="auto"/>
              <w:right w:val="single" w:sz="4" w:space="0" w:color="auto"/>
            </w:tcBorders>
            <w:shd w:val="clear" w:color="auto" w:fill="C6EFCE"/>
            <w:noWrap/>
          </w:tcPr>
          <w:p w14:paraId="1E0A42D7" w14:textId="77777777" w:rsidR="00C45D59" w:rsidRDefault="009B0962">
            <w:pPr>
              <w:pStyle w:val="P68B1DB1-Normal12"/>
              <w:spacing w:after="0" w:line="240" w:lineRule="auto"/>
              <w:rPr>
                <w:noProof/>
              </w:rPr>
            </w:pPr>
            <w:r>
              <w:rPr>
                <w:noProof/>
              </w:rPr>
              <w:t>Publicarea legislației primare și secundare în domeniul fiscal și vamal.</w:t>
            </w:r>
          </w:p>
        </w:tc>
        <w:tc>
          <w:tcPr>
            <w:tcW w:w="876" w:type="dxa"/>
            <w:tcBorders>
              <w:top w:val="single" w:sz="4" w:space="0" w:color="auto"/>
              <w:left w:val="nil"/>
              <w:bottom w:val="single" w:sz="4" w:space="0" w:color="auto"/>
              <w:right w:val="single" w:sz="4" w:space="0" w:color="auto"/>
            </w:tcBorders>
            <w:shd w:val="clear" w:color="auto" w:fill="C6EFCE"/>
            <w:noWrap/>
          </w:tcPr>
          <w:p w14:paraId="0AB2FD43"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96" w:type="dxa"/>
            <w:tcBorders>
              <w:top w:val="single" w:sz="4" w:space="0" w:color="auto"/>
              <w:left w:val="nil"/>
              <w:bottom w:val="single" w:sz="4" w:space="0" w:color="auto"/>
              <w:right w:val="single" w:sz="4" w:space="0" w:color="auto"/>
            </w:tcBorders>
            <w:shd w:val="clear" w:color="auto" w:fill="C6EFCE"/>
            <w:noWrap/>
          </w:tcPr>
          <w:p w14:paraId="0FAAADF0"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66" w:type="dxa"/>
            <w:tcBorders>
              <w:top w:val="single" w:sz="4" w:space="0" w:color="auto"/>
              <w:left w:val="nil"/>
              <w:bottom w:val="single" w:sz="4" w:space="0" w:color="auto"/>
              <w:right w:val="single" w:sz="4" w:space="0" w:color="auto"/>
            </w:tcBorders>
            <w:shd w:val="clear" w:color="auto" w:fill="C6EFCE"/>
            <w:noWrap/>
          </w:tcPr>
          <w:p w14:paraId="21DF8550"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006" w:type="dxa"/>
            <w:tcBorders>
              <w:top w:val="single" w:sz="4" w:space="0" w:color="auto"/>
              <w:left w:val="nil"/>
              <w:bottom w:val="single" w:sz="4" w:space="0" w:color="auto"/>
              <w:right w:val="single" w:sz="4" w:space="0" w:color="auto"/>
            </w:tcBorders>
            <w:shd w:val="clear" w:color="auto" w:fill="C6EFCE"/>
            <w:noWrap/>
          </w:tcPr>
          <w:p w14:paraId="170A1F96" w14:textId="77777777" w:rsidR="00C45D59" w:rsidRDefault="009B0962">
            <w:pPr>
              <w:pStyle w:val="P68B1DB1-Normal12"/>
              <w:spacing w:after="0" w:line="240" w:lineRule="auto"/>
              <w:rPr>
                <w:noProof/>
              </w:rPr>
            </w:pPr>
            <w:r>
              <w:rPr>
                <w:noProof/>
              </w:rPr>
              <w:t>Î4</w:t>
            </w:r>
          </w:p>
        </w:tc>
        <w:tc>
          <w:tcPr>
            <w:tcW w:w="708" w:type="dxa"/>
            <w:tcBorders>
              <w:top w:val="single" w:sz="4" w:space="0" w:color="auto"/>
              <w:left w:val="nil"/>
              <w:bottom w:val="single" w:sz="4" w:space="0" w:color="auto"/>
              <w:right w:val="single" w:sz="4" w:space="0" w:color="auto"/>
            </w:tcBorders>
            <w:shd w:val="clear" w:color="auto" w:fill="C6EFCE"/>
            <w:noWrap/>
          </w:tcPr>
          <w:p w14:paraId="7A6A88F1" w14:textId="77777777" w:rsidR="00C45D59" w:rsidRDefault="009B0962">
            <w:pPr>
              <w:pStyle w:val="P68B1DB1-Normal12"/>
              <w:spacing w:after="0" w:line="240" w:lineRule="auto"/>
              <w:rPr>
                <w:noProof/>
              </w:rPr>
            </w:pPr>
            <w:r>
              <w:rPr>
                <w:noProof/>
              </w:rPr>
              <w:t>2025</w:t>
            </w:r>
          </w:p>
        </w:tc>
        <w:tc>
          <w:tcPr>
            <w:tcW w:w="4830" w:type="dxa"/>
            <w:tcBorders>
              <w:top w:val="single" w:sz="4" w:space="0" w:color="auto"/>
              <w:left w:val="nil"/>
              <w:bottom w:val="single" w:sz="4" w:space="0" w:color="auto"/>
              <w:right w:val="single" w:sz="4" w:space="0" w:color="auto"/>
            </w:tcBorders>
            <w:shd w:val="clear" w:color="auto" w:fill="C6EFCE"/>
            <w:noWrap/>
          </w:tcPr>
          <w:p w14:paraId="64148261" w14:textId="77777777" w:rsidR="00C45D59" w:rsidRDefault="009B0962">
            <w:pPr>
              <w:pStyle w:val="P68B1DB1-Normal12"/>
              <w:spacing w:after="0" w:line="240" w:lineRule="auto"/>
              <w:rPr>
                <w:noProof/>
              </w:rPr>
            </w:pPr>
            <w:r>
              <w:rPr>
                <w:noProof/>
              </w:rPr>
              <w:t xml:space="preserve">Publicarea legislației fiscale și vamale primare și secundare evaluate în jalonul 204 pe site-ul web dedicat informațiilor destinate contribuabililor. </w:t>
            </w:r>
          </w:p>
        </w:tc>
      </w:tr>
      <w:tr w:rsidR="00C45D59" w14:paraId="7475CAC0" w14:textId="77777777" w:rsidTr="00892E7E">
        <w:trPr>
          <w:trHeight w:val="313"/>
          <w:jc w:val="center"/>
        </w:trPr>
        <w:tc>
          <w:tcPr>
            <w:tcW w:w="682" w:type="dxa"/>
            <w:tcBorders>
              <w:top w:val="single" w:sz="4" w:space="0" w:color="auto"/>
              <w:left w:val="single" w:sz="4" w:space="0" w:color="auto"/>
              <w:bottom w:val="single" w:sz="4" w:space="0" w:color="auto"/>
              <w:right w:val="single" w:sz="4" w:space="0" w:color="auto"/>
            </w:tcBorders>
            <w:shd w:val="clear" w:color="auto" w:fill="C6EFCE"/>
            <w:noWrap/>
          </w:tcPr>
          <w:p w14:paraId="3E553112" w14:textId="77777777" w:rsidR="00C45D59" w:rsidRDefault="009B0962">
            <w:pPr>
              <w:pStyle w:val="P68B1DB1-Normal12"/>
              <w:spacing w:after="0" w:line="240" w:lineRule="auto"/>
              <w:rPr>
                <w:rFonts w:eastAsia="Times New Roman"/>
                <w:noProof/>
              </w:rPr>
            </w:pPr>
            <w:r>
              <w:rPr>
                <w:noProof/>
              </w:rPr>
              <w:t>337</w:t>
            </w:r>
          </w:p>
        </w:tc>
        <w:tc>
          <w:tcPr>
            <w:tcW w:w="2210" w:type="dxa"/>
            <w:tcBorders>
              <w:top w:val="single" w:sz="4" w:space="0" w:color="auto"/>
              <w:left w:val="nil"/>
              <w:bottom w:val="single" w:sz="4" w:space="0" w:color="auto"/>
              <w:right w:val="single" w:sz="4" w:space="0" w:color="auto"/>
            </w:tcBorders>
            <w:shd w:val="clear" w:color="auto" w:fill="C6EFCE"/>
            <w:noWrap/>
          </w:tcPr>
          <w:p w14:paraId="65485B07" w14:textId="77777777" w:rsidR="00C45D59" w:rsidRDefault="009B0962">
            <w:pPr>
              <w:pStyle w:val="P68B1DB1-Normal12"/>
              <w:spacing w:after="0" w:line="240" w:lineRule="auto"/>
              <w:rPr>
                <w:rFonts w:eastAsia="Times New Roman"/>
                <w:noProof/>
              </w:rPr>
            </w:pPr>
            <w:r>
              <w:rPr>
                <w:noProof/>
              </w:rPr>
              <w:t>12-4.1. O fiscalitate mai favorabilă creșterii economice și o mai bună administrare fiscală și colectare a impozitelor – 16985_Modificări ale cadrului de politică fiscală al Greciei</w:t>
            </w:r>
          </w:p>
        </w:tc>
        <w:tc>
          <w:tcPr>
            <w:tcW w:w="1376" w:type="dxa"/>
            <w:tcBorders>
              <w:top w:val="single" w:sz="4" w:space="0" w:color="auto"/>
              <w:left w:val="nil"/>
              <w:bottom w:val="single" w:sz="4" w:space="0" w:color="auto"/>
              <w:right w:val="single" w:sz="4" w:space="0" w:color="auto"/>
            </w:tcBorders>
            <w:shd w:val="clear" w:color="auto" w:fill="C6EFCE"/>
            <w:noWrap/>
          </w:tcPr>
          <w:p w14:paraId="23D90412" w14:textId="77777777" w:rsidR="00C45D59" w:rsidRDefault="009B0962">
            <w:pPr>
              <w:pStyle w:val="P68B1DB1-Normal12"/>
              <w:spacing w:after="0" w:line="240" w:lineRule="auto"/>
              <w:rPr>
                <w:rFonts w:eastAsia="Times New Roman"/>
                <w:noProof/>
              </w:rPr>
            </w:pPr>
            <w:r>
              <w:rPr>
                <w:noProof/>
              </w:rPr>
              <w:t>Etapă</w:t>
            </w:r>
          </w:p>
        </w:tc>
        <w:tc>
          <w:tcPr>
            <w:tcW w:w="1366" w:type="dxa"/>
            <w:tcBorders>
              <w:top w:val="single" w:sz="4" w:space="0" w:color="auto"/>
              <w:left w:val="nil"/>
              <w:bottom w:val="single" w:sz="4" w:space="0" w:color="auto"/>
              <w:right w:val="single" w:sz="4" w:space="0" w:color="auto"/>
            </w:tcBorders>
            <w:shd w:val="clear" w:color="auto" w:fill="C6EFCE"/>
            <w:noWrap/>
          </w:tcPr>
          <w:p w14:paraId="577DE8ED" w14:textId="77777777" w:rsidR="00C45D59" w:rsidRDefault="009B0962">
            <w:pPr>
              <w:pStyle w:val="P68B1DB1-Normal12"/>
              <w:spacing w:after="0" w:line="240" w:lineRule="auto"/>
              <w:rPr>
                <w:rFonts w:eastAsia="Times New Roman"/>
                <w:noProof/>
              </w:rPr>
            </w:pPr>
            <w:r>
              <w:rPr>
                <w:noProof/>
              </w:rPr>
              <w:t>Combaterea evaziunii fiscale și promovarea plăților electronice.</w:t>
            </w:r>
          </w:p>
        </w:tc>
        <w:tc>
          <w:tcPr>
            <w:tcW w:w="1984" w:type="dxa"/>
            <w:tcBorders>
              <w:top w:val="single" w:sz="4" w:space="0" w:color="auto"/>
              <w:left w:val="nil"/>
              <w:bottom w:val="single" w:sz="4" w:space="0" w:color="auto"/>
              <w:right w:val="single" w:sz="4" w:space="0" w:color="auto"/>
            </w:tcBorders>
            <w:shd w:val="clear" w:color="auto" w:fill="C6EFCE"/>
            <w:noWrap/>
          </w:tcPr>
          <w:p w14:paraId="145DA364" w14:textId="77777777" w:rsidR="00C45D59" w:rsidRDefault="009B0962">
            <w:pPr>
              <w:pStyle w:val="P68B1DB1-Normal12"/>
              <w:spacing w:after="0" w:line="240" w:lineRule="auto"/>
              <w:rPr>
                <w:rFonts w:eastAsia="Times New Roman"/>
                <w:noProof/>
              </w:rPr>
            </w:pPr>
            <w:r>
              <w:rPr>
                <w:noProof/>
              </w:rPr>
              <w:t xml:space="preserve">Cadrul juridic revizuit adoptat pentru a promova plățile electronice, pentru a consolida și a stabili noi cerințe de raportare a myDATA și pentru a permite utilizarea myDATA în scopuri de TVA. </w:t>
            </w:r>
          </w:p>
          <w:p w14:paraId="6751FE41" w14:textId="77777777" w:rsidR="00C45D59" w:rsidRDefault="009B0962">
            <w:pPr>
              <w:pStyle w:val="P68B1DB1-Normal12"/>
              <w:spacing w:after="0" w:line="240" w:lineRule="auto"/>
              <w:rPr>
                <w:rFonts w:eastAsia="Times New Roman"/>
                <w:noProof/>
              </w:rPr>
            </w:pPr>
            <w:r>
              <w:rPr>
                <w:noProof/>
              </w:rPr>
              <w:t>Copie a raportului privind opțiunile de reformă a impozitării persoanelor care desfășoară o activitate independentă.</w:t>
            </w:r>
          </w:p>
        </w:tc>
        <w:tc>
          <w:tcPr>
            <w:tcW w:w="876" w:type="dxa"/>
            <w:tcBorders>
              <w:top w:val="single" w:sz="4" w:space="0" w:color="auto"/>
              <w:left w:val="nil"/>
              <w:bottom w:val="single" w:sz="4" w:space="0" w:color="auto"/>
              <w:right w:val="single" w:sz="4" w:space="0" w:color="auto"/>
            </w:tcBorders>
            <w:shd w:val="clear" w:color="auto" w:fill="C6EFCE"/>
            <w:noWrap/>
          </w:tcPr>
          <w:p w14:paraId="4F93F607"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96" w:type="dxa"/>
            <w:tcBorders>
              <w:top w:val="single" w:sz="4" w:space="0" w:color="auto"/>
              <w:left w:val="nil"/>
              <w:bottom w:val="single" w:sz="4" w:space="0" w:color="auto"/>
              <w:right w:val="single" w:sz="4" w:space="0" w:color="auto"/>
            </w:tcBorders>
            <w:shd w:val="clear" w:color="auto" w:fill="C6EFCE"/>
            <w:noWrap/>
          </w:tcPr>
          <w:p w14:paraId="7A525264"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66" w:type="dxa"/>
            <w:tcBorders>
              <w:top w:val="single" w:sz="4" w:space="0" w:color="auto"/>
              <w:left w:val="nil"/>
              <w:bottom w:val="single" w:sz="4" w:space="0" w:color="auto"/>
              <w:right w:val="single" w:sz="4" w:space="0" w:color="auto"/>
            </w:tcBorders>
            <w:shd w:val="clear" w:color="auto" w:fill="C6EFCE"/>
            <w:noWrap/>
          </w:tcPr>
          <w:p w14:paraId="432FBD17"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006" w:type="dxa"/>
            <w:tcBorders>
              <w:top w:val="single" w:sz="4" w:space="0" w:color="auto"/>
              <w:left w:val="nil"/>
              <w:bottom w:val="single" w:sz="4" w:space="0" w:color="auto"/>
              <w:right w:val="single" w:sz="4" w:space="0" w:color="auto"/>
            </w:tcBorders>
            <w:shd w:val="clear" w:color="auto" w:fill="C6EFCE"/>
            <w:noWrap/>
          </w:tcPr>
          <w:p w14:paraId="1975F173" w14:textId="77777777" w:rsidR="00C45D59" w:rsidRDefault="009B0962">
            <w:pPr>
              <w:pStyle w:val="P68B1DB1-Normal12"/>
              <w:spacing w:after="0" w:line="240" w:lineRule="auto"/>
              <w:rPr>
                <w:rFonts w:eastAsia="Times New Roman"/>
                <w:noProof/>
              </w:rPr>
            </w:pPr>
            <w:r>
              <w:rPr>
                <w:noProof/>
              </w:rPr>
              <w:t>Î4</w:t>
            </w:r>
          </w:p>
        </w:tc>
        <w:tc>
          <w:tcPr>
            <w:tcW w:w="708" w:type="dxa"/>
            <w:tcBorders>
              <w:top w:val="single" w:sz="4" w:space="0" w:color="auto"/>
              <w:left w:val="nil"/>
              <w:bottom w:val="single" w:sz="4" w:space="0" w:color="auto"/>
              <w:right w:val="single" w:sz="4" w:space="0" w:color="auto"/>
            </w:tcBorders>
            <w:shd w:val="clear" w:color="auto" w:fill="C6EFCE"/>
            <w:noWrap/>
          </w:tcPr>
          <w:p w14:paraId="5CBC974D" w14:textId="77777777" w:rsidR="00C45D59" w:rsidRDefault="009B0962">
            <w:pPr>
              <w:pStyle w:val="P68B1DB1-Normal12"/>
              <w:spacing w:after="0" w:line="240" w:lineRule="auto"/>
              <w:rPr>
                <w:rFonts w:eastAsia="Times New Roman"/>
                <w:noProof/>
              </w:rPr>
            </w:pPr>
            <w:r>
              <w:rPr>
                <w:noProof/>
              </w:rPr>
              <w:t>2023</w:t>
            </w:r>
          </w:p>
        </w:tc>
        <w:tc>
          <w:tcPr>
            <w:tcW w:w="4830" w:type="dxa"/>
            <w:tcBorders>
              <w:top w:val="single" w:sz="4" w:space="0" w:color="auto"/>
              <w:left w:val="nil"/>
              <w:bottom w:val="single" w:sz="4" w:space="0" w:color="auto"/>
              <w:right w:val="single" w:sz="4" w:space="0" w:color="auto"/>
            </w:tcBorders>
            <w:shd w:val="clear" w:color="auto" w:fill="C6EFCE"/>
            <w:noWrap/>
          </w:tcPr>
          <w:p w14:paraId="4A054C99" w14:textId="77777777" w:rsidR="00C45D59" w:rsidRDefault="009B0962">
            <w:pPr>
              <w:pStyle w:val="P68B1DB1-Normal12"/>
              <w:spacing w:after="0" w:line="240" w:lineRule="auto"/>
              <w:rPr>
                <w:rFonts w:eastAsia="Times New Roman"/>
                <w:noProof/>
              </w:rPr>
            </w:pPr>
            <w:r>
              <w:rPr>
                <w:noProof/>
              </w:rPr>
              <w:t xml:space="preserve">Intrarea în vigoare a legislației primare și secundare pentru </w:t>
            </w:r>
          </w:p>
          <w:p w14:paraId="48586B70" w14:textId="77777777" w:rsidR="00C45D59" w:rsidRDefault="009B0962">
            <w:pPr>
              <w:pStyle w:val="P68B1DB1-Normal12"/>
              <w:spacing w:after="0" w:line="240" w:lineRule="auto"/>
              <w:rPr>
                <w:noProof/>
              </w:rPr>
            </w:pPr>
            <w:r>
              <w:rPr>
                <w:noProof/>
              </w:rPr>
              <w:t>(I) să extindă pe scară largă acceptarea obligatorie a plăților electronice directe pe piața de retail;</w:t>
            </w:r>
          </w:p>
          <w:p w14:paraId="031E8A13" w14:textId="77777777" w:rsidR="00C45D59" w:rsidRDefault="009B0962">
            <w:pPr>
              <w:pStyle w:val="P68B1DB1-Normal12"/>
              <w:spacing w:after="0" w:line="240" w:lineRule="auto"/>
              <w:rPr>
                <w:noProof/>
              </w:rPr>
            </w:pPr>
            <w:r>
              <w:rPr>
                <w:noProof/>
              </w:rPr>
              <w:t xml:space="preserve">(II) să alinieze cerințele privind schimbul de informații pentru prestatorii de servicii de plată la definițiile Băncii Greciei; </w:t>
            </w:r>
          </w:p>
          <w:p w14:paraId="45A39AF9" w14:textId="77777777" w:rsidR="00C45D59" w:rsidRDefault="009B0962">
            <w:pPr>
              <w:pStyle w:val="P68B1DB1-Normal12"/>
              <w:spacing w:after="0" w:line="240" w:lineRule="auto"/>
              <w:rPr>
                <w:noProof/>
              </w:rPr>
            </w:pPr>
            <w:r>
              <w:rPr>
                <w:noProof/>
              </w:rPr>
              <w:t>(III) să stabilească noi obligații de raportare a myDATA pentru întreprinderi (inclusiv pentru persoanele care desfășoară o activitate independentă) care să fie aplicate pentru declarațiile de TVA; și</w:t>
            </w:r>
          </w:p>
          <w:p w14:paraId="307D1269" w14:textId="77777777" w:rsidR="00C45D59" w:rsidRDefault="009B0962">
            <w:pPr>
              <w:pStyle w:val="P68B1DB1-Normal12"/>
              <w:spacing w:after="0" w:line="240" w:lineRule="auto"/>
              <w:rPr>
                <w:noProof/>
              </w:rPr>
            </w:pPr>
            <w:r>
              <w:rPr>
                <w:noProof/>
              </w:rPr>
              <w:t>(IV) Finalizarea raportului privind opțiunile pentru reforma impozitării persoanelor care desfășoară o activitate independentă.</w:t>
            </w:r>
          </w:p>
          <w:p w14:paraId="4938095B" w14:textId="77777777" w:rsidR="00C45D59" w:rsidRDefault="00C45D59">
            <w:pPr>
              <w:spacing w:after="0" w:line="240" w:lineRule="auto"/>
              <w:rPr>
                <w:rFonts w:ascii="Times New Roman" w:eastAsia="Times New Roman" w:hAnsi="Times New Roman" w:cs="Times New Roman"/>
                <w:noProof/>
                <w:color w:val="006100"/>
                <w:sz w:val="18"/>
                <w:szCs w:val="18"/>
              </w:rPr>
            </w:pPr>
          </w:p>
          <w:p w14:paraId="05CBBF47" w14:textId="77777777" w:rsidR="00C45D59" w:rsidRDefault="00C45D59">
            <w:pPr>
              <w:spacing w:after="0" w:line="240" w:lineRule="auto"/>
              <w:rPr>
                <w:rFonts w:ascii="Times New Roman" w:eastAsia="Times New Roman" w:hAnsi="Times New Roman" w:cs="Times New Roman"/>
                <w:noProof/>
                <w:color w:val="006100"/>
                <w:sz w:val="18"/>
                <w:szCs w:val="18"/>
              </w:rPr>
            </w:pPr>
          </w:p>
        </w:tc>
      </w:tr>
      <w:tr w:rsidR="00C45D59" w14:paraId="62C0E78E" w14:textId="77777777" w:rsidTr="00892E7E">
        <w:trPr>
          <w:trHeight w:val="313"/>
          <w:jc w:val="center"/>
        </w:trPr>
        <w:tc>
          <w:tcPr>
            <w:tcW w:w="682" w:type="dxa"/>
            <w:tcBorders>
              <w:top w:val="single" w:sz="4" w:space="0" w:color="auto"/>
              <w:left w:val="single" w:sz="4" w:space="0" w:color="auto"/>
              <w:bottom w:val="single" w:sz="4" w:space="0" w:color="auto"/>
              <w:right w:val="single" w:sz="4" w:space="0" w:color="auto"/>
            </w:tcBorders>
            <w:shd w:val="clear" w:color="auto" w:fill="C6EFCE"/>
            <w:noWrap/>
          </w:tcPr>
          <w:p w14:paraId="65F01E49" w14:textId="77777777" w:rsidR="00C45D59" w:rsidRDefault="009B0962">
            <w:pPr>
              <w:pStyle w:val="P68B1DB1-Normal12"/>
              <w:spacing w:after="0" w:line="240" w:lineRule="auto"/>
              <w:rPr>
                <w:rFonts w:eastAsia="Times New Roman"/>
                <w:noProof/>
              </w:rPr>
            </w:pPr>
            <w:r>
              <w:rPr>
                <w:noProof/>
              </w:rPr>
              <w:t>338</w:t>
            </w:r>
          </w:p>
        </w:tc>
        <w:tc>
          <w:tcPr>
            <w:tcW w:w="2210" w:type="dxa"/>
            <w:tcBorders>
              <w:top w:val="single" w:sz="4" w:space="0" w:color="auto"/>
              <w:left w:val="nil"/>
              <w:bottom w:val="single" w:sz="4" w:space="0" w:color="auto"/>
              <w:right w:val="single" w:sz="4" w:space="0" w:color="auto"/>
            </w:tcBorders>
            <w:shd w:val="clear" w:color="auto" w:fill="C6EFCE"/>
            <w:noWrap/>
          </w:tcPr>
          <w:p w14:paraId="47C6BE25" w14:textId="77777777" w:rsidR="00C45D59" w:rsidRDefault="009B0962">
            <w:pPr>
              <w:pStyle w:val="P68B1DB1-Normal12"/>
              <w:spacing w:after="0" w:line="240" w:lineRule="auto"/>
              <w:rPr>
                <w:rFonts w:eastAsia="Times New Roman"/>
                <w:noProof/>
              </w:rPr>
            </w:pPr>
            <w:r>
              <w:rPr>
                <w:noProof/>
              </w:rPr>
              <w:t>12-4.1. O fiscalitate mai favorabilă creșterii economice și o mai bună administrare fiscală și colectare a impozitelor – 16985_Modificări ale cadrului de politică fiscală al Greciei</w:t>
            </w:r>
          </w:p>
        </w:tc>
        <w:tc>
          <w:tcPr>
            <w:tcW w:w="1376" w:type="dxa"/>
            <w:tcBorders>
              <w:top w:val="single" w:sz="4" w:space="0" w:color="auto"/>
              <w:left w:val="nil"/>
              <w:bottom w:val="single" w:sz="4" w:space="0" w:color="auto"/>
              <w:right w:val="single" w:sz="4" w:space="0" w:color="auto"/>
            </w:tcBorders>
            <w:shd w:val="clear" w:color="auto" w:fill="C6EFCE"/>
            <w:noWrap/>
          </w:tcPr>
          <w:p w14:paraId="2E79734D" w14:textId="77777777" w:rsidR="00C45D59" w:rsidRDefault="009B0962">
            <w:pPr>
              <w:pStyle w:val="P68B1DB1-Normal12"/>
              <w:spacing w:after="0" w:line="240" w:lineRule="auto"/>
              <w:rPr>
                <w:rFonts w:eastAsia="Times New Roman"/>
                <w:noProof/>
              </w:rPr>
            </w:pPr>
            <w:r>
              <w:rPr>
                <w:noProof/>
              </w:rPr>
              <w:t>Etapă</w:t>
            </w:r>
          </w:p>
        </w:tc>
        <w:tc>
          <w:tcPr>
            <w:tcW w:w="1366" w:type="dxa"/>
            <w:tcBorders>
              <w:top w:val="single" w:sz="4" w:space="0" w:color="auto"/>
              <w:left w:val="nil"/>
              <w:bottom w:val="single" w:sz="4" w:space="0" w:color="auto"/>
              <w:right w:val="single" w:sz="4" w:space="0" w:color="auto"/>
            </w:tcBorders>
            <w:shd w:val="clear" w:color="auto" w:fill="C6EFCE"/>
            <w:noWrap/>
          </w:tcPr>
          <w:p w14:paraId="04490CFF" w14:textId="77777777" w:rsidR="00C45D59" w:rsidRDefault="009B0962">
            <w:pPr>
              <w:pStyle w:val="P68B1DB1-Normal12"/>
              <w:spacing w:after="0" w:line="240" w:lineRule="auto"/>
              <w:rPr>
                <w:rFonts w:eastAsia="Times New Roman"/>
                <w:noProof/>
              </w:rPr>
            </w:pPr>
            <w:r>
              <w:rPr>
                <w:noProof/>
              </w:rPr>
              <w:t>Reformarea impozitării persoanelor care desfășoară activități independente și a taxei de timbru.</w:t>
            </w:r>
          </w:p>
        </w:tc>
        <w:tc>
          <w:tcPr>
            <w:tcW w:w="1984" w:type="dxa"/>
            <w:tcBorders>
              <w:top w:val="single" w:sz="4" w:space="0" w:color="auto"/>
              <w:left w:val="nil"/>
              <w:bottom w:val="single" w:sz="4" w:space="0" w:color="auto"/>
              <w:right w:val="single" w:sz="4" w:space="0" w:color="auto"/>
            </w:tcBorders>
            <w:shd w:val="clear" w:color="auto" w:fill="C6EFCE"/>
            <w:noWrap/>
          </w:tcPr>
          <w:p w14:paraId="018432B6" w14:textId="77777777" w:rsidR="00C45D59" w:rsidRDefault="009B0962">
            <w:pPr>
              <w:pStyle w:val="P68B1DB1-Normal12"/>
              <w:spacing w:after="0" w:line="240" w:lineRule="auto"/>
              <w:rPr>
                <w:rFonts w:eastAsia="Times New Roman"/>
                <w:noProof/>
              </w:rPr>
            </w:pPr>
            <w:r>
              <w:rPr>
                <w:noProof/>
              </w:rPr>
              <w:t>Adoptarea unui cadru juridic revizuit privind impozitarea lucrătorilor independenți și înlocuirea taxei de timbru cu o taxă digitală.</w:t>
            </w:r>
          </w:p>
        </w:tc>
        <w:tc>
          <w:tcPr>
            <w:tcW w:w="876" w:type="dxa"/>
            <w:tcBorders>
              <w:top w:val="single" w:sz="4" w:space="0" w:color="auto"/>
              <w:left w:val="nil"/>
              <w:bottom w:val="single" w:sz="4" w:space="0" w:color="auto"/>
              <w:right w:val="single" w:sz="4" w:space="0" w:color="auto"/>
            </w:tcBorders>
            <w:shd w:val="clear" w:color="auto" w:fill="C6EFCE"/>
            <w:noWrap/>
          </w:tcPr>
          <w:p w14:paraId="479A19B4"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96" w:type="dxa"/>
            <w:tcBorders>
              <w:top w:val="single" w:sz="4" w:space="0" w:color="auto"/>
              <w:left w:val="nil"/>
              <w:bottom w:val="single" w:sz="4" w:space="0" w:color="auto"/>
              <w:right w:val="single" w:sz="4" w:space="0" w:color="auto"/>
            </w:tcBorders>
            <w:shd w:val="clear" w:color="auto" w:fill="C6EFCE"/>
            <w:noWrap/>
          </w:tcPr>
          <w:p w14:paraId="7DD8E0F6"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66" w:type="dxa"/>
            <w:tcBorders>
              <w:top w:val="single" w:sz="4" w:space="0" w:color="auto"/>
              <w:left w:val="nil"/>
              <w:bottom w:val="single" w:sz="4" w:space="0" w:color="auto"/>
              <w:right w:val="single" w:sz="4" w:space="0" w:color="auto"/>
            </w:tcBorders>
            <w:shd w:val="clear" w:color="auto" w:fill="C6EFCE"/>
            <w:noWrap/>
          </w:tcPr>
          <w:p w14:paraId="043B291E"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006" w:type="dxa"/>
            <w:tcBorders>
              <w:top w:val="single" w:sz="4" w:space="0" w:color="auto"/>
              <w:left w:val="nil"/>
              <w:bottom w:val="single" w:sz="4" w:space="0" w:color="auto"/>
              <w:right w:val="single" w:sz="4" w:space="0" w:color="auto"/>
            </w:tcBorders>
            <w:shd w:val="clear" w:color="auto" w:fill="C6EFCE"/>
            <w:noWrap/>
          </w:tcPr>
          <w:p w14:paraId="6CA51F2A" w14:textId="77777777" w:rsidR="00C45D59" w:rsidRDefault="009B0962">
            <w:pPr>
              <w:pStyle w:val="P68B1DB1-Normal12"/>
              <w:spacing w:after="0" w:line="240" w:lineRule="auto"/>
              <w:rPr>
                <w:rFonts w:eastAsia="Times New Roman"/>
                <w:noProof/>
              </w:rPr>
            </w:pPr>
            <w:r>
              <w:rPr>
                <w:noProof/>
              </w:rPr>
              <w:t>Î2</w:t>
            </w:r>
          </w:p>
        </w:tc>
        <w:tc>
          <w:tcPr>
            <w:tcW w:w="708" w:type="dxa"/>
            <w:tcBorders>
              <w:top w:val="single" w:sz="4" w:space="0" w:color="auto"/>
              <w:left w:val="nil"/>
              <w:bottom w:val="single" w:sz="4" w:space="0" w:color="auto"/>
              <w:right w:val="single" w:sz="4" w:space="0" w:color="auto"/>
            </w:tcBorders>
            <w:shd w:val="clear" w:color="auto" w:fill="C6EFCE"/>
            <w:noWrap/>
          </w:tcPr>
          <w:p w14:paraId="15A9821A" w14:textId="77777777" w:rsidR="00C45D59" w:rsidRDefault="009B0962">
            <w:pPr>
              <w:pStyle w:val="P68B1DB1-Normal12"/>
              <w:spacing w:after="0" w:line="240" w:lineRule="auto"/>
              <w:rPr>
                <w:rFonts w:eastAsia="Times New Roman"/>
                <w:noProof/>
              </w:rPr>
            </w:pPr>
            <w:r>
              <w:rPr>
                <w:noProof/>
              </w:rPr>
              <w:t>2024</w:t>
            </w:r>
          </w:p>
        </w:tc>
        <w:tc>
          <w:tcPr>
            <w:tcW w:w="4830" w:type="dxa"/>
            <w:tcBorders>
              <w:top w:val="single" w:sz="4" w:space="0" w:color="auto"/>
              <w:left w:val="nil"/>
              <w:bottom w:val="single" w:sz="4" w:space="0" w:color="auto"/>
              <w:right w:val="single" w:sz="4" w:space="0" w:color="auto"/>
            </w:tcBorders>
            <w:shd w:val="clear" w:color="auto" w:fill="C6EFCE"/>
            <w:noWrap/>
          </w:tcPr>
          <w:p w14:paraId="22F0CC08" w14:textId="77777777" w:rsidR="00C45D59" w:rsidRDefault="009B0962">
            <w:pPr>
              <w:pStyle w:val="P68B1DB1-Normal12"/>
              <w:spacing w:after="0" w:line="240" w:lineRule="auto"/>
              <w:rPr>
                <w:rFonts w:eastAsia="Times New Roman"/>
                <w:noProof/>
              </w:rPr>
            </w:pPr>
            <w:r>
              <w:rPr>
                <w:noProof/>
              </w:rPr>
              <w:t>Intrarea în vigoare a legislației primare și secundare pentru a reforma impozitarea persoanelor care desfășoară o activitate independentă și pentru a permite reducerea progresivă a impozitului pe cheltuielile generale ale persoanelor care desfășoară o activitate independentă (τέλος επιτηδεύματος). Aceasta include stabilirea de noi cerințe obligatorii de raportare cu privire la modul în care sunt declarate cheltuielile și veniturile prin intermediul myDATA.</w:t>
            </w:r>
          </w:p>
          <w:p w14:paraId="0AD0054F" w14:textId="77777777" w:rsidR="00C45D59" w:rsidRDefault="00C45D59">
            <w:pPr>
              <w:spacing w:after="0" w:line="240" w:lineRule="auto"/>
              <w:rPr>
                <w:rFonts w:ascii="Times New Roman" w:eastAsia="Times New Roman" w:hAnsi="Times New Roman" w:cs="Times New Roman"/>
                <w:noProof/>
                <w:color w:val="006100"/>
                <w:sz w:val="18"/>
                <w:szCs w:val="18"/>
              </w:rPr>
            </w:pPr>
          </w:p>
          <w:p w14:paraId="6968563A" w14:textId="77777777" w:rsidR="00C45D59" w:rsidRDefault="009B0962">
            <w:pPr>
              <w:pStyle w:val="P68B1DB1-Normal12"/>
              <w:spacing w:after="0" w:line="240" w:lineRule="auto"/>
              <w:rPr>
                <w:rFonts w:eastAsia="Times New Roman"/>
                <w:noProof/>
              </w:rPr>
            </w:pPr>
            <w:r>
              <w:rPr>
                <w:noProof/>
              </w:rPr>
              <w:t>Intrarea în vigoare a legislației primare și secundare pentru a înlocui taxa de timbru existentă cu o nouă taxă digitală.</w:t>
            </w:r>
          </w:p>
        </w:tc>
      </w:tr>
      <w:tr w:rsidR="00C45D59" w14:paraId="7AC3B276" w14:textId="77777777" w:rsidTr="00892E7E">
        <w:trPr>
          <w:trHeight w:val="313"/>
          <w:jc w:val="center"/>
        </w:trPr>
        <w:tc>
          <w:tcPr>
            <w:tcW w:w="682" w:type="dxa"/>
            <w:tcBorders>
              <w:top w:val="single" w:sz="4" w:space="0" w:color="auto"/>
              <w:left w:val="single" w:sz="4" w:space="0" w:color="auto"/>
              <w:bottom w:val="single" w:sz="4" w:space="0" w:color="auto"/>
              <w:right w:val="single" w:sz="4" w:space="0" w:color="auto"/>
            </w:tcBorders>
            <w:shd w:val="clear" w:color="auto" w:fill="C6EFCE"/>
            <w:noWrap/>
          </w:tcPr>
          <w:p w14:paraId="1D800F6D" w14:textId="77777777" w:rsidR="00C45D59" w:rsidRDefault="009B0962">
            <w:pPr>
              <w:pStyle w:val="P68B1DB1-Normal12"/>
              <w:spacing w:after="0" w:line="240" w:lineRule="auto"/>
              <w:rPr>
                <w:rFonts w:eastAsia="Times New Roman"/>
                <w:noProof/>
              </w:rPr>
            </w:pPr>
            <w:r>
              <w:rPr>
                <w:noProof/>
              </w:rPr>
              <w:t>339</w:t>
            </w:r>
          </w:p>
        </w:tc>
        <w:tc>
          <w:tcPr>
            <w:tcW w:w="2210" w:type="dxa"/>
            <w:tcBorders>
              <w:top w:val="single" w:sz="4" w:space="0" w:color="auto"/>
              <w:left w:val="nil"/>
              <w:bottom w:val="single" w:sz="4" w:space="0" w:color="auto"/>
              <w:right w:val="single" w:sz="4" w:space="0" w:color="auto"/>
            </w:tcBorders>
            <w:shd w:val="clear" w:color="auto" w:fill="C6EFCE"/>
            <w:noWrap/>
          </w:tcPr>
          <w:p w14:paraId="54DC7E18" w14:textId="77777777" w:rsidR="00C45D59" w:rsidRDefault="009B0962">
            <w:pPr>
              <w:pStyle w:val="P68B1DB1-Normal12"/>
              <w:spacing w:after="0" w:line="240" w:lineRule="auto"/>
              <w:rPr>
                <w:rFonts w:eastAsia="Times New Roman"/>
                <w:noProof/>
              </w:rPr>
            </w:pPr>
            <w:r>
              <w:rPr>
                <w:noProof/>
              </w:rPr>
              <w:t>12-4.1. O fiscalitate mai favorabilă creșterii economice și o mai bună administrare fiscală și colectare a impozitelor – 16985_Modificări ale cadrului de politică fiscală al Greciei</w:t>
            </w:r>
          </w:p>
        </w:tc>
        <w:tc>
          <w:tcPr>
            <w:tcW w:w="1376" w:type="dxa"/>
            <w:tcBorders>
              <w:top w:val="single" w:sz="4" w:space="0" w:color="auto"/>
              <w:left w:val="nil"/>
              <w:bottom w:val="single" w:sz="4" w:space="0" w:color="auto"/>
              <w:right w:val="single" w:sz="4" w:space="0" w:color="auto"/>
            </w:tcBorders>
            <w:shd w:val="clear" w:color="auto" w:fill="C6EFCE"/>
            <w:noWrap/>
          </w:tcPr>
          <w:p w14:paraId="29DE5316" w14:textId="77777777" w:rsidR="00C45D59" w:rsidRDefault="009B0962">
            <w:pPr>
              <w:pStyle w:val="P68B1DB1-Normal12"/>
              <w:spacing w:after="0" w:line="240" w:lineRule="auto"/>
              <w:rPr>
                <w:rFonts w:eastAsia="Times New Roman"/>
                <w:noProof/>
              </w:rPr>
            </w:pPr>
            <w:r>
              <w:rPr>
                <w:noProof/>
              </w:rPr>
              <w:t>Etapă</w:t>
            </w:r>
          </w:p>
        </w:tc>
        <w:tc>
          <w:tcPr>
            <w:tcW w:w="1366" w:type="dxa"/>
            <w:tcBorders>
              <w:top w:val="single" w:sz="4" w:space="0" w:color="auto"/>
              <w:left w:val="nil"/>
              <w:bottom w:val="single" w:sz="4" w:space="0" w:color="auto"/>
              <w:right w:val="single" w:sz="4" w:space="0" w:color="auto"/>
            </w:tcBorders>
            <w:shd w:val="clear" w:color="auto" w:fill="C6EFCE"/>
            <w:noWrap/>
          </w:tcPr>
          <w:p w14:paraId="512629D7" w14:textId="77777777" w:rsidR="00C45D59" w:rsidRDefault="009B0962">
            <w:pPr>
              <w:pStyle w:val="P68B1DB1-Normal12"/>
              <w:spacing w:after="0" w:line="240" w:lineRule="auto"/>
              <w:rPr>
                <w:rFonts w:eastAsia="Times New Roman"/>
                <w:noProof/>
              </w:rPr>
            </w:pPr>
            <w:r>
              <w:rPr>
                <w:noProof/>
              </w:rPr>
              <w:t>Consolidarea autonomiei operaționale a Autorității Independente pentru Venituri Publice (AIVP)</w:t>
            </w:r>
          </w:p>
        </w:tc>
        <w:tc>
          <w:tcPr>
            <w:tcW w:w="1984" w:type="dxa"/>
            <w:tcBorders>
              <w:top w:val="single" w:sz="4" w:space="0" w:color="auto"/>
              <w:left w:val="nil"/>
              <w:bottom w:val="single" w:sz="4" w:space="0" w:color="auto"/>
              <w:right w:val="single" w:sz="4" w:space="0" w:color="auto"/>
            </w:tcBorders>
            <w:shd w:val="clear" w:color="auto" w:fill="C6EFCE"/>
            <w:noWrap/>
          </w:tcPr>
          <w:p w14:paraId="401FF572" w14:textId="77777777" w:rsidR="00C45D59" w:rsidRDefault="009B0962">
            <w:pPr>
              <w:pStyle w:val="P68B1DB1-Normal12"/>
              <w:spacing w:after="0" w:line="240" w:lineRule="auto"/>
              <w:rPr>
                <w:rFonts w:eastAsia="Times New Roman"/>
                <w:noProof/>
              </w:rPr>
            </w:pPr>
            <w:r>
              <w:rPr>
                <w:noProof/>
              </w:rPr>
              <w:t>Revizuirea cadrului juridic pentru a clarifica competențele AIVP și ale Ministerului Guvernanței Digitale.</w:t>
            </w:r>
          </w:p>
          <w:p w14:paraId="2517F62D" w14:textId="77777777" w:rsidR="00C45D59" w:rsidRDefault="00C45D59">
            <w:pPr>
              <w:spacing w:after="0" w:line="240" w:lineRule="auto"/>
              <w:rPr>
                <w:rFonts w:ascii="Times New Roman" w:eastAsia="Times New Roman" w:hAnsi="Times New Roman" w:cs="Times New Roman"/>
                <w:noProof/>
                <w:color w:val="006100"/>
                <w:sz w:val="18"/>
                <w:szCs w:val="18"/>
              </w:rPr>
            </w:pPr>
          </w:p>
          <w:p w14:paraId="234BD512" w14:textId="77777777" w:rsidR="00C45D59" w:rsidRDefault="009B0962">
            <w:pPr>
              <w:pStyle w:val="P68B1DB1-Normal12"/>
              <w:spacing w:after="0" w:line="240" w:lineRule="auto"/>
              <w:rPr>
                <w:rFonts w:eastAsia="Times New Roman"/>
                <w:noProof/>
              </w:rPr>
            </w:pPr>
            <w:r>
              <w:rPr>
                <w:noProof/>
              </w:rPr>
              <w:t>Decizia AIVP de definire a unor noi indicatori-cheie de performanță pentru AIVP.</w:t>
            </w:r>
          </w:p>
          <w:p w14:paraId="2F39DA46" w14:textId="77777777" w:rsidR="00C45D59" w:rsidRDefault="00C45D59">
            <w:pPr>
              <w:spacing w:after="0" w:line="240" w:lineRule="auto"/>
              <w:rPr>
                <w:rFonts w:ascii="Times New Roman" w:eastAsia="Times New Roman" w:hAnsi="Times New Roman" w:cs="Times New Roman"/>
                <w:noProof/>
                <w:color w:val="006100"/>
                <w:sz w:val="18"/>
                <w:szCs w:val="18"/>
              </w:rPr>
            </w:pPr>
          </w:p>
          <w:p w14:paraId="597774E3" w14:textId="77777777" w:rsidR="00C45D59" w:rsidRDefault="009B0962">
            <w:pPr>
              <w:pStyle w:val="P68B1DB1-Normal12"/>
              <w:spacing w:after="0" w:line="240" w:lineRule="auto"/>
              <w:rPr>
                <w:noProof/>
              </w:rPr>
            </w:pPr>
            <w:r>
              <w:rPr>
                <w:noProof/>
              </w:rPr>
              <w:t xml:space="preserve">Semnarea acordului privind nivelul serviciilor, inclusiv obligația întocmirii unui raport anual de punere în aplicare, începând cu anul următor. </w:t>
            </w:r>
          </w:p>
        </w:tc>
        <w:tc>
          <w:tcPr>
            <w:tcW w:w="876" w:type="dxa"/>
            <w:tcBorders>
              <w:top w:val="single" w:sz="4" w:space="0" w:color="auto"/>
              <w:left w:val="nil"/>
              <w:bottom w:val="single" w:sz="4" w:space="0" w:color="auto"/>
              <w:right w:val="single" w:sz="4" w:space="0" w:color="auto"/>
            </w:tcBorders>
            <w:shd w:val="clear" w:color="auto" w:fill="C6EFCE"/>
            <w:noWrap/>
          </w:tcPr>
          <w:p w14:paraId="56CC10EA"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96" w:type="dxa"/>
            <w:tcBorders>
              <w:top w:val="single" w:sz="4" w:space="0" w:color="auto"/>
              <w:left w:val="nil"/>
              <w:bottom w:val="single" w:sz="4" w:space="0" w:color="auto"/>
              <w:right w:val="single" w:sz="4" w:space="0" w:color="auto"/>
            </w:tcBorders>
            <w:shd w:val="clear" w:color="auto" w:fill="C6EFCE"/>
            <w:noWrap/>
          </w:tcPr>
          <w:p w14:paraId="6DB1C2C9"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66" w:type="dxa"/>
            <w:tcBorders>
              <w:top w:val="single" w:sz="4" w:space="0" w:color="auto"/>
              <w:left w:val="nil"/>
              <w:bottom w:val="single" w:sz="4" w:space="0" w:color="auto"/>
              <w:right w:val="single" w:sz="4" w:space="0" w:color="auto"/>
            </w:tcBorders>
            <w:shd w:val="clear" w:color="auto" w:fill="C6EFCE"/>
            <w:noWrap/>
          </w:tcPr>
          <w:p w14:paraId="578A9ACB"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006" w:type="dxa"/>
            <w:tcBorders>
              <w:top w:val="single" w:sz="4" w:space="0" w:color="auto"/>
              <w:left w:val="nil"/>
              <w:bottom w:val="single" w:sz="4" w:space="0" w:color="auto"/>
              <w:right w:val="single" w:sz="4" w:space="0" w:color="auto"/>
            </w:tcBorders>
            <w:shd w:val="clear" w:color="auto" w:fill="C6EFCE"/>
            <w:noWrap/>
          </w:tcPr>
          <w:p w14:paraId="7B614EA9" w14:textId="77777777" w:rsidR="00C45D59" w:rsidRDefault="009B0962">
            <w:pPr>
              <w:pStyle w:val="P68B1DB1-Normal12"/>
              <w:spacing w:after="0" w:line="240" w:lineRule="auto"/>
              <w:rPr>
                <w:rFonts w:eastAsia="Times New Roman"/>
                <w:noProof/>
              </w:rPr>
            </w:pPr>
            <w:r>
              <w:rPr>
                <w:noProof/>
              </w:rPr>
              <w:t>Î2</w:t>
            </w:r>
          </w:p>
        </w:tc>
        <w:tc>
          <w:tcPr>
            <w:tcW w:w="708" w:type="dxa"/>
            <w:tcBorders>
              <w:top w:val="single" w:sz="4" w:space="0" w:color="auto"/>
              <w:left w:val="nil"/>
              <w:bottom w:val="single" w:sz="4" w:space="0" w:color="auto"/>
              <w:right w:val="single" w:sz="4" w:space="0" w:color="auto"/>
            </w:tcBorders>
            <w:shd w:val="clear" w:color="auto" w:fill="C6EFCE"/>
            <w:noWrap/>
          </w:tcPr>
          <w:p w14:paraId="5F139F55" w14:textId="77777777" w:rsidR="00C45D59" w:rsidRDefault="009B0962">
            <w:pPr>
              <w:pStyle w:val="P68B1DB1-Normal12"/>
              <w:spacing w:after="0" w:line="240" w:lineRule="auto"/>
              <w:rPr>
                <w:rFonts w:eastAsia="Times New Roman"/>
                <w:noProof/>
              </w:rPr>
            </w:pPr>
            <w:r>
              <w:rPr>
                <w:noProof/>
              </w:rPr>
              <w:t>2024</w:t>
            </w:r>
          </w:p>
        </w:tc>
        <w:tc>
          <w:tcPr>
            <w:tcW w:w="4830" w:type="dxa"/>
            <w:tcBorders>
              <w:top w:val="single" w:sz="4" w:space="0" w:color="auto"/>
              <w:left w:val="nil"/>
              <w:bottom w:val="single" w:sz="4" w:space="0" w:color="auto"/>
              <w:right w:val="single" w:sz="4" w:space="0" w:color="auto"/>
            </w:tcBorders>
            <w:shd w:val="clear" w:color="auto" w:fill="C6EFCE"/>
            <w:noWrap/>
          </w:tcPr>
          <w:p w14:paraId="0ED45620" w14:textId="77777777" w:rsidR="00C45D59" w:rsidRDefault="009B0962">
            <w:pPr>
              <w:pStyle w:val="P68B1DB1-Normal12"/>
              <w:spacing w:after="0" w:line="240" w:lineRule="auto"/>
              <w:rPr>
                <w:noProof/>
              </w:rPr>
            </w:pPr>
            <w:r>
              <w:rPr>
                <w:noProof/>
              </w:rPr>
              <w:t>Intrarea în vigoare a legislației de abilitare și semnarea unui acord cuprinzător privind nivelul serviciilor care să confirme responsabilitățile și alocarea resurselor între AIVP și Ministerul Guvernanței Digitale în ceea ce privește licențele de software de calcul și stocare, serviciile web și gestionarea bazelor de date. Acordul privind nivelul serviciilor include o dispoziție conform căreia ambele autorități trebuie să elaboreze, în cooperare, un raport anual de punere în aplicare, începând cu anul următor.</w:t>
            </w:r>
          </w:p>
          <w:p w14:paraId="02F8BFBA" w14:textId="77777777" w:rsidR="00C45D59" w:rsidRDefault="00C45D59">
            <w:pPr>
              <w:spacing w:after="0" w:line="240" w:lineRule="auto"/>
              <w:rPr>
                <w:rFonts w:ascii="Times New Roman" w:eastAsia="Times New Roman" w:hAnsi="Times New Roman" w:cs="Times New Roman"/>
                <w:noProof/>
                <w:color w:val="006100"/>
                <w:sz w:val="18"/>
                <w:szCs w:val="18"/>
              </w:rPr>
            </w:pPr>
          </w:p>
          <w:p w14:paraId="1BDFFB98" w14:textId="77777777" w:rsidR="00C45D59" w:rsidRDefault="009B0962">
            <w:pPr>
              <w:pStyle w:val="P68B1DB1-Normal12"/>
              <w:spacing w:after="0" w:line="240" w:lineRule="auto"/>
              <w:rPr>
                <w:rFonts w:eastAsia="Times New Roman"/>
                <w:noProof/>
              </w:rPr>
            </w:pPr>
            <w:r>
              <w:rPr>
                <w:noProof/>
              </w:rPr>
              <w:t>Decizia AIVP de definire a unor noi indicatori-cheie de performanță, inclusiv în ceea ce privește eficacitatea auditului, pentru AIVP; și (ii) introducerea unui (unor) sondaj (sondaje) anual (e) privind satisfacția clienților.</w:t>
            </w:r>
          </w:p>
        </w:tc>
      </w:tr>
      <w:tr w:rsidR="00C45D59" w14:paraId="4A85CB2F" w14:textId="77777777" w:rsidTr="00892E7E">
        <w:trPr>
          <w:trHeight w:val="313"/>
          <w:jc w:val="center"/>
        </w:trPr>
        <w:tc>
          <w:tcPr>
            <w:tcW w:w="682" w:type="dxa"/>
            <w:tcBorders>
              <w:top w:val="single" w:sz="4" w:space="0" w:color="auto"/>
              <w:left w:val="single" w:sz="4" w:space="0" w:color="auto"/>
              <w:bottom w:val="single" w:sz="4" w:space="0" w:color="auto"/>
              <w:right w:val="single" w:sz="4" w:space="0" w:color="auto"/>
            </w:tcBorders>
            <w:shd w:val="clear" w:color="auto" w:fill="C6EFCE"/>
            <w:noWrap/>
          </w:tcPr>
          <w:p w14:paraId="40A24B35" w14:textId="77777777" w:rsidR="00C45D59" w:rsidRDefault="009B0962">
            <w:pPr>
              <w:pStyle w:val="P68B1DB1-Normal12"/>
              <w:spacing w:after="0" w:line="240" w:lineRule="auto"/>
              <w:rPr>
                <w:rFonts w:eastAsia="Times New Roman"/>
                <w:noProof/>
              </w:rPr>
            </w:pPr>
            <w:r>
              <w:rPr>
                <w:noProof/>
              </w:rPr>
              <w:t>340</w:t>
            </w:r>
          </w:p>
        </w:tc>
        <w:tc>
          <w:tcPr>
            <w:tcW w:w="2210" w:type="dxa"/>
            <w:tcBorders>
              <w:top w:val="single" w:sz="4" w:space="0" w:color="auto"/>
              <w:left w:val="nil"/>
              <w:bottom w:val="single" w:sz="4" w:space="0" w:color="auto"/>
              <w:right w:val="single" w:sz="4" w:space="0" w:color="auto"/>
            </w:tcBorders>
            <w:shd w:val="clear" w:color="auto" w:fill="C6EFCE"/>
            <w:noWrap/>
          </w:tcPr>
          <w:p w14:paraId="2D2C114A" w14:textId="77777777" w:rsidR="00C45D59" w:rsidRDefault="009B0962">
            <w:pPr>
              <w:pStyle w:val="P68B1DB1-Normal12"/>
              <w:spacing w:after="0" w:line="240" w:lineRule="auto"/>
              <w:rPr>
                <w:rFonts w:eastAsia="Times New Roman"/>
                <w:noProof/>
              </w:rPr>
            </w:pPr>
            <w:r>
              <w:rPr>
                <w:noProof/>
              </w:rPr>
              <w:t>12-4.1. O fiscalitate mai favorabilă creșterii economice și o mai bună administrare fiscală și colectare a impozitelor – 16985_Modificări ale cadrului de politică fiscală al Greciei</w:t>
            </w:r>
          </w:p>
        </w:tc>
        <w:tc>
          <w:tcPr>
            <w:tcW w:w="1376" w:type="dxa"/>
            <w:tcBorders>
              <w:top w:val="single" w:sz="4" w:space="0" w:color="auto"/>
              <w:left w:val="nil"/>
              <w:bottom w:val="single" w:sz="4" w:space="0" w:color="auto"/>
              <w:right w:val="single" w:sz="4" w:space="0" w:color="auto"/>
            </w:tcBorders>
            <w:shd w:val="clear" w:color="auto" w:fill="C6EFCE"/>
            <w:noWrap/>
          </w:tcPr>
          <w:p w14:paraId="0E9FFFFB" w14:textId="77777777" w:rsidR="00C45D59" w:rsidRDefault="009B0962">
            <w:pPr>
              <w:pStyle w:val="P68B1DB1-Normal12"/>
              <w:spacing w:after="0" w:line="240" w:lineRule="auto"/>
              <w:rPr>
                <w:rFonts w:eastAsia="Times New Roman"/>
                <w:noProof/>
              </w:rPr>
            </w:pPr>
            <w:r>
              <w:rPr>
                <w:noProof/>
              </w:rPr>
              <w:t>Etapă</w:t>
            </w:r>
          </w:p>
        </w:tc>
        <w:tc>
          <w:tcPr>
            <w:tcW w:w="1366" w:type="dxa"/>
            <w:tcBorders>
              <w:top w:val="single" w:sz="4" w:space="0" w:color="auto"/>
              <w:left w:val="nil"/>
              <w:bottom w:val="single" w:sz="4" w:space="0" w:color="auto"/>
              <w:right w:val="single" w:sz="4" w:space="0" w:color="auto"/>
            </w:tcBorders>
            <w:shd w:val="clear" w:color="auto" w:fill="C6EFCE"/>
            <w:noWrap/>
          </w:tcPr>
          <w:p w14:paraId="2B2BE739" w14:textId="77777777" w:rsidR="00C45D59" w:rsidRDefault="009B0962">
            <w:pPr>
              <w:pStyle w:val="P68B1DB1-Normal12"/>
              <w:spacing w:after="0" w:line="240" w:lineRule="auto"/>
              <w:rPr>
                <w:rFonts w:eastAsia="Times New Roman"/>
                <w:noProof/>
              </w:rPr>
            </w:pPr>
            <w:r>
              <w:rPr>
                <w:noProof/>
              </w:rPr>
              <w:t xml:space="preserve">Combaterea evaziunii fiscale prin utilizarea myDATA în scopul impozitării veniturilor. </w:t>
            </w:r>
          </w:p>
        </w:tc>
        <w:tc>
          <w:tcPr>
            <w:tcW w:w="1984" w:type="dxa"/>
            <w:tcBorders>
              <w:top w:val="single" w:sz="4" w:space="0" w:color="auto"/>
              <w:left w:val="nil"/>
              <w:bottom w:val="single" w:sz="4" w:space="0" w:color="auto"/>
              <w:right w:val="single" w:sz="4" w:space="0" w:color="auto"/>
            </w:tcBorders>
            <w:shd w:val="clear" w:color="auto" w:fill="C6EFCE"/>
            <w:noWrap/>
          </w:tcPr>
          <w:p w14:paraId="4E524189" w14:textId="77777777" w:rsidR="00C45D59" w:rsidRDefault="009B0962">
            <w:pPr>
              <w:pStyle w:val="P68B1DB1-Normal12"/>
              <w:spacing w:after="0" w:line="240" w:lineRule="auto"/>
              <w:rPr>
                <w:rFonts w:eastAsia="Times New Roman"/>
                <w:noProof/>
              </w:rPr>
            </w:pPr>
            <w:r>
              <w:rPr>
                <w:noProof/>
              </w:rPr>
              <w:t>Cadrul juridic revizuit adoptat pentru a stabili noi cerințe de raportare a myDATA și pentru a permite utilizarea myDATA în scopul impozitului pe profit.</w:t>
            </w:r>
          </w:p>
        </w:tc>
        <w:tc>
          <w:tcPr>
            <w:tcW w:w="876" w:type="dxa"/>
            <w:tcBorders>
              <w:top w:val="single" w:sz="4" w:space="0" w:color="auto"/>
              <w:left w:val="nil"/>
              <w:bottom w:val="single" w:sz="4" w:space="0" w:color="auto"/>
              <w:right w:val="single" w:sz="4" w:space="0" w:color="auto"/>
            </w:tcBorders>
            <w:shd w:val="clear" w:color="auto" w:fill="C6EFCE"/>
            <w:noWrap/>
          </w:tcPr>
          <w:p w14:paraId="44A8F7B7"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96" w:type="dxa"/>
            <w:tcBorders>
              <w:top w:val="single" w:sz="4" w:space="0" w:color="auto"/>
              <w:left w:val="nil"/>
              <w:bottom w:val="single" w:sz="4" w:space="0" w:color="auto"/>
              <w:right w:val="single" w:sz="4" w:space="0" w:color="auto"/>
            </w:tcBorders>
            <w:shd w:val="clear" w:color="auto" w:fill="C6EFCE"/>
            <w:noWrap/>
          </w:tcPr>
          <w:p w14:paraId="2134043E"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66" w:type="dxa"/>
            <w:tcBorders>
              <w:top w:val="single" w:sz="4" w:space="0" w:color="auto"/>
              <w:left w:val="nil"/>
              <w:bottom w:val="single" w:sz="4" w:space="0" w:color="auto"/>
              <w:right w:val="single" w:sz="4" w:space="0" w:color="auto"/>
            </w:tcBorders>
            <w:shd w:val="clear" w:color="auto" w:fill="C6EFCE"/>
            <w:noWrap/>
          </w:tcPr>
          <w:p w14:paraId="6393936A"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006" w:type="dxa"/>
            <w:tcBorders>
              <w:top w:val="single" w:sz="4" w:space="0" w:color="auto"/>
              <w:left w:val="nil"/>
              <w:bottom w:val="single" w:sz="4" w:space="0" w:color="auto"/>
              <w:right w:val="single" w:sz="4" w:space="0" w:color="auto"/>
            </w:tcBorders>
            <w:shd w:val="clear" w:color="auto" w:fill="C6EFCE"/>
            <w:noWrap/>
          </w:tcPr>
          <w:p w14:paraId="2F8B41FE" w14:textId="77777777" w:rsidR="00C45D59" w:rsidRDefault="009B0962">
            <w:pPr>
              <w:pStyle w:val="P68B1DB1-Normal12"/>
              <w:spacing w:after="0" w:line="240" w:lineRule="auto"/>
              <w:rPr>
                <w:rFonts w:eastAsia="Times New Roman"/>
                <w:noProof/>
              </w:rPr>
            </w:pPr>
            <w:r>
              <w:rPr>
                <w:noProof/>
              </w:rPr>
              <w:t>Î2</w:t>
            </w:r>
          </w:p>
        </w:tc>
        <w:tc>
          <w:tcPr>
            <w:tcW w:w="708" w:type="dxa"/>
            <w:tcBorders>
              <w:top w:val="single" w:sz="4" w:space="0" w:color="auto"/>
              <w:left w:val="nil"/>
              <w:bottom w:val="single" w:sz="4" w:space="0" w:color="auto"/>
              <w:right w:val="single" w:sz="4" w:space="0" w:color="auto"/>
            </w:tcBorders>
            <w:shd w:val="clear" w:color="auto" w:fill="C6EFCE"/>
            <w:noWrap/>
          </w:tcPr>
          <w:p w14:paraId="0C6F8A1D" w14:textId="77777777" w:rsidR="00C45D59" w:rsidRDefault="009B0962">
            <w:pPr>
              <w:pStyle w:val="P68B1DB1-Normal12"/>
              <w:spacing w:after="0" w:line="240" w:lineRule="auto"/>
              <w:rPr>
                <w:rFonts w:eastAsia="Times New Roman"/>
                <w:noProof/>
              </w:rPr>
            </w:pPr>
            <w:r>
              <w:rPr>
                <w:noProof/>
              </w:rPr>
              <w:t>2024</w:t>
            </w:r>
          </w:p>
        </w:tc>
        <w:tc>
          <w:tcPr>
            <w:tcW w:w="4830" w:type="dxa"/>
            <w:tcBorders>
              <w:top w:val="single" w:sz="4" w:space="0" w:color="auto"/>
              <w:left w:val="nil"/>
              <w:bottom w:val="single" w:sz="4" w:space="0" w:color="auto"/>
              <w:right w:val="single" w:sz="4" w:space="0" w:color="auto"/>
            </w:tcBorders>
            <w:shd w:val="clear" w:color="auto" w:fill="C6EFCE"/>
            <w:noWrap/>
          </w:tcPr>
          <w:p w14:paraId="2E123009" w14:textId="77777777" w:rsidR="00C45D59" w:rsidRDefault="009B0962">
            <w:pPr>
              <w:pStyle w:val="P68B1DB1-Normal12"/>
              <w:spacing w:after="0" w:line="240" w:lineRule="auto"/>
              <w:rPr>
                <w:rFonts w:eastAsia="Times New Roman"/>
                <w:noProof/>
              </w:rPr>
            </w:pPr>
            <w:r>
              <w:rPr>
                <w:noProof/>
              </w:rPr>
              <w:t xml:space="preserve">Intrarea în vigoare a legislației primare și secundare </w:t>
            </w:r>
          </w:p>
          <w:p w14:paraId="0AC99746" w14:textId="77777777" w:rsidR="00C45D59" w:rsidRDefault="009B0962">
            <w:pPr>
              <w:pStyle w:val="P68B1DB1-Normal12"/>
              <w:spacing w:after="0" w:line="240" w:lineRule="auto"/>
              <w:rPr>
                <w:rFonts w:eastAsia="Times New Roman"/>
                <w:noProof/>
              </w:rPr>
            </w:pPr>
            <w:r>
              <w:rPr>
                <w:noProof/>
              </w:rPr>
              <w:t xml:space="preserve">facilitarea utilizării raportării myDATA cu privire la întreprinderi (inclusiv la persoanele care desfășoară o activitate independentă) pentru declarațiile de impozit pe venit. </w:t>
            </w:r>
          </w:p>
          <w:p w14:paraId="72BD0F46" w14:textId="3AEC8E6E" w:rsidR="00C45D59" w:rsidRDefault="00C45D59">
            <w:pPr>
              <w:spacing w:after="0" w:line="240" w:lineRule="auto"/>
              <w:rPr>
                <w:rFonts w:ascii="Times New Roman" w:eastAsia="Times New Roman" w:hAnsi="Times New Roman" w:cs="Times New Roman"/>
                <w:noProof/>
                <w:color w:val="006100"/>
                <w:sz w:val="18"/>
                <w:szCs w:val="18"/>
              </w:rPr>
            </w:pPr>
          </w:p>
          <w:p w14:paraId="59FFEF22" w14:textId="77777777" w:rsidR="00C45D59" w:rsidRDefault="00C45D59">
            <w:pPr>
              <w:spacing w:after="0" w:line="240" w:lineRule="auto"/>
              <w:rPr>
                <w:rFonts w:ascii="Times New Roman" w:eastAsia="Times New Roman" w:hAnsi="Times New Roman" w:cs="Times New Roman"/>
                <w:noProof/>
                <w:color w:val="006100"/>
                <w:sz w:val="18"/>
                <w:szCs w:val="18"/>
              </w:rPr>
            </w:pPr>
          </w:p>
        </w:tc>
      </w:tr>
    </w:tbl>
    <w:p w14:paraId="09D0B021" w14:textId="77777777" w:rsidR="00C45D59" w:rsidRDefault="00C45D59">
      <w:pPr>
        <w:spacing w:before="120" w:after="120" w:line="240" w:lineRule="auto"/>
        <w:ind w:left="709"/>
        <w:jc w:val="both"/>
        <w:rPr>
          <w:rFonts w:ascii="Times New Roman" w:hAnsi="Times New Roman" w:cs="Times New Roman"/>
          <w:noProof/>
          <w:sz w:val="24"/>
        </w:rPr>
        <w:sectPr w:rsidR="00C45D59">
          <w:headerReference w:type="even" r:id="rId264"/>
          <w:headerReference w:type="default" r:id="rId265"/>
          <w:footerReference w:type="even" r:id="rId266"/>
          <w:footerReference w:type="default" r:id="rId267"/>
          <w:headerReference w:type="first" r:id="rId268"/>
          <w:footerReference w:type="first" r:id="rId269"/>
          <w:pgSz w:w="16839" w:h="11907" w:orient="landscape"/>
          <w:pgMar w:top="1134" w:right="1134" w:bottom="1134" w:left="1134" w:header="567" w:footer="567" w:gutter="0"/>
          <w:cols w:space="720"/>
          <w:docGrid w:linePitch="360"/>
        </w:sectPr>
      </w:pPr>
    </w:p>
    <w:p w14:paraId="2601A49A" w14:textId="77777777" w:rsidR="00C45D59" w:rsidRDefault="009B0962">
      <w:pPr>
        <w:pStyle w:val="P68B1DB1-Normal48"/>
        <w:spacing w:before="120" w:after="120" w:line="240" w:lineRule="auto"/>
        <w:ind w:firstLine="6"/>
        <w:jc w:val="both"/>
        <w:outlineLvl w:val="3"/>
        <w:rPr>
          <w:rFonts w:cs="Times New Roman"/>
          <w:bCs/>
          <w:noProof/>
        </w:rPr>
      </w:pPr>
      <w:r>
        <w:rPr>
          <w:noProof/>
        </w:rPr>
        <w:t>M. COMPONENTA 4.2: MODERNIZAREA ADMINISTRAȚIEI PUBLICE, INCLUSIV PRIN ACCELERAREA PUNERII ÎN APLICARE A INVESTIȚIILOR PUBLICE, ÎMBUNĂTĂȚIREA CADRULUI PRIVIND ACHIZIȚIILE PUBLICE, MĂSURI DE CONSOLIDARE A CAPACITĂȚILOR ȘI COMBATEREA CORUPȚIEI</w:t>
      </w:r>
    </w:p>
    <w:p w14:paraId="28146DC8" w14:textId="77777777" w:rsidR="00C45D59" w:rsidRDefault="009B0962">
      <w:pPr>
        <w:pStyle w:val="P68B1DB1-Normal5"/>
        <w:spacing w:before="120" w:after="120" w:line="240" w:lineRule="auto"/>
        <w:jc w:val="both"/>
        <w:rPr>
          <w:rFonts w:cs="Times New Roman"/>
          <w:noProof/>
        </w:rPr>
      </w:pPr>
      <w:r>
        <w:rPr>
          <w:noProof/>
        </w:rPr>
        <w:t>Această componentă a planului de redresare și reziliență al Greciei include un set de reforme ample, precum și investiții în funcționarea administrației publice, în vederea îmbunătățirii elaborării și punerii în aplicare a politicilor. Componenta include măsuri de modernizare a administrației publice prin acțiuni specifice de consolidare a planificării și coordonării politicilor și a gestionării resurselor umane, precum și de finalizare a cadastrului național, care se preconizează că va asigura un sistem eficient de carte funciară și va oferi securitate juridică pentru drepturile de proprietate. Alte măsuri vizează abordarea lipsei de pregătire a proiectelor pentru investiții publice (inclusiv corupția) și consolidarea în continuare a domeniului gestionării finanțelor publice. Aceste reforme și investiții sprijină abordarea provocărilor legate de a) administrația publică digitală. Această componentă sprijină abordarea recomandărilor specifice fiecărei țări privind investițiile publice și private (Recomandarea specifică fiecărei țări 3 2020), reformele structurale pentru îmbunătățirea funcționării economiei (Recomandarea specifică fiecărei țări 4 2020) și finalizarea reformei restante privind cadastrul, care a fost continuată în cadrul supravegherii mai stricte (Recomandarea specifică fiecărei țări 3 din 2022 și Recomandarea specifică fiecărei țări 3 din 2023). Se preconizează că nicio măsură din cadrul acestei componente nu prejudiciază în mod semnificativ obiectivele de mediu în sensul articolului 17 din Regulamentul (UE) 2020/852, ținând seama de descrierea măsurilor și a etapelor de atenuare prevăzute în planul de redresare și reziliență în conformitate cu Orientările tehnice privind aplicarea principiului de „a nu prejudicia în mod semnificativ” (2021/C58/01).</w:t>
      </w:r>
    </w:p>
    <w:p w14:paraId="32C45039" w14:textId="77777777" w:rsidR="00C45D59" w:rsidRDefault="009B0962">
      <w:pPr>
        <w:pStyle w:val="P68B1DB1-Normal6"/>
        <w:spacing w:before="120" w:after="120" w:line="240" w:lineRule="auto"/>
        <w:jc w:val="both"/>
        <w:rPr>
          <w:rFonts w:cs="Times New Roman"/>
          <w:bCs/>
          <w:i/>
          <w:iCs/>
          <w:noProof/>
          <w:color w:val="4F81BD"/>
        </w:rPr>
      </w:pPr>
      <w:r>
        <w:rPr>
          <w:noProof/>
        </w:rPr>
        <w:t>M.1. Descrierea reformelor și a investițiilor pentru sprijinul financiar nerambursabil</w:t>
      </w:r>
    </w:p>
    <w:p w14:paraId="304667E2" w14:textId="77777777" w:rsidR="00C45D59" w:rsidRDefault="009B0962">
      <w:pPr>
        <w:pStyle w:val="P68B1DB1-Normal5"/>
        <w:spacing w:before="120" w:after="120" w:line="240" w:lineRule="auto"/>
        <w:jc w:val="both"/>
        <w:rPr>
          <w:rFonts w:cs="Times New Roman"/>
          <w:noProof/>
        </w:rPr>
      </w:pPr>
      <w:r>
        <w:rPr>
          <w:b/>
          <w:noProof/>
        </w:rPr>
        <w:t>Reformă:</w:t>
      </w:r>
      <w:r>
        <w:rPr>
          <w:noProof/>
        </w:rPr>
        <w:t xml:space="preserve"> Reforma administrației publice (măsura ID 16972)</w:t>
      </w:r>
    </w:p>
    <w:p w14:paraId="180C2664" w14:textId="77777777" w:rsidR="00C45D59" w:rsidRDefault="009B0962">
      <w:pPr>
        <w:pStyle w:val="P68B1DB1-Normal7"/>
        <w:spacing w:before="120" w:after="120" w:line="240" w:lineRule="auto"/>
        <w:jc w:val="both"/>
        <w:rPr>
          <w:rFonts w:cs="Times New Roman"/>
          <w:noProof/>
        </w:rPr>
      </w:pPr>
      <w:r>
        <w:rPr>
          <w:noProof/>
        </w:rPr>
        <w:t>Această reformă urmărește să continue eforturile de modernizare a administrației publice și să investească în resursele sale umane. Reforma constă în acțiuni care vor institui sisteme de informații pentru a sprijini cadrul strategic de planificare a forței de muncă și procedurile de selecție ale Consiliului Suprem pentru Selecția Personalului Civil (ASEP) și vor finaliza un program de formare la scară largă pentru funcționarii publici.</w:t>
      </w:r>
    </w:p>
    <w:p w14:paraId="25298347" w14:textId="77777777" w:rsidR="00C45D59" w:rsidRDefault="009B0962">
      <w:pPr>
        <w:pStyle w:val="P68B1DB1-Normal5"/>
        <w:spacing w:before="120" w:after="120" w:line="240" w:lineRule="auto"/>
        <w:jc w:val="both"/>
        <w:rPr>
          <w:rFonts w:cs="Times New Roman"/>
          <w:noProof/>
        </w:rPr>
      </w:pPr>
      <w:r>
        <w:rPr>
          <w:b/>
          <w:noProof/>
        </w:rPr>
        <w:t>Reformă:</w:t>
      </w:r>
      <w:r>
        <w:rPr>
          <w:noProof/>
        </w:rPr>
        <w:t xml:space="preserve"> Combaterea comerțului ilegal și protejarea proprietății intelectuale (măsura ID 16703)</w:t>
      </w:r>
    </w:p>
    <w:p w14:paraId="449DF011" w14:textId="77777777" w:rsidR="00C45D59" w:rsidRDefault="009B0962">
      <w:pPr>
        <w:spacing w:before="120" w:after="120" w:line="240" w:lineRule="auto"/>
        <w:jc w:val="both"/>
        <w:rPr>
          <w:rFonts w:ascii="Times New Roman" w:hAnsi="Times New Roman" w:cs="Times New Roman"/>
          <w:noProof/>
          <w:sz w:val="24"/>
        </w:rPr>
      </w:pPr>
      <w:r>
        <w:rPr>
          <w:rFonts w:ascii="Times New Roman" w:hAnsi="Times New Roman"/>
          <w:noProof/>
          <w:sz w:val="24"/>
        </w:rPr>
        <w:t xml:space="preserve">Obiectivul acestei reforme este de a îmbunătăți răspunsul împotriva comerțului ilegal. Reforma constă într-un sistem de informații, stații de control și formare. </w:t>
      </w:r>
    </w:p>
    <w:p w14:paraId="7A0F9BA2" w14:textId="77777777" w:rsidR="00C45D59" w:rsidRDefault="009B0962">
      <w:pPr>
        <w:pStyle w:val="P68B1DB1-Normal5"/>
        <w:spacing w:before="120" w:after="120" w:line="240" w:lineRule="auto"/>
        <w:jc w:val="both"/>
        <w:rPr>
          <w:rFonts w:cs="Times New Roman"/>
          <w:noProof/>
        </w:rPr>
      </w:pPr>
      <w:r>
        <w:rPr>
          <w:b/>
          <w:noProof/>
        </w:rPr>
        <w:t>Reformă:</w:t>
      </w:r>
      <w:r>
        <w:rPr>
          <w:noProof/>
        </w:rPr>
        <w:t xml:space="preserve"> Consolidarea cadrului național anticorupție (măsura ID 16952)</w:t>
      </w:r>
    </w:p>
    <w:p w14:paraId="43D27F6D" w14:textId="77777777" w:rsidR="00C45D59" w:rsidRDefault="009B0962">
      <w:pPr>
        <w:pStyle w:val="P68B1DB1-Normal5"/>
        <w:spacing w:before="120" w:after="120" w:line="240" w:lineRule="auto"/>
        <w:jc w:val="both"/>
        <w:rPr>
          <w:rFonts w:cs="Times New Roman"/>
          <w:noProof/>
        </w:rPr>
      </w:pPr>
      <w:r>
        <w:rPr>
          <w:noProof/>
        </w:rPr>
        <w:t>Obiectivul acestei reforme este de a contribui la depistarea și prevenirea corupției. Reforma constă în proiecte de sprijinire a capacităților digitale și de infrastructură ale Autorității Naționale pentru Transparență.</w:t>
      </w:r>
    </w:p>
    <w:p w14:paraId="7D6F4FE3" w14:textId="77777777" w:rsidR="00C45D59" w:rsidRDefault="009B0962">
      <w:pPr>
        <w:pStyle w:val="P68B1DB1-Normal5"/>
        <w:spacing w:before="120" w:after="120" w:line="240" w:lineRule="auto"/>
        <w:jc w:val="both"/>
        <w:rPr>
          <w:rFonts w:cs="Times New Roman"/>
          <w:noProof/>
        </w:rPr>
      </w:pPr>
      <w:r>
        <w:rPr>
          <w:b/>
          <w:noProof/>
        </w:rPr>
        <w:t>Reformă:</w:t>
      </w:r>
      <w:r>
        <w:rPr>
          <w:noProof/>
        </w:rPr>
        <w:t xml:space="preserve"> Consolidarea rețelei de ajutoare de stat (măsura ID 16701)</w:t>
      </w:r>
    </w:p>
    <w:p w14:paraId="3258A8C2" w14:textId="77777777" w:rsidR="00C45D59" w:rsidRDefault="009B0962">
      <w:pPr>
        <w:pStyle w:val="P68B1DB1-Normal7"/>
        <w:spacing w:before="120" w:after="120" w:line="240" w:lineRule="auto"/>
        <w:jc w:val="both"/>
        <w:rPr>
          <w:noProof/>
        </w:rPr>
      </w:pPr>
      <w:r>
        <w:rPr>
          <w:noProof/>
        </w:rPr>
        <w:t>Obiectivul acestei reforme este de a consolida capacitatea rețelei de unități pentru ajutoare de stat din cadrul ministerelor și de a spori digitalizarea unității centrale pentru ajutoare de stat prin modernizarea capacităților sale tehnologice și a funcționalității sale operaționale. Reforma constă într-o revizuire a cadrului juridic privind ajutoarele de stat pentru funcționarea Rețelei centrale a ajutoarelor de stat (CESANET), în vederea consolidării competențelor Unității centrale pentru ajutoarele de stat și ale Unităților descentralizate pentru ajutoarele de stat.</w:t>
      </w:r>
    </w:p>
    <w:p w14:paraId="0E4EE688" w14:textId="2020DEC4" w:rsidR="00C45D59" w:rsidRDefault="009B0962">
      <w:pPr>
        <w:pStyle w:val="P68B1DB1-Normal5"/>
        <w:spacing w:before="120" w:after="120" w:line="240" w:lineRule="auto"/>
        <w:jc w:val="both"/>
        <w:rPr>
          <w:rFonts w:cs="Times New Roman"/>
          <w:noProof/>
        </w:rPr>
      </w:pPr>
      <w:r>
        <w:rPr>
          <w:noProof/>
        </w:rPr>
        <w:br w:type="page"/>
      </w:r>
      <w:r>
        <w:rPr>
          <w:b/>
          <w:noProof/>
        </w:rPr>
        <w:t>Reformă:</w:t>
      </w:r>
      <w:r>
        <w:rPr>
          <w:noProof/>
        </w:rPr>
        <w:t xml:space="preserve"> Consolidarea cadrului CSB/CFT (măsura ID 16702)</w:t>
      </w:r>
    </w:p>
    <w:p w14:paraId="03EEB0E6" w14:textId="77777777" w:rsidR="00C45D59" w:rsidRDefault="009B0962">
      <w:pPr>
        <w:pStyle w:val="P68B1DB1-Normal7"/>
        <w:spacing w:before="120" w:after="120" w:line="240" w:lineRule="auto"/>
        <w:jc w:val="both"/>
        <w:rPr>
          <w:rFonts w:cs="Times New Roman"/>
          <w:noProof/>
        </w:rPr>
      </w:pPr>
      <w:r>
        <w:rPr>
          <w:noProof/>
        </w:rPr>
        <w:t>Reforma se referă la crearea unei platforme digitale pentru colectarea datelor statistice deținute de autoritățile judiciare, de supraveghere și de aplicare a legii, precum și la îmbunătățirea registrului central al beneficiarilor reali pentru a facilita accesul direct al autorităților competente la informațiile privind beneficiarii reali. Punerea în aplicare a reformei se finalizează până la 30 iunie 2024.</w:t>
      </w:r>
    </w:p>
    <w:p w14:paraId="77051196" w14:textId="77777777" w:rsidR="00C45D59" w:rsidRDefault="009B0962">
      <w:pPr>
        <w:pStyle w:val="P68B1DB1-Normal5"/>
        <w:spacing w:before="120" w:after="120" w:line="240" w:lineRule="auto"/>
        <w:jc w:val="both"/>
        <w:rPr>
          <w:rFonts w:cs="Times New Roman"/>
          <w:noProof/>
        </w:rPr>
      </w:pPr>
      <w:r>
        <w:rPr>
          <w:b/>
          <w:noProof/>
        </w:rPr>
        <w:t>Reformă:</w:t>
      </w:r>
      <w:r>
        <w:rPr>
          <w:noProof/>
        </w:rPr>
        <w:t xml:space="preserve"> Reforma contabilă (măsura ID 16974)</w:t>
      </w:r>
    </w:p>
    <w:p w14:paraId="1880A3E0" w14:textId="77777777" w:rsidR="00C45D59" w:rsidRDefault="009B0962">
      <w:pPr>
        <w:pStyle w:val="P68B1DB1-Normal7"/>
        <w:spacing w:before="120" w:after="120" w:line="240" w:lineRule="auto"/>
        <w:jc w:val="both"/>
        <w:rPr>
          <w:rFonts w:cs="Times New Roman"/>
          <w:noProof/>
        </w:rPr>
      </w:pPr>
      <w:r>
        <w:rPr>
          <w:noProof/>
        </w:rPr>
        <w:t>Obiectivul acestei reforme este de a consolida capacitatea Greciei de a elabora rapoarte financiare în conformitate cu standardele internaționale de contabilitate și cu politicile contabilității pe bază de angajamente. Această măsură constă în tranziția treptată de la contabilitatea de casă modificată la contabilitatea de angajamente și raportarea financiară consolidată în cadrul administrației publice.</w:t>
      </w:r>
    </w:p>
    <w:p w14:paraId="1A1B8FEF" w14:textId="77777777" w:rsidR="00C45D59" w:rsidRDefault="009B0962">
      <w:pPr>
        <w:pStyle w:val="P68B1DB1-Normal5"/>
        <w:spacing w:before="120" w:after="120" w:line="240" w:lineRule="auto"/>
        <w:jc w:val="both"/>
        <w:rPr>
          <w:rFonts w:cs="Times New Roman"/>
          <w:noProof/>
        </w:rPr>
      </w:pPr>
      <w:r>
        <w:rPr>
          <w:b/>
          <w:noProof/>
        </w:rPr>
        <w:t>Reformă:</w:t>
      </w:r>
      <w:r>
        <w:rPr>
          <w:noProof/>
        </w:rPr>
        <w:t xml:space="preserve"> Cadrul instituțional modern pentru întreprinderile de stat (măsura ID 16657)</w:t>
      </w:r>
    </w:p>
    <w:p w14:paraId="2E6D8936" w14:textId="77777777" w:rsidR="00C45D59" w:rsidRDefault="009B0962">
      <w:pPr>
        <w:pStyle w:val="P68B1DB1-Normal7"/>
        <w:spacing w:before="120" w:after="120" w:line="240" w:lineRule="auto"/>
        <w:jc w:val="both"/>
        <w:rPr>
          <w:rFonts w:cs="Times New Roman"/>
          <w:noProof/>
        </w:rPr>
      </w:pPr>
      <w:r>
        <w:rPr>
          <w:noProof/>
        </w:rPr>
        <w:t>Această reformă instituie un cadru juridic modern pentru funcționarea și gestionarea întreprinderilor și organizațiilor publice. Acesta definește orientări în materie de guvernanță corporativă și norme specifice pentru gestionarea întreprinderilor de stat, cum ar fi numirea președintelui, a directorilor generali și a directorilor executivi de către consiliul de administrație, precum și dispoziții privind instituirea unor comitete de audit intern pentru a asigura transparența. Reforma instituie, de asemenea, un registru digital pentru a înregistra toate întreprinderile, organizațiile și orice alte entități juridice la care participă statul, promovând monitorizarea și controlul eficace ale participării statului. Punerea în aplicare a reformei se finalizează până la 31 decembrie 2022.</w:t>
      </w:r>
    </w:p>
    <w:p w14:paraId="3B3597BC" w14:textId="77777777" w:rsidR="00C45D59" w:rsidRDefault="009B0962">
      <w:pPr>
        <w:pStyle w:val="P68B1DB1-Normal5"/>
        <w:spacing w:before="120" w:after="120" w:line="240" w:lineRule="auto"/>
        <w:jc w:val="both"/>
        <w:rPr>
          <w:rFonts w:cs="Times New Roman"/>
          <w:noProof/>
        </w:rPr>
      </w:pPr>
      <w:r>
        <w:rPr>
          <w:b/>
          <w:noProof/>
        </w:rPr>
        <w:t>Reformă:</w:t>
      </w:r>
      <w:r>
        <w:rPr>
          <w:noProof/>
        </w:rPr>
        <w:t xml:space="preserve"> Combaterea eficientă a corupției (măsura ID 16978)</w:t>
      </w:r>
    </w:p>
    <w:p w14:paraId="120AED34" w14:textId="77777777" w:rsidR="00C45D59" w:rsidRDefault="009B0962">
      <w:pPr>
        <w:pStyle w:val="P68B1DB1-Normal7"/>
        <w:spacing w:before="120" w:after="120" w:line="240" w:lineRule="auto"/>
        <w:jc w:val="both"/>
        <w:rPr>
          <w:rFonts w:cs="Times New Roman"/>
          <w:noProof/>
        </w:rPr>
      </w:pPr>
      <w:r>
        <w:rPr>
          <w:noProof/>
        </w:rPr>
        <w:t xml:space="preserve">Reforma va aduce o serie de modificări cadrului juridic al Greciei, pentru a îmbunătăți răspunsul juridic la corupție. Mai precis, acesta acoperă patru domenii: (I) declarațiile de avere; (II) protecția persoanelor care raportează încălcări ale dreptului Uniunii; (III) Codul penal și Codul de procedură penală; și (iv) </w:t>
      </w:r>
      <w:r>
        <w:rPr>
          <w:noProof/>
          <w:color w:val="000000" w:themeColor="text1"/>
        </w:rPr>
        <w:t>codificarea legislației privind partidele politice</w:t>
      </w:r>
      <w:r>
        <w:rPr>
          <w:noProof/>
        </w:rPr>
        <w:t>. Punerea în aplicare a reformei se finalizează până la 30 septembrie 2022.</w:t>
      </w:r>
    </w:p>
    <w:p w14:paraId="483A9891" w14:textId="77777777" w:rsidR="00C45D59" w:rsidRDefault="009B0962">
      <w:pPr>
        <w:pStyle w:val="P68B1DB1-Normal5"/>
        <w:spacing w:before="120" w:after="120" w:line="240" w:lineRule="auto"/>
        <w:jc w:val="both"/>
        <w:rPr>
          <w:rFonts w:cs="Times New Roman"/>
          <w:noProof/>
        </w:rPr>
      </w:pPr>
      <w:r>
        <w:rPr>
          <w:b/>
          <w:noProof/>
        </w:rPr>
        <w:t>Investiții:</w:t>
      </w:r>
      <w:r>
        <w:rPr>
          <w:noProof/>
        </w:rPr>
        <w:t xml:space="preserve"> Transformarea gestionării și supravegherii fiscale în guvernanță (măsura ID 16705)</w:t>
      </w:r>
    </w:p>
    <w:p w14:paraId="0AFBC0C1" w14:textId="77777777" w:rsidR="00C45D59" w:rsidRDefault="009B0962">
      <w:pPr>
        <w:pStyle w:val="P68B1DB1-Normal7"/>
        <w:spacing w:before="120" w:after="120" w:line="240" w:lineRule="auto"/>
        <w:jc w:val="both"/>
        <w:rPr>
          <w:rFonts w:cs="Times New Roman"/>
          <w:noProof/>
        </w:rPr>
      </w:pPr>
      <w:r>
        <w:rPr>
          <w:noProof/>
        </w:rPr>
        <w:t>Obiectivul acestei investiții este de a îmbunătăți eficiența gestionării finanțelor publice. Această măsură constă în furnizarea unui sistem guvernamental de planificare a resurselor întreprinderilor (ERP) pentru administrația centrală.</w:t>
      </w:r>
    </w:p>
    <w:p w14:paraId="771E69ED" w14:textId="77777777" w:rsidR="00C45D59" w:rsidRDefault="009B0962">
      <w:pPr>
        <w:pStyle w:val="P68B1DB1-Normal5"/>
        <w:spacing w:before="120" w:after="120" w:line="240" w:lineRule="auto"/>
        <w:jc w:val="both"/>
        <w:rPr>
          <w:b/>
          <w:noProof/>
        </w:rPr>
      </w:pPr>
      <w:r>
        <w:rPr>
          <w:b/>
          <w:noProof/>
        </w:rPr>
        <w:t>Investiții:</w:t>
      </w:r>
      <w:r>
        <w:rPr>
          <w:noProof/>
        </w:rPr>
        <w:t xml:space="preserve"> Modernizarea Fondului elen de depozite și împrumuturi pentru transporturi (măsura ID 16940)</w:t>
      </w:r>
    </w:p>
    <w:p w14:paraId="64D2A3AE" w14:textId="77777777" w:rsidR="00C45D59" w:rsidRDefault="009B0962">
      <w:pPr>
        <w:pStyle w:val="P68B1DB1-Normal5"/>
        <w:spacing w:before="120" w:after="120" w:line="240" w:lineRule="auto"/>
        <w:jc w:val="both"/>
        <w:rPr>
          <w:rFonts w:cs="Times New Roman"/>
          <w:noProof/>
        </w:rPr>
      </w:pPr>
      <w:r>
        <w:rPr>
          <w:noProof/>
        </w:rPr>
        <w:t>Obiectivul acestei investiții este de a spori eficiența Fondului elen de depozitare și creditare a transporturilor. Investiția constă într-un sistem de digitalizare a arhivelor și de gestionare a documentelor și într-un sistem integrat de informații pentru Fondul elen de depozitare și creditare a expedierilor.</w:t>
      </w:r>
    </w:p>
    <w:p w14:paraId="7FDE2A57" w14:textId="77777777" w:rsidR="00C45D59" w:rsidRDefault="009B0962">
      <w:pPr>
        <w:pStyle w:val="P68B1DB1-Normal5"/>
        <w:spacing w:before="120" w:after="120" w:line="240" w:lineRule="auto"/>
        <w:jc w:val="both"/>
        <w:rPr>
          <w:rFonts w:cs="Times New Roman"/>
          <w:noProof/>
        </w:rPr>
      </w:pPr>
      <w:r>
        <w:rPr>
          <w:b/>
          <w:noProof/>
        </w:rPr>
        <w:t>Reformă:</w:t>
      </w:r>
      <w:r>
        <w:rPr>
          <w:noProof/>
        </w:rPr>
        <w:t xml:space="preserve"> Profesionalizarea domeniului achizițiilor publice (măsura ID 16711)</w:t>
      </w:r>
    </w:p>
    <w:p w14:paraId="090B4D89" w14:textId="7C591CA6" w:rsidR="00C45D59" w:rsidRDefault="009B0962">
      <w:pPr>
        <w:pStyle w:val="P68B1DB1-Normal7"/>
        <w:spacing w:before="120" w:after="120" w:line="240" w:lineRule="auto"/>
        <w:jc w:val="both"/>
        <w:rPr>
          <w:rFonts w:cs="Times New Roman"/>
          <w:noProof/>
        </w:rPr>
      </w:pPr>
      <w:r>
        <w:rPr>
          <w:noProof/>
        </w:rPr>
        <w:t xml:space="preserve">Reforma urmărește să îmbunătățească cadrul privind achizițiile publice în Grecia și să remedieze deficiențele actuale ale acestuia. Reforma constă în certificarea la participarea la un program de formare specific intitulat: „Certificarea profesioniștilor din domeniul achizițiilor publice”. </w:t>
      </w:r>
    </w:p>
    <w:p w14:paraId="11AA330D" w14:textId="77777777" w:rsidR="00C45D59" w:rsidRDefault="009B0962">
      <w:pPr>
        <w:pStyle w:val="P68B1DB1-Normal7"/>
        <w:spacing w:before="120" w:after="120" w:line="240" w:lineRule="auto"/>
        <w:jc w:val="both"/>
        <w:rPr>
          <w:rFonts w:cs="Times New Roman"/>
          <w:noProof/>
        </w:rPr>
      </w:pPr>
      <w:r>
        <w:rPr>
          <w:b/>
          <w:noProof/>
        </w:rPr>
        <w:t>Reformă:</w:t>
      </w:r>
      <w:r>
        <w:rPr>
          <w:noProof/>
        </w:rPr>
        <w:t xml:space="preserve"> Consolidarea planificării și coordonării politicilor (măsura ID 16981)</w:t>
      </w:r>
    </w:p>
    <w:p w14:paraId="497528A1" w14:textId="77777777" w:rsidR="00C45D59" w:rsidRDefault="009B0962">
      <w:pPr>
        <w:pStyle w:val="P68B1DB1-Normal7"/>
        <w:spacing w:before="120" w:after="120" w:line="240" w:lineRule="auto"/>
        <w:jc w:val="both"/>
        <w:rPr>
          <w:rFonts w:cs="Times New Roman"/>
          <w:noProof/>
        </w:rPr>
      </w:pPr>
      <w:r>
        <w:rPr>
          <w:noProof/>
        </w:rPr>
        <w:t>Reforma consolidează coordonarea, planificarea și elaborarea politicilor administrației centrale. Acțiunile specifice care trebuie puse în aplicare sunt (i) instituirea unui mecanism de monitorizare pentru a urmări progresele înregistrate în ceea ce privește adoptarea legislației secundare, astfel cum se prevede în legislația primară; (II) crearea unei platforme electronice pentru a facilita finalizarea evaluării impactului care completează fiecare proiect de lege; și (iii) lansarea unui program de formare și a unei proceduri de acreditare asociate care să vizeze funcționarii publici, cu scopul de a îmbunătăți calitatea evaluărilor de impact pregătite. Programul de formare trebuie să fi înscris cel puțin 100 funcționari publici pentru lansarea sa, care va avea loc în T4 2022. Punerea în aplicare a reformei se finalizează până la 30 iunie 2023.</w:t>
      </w:r>
    </w:p>
    <w:p w14:paraId="2EA47717" w14:textId="77777777" w:rsidR="00C45D59" w:rsidRDefault="009B0962">
      <w:pPr>
        <w:pStyle w:val="P68B1DB1-Normal7"/>
        <w:spacing w:before="120" w:after="120" w:line="240" w:lineRule="auto"/>
        <w:jc w:val="both"/>
        <w:rPr>
          <w:rFonts w:cs="Times New Roman"/>
          <w:noProof/>
        </w:rPr>
      </w:pPr>
      <w:r>
        <w:rPr>
          <w:b/>
          <w:noProof/>
        </w:rPr>
        <w:t>Reformă:</w:t>
      </w:r>
      <w:r>
        <w:rPr>
          <w:noProof/>
        </w:rPr>
        <w:t xml:space="preserve"> Finalizarea cadastrului național (numărul de identificare al măsurii: 16986)</w:t>
      </w:r>
    </w:p>
    <w:p w14:paraId="76797595" w14:textId="2834E600" w:rsidR="00C45D59" w:rsidRDefault="009B0962">
      <w:pPr>
        <w:pStyle w:val="P68B1DB1-Normal8"/>
        <w:spacing w:before="120" w:after="120" w:line="240" w:lineRule="auto"/>
        <w:jc w:val="both"/>
        <w:rPr>
          <w:rFonts w:ascii="Times New Roman" w:hAnsi="Times New Roman" w:cs="Times New Roman"/>
          <w:i/>
          <w:iCs/>
          <w:noProof/>
          <w:color w:val="4F81BD"/>
        </w:rPr>
      </w:pPr>
      <w:r>
        <w:rPr>
          <w:rFonts w:ascii="Times New Roman" w:hAnsi="Times New Roman"/>
          <w:noProof/>
        </w:rPr>
        <w:t xml:space="preserve">Obiectivul reformei este de a finaliza a) </w:t>
      </w:r>
      <w:r>
        <w:rPr>
          <w:rFonts w:asciiTheme="minorHAnsi" w:eastAsiaTheme="minorEastAsia" w:hAnsiTheme="minorHAnsi" w:cstheme="minorBidi"/>
          <w:noProof/>
        </w:rPr>
        <w:t>c</w:t>
      </w:r>
      <w:r>
        <w:rPr>
          <w:rFonts w:ascii="Times New Roman" w:hAnsi="Times New Roman"/>
          <w:noProof/>
        </w:rPr>
        <w:t xml:space="preserve">) cartografierea </w:t>
      </w:r>
      <w:r w:rsidR="00CD2DBD">
        <w:rPr>
          <w:rFonts w:ascii="Times New Roman" w:hAnsi="Times New Roman"/>
          <w:noProof/>
        </w:rPr>
        <w:t>c</w:t>
      </w:r>
      <w:r>
        <w:rPr>
          <w:rFonts w:ascii="Times New Roman" w:hAnsi="Times New Roman"/>
          <w:noProof/>
        </w:rPr>
        <w:t>adastrală în Grecia și b) tranziția completă de la vechiul sistem de înregistrare a proprietăților prin intermediul vechii structuri de birouri ipotecare la noua agenție „Cadastrul elen”. Aceasta constă în cartografierea tuturor drepturilor de proprietate din Grecia și în deschiderea și începerea funcționării tuturor celor 17 de birouri cadastrale regionale și a celor 75 de sucursale din Grecia, în conformitate cu Legea nr. 4512/2018, precum și în închiderea tuturor celor 388 de birouri ipotecare vechi.</w:t>
      </w:r>
    </w:p>
    <w:p w14:paraId="2CA0D93B" w14:textId="77777777" w:rsidR="00C45D59" w:rsidRDefault="00C45D59">
      <w:pPr>
        <w:spacing w:before="120" w:after="120" w:line="240" w:lineRule="auto"/>
        <w:ind w:left="709"/>
        <w:jc w:val="both"/>
        <w:rPr>
          <w:rFonts w:ascii="Times New Roman" w:hAnsi="Times New Roman" w:cs="Times New Roman"/>
          <w:noProof/>
          <w:sz w:val="24"/>
        </w:rPr>
      </w:pPr>
    </w:p>
    <w:p w14:paraId="31BA68E7" w14:textId="77777777" w:rsidR="00C45D59" w:rsidRDefault="00C45D59">
      <w:pPr>
        <w:spacing w:before="120" w:after="120" w:line="240" w:lineRule="auto"/>
        <w:ind w:left="709"/>
        <w:jc w:val="both"/>
        <w:rPr>
          <w:rFonts w:ascii="Times New Roman" w:hAnsi="Times New Roman" w:cs="Times New Roman"/>
          <w:noProof/>
          <w:sz w:val="24"/>
        </w:rPr>
        <w:sectPr w:rsidR="00C45D59">
          <w:headerReference w:type="even" r:id="rId270"/>
          <w:headerReference w:type="default" r:id="rId271"/>
          <w:footerReference w:type="even" r:id="rId272"/>
          <w:footerReference w:type="default" r:id="rId273"/>
          <w:headerReference w:type="first" r:id="rId274"/>
          <w:footerReference w:type="first" r:id="rId275"/>
          <w:pgSz w:w="11906" w:h="16838"/>
          <w:pgMar w:top="1134" w:right="1134" w:bottom="1134" w:left="1134" w:header="567" w:footer="567" w:gutter="0"/>
          <w:cols w:space="708"/>
          <w:docGrid w:linePitch="360"/>
        </w:sectPr>
      </w:pPr>
    </w:p>
    <w:p w14:paraId="57572FCC" w14:textId="77777777" w:rsidR="00C45D59" w:rsidRDefault="009B0962">
      <w:pPr>
        <w:pStyle w:val="P68B1DB1-Normal6"/>
        <w:spacing w:before="120" w:after="120" w:line="240" w:lineRule="auto"/>
        <w:ind w:left="709"/>
        <w:jc w:val="both"/>
        <w:rPr>
          <w:rFonts w:cs="Times New Roman"/>
          <w:bCs/>
          <w:noProof/>
        </w:rPr>
      </w:pPr>
      <w:r>
        <w:rPr>
          <w:noProof/>
        </w:rPr>
        <w:t>M.2. Jaloane, ținte, indicatori și calendarul de monitorizare și implementare aplicabile sprijinului financiar nerambursabil</w:t>
      </w:r>
    </w:p>
    <w:p w14:paraId="46D182B2" w14:textId="77777777" w:rsidR="00C45D59" w:rsidRDefault="009B0962">
      <w:pPr>
        <w:pStyle w:val="P68B1DB1-Normal9"/>
        <w:keepNext/>
        <w:keepLines/>
        <w:spacing w:before="40" w:after="0" w:line="240" w:lineRule="auto"/>
        <w:jc w:val="both"/>
        <w:outlineLvl w:val="4"/>
        <w:rPr>
          <w:noProof/>
        </w:rPr>
      </w:pPr>
      <w:r>
        <w:rPr>
          <w:noProof/>
        </w:rPr>
        <w:t xml:space="preserve">Reforma cheie 9: Reforma administrației publice </w:t>
      </w:r>
    </w:p>
    <w:tbl>
      <w:tblPr>
        <w:tblW w:w="15897" w:type="dxa"/>
        <w:jc w:val="center"/>
        <w:tblLook w:val="04A0" w:firstRow="1" w:lastRow="0" w:firstColumn="1" w:lastColumn="0" w:noHBand="0" w:noVBand="1"/>
      </w:tblPr>
      <w:tblGrid>
        <w:gridCol w:w="542"/>
        <w:gridCol w:w="2038"/>
        <w:gridCol w:w="1376"/>
        <w:gridCol w:w="1482"/>
        <w:gridCol w:w="1520"/>
        <w:gridCol w:w="1054"/>
        <w:gridCol w:w="896"/>
        <w:gridCol w:w="866"/>
        <w:gridCol w:w="1006"/>
        <w:gridCol w:w="827"/>
        <w:gridCol w:w="4819"/>
      </w:tblGrid>
      <w:tr w:rsidR="00C45D59" w14:paraId="6780291F" w14:textId="77777777">
        <w:trPr>
          <w:trHeight w:val="648"/>
          <w:tblHeader/>
          <w:jc w:val="center"/>
        </w:trPr>
        <w:tc>
          <w:tcPr>
            <w:tcW w:w="54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E8FBB7B" w14:textId="0BE4FF90" w:rsidR="00C45D59" w:rsidRDefault="00892E7E">
            <w:pPr>
              <w:pStyle w:val="P68B1DB1-Normal15"/>
              <w:spacing w:after="0" w:line="240" w:lineRule="auto"/>
              <w:jc w:val="center"/>
              <w:rPr>
                <w:rFonts w:eastAsia="Times New Roman"/>
                <w:bCs/>
                <w:noProof/>
              </w:rPr>
            </w:pPr>
            <w:r>
              <w:rPr>
                <w:noProof/>
              </w:rPr>
              <w:t>Nr. crt.</w:t>
            </w:r>
          </w:p>
        </w:tc>
        <w:tc>
          <w:tcPr>
            <w:tcW w:w="203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B184F34" w14:textId="77777777" w:rsidR="00C45D59" w:rsidRDefault="009B0962">
            <w:pPr>
              <w:pStyle w:val="P68B1DB1-Normal10"/>
              <w:spacing w:after="0" w:line="240" w:lineRule="auto"/>
              <w:jc w:val="center"/>
              <w:rPr>
                <w:rFonts w:eastAsia="Times New Roman" w:cs="Times New Roman"/>
                <w:bCs/>
                <w:noProof/>
                <w:szCs w:val="18"/>
              </w:rPr>
            </w:pPr>
            <w:r>
              <w:rPr>
                <w:noProof/>
              </w:rPr>
              <w:t>Măsură conexă (reformă sau investiții)</w:t>
            </w:r>
          </w:p>
        </w:tc>
        <w:tc>
          <w:tcPr>
            <w:tcW w:w="110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EA33890" w14:textId="77777777" w:rsidR="00C45D59" w:rsidRDefault="009B0962">
            <w:pPr>
              <w:pStyle w:val="P68B1DB1-Normal10"/>
              <w:spacing w:after="0" w:line="240" w:lineRule="auto"/>
              <w:jc w:val="center"/>
              <w:rPr>
                <w:rFonts w:eastAsia="Times New Roman" w:cs="Times New Roman"/>
                <w:bCs/>
                <w:noProof/>
                <w:szCs w:val="18"/>
              </w:rPr>
            </w:pPr>
            <w:r>
              <w:rPr>
                <w:noProof/>
              </w:rPr>
              <w:t>Etapă/Obiectiv</w:t>
            </w:r>
          </w:p>
        </w:tc>
        <w:tc>
          <w:tcPr>
            <w:tcW w:w="148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6BDA868" w14:textId="339FEB6C" w:rsidR="00C45D59" w:rsidRDefault="00892E7E">
            <w:pPr>
              <w:pStyle w:val="P68B1DB1-Normal10"/>
              <w:spacing w:after="0" w:line="240" w:lineRule="auto"/>
              <w:jc w:val="center"/>
              <w:rPr>
                <w:rFonts w:eastAsia="Times New Roman" w:cs="Times New Roman"/>
                <w:bCs/>
                <w:noProof/>
                <w:szCs w:val="18"/>
              </w:rPr>
            </w:pPr>
            <w:r>
              <w:rPr>
                <w:noProof/>
              </w:rPr>
              <w:t>Denumire</w:t>
            </w:r>
          </w:p>
        </w:tc>
        <w:tc>
          <w:tcPr>
            <w:tcW w:w="152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4F26B2E" w14:textId="77777777" w:rsidR="00C45D59" w:rsidRDefault="009B0962">
            <w:pPr>
              <w:pStyle w:val="P68B1DB1-Normal10"/>
              <w:spacing w:after="0" w:line="240" w:lineRule="auto"/>
              <w:jc w:val="center"/>
              <w:rPr>
                <w:rFonts w:eastAsia="Times New Roman" w:cs="Times New Roman"/>
                <w:bCs/>
                <w:noProof/>
                <w:szCs w:val="18"/>
              </w:rPr>
            </w:pPr>
            <w:r>
              <w:rPr>
                <w:noProof/>
              </w:rPr>
              <w:t>Indicatori calitativi (pentru obiectivele de etapă)</w:t>
            </w:r>
          </w:p>
        </w:tc>
        <w:tc>
          <w:tcPr>
            <w:tcW w:w="2716"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7306B5E6" w14:textId="77777777" w:rsidR="00C45D59" w:rsidRDefault="009B0962">
            <w:pPr>
              <w:pStyle w:val="P68B1DB1-Normal10"/>
              <w:spacing w:after="0" w:line="240" w:lineRule="auto"/>
              <w:jc w:val="center"/>
              <w:rPr>
                <w:rFonts w:eastAsia="Times New Roman" w:cs="Times New Roman"/>
                <w:bCs/>
                <w:noProof/>
                <w:szCs w:val="18"/>
              </w:rPr>
            </w:pPr>
            <w:r>
              <w:rPr>
                <w:noProof/>
              </w:rPr>
              <w:t>Indicatori cantitativi (pentru ținte)</w:t>
            </w:r>
          </w:p>
        </w:tc>
        <w:tc>
          <w:tcPr>
            <w:tcW w:w="1673"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637D31DD" w14:textId="77777777" w:rsidR="00C45D59" w:rsidRDefault="009B0962">
            <w:pPr>
              <w:pStyle w:val="P68B1DB1-Normal10"/>
              <w:spacing w:after="0" w:line="240" w:lineRule="auto"/>
              <w:jc w:val="center"/>
              <w:rPr>
                <w:rFonts w:eastAsia="Times New Roman" w:cs="Times New Roman"/>
                <w:bCs/>
                <w:noProof/>
                <w:szCs w:val="18"/>
              </w:rPr>
            </w:pPr>
            <w:r>
              <w:rPr>
                <w:noProof/>
              </w:rPr>
              <w:t xml:space="preserve">Calendar orientativ pentru finalizare </w:t>
            </w:r>
          </w:p>
        </w:tc>
        <w:tc>
          <w:tcPr>
            <w:tcW w:w="481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4EEC81F" w14:textId="77777777" w:rsidR="00C45D59" w:rsidRDefault="009B0962">
            <w:pPr>
              <w:pStyle w:val="P68B1DB1-Normal10"/>
              <w:spacing w:after="0" w:line="240" w:lineRule="auto"/>
              <w:jc w:val="center"/>
              <w:rPr>
                <w:rFonts w:eastAsia="Times New Roman" w:cs="Times New Roman"/>
                <w:bCs/>
                <w:noProof/>
                <w:szCs w:val="18"/>
              </w:rPr>
            </w:pPr>
            <w:r>
              <w:rPr>
                <w:noProof/>
              </w:rPr>
              <w:t>Descrierea fiecărui jalon și a fiecărei ținte</w:t>
            </w:r>
          </w:p>
        </w:tc>
      </w:tr>
      <w:tr w:rsidR="00C45D59" w14:paraId="62A83692" w14:textId="77777777">
        <w:trPr>
          <w:trHeight w:val="562"/>
          <w:tblHeader/>
          <w:jc w:val="center"/>
        </w:trPr>
        <w:tc>
          <w:tcPr>
            <w:tcW w:w="542" w:type="dxa"/>
            <w:vMerge/>
            <w:tcBorders>
              <w:top w:val="single" w:sz="4" w:space="0" w:color="auto"/>
              <w:left w:val="single" w:sz="4" w:space="0" w:color="auto"/>
              <w:bottom w:val="single" w:sz="4" w:space="0" w:color="auto"/>
              <w:right w:val="single" w:sz="4" w:space="0" w:color="auto"/>
            </w:tcBorders>
            <w:vAlign w:val="center"/>
            <w:hideMark/>
          </w:tcPr>
          <w:p w14:paraId="3AB67EA0" w14:textId="77777777" w:rsidR="00C45D59" w:rsidRDefault="00C45D59">
            <w:pPr>
              <w:spacing w:after="0" w:line="240" w:lineRule="auto"/>
              <w:rPr>
                <w:rFonts w:ascii="Times New Roman" w:eastAsia="Times New Roman" w:hAnsi="Times New Roman" w:cs="Times New Roman"/>
                <w:b/>
                <w:bCs/>
                <w:noProof/>
                <w:sz w:val="18"/>
                <w:szCs w:val="18"/>
              </w:rPr>
            </w:pPr>
          </w:p>
        </w:tc>
        <w:tc>
          <w:tcPr>
            <w:tcW w:w="2038" w:type="dxa"/>
            <w:vMerge/>
            <w:tcBorders>
              <w:top w:val="single" w:sz="4" w:space="0" w:color="auto"/>
              <w:left w:val="single" w:sz="4" w:space="0" w:color="auto"/>
              <w:bottom w:val="single" w:sz="4" w:space="0" w:color="auto"/>
              <w:right w:val="single" w:sz="4" w:space="0" w:color="auto"/>
            </w:tcBorders>
            <w:vAlign w:val="center"/>
            <w:hideMark/>
          </w:tcPr>
          <w:p w14:paraId="06249D57" w14:textId="77777777" w:rsidR="00C45D59" w:rsidRDefault="00C45D59">
            <w:pPr>
              <w:spacing w:after="0" w:line="240" w:lineRule="auto"/>
              <w:rPr>
                <w:rFonts w:ascii="Times New Roman" w:eastAsia="Times New Roman" w:hAnsi="Times New Roman" w:cs="Times New Roman"/>
                <w:b/>
                <w:bCs/>
                <w:noProof/>
                <w:sz w:val="18"/>
                <w:szCs w:val="18"/>
              </w:rPr>
            </w:pPr>
          </w:p>
        </w:tc>
        <w:tc>
          <w:tcPr>
            <w:tcW w:w="1107" w:type="dxa"/>
            <w:vMerge/>
            <w:tcBorders>
              <w:top w:val="single" w:sz="4" w:space="0" w:color="auto"/>
              <w:left w:val="single" w:sz="4" w:space="0" w:color="auto"/>
              <w:bottom w:val="single" w:sz="4" w:space="0" w:color="auto"/>
              <w:right w:val="single" w:sz="4" w:space="0" w:color="auto"/>
            </w:tcBorders>
            <w:vAlign w:val="center"/>
            <w:hideMark/>
          </w:tcPr>
          <w:p w14:paraId="45B4C495" w14:textId="77777777" w:rsidR="00C45D59" w:rsidRDefault="00C45D59">
            <w:pPr>
              <w:spacing w:after="0" w:line="240" w:lineRule="auto"/>
              <w:rPr>
                <w:rFonts w:ascii="Times New Roman" w:eastAsia="Times New Roman" w:hAnsi="Times New Roman" w:cs="Times New Roman"/>
                <w:b/>
                <w:bCs/>
                <w:noProof/>
                <w:sz w:val="18"/>
                <w:szCs w:val="18"/>
              </w:rPr>
            </w:pPr>
          </w:p>
        </w:tc>
        <w:tc>
          <w:tcPr>
            <w:tcW w:w="1482" w:type="dxa"/>
            <w:vMerge/>
            <w:tcBorders>
              <w:top w:val="single" w:sz="4" w:space="0" w:color="auto"/>
              <w:left w:val="single" w:sz="4" w:space="0" w:color="auto"/>
              <w:bottom w:val="single" w:sz="4" w:space="0" w:color="auto"/>
              <w:right w:val="single" w:sz="4" w:space="0" w:color="auto"/>
            </w:tcBorders>
            <w:vAlign w:val="center"/>
            <w:hideMark/>
          </w:tcPr>
          <w:p w14:paraId="42E667E3" w14:textId="77777777" w:rsidR="00C45D59" w:rsidRDefault="00C45D59">
            <w:pPr>
              <w:spacing w:after="0" w:line="240" w:lineRule="auto"/>
              <w:rPr>
                <w:rFonts w:ascii="Times New Roman" w:eastAsia="Times New Roman" w:hAnsi="Times New Roman" w:cs="Times New Roman"/>
                <w:b/>
                <w:bCs/>
                <w:noProof/>
                <w:sz w:val="18"/>
                <w:szCs w:val="18"/>
              </w:rPr>
            </w:pPr>
          </w:p>
        </w:tc>
        <w:tc>
          <w:tcPr>
            <w:tcW w:w="1520" w:type="dxa"/>
            <w:vMerge/>
            <w:tcBorders>
              <w:top w:val="single" w:sz="4" w:space="0" w:color="auto"/>
              <w:left w:val="single" w:sz="4" w:space="0" w:color="auto"/>
              <w:bottom w:val="single" w:sz="4" w:space="0" w:color="auto"/>
              <w:right w:val="single" w:sz="4" w:space="0" w:color="auto"/>
            </w:tcBorders>
            <w:vAlign w:val="center"/>
            <w:hideMark/>
          </w:tcPr>
          <w:p w14:paraId="1C2C4E8D" w14:textId="77777777" w:rsidR="00C45D59" w:rsidRDefault="00C45D59">
            <w:pPr>
              <w:spacing w:after="0" w:line="240" w:lineRule="auto"/>
              <w:rPr>
                <w:rFonts w:ascii="Times New Roman" w:eastAsia="Times New Roman" w:hAnsi="Times New Roman" w:cs="Times New Roman"/>
                <w:b/>
                <w:bCs/>
                <w:noProof/>
                <w:sz w:val="18"/>
                <w:szCs w:val="18"/>
              </w:rPr>
            </w:pPr>
          </w:p>
        </w:tc>
        <w:tc>
          <w:tcPr>
            <w:tcW w:w="1054"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6ACE3DF4" w14:textId="77777777" w:rsidR="00C45D59" w:rsidRDefault="009B0962">
            <w:pPr>
              <w:pStyle w:val="P68B1DB1-Normal10"/>
              <w:spacing w:after="0" w:line="240" w:lineRule="auto"/>
              <w:jc w:val="center"/>
              <w:rPr>
                <w:rFonts w:eastAsia="Times New Roman" w:cs="Times New Roman"/>
                <w:bCs/>
                <w:noProof/>
                <w:szCs w:val="18"/>
              </w:rPr>
            </w:pPr>
            <w:r>
              <w:rPr>
                <w:noProof/>
              </w:rPr>
              <w:t>Unitatea de măsură</w:t>
            </w:r>
          </w:p>
        </w:tc>
        <w:tc>
          <w:tcPr>
            <w:tcW w:w="857"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052BA577" w14:textId="77777777" w:rsidR="00C45D59" w:rsidRDefault="009B0962">
            <w:pPr>
              <w:pStyle w:val="P68B1DB1-Normal10"/>
              <w:spacing w:after="0" w:line="240" w:lineRule="auto"/>
              <w:jc w:val="center"/>
              <w:rPr>
                <w:rFonts w:eastAsia="Times New Roman" w:cs="Times New Roman"/>
                <w:bCs/>
                <w:noProof/>
                <w:szCs w:val="18"/>
              </w:rPr>
            </w:pPr>
            <w:r>
              <w:rPr>
                <w:noProof/>
              </w:rPr>
              <w:t xml:space="preserve">Situația de referință </w:t>
            </w:r>
          </w:p>
        </w:tc>
        <w:tc>
          <w:tcPr>
            <w:tcW w:w="805"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76778864" w14:textId="77777777" w:rsidR="00C45D59" w:rsidRDefault="009B0962">
            <w:pPr>
              <w:pStyle w:val="P68B1DB1-Normal10"/>
              <w:spacing w:after="0" w:line="240" w:lineRule="auto"/>
              <w:jc w:val="center"/>
              <w:rPr>
                <w:rFonts w:eastAsia="Times New Roman" w:cs="Times New Roman"/>
                <w:bCs/>
                <w:noProof/>
                <w:szCs w:val="18"/>
              </w:rPr>
            </w:pPr>
            <w:r>
              <w:rPr>
                <w:noProof/>
              </w:rPr>
              <w:t xml:space="preserve">Obiectiv </w:t>
            </w:r>
          </w:p>
        </w:tc>
        <w:tc>
          <w:tcPr>
            <w:tcW w:w="846"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62B84D13" w14:textId="77777777" w:rsidR="00C45D59" w:rsidRDefault="009B0962">
            <w:pPr>
              <w:pStyle w:val="P68B1DB1-Normal10"/>
              <w:spacing w:after="0" w:line="240" w:lineRule="auto"/>
              <w:jc w:val="center"/>
              <w:rPr>
                <w:rFonts w:eastAsia="Times New Roman" w:cs="Times New Roman"/>
                <w:bCs/>
                <w:noProof/>
                <w:szCs w:val="18"/>
              </w:rPr>
            </w:pPr>
            <w:r>
              <w:rPr>
                <w:noProof/>
              </w:rPr>
              <w:t>Trimestru</w:t>
            </w:r>
          </w:p>
        </w:tc>
        <w:tc>
          <w:tcPr>
            <w:tcW w:w="827"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5371CFB5" w14:textId="77777777" w:rsidR="00C45D59" w:rsidRDefault="009B0962">
            <w:pPr>
              <w:pStyle w:val="P68B1DB1-Normal10"/>
              <w:spacing w:after="0" w:line="240" w:lineRule="auto"/>
              <w:jc w:val="center"/>
              <w:rPr>
                <w:rFonts w:eastAsia="Times New Roman" w:cs="Times New Roman"/>
                <w:bCs/>
                <w:noProof/>
                <w:szCs w:val="18"/>
              </w:rPr>
            </w:pPr>
            <w:r>
              <w:rPr>
                <w:noProof/>
              </w:rPr>
              <w:t>Anul</w:t>
            </w:r>
          </w:p>
        </w:tc>
        <w:tc>
          <w:tcPr>
            <w:tcW w:w="4819" w:type="dxa"/>
            <w:vMerge/>
            <w:tcBorders>
              <w:top w:val="single" w:sz="4" w:space="0" w:color="auto"/>
              <w:left w:val="single" w:sz="4" w:space="0" w:color="auto"/>
              <w:bottom w:val="single" w:sz="4" w:space="0" w:color="auto"/>
              <w:right w:val="single" w:sz="4" w:space="0" w:color="auto"/>
            </w:tcBorders>
            <w:vAlign w:val="center"/>
            <w:hideMark/>
          </w:tcPr>
          <w:p w14:paraId="503A2B9E" w14:textId="77777777" w:rsidR="00C45D59" w:rsidRDefault="00C45D59">
            <w:pPr>
              <w:spacing w:after="0" w:line="240" w:lineRule="auto"/>
              <w:rPr>
                <w:rFonts w:ascii="Times New Roman" w:eastAsia="Times New Roman" w:hAnsi="Times New Roman" w:cs="Times New Roman"/>
                <w:b/>
                <w:bCs/>
                <w:noProof/>
                <w:sz w:val="18"/>
                <w:szCs w:val="18"/>
              </w:rPr>
            </w:pPr>
          </w:p>
        </w:tc>
      </w:tr>
      <w:tr w:rsidR="00C45D59" w14:paraId="5EA67A04" w14:textId="77777777">
        <w:trPr>
          <w:trHeight w:val="313"/>
          <w:jc w:val="center"/>
        </w:trPr>
        <w:tc>
          <w:tcPr>
            <w:tcW w:w="542" w:type="dxa"/>
            <w:tcBorders>
              <w:top w:val="single" w:sz="4" w:space="0" w:color="auto"/>
              <w:left w:val="single" w:sz="4" w:space="0" w:color="auto"/>
              <w:bottom w:val="single" w:sz="4" w:space="0" w:color="auto"/>
              <w:right w:val="single" w:sz="4" w:space="0" w:color="auto"/>
            </w:tcBorders>
            <w:shd w:val="clear" w:color="auto" w:fill="C6EFCE"/>
            <w:noWrap/>
          </w:tcPr>
          <w:p w14:paraId="6A4267A3" w14:textId="77777777" w:rsidR="00C45D59" w:rsidRDefault="009B0962">
            <w:pPr>
              <w:pStyle w:val="P68B1DB1-Normal12"/>
              <w:spacing w:after="0" w:line="240" w:lineRule="auto"/>
              <w:rPr>
                <w:rFonts w:eastAsia="Times New Roman"/>
                <w:noProof/>
              </w:rPr>
            </w:pPr>
            <w:r>
              <w:rPr>
                <w:noProof/>
              </w:rPr>
              <w:t>205</w:t>
            </w:r>
          </w:p>
        </w:tc>
        <w:tc>
          <w:tcPr>
            <w:tcW w:w="2038" w:type="dxa"/>
            <w:tcBorders>
              <w:top w:val="single" w:sz="4" w:space="0" w:color="auto"/>
              <w:left w:val="nil"/>
              <w:bottom w:val="single" w:sz="4" w:space="0" w:color="auto"/>
              <w:right w:val="single" w:sz="4" w:space="0" w:color="auto"/>
            </w:tcBorders>
            <w:shd w:val="clear" w:color="auto" w:fill="C6EFCE"/>
            <w:noWrap/>
          </w:tcPr>
          <w:p w14:paraId="108EC7F0" w14:textId="77777777" w:rsidR="00C45D59" w:rsidRDefault="009B0962">
            <w:pPr>
              <w:pStyle w:val="P68B1DB1-Normal12"/>
              <w:spacing w:after="0" w:line="240" w:lineRule="auto"/>
              <w:rPr>
                <w:rFonts w:eastAsia="Times New Roman"/>
                <w:noProof/>
              </w:rPr>
            </w:pPr>
            <w:r>
              <w:rPr>
                <w:noProof/>
              </w:rPr>
              <w:t>13-4.2. Modernizarea administrației publice, inclusiv prin accelerarea punerii în aplicare a investițiilor publice, îmbunătățirea cadrului privind achizițiile publice, măsuri de consolidare a capacităților și combaterea corupției – 16972_Reformarea administrației publice</w:t>
            </w:r>
          </w:p>
        </w:tc>
        <w:tc>
          <w:tcPr>
            <w:tcW w:w="1107" w:type="dxa"/>
            <w:tcBorders>
              <w:top w:val="single" w:sz="4" w:space="0" w:color="auto"/>
              <w:left w:val="nil"/>
              <w:bottom w:val="single" w:sz="4" w:space="0" w:color="auto"/>
              <w:right w:val="single" w:sz="4" w:space="0" w:color="auto"/>
            </w:tcBorders>
            <w:shd w:val="clear" w:color="auto" w:fill="C6EFCE"/>
            <w:noWrap/>
          </w:tcPr>
          <w:p w14:paraId="5098EEFE" w14:textId="77777777" w:rsidR="00C45D59" w:rsidRDefault="009B0962">
            <w:pPr>
              <w:pStyle w:val="P68B1DB1-Normal12"/>
              <w:spacing w:after="0" w:line="240" w:lineRule="auto"/>
              <w:rPr>
                <w:rFonts w:eastAsia="Times New Roman"/>
                <w:noProof/>
              </w:rPr>
            </w:pPr>
            <w:r>
              <w:rPr>
                <w:noProof/>
              </w:rPr>
              <w:t>Etapă</w:t>
            </w:r>
          </w:p>
        </w:tc>
        <w:tc>
          <w:tcPr>
            <w:tcW w:w="1482" w:type="dxa"/>
            <w:tcBorders>
              <w:top w:val="single" w:sz="4" w:space="0" w:color="auto"/>
              <w:left w:val="nil"/>
              <w:bottom w:val="single" w:sz="4" w:space="0" w:color="auto"/>
              <w:right w:val="single" w:sz="4" w:space="0" w:color="auto"/>
            </w:tcBorders>
            <w:shd w:val="clear" w:color="auto" w:fill="C6EFCE"/>
            <w:noWrap/>
          </w:tcPr>
          <w:p w14:paraId="161577F1" w14:textId="77777777" w:rsidR="00C45D59" w:rsidRDefault="009B0962">
            <w:pPr>
              <w:pStyle w:val="P68B1DB1-Normal12"/>
              <w:spacing w:after="0" w:line="240" w:lineRule="auto"/>
              <w:rPr>
                <w:rFonts w:eastAsia="Times New Roman"/>
                <w:noProof/>
              </w:rPr>
            </w:pPr>
            <w:r>
              <w:rPr>
                <w:noProof/>
              </w:rPr>
              <w:t>Administrația publică – lansarea sistemului de performance-pay</w:t>
            </w:r>
          </w:p>
          <w:p w14:paraId="50A72115"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520" w:type="dxa"/>
            <w:tcBorders>
              <w:top w:val="single" w:sz="4" w:space="0" w:color="auto"/>
              <w:left w:val="nil"/>
              <w:bottom w:val="single" w:sz="4" w:space="0" w:color="auto"/>
              <w:right w:val="single" w:sz="4" w:space="0" w:color="auto"/>
            </w:tcBorders>
            <w:shd w:val="clear" w:color="auto" w:fill="C6EFCE"/>
            <w:noWrap/>
          </w:tcPr>
          <w:p w14:paraId="36ACF5E0" w14:textId="77777777" w:rsidR="00C45D59" w:rsidRDefault="009B0962">
            <w:pPr>
              <w:pStyle w:val="P68B1DB1-Normal12"/>
              <w:spacing w:after="0" w:line="240" w:lineRule="auto"/>
              <w:rPr>
                <w:rFonts w:eastAsia="Times New Roman"/>
                <w:noProof/>
              </w:rPr>
            </w:pPr>
            <w:r>
              <w:rPr>
                <w:noProof/>
              </w:rPr>
              <w:t xml:space="preserve">Intrarea în vigoare a legislației primare de instituire a unui sistem-pilot de recompensare. </w:t>
            </w:r>
          </w:p>
        </w:tc>
        <w:tc>
          <w:tcPr>
            <w:tcW w:w="1054" w:type="dxa"/>
            <w:tcBorders>
              <w:top w:val="single" w:sz="4" w:space="0" w:color="auto"/>
              <w:left w:val="nil"/>
              <w:bottom w:val="single" w:sz="4" w:space="0" w:color="auto"/>
              <w:right w:val="single" w:sz="4" w:space="0" w:color="auto"/>
            </w:tcBorders>
            <w:shd w:val="clear" w:color="auto" w:fill="C6EFCE"/>
            <w:noWrap/>
          </w:tcPr>
          <w:p w14:paraId="246164A6"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57" w:type="dxa"/>
            <w:tcBorders>
              <w:top w:val="single" w:sz="4" w:space="0" w:color="auto"/>
              <w:left w:val="nil"/>
              <w:bottom w:val="single" w:sz="4" w:space="0" w:color="auto"/>
              <w:right w:val="single" w:sz="4" w:space="0" w:color="auto"/>
            </w:tcBorders>
            <w:shd w:val="clear" w:color="auto" w:fill="C6EFCE"/>
            <w:noWrap/>
          </w:tcPr>
          <w:p w14:paraId="475EF8B7"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05" w:type="dxa"/>
            <w:tcBorders>
              <w:top w:val="single" w:sz="4" w:space="0" w:color="auto"/>
              <w:left w:val="nil"/>
              <w:bottom w:val="single" w:sz="4" w:space="0" w:color="auto"/>
              <w:right w:val="single" w:sz="4" w:space="0" w:color="auto"/>
            </w:tcBorders>
            <w:shd w:val="clear" w:color="auto" w:fill="C6EFCE"/>
            <w:noWrap/>
          </w:tcPr>
          <w:p w14:paraId="2178581A"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46" w:type="dxa"/>
            <w:tcBorders>
              <w:top w:val="single" w:sz="4" w:space="0" w:color="auto"/>
              <w:left w:val="nil"/>
              <w:bottom w:val="single" w:sz="4" w:space="0" w:color="auto"/>
              <w:right w:val="single" w:sz="4" w:space="0" w:color="auto"/>
            </w:tcBorders>
            <w:shd w:val="clear" w:color="auto" w:fill="C6EFCE"/>
            <w:noWrap/>
          </w:tcPr>
          <w:p w14:paraId="20D8AC32" w14:textId="77777777" w:rsidR="00C45D59" w:rsidRDefault="009B0962">
            <w:pPr>
              <w:pStyle w:val="P68B1DB1-Normal12"/>
              <w:spacing w:after="0" w:line="240" w:lineRule="auto"/>
              <w:rPr>
                <w:rFonts w:eastAsia="Times New Roman"/>
                <w:noProof/>
              </w:rPr>
            </w:pPr>
            <w:r>
              <w:rPr>
                <w:noProof/>
              </w:rPr>
              <w:t>Î2</w:t>
            </w:r>
          </w:p>
        </w:tc>
        <w:tc>
          <w:tcPr>
            <w:tcW w:w="827" w:type="dxa"/>
            <w:tcBorders>
              <w:top w:val="single" w:sz="4" w:space="0" w:color="auto"/>
              <w:left w:val="nil"/>
              <w:bottom w:val="single" w:sz="4" w:space="0" w:color="auto"/>
              <w:right w:val="single" w:sz="4" w:space="0" w:color="auto"/>
            </w:tcBorders>
            <w:shd w:val="clear" w:color="auto" w:fill="C6EFCE"/>
            <w:noWrap/>
          </w:tcPr>
          <w:p w14:paraId="3352D055" w14:textId="77777777" w:rsidR="00C45D59" w:rsidRDefault="009B0962">
            <w:pPr>
              <w:pStyle w:val="P68B1DB1-Normal12"/>
              <w:spacing w:after="0" w:line="240" w:lineRule="auto"/>
              <w:rPr>
                <w:rFonts w:eastAsia="Times New Roman"/>
                <w:noProof/>
              </w:rPr>
            </w:pPr>
            <w:r>
              <w:rPr>
                <w:noProof/>
              </w:rPr>
              <w:t>2022</w:t>
            </w:r>
          </w:p>
        </w:tc>
        <w:tc>
          <w:tcPr>
            <w:tcW w:w="4819" w:type="dxa"/>
            <w:tcBorders>
              <w:top w:val="single" w:sz="4" w:space="0" w:color="auto"/>
              <w:left w:val="nil"/>
              <w:bottom w:val="single" w:sz="4" w:space="0" w:color="auto"/>
              <w:right w:val="single" w:sz="4" w:space="0" w:color="auto"/>
            </w:tcBorders>
            <w:shd w:val="clear" w:color="auto" w:fill="C6EFCE"/>
            <w:noWrap/>
          </w:tcPr>
          <w:p w14:paraId="0B0F2260" w14:textId="77777777" w:rsidR="00C45D59" w:rsidRDefault="009B0962">
            <w:pPr>
              <w:pStyle w:val="P68B1DB1-Normal12"/>
              <w:spacing w:after="0" w:line="240" w:lineRule="auto"/>
              <w:rPr>
                <w:rFonts w:eastAsia="Times New Roman"/>
                <w:noProof/>
              </w:rPr>
            </w:pPr>
            <w:r>
              <w:rPr>
                <w:noProof/>
              </w:rPr>
              <w:t>Intrarea în vigoare a legislației primare pentru lansarea unui sistem de plată a performanței pentru un număr stabilit de entități-pilot și până la 6 000 de funcționari publici, care va contribui la reforma mai amplă de introducere a unui sistem de gestionare care să stabilească obiective (a se vedea jalonul T4 2023). Proiectul-pilot vizează funcționarii publici implicați în punerea în aplicare a planului de redresare și reziliență. Principalele caracteristici ale sistemului sunt conforme cu grila salarială unificată (Legea nr. 4354/2015).</w:t>
            </w:r>
          </w:p>
        </w:tc>
      </w:tr>
      <w:tr w:rsidR="00C45D59" w14:paraId="12918B8B" w14:textId="77777777">
        <w:trPr>
          <w:trHeight w:val="313"/>
          <w:jc w:val="center"/>
        </w:trPr>
        <w:tc>
          <w:tcPr>
            <w:tcW w:w="542" w:type="dxa"/>
            <w:tcBorders>
              <w:top w:val="nil"/>
              <w:left w:val="single" w:sz="4" w:space="0" w:color="auto"/>
              <w:bottom w:val="single" w:sz="4" w:space="0" w:color="auto"/>
              <w:right w:val="single" w:sz="4" w:space="0" w:color="auto"/>
            </w:tcBorders>
            <w:shd w:val="clear" w:color="auto" w:fill="C6EFCE"/>
            <w:noWrap/>
          </w:tcPr>
          <w:p w14:paraId="33A3CDAF" w14:textId="77777777" w:rsidR="00C45D59" w:rsidRDefault="009B0962">
            <w:pPr>
              <w:pStyle w:val="P68B1DB1-Normal12"/>
              <w:spacing w:after="0" w:line="240" w:lineRule="auto"/>
              <w:rPr>
                <w:rFonts w:eastAsia="Times New Roman"/>
                <w:noProof/>
              </w:rPr>
            </w:pPr>
            <w:r>
              <w:rPr>
                <w:noProof/>
              </w:rPr>
              <w:t>206</w:t>
            </w:r>
          </w:p>
        </w:tc>
        <w:tc>
          <w:tcPr>
            <w:tcW w:w="2038" w:type="dxa"/>
            <w:tcBorders>
              <w:top w:val="nil"/>
              <w:left w:val="nil"/>
              <w:bottom w:val="single" w:sz="4" w:space="0" w:color="auto"/>
              <w:right w:val="single" w:sz="4" w:space="0" w:color="auto"/>
            </w:tcBorders>
            <w:shd w:val="clear" w:color="auto" w:fill="C6EFCE"/>
            <w:noWrap/>
          </w:tcPr>
          <w:p w14:paraId="2E16916F" w14:textId="77777777" w:rsidR="00C45D59" w:rsidRDefault="009B0962">
            <w:pPr>
              <w:pStyle w:val="P68B1DB1-Normal12"/>
              <w:spacing w:after="0" w:line="240" w:lineRule="auto"/>
              <w:rPr>
                <w:rFonts w:eastAsia="Times New Roman"/>
                <w:noProof/>
              </w:rPr>
            </w:pPr>
            <w:r>
              <w:rPr>
                <w:noProof/>
              </w:rPr>
              <w:t>13-4.2. Modernizarea administrației publice, inclusiv prin accelerarea punerii în aplicare a investițiilor publice, îmbunătățirea cadrului privind achizițiile publice, măsuri de consolidare a capacităților și combaterea corupției – 16972_Reformarea administrației publice</w:t>
            </w:r>
          </w:p>
        </w:tc>
        <w:tc>
          <w:tcPr>
            <w:tcW w:w="1107" w:type="dxa"/>
            <w:tcBorders>
              <w:top w:val="nil"/>
              <w:left w:val="nil"/>
              <w:bottom w:val="single" w:sz="4" w:space="0" w:color="auto"/>
              <w:right w:val="single" w:sz="4" w:space="0" w:color="auto"/>
            </w:tcBorders>
            <w:shd w:val="clear" w:color="auto" w:fill="C6EFCE"/>
            <w:noWrap/>
          </w:tcPr>
          <w:p w14:paraId="32D62784" w14:textId="77777777" w:rsidR="00C45D59" w:rsidRDefault="009B0962">
            <w:pPr>
              <w:pStyle w:val="P68B1DB1-Normal12"/>
              <w:spacing w:after="0" w:line="240" w:lineRule="auto"/>
              <w:rPr>
                <w:rFonts w:eastAsia="Times New Roman"/>
                <w:noProof/>
              </w:rPr>
            </w:pPr>
            <w:r>
              <w:rPr>
                <w:noProof/>
              </w:rPr>
              <w:t>Etapă</w:t>
            </w:r>
          </w:p>
        </w:tc>
        <w:tc>
          <w:tcPr>
            <w:tcW w:w="1482" w:type="dxa"/>
            <w:tcBorders>
              <w:top w:val="nil"/>
              <w:left w:val="nil"/>
              <w:bottom w:val="single" w:sz="4" w:space="0" w:color="auto"/>
              <w:right w:val="single" w:sz="4" w:space="0" w:color="auto"/>
            </w:tcBorders>
            <w:shd w:val="clear" w:color="auto" w:fill="C6EFCE"/>
            <w:noWrap/>
          </w:tcPr>
          <w:p w14:paraId="5CB6C4C6" w14:textId="77777777" w:rsidR="00C45D59" w:rsidRDefault="009B0962">
            <w:pPr>
              <w:pStyle w:val="P68B1DB1-Normal12"/>
              <w:spacing w:after="0" w:line="240" w:lineRule="auto"/>
              <w:rPr>
                <w:rFonts w:eastAsia="Times New Roman"/>
                <w:noProof/>
              </w:rPr>
            </w:pPr>
            <w:r>
              <w:rPr>
                <w:noProof/>
              </w:rPr>
              <w:t>Administrația publică – cadrul legislativ pentru clarificarea mandatelor</w:t>
            </w:r>
          </w:p>
        </w:tc>
        <w:tc>
          <w:tcPr>
            <w:tcW w:w="1520" w:type="dxa"/>
            <w:tcBorders>
              <w:top w:val="nil"/>
              <w:left w:val="nil"/>
              <w:bottom w:val="single" w:sz="4" w:space="0" w:color="auto"/>
              <w:right w:val="single" w:sz="4" w:space="0" w:color="auto"/>
            </w:tcBorders>
            <w:shd w:val="clear" w:color="auto" w:fill="C6EFCE"/>
            <w:noWrap/>
          </w:tcPr>
          <w:p w14:paraId="6AA7C741" w14:textId="77777777" w:rsidR="00C45D59" w:rsidRDefault="009B0962">
            <w:pPr>
              <w:pStyle w:val="P68B1DB1-Normal12"/>
              <w:spacing w:after="0" w:line="240" w:lineRule="auto"/>
              <w:rPr>
                <w:rFonts w:eastAsia="Times New Roman"/>
                <w:noProof/>
              </w:rPr>
            </w:pPr>
            <w:r>
              <w:rPr>
                <w:noProof/>
              </w:rPr>
              <w:t xml:space="preserve">Intrarea în vigoare a dispozițiilor legale de modificare a cadrului legislativ al entităților administrației publice la nivel central, regional și local. </w:t>
            </w:r>
          </w:p>
        </w:tc>
        <w:tc>
          <w:tcPr>
            <w:tcW w:w="1054" w:type="dxa"/>
            <w:tcBorders>
              <w:top w:val="nil"/>
              <w:left w:val="nil"/>
              <w:bottom w:val="single" w:sz="4" w:space="0" w:color="auto"/>
              <w:right w:val="single" w:sz="4" w:space="0" w:color="auto"/>
            </w:tcBorders>
            <w:shd w:val="clear" w:color="auto" w:fill="C6EFCE"/>
            <w:noWrap/>
          </w:tcPr>
          <w:p w14:paraId="4193F4F6"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57" w:type="dxa"/>
            <w:tcBorders>
              <w:top w:val="nil"/>
              <w:left w:val="nil"/>
              <w:bottom w:val="single" w:sz="4" w:space="0" w:color="auto"/>
              <w:right w:val="single" w:sz="4" w:space="0" w:color="auto"/>
            </w:tcBorders>
            <w:shd w:val="clear" w:color="auto" w:fill="C6EFCE"/>
            <w:noWrap/>
          </w:tcPr>
          <w:p w14:paraId="64294DDE"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05" w:type="dxa"/>
            <w:tcBorders>
              <w:top w:val="nil"/>
              <w:left w:val="nil"/>
              <w:bottom w:val="single" w:sz="4" w:space="0" w:color="auto"/>
              <w:right w:val="single" w:sz="4" w:space="0" w:color="auto"/>
            </w:tcBorders>
            <w:shd w:val="clear" w:color="auto" w:fill="C6EFCE"/>
            <w:noWrap/>
          </w:tcPr>
          <w:p w14:paraId="1F9D28F3"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46" w:type="dxa"/>
            <w:tcBorders>
              <w:top w:val="nil"/>
              <w:left w:val="nil"/>
              <w:bottom w:val="single" w:sz="4" w:space="0" w:color="auto"/>
              <w:right w:val="single" w:sz="4" w:space="0" w:color="auto"/>
            </w:tcBorders>
            <w:shd w:val="clear" w:color="auto" w:fill="C6EFCE"/>
            <w:noWrap/>
          </w:tcPr>
          <w:p w14:paraId="6B38A9F2" w14:textId="77777777" w:rsidR="00C45D59" w:rsidRDefault="009B0962">
            <w:pPr>
              <w:pStyle w:val="P68B1DB1-Normal12"/>
              <w:spacing w:after="0" w:line="240" w:lineRule="auto"/>
              <w:rPr>
                <w:rFonts w:eastAsia="Times New Roman"/>
                <w:noProof/>
              </w:rPr>
            </w:pPr>
            <w:r>
              <w:rPr>
                <w:noProof/>
              </w:rPr>
              <w:t>Î3</w:t>
            </w:r>
          </w:p>
        </w:tc>
        <w:tc>
          <w:tcPr>
            <w:tcW w:w="827" w:type="dxa"/>
            <w:tcBorders>
              <w:top w:val="nil"/>
              <w:left w:val="nil"/>
              <w:bottom w:val="single" w:sz="4" w:space="0" w:color="auto"/>
              <w:right w:val="single" w:sz="4" w:space="0" w:color="auto"/>
            </w:tcBorders>
            <w:shd w:val="clear" w:color="auto" w:fill="C6EFCE"/>
            <w:noWrap/>
          </w:tcPr>
          <w:p w14:paraId="77DCA78A" w14:textId="77777777" w:rsidR="00C45D59" w:rsidRDefault="009B0962">
            <w:pPr>
              <w:pStyle w:val="P68B1DB1-Normal12"/>
              <w:spacing w:after="0" w:line="240" w:lineRule="auto"/>
              <w:rPr>
                <w:rFonts w:eastAsia="Times New Roman"/>
                <w:noProof/>
              </w:rPr>
            </w:pPr>
            <w:r>
              <w:rPr>
                <w:noProof/>
              </w:rPr>
              <w:t>2022</w:t>
            </w:r>
          </w:p>
        </w:tc>
        <w:tc>
          <w:tcPr>
            <w:tcW w:w="4819" w:type="dxa"/>
            <w:tcBorders>
              <w:top w:val="nil"/>
              <w:left w:val="nil"/>
              <w:bottom w:val="single" w:sz="4" w:space="0" w:color="auto"/>
              <w:right w:val="single" w:sz="4" w:space="0" w:color="auto"/>
            </w:tcBorders>
            <w:shd w:val="clear" w:color="auto" w:fill="C6EFCE"/>
            <w:noWrap/>
          </w:tcPr>
          <w:p w14:paraId="6714586F" w14:textId="77777777" w:rsidR="00C45D59" w:rsidRDefault="009B0962">
            <w:pPr>
              <w:pStyle w:val="P68B1DB1-Normal12"/>
              <w:spacing w:after="0" w:line="240" w:lineRule="auto"/>
              <w:rPr>
                <w:rFonts w:eastAsia="Times New Roman"/>
                <w:noProof/>
              </w:rPr>
            </w:pPr>
            <w:r>
              <w:rPr>
                <w:noProof/>
              </w:rPr>
              <w:t>Intrarea în vigoare a unei legislații primare și secundare revizuite pentru a institui un sistem de alocare a guvernanței pe mai multe niveluri, cu scopul de a clarifica responsabilitățile între toate nivelurile administrației publice și de a aborda suprapunerile. Cadrul juridic revizuit stabilește domeniile de responsabilitate pentru fiecare entitate în ceea ce privește planificarea și punerea în aplicare, inclusiv în ceea ce privește funcții precum asigurarea resurselor și responsabilitățile de monitorizare și evaluare.</w:t>
            </w:r>
          </w:p>
        </w:tc>
      </w:tr>
      <w:tr w:rsidR="00C45D59" w14:paraId="34B594B5" w14:textId="77777777">
        <w:trPr>
          <w:trHeight w:val="313"/>
          <w:jc w:val="center"/>
        </w:trPr>
        <w:tc>
          <w:tcPr>
            <w:tcW w:w="542" w:type="dxa"/>
            <w:tcBorders>
              <w:top w:val="nil"/>
              <w:left w:val="single" w:sz="4" w:space="0" w:color="auto"/>
              <w:bottom w:val="single" w:sz="4" w:space="0" w:color="auto"/>
              <w:right w:val="single" w:sz="4" w:space="0" w:color="auto"/>
            </w:tcBorders>
            <w:shd w:val="clear" w:color="auto" w:fill="C6EFCE"/>
            <w:noWrap/>
          </w:tcPr>
          <w:p w14:paraId="74A31894" w14:textId="77777777" w:rsidR="00C45D59" w:rsidRDefault="009B0962">
            <w:pPr>
              <w:pStyle w:val="P68B1DB1-Normal12"/>
              <w:spacing w:after="0" w:line="240" w:lineRule="auto"/>
              <w:rPr>
                <w:rFonts w:eastAsia="Times New Roman"/>
                <w:noProof/>
              </w:rPr>
            </w:pPr>
            <w:r>
              <w:rPr>
                <w:noProof/>
              </w:rPr>
              <w:t>207</w:t>
            </w:r>
          </w:p>
        </w:tc>
        <w:tc>
          <w:tcPr>
            <w:tcW w:w="2038" w:type="dxa"/>
            <w:tcBorders>
              <w:top w:val="nil"/>
              <w:left w:val="nil"/>
              <w:bottom w:val="single" w:sz="4" w:space="0" w:color="auto"/>
              <w:right w:val="single" w:sz="4" w:space="0" w:color="auto"/>
            </w:tcBorders>
            <w:shd w:val="clear" w:color="auto" w:fill="C6EFCE"/>
            <w:noWrap/>
          </w:tcPr>
          <w:p w14:paraId="2FF2D1BD" w14:textId="77777777" w:rsidR="00C45D59" w:rsidRDefault="009B0962">
            <w:pPr>
              <w:pStyle w:val="P68B1DB1-Normal12"/>
              <w:spacing w:after="0" w:line="240" w:lineRule="auto"/>
              <w:rPr>
                <w:rFonts w:eastAsia="Times New Roman"/>
                <w:noProof/>
              </w:rPr>
            </w:pPr>
            <w:r>
              <w:rPr>
                <w:noProof/>
              </w:rPr>
              <w:t>13-4.2. Modernizarea administrației publice, inclusiv prin accelerarea punerii în aplicare a investițiilor publice, îmbunătățirea cadrului privind achizițiile publice, măsuri de consolidare a capacităților și combaterea corupției – 16972_Reformarea administrației publice</w:t>
            </w:r>
          </w:p>
        </w:tc>
        <w:tc>
          <w:tcPr>
            <w:tcW w:w="1107" w:type="dxa"/>
            <w:tcBorders>
              <w:top w:val="nil"/>
              <w:left w:val="nil"/>
              <w:bottom w:val="single" w:sz="4" w:space="0" w:color="auto"/>
              <w:right w:val="single" w:sz="4" w:space="0" w:color="auto"/>
            </w:tcBorders>
            <w:shd w:val="clear" w:color="auto" w:fill="C6EFCE"/>
            <w:noWrap/>
          </w:tcPr>
          <w:p w14:paraId="11650FC3" w14:textId="77777777" w:rsidR="00C45D59" w:rsidRDefault="009B0962">
            <w:pPr>
              <w:pStyle w:val="P68B1DB1-Normal12"/>
              <w:spacing w:after="0" w:line="240" w:lineRule="auto"/>
              <w:rPr>
                <w:rFonts w:eastAsia="Times New Roman"/>
                <w:noProof/>
              </w:rPr>
            </w:pPr>
            <w:r>
              <w:rPr>
                <w:noProof/>
              </w:rPr>
              <w:t>Etapă</w:t>
            </w:r>
          </w:p>
        </w:tc>
        <w:tc>
          <w:tcPr>
            <w:tcW w:w="1482" w:type="dxa"/>
            <w:tcBorders>
              <w:top w:val="nil"/>
              <w:left w:val="nil"/>
              <w:bottom w:val="single" w:sz="4" w:space="0" w:color="auto"/>
              <w:right w:val="single" w:sz="4" w:space="0" w:color="auto"/>
            </w:tcBorders>
            <w:shd w:val="clear" w:color="auto" w:fill="C6EFCE"/>
            <w:noWrap/>
          </w:tcPr>
          <w:p w14:paraId="6D1A65FB" w14:textId="77777777" w:rsidR="00C45D59" w:rsidRDefault="009B0962">
            <w:pPr>
              <w:pStyle w:val="P68B1DB1-Normal12"/>
              <w:spacing w:after="0" w:line="240" w:lineRule="auto"/>
              <w:rPr>
                <w:rFonts w:eastAsia="Times New Roman"/>
                <w:noProof/>
              </w:rPr>
            </w:pPr>
            <w:r>
              <w:rPr>
                <w:noProof/>
              </w:rPr>
              <w:t>Administrația publică – un nou sistem de recompensare</w:t>
            </w:r>
          </w:p>
        </w:tc>
        <w:tc>
          <w:tcPr>
            <w:tcW w:w="1520" w:type="dxa"/>
            <w:tcBorders>
              <w:top w:val="nil"/>
              <w:left w:val="nil"/>
              <w:bottom w:val="single" w:sz="4" w:space="0" w:color="auto"/>
              <w:right w:val="single" w:sz="4" w:space="0" w:color="auto"/>
            </w:tcBorders>
            <w:shd w:val="clear" w:color="auto" w:fill="C6EFCE"/>
            <w:noWrap/>
          </w:tcPr>
          <w:p w14:paraId="28C74C97" w14:textId="77777777" w:rsidR="00C45D59" w:rsidRDefault="009B0962">
            <w:pPr>
              <w:pStyle w:val="P68B1DB1-Normal12"/>
              <w:spacing w:after="0" w:line="240" w:lineRule="auto"/>
              <w:rPr>
                <w:rFonts w:eastAsia="Times New Roman"/>
                <w:noProof/>
              </w:rPr>
            </w:pPr>
            <w:r>
              <w:rPr>
                <w:noProof/>
              </w:rPr>
              <w:t>Intrarea în vigoare a legislației primare de instituire a sistemului de recompensare.</w:t>
            </w:r>
          </w:p>
        </w:tc>
        <w:tc>
          <w:tcPr>
            <w:tcW w:w="1054" w:type="dxa"/>
            <w:tcBorders>
              <w:top w:val="nil"/>
              <w:left w:val="nil"/>
              <w:bottom w:val="single" w:sz="4" w:space="0" w:color="auto"/>
              <w:right w:val="single" w:sz="4" w:space="0" w:color="auto"/>
            </w:tcBorders>
            <w:shd w:val="clear" w:color="auto" w:fill="C6EFCE"/>
            <w:noWrap/>
          </w:tcPr>
          <w:p w14:paraId="00D200D2"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57" w:type="dxa"/>
            <w:tcBorders>
              <w:top w:val="nil"/>
              <w:left w:val="nil"/>
              <w:bottom w:val="single" w:sz="4" w:space="0" w:color="auto"/>
              <w:right w:val="single" w:sz="4" w:space="0" w:color="auto"/>
            </w:tcBorders>
            <w:shd w:val="clear" w:color="auto" w:fill="C6EFCE"/>
            <w:noWrap/>
          </w:tcPr>
          <w:p w14:paraId="1376221A"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05" w:type="dxa"/>
            <w:tcBorders>
              <w:top w:val="nil"/>
              <w:left w:val="nil"/>
              <w:bottom w:val="single" w:sz="4" w:space="0" w:color="auto"/>
              <w:right w:val="single" w:sz="4" w:space="0" w:color="auto"/>
            </w:tcBorders>
            <w:shd w:val="clear" w:color="auto" w:fill="C6EFCE"/>
            <w:noWrap/>
          </w:tcPr>
          <w:p w14:paraId="3607008F"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46" w:type="dxa"/>
            <w:tcBorders>
              <w:top w:val="nil"/>
              <w:left w:val="nil"/>
              <w:bottom w:val="single" w:sz="4" w:space="0" w:color="auto"/>
              <w:right w:val="single" w:sz="4" w:space="0" w:color="auto"/>
            </w:tcBorders>
            <w:shd w:val="clear" w:color="auto" w:fill="C6EFCE"/>
            <w:noWrap/>
          </w:tcPr>
          <w:p w14:paraId="45AD4D5F" w14:textId="77777777" w:rsidR="00C45D59" w:rsidRDefault="009B0962">
            <w:pPr>
              <w:pStyle w:val="P68B1DB1-Normal12"/>
              <w:spacing w:after="0" w:line="240" w:lineRule="auto"/>
              <w:rPr>
                <w:rFonts w:eastAsia="Times New Roman"/>
                <w:noProof/>
              </w:rPr>
            </w:pPr>
            <w:r>
              <w:rPr>
                <w:noProof/>
              </w:rPr>
              <w:t>Î4</w:t>
            </w:r>
          </w:p>
        </w:tc>
        <w:tc>
          <w:tcPr>
            <w:tcW w:w="827" w:type="dxa"/>
            <w:tcBorders>
              <w:top w:val="nil"/>
              <w:left w:val="nil"/>
              <w:bottom w:val="single" w:sz="4" w:space="0" w:color="auto"/>
              <w:right w:val="single" w:sz="4" w:space="0" w:color="auto"/>
            </w:tcBorders>
            <w:shd w:val="clear" w:color="auto" w:fill="C6EFCE"/>
            <w:noWrap/>
          </w:tcPr>
          <w:p w14:paraId="247E0862" w14:textId="77777777" w:rsidR="00C45D59" w:rsidRDefault="009B0962">
            <w:pPr>
              <w:pStyle w:val="P68B1DB1-Normal12"/>
              <w:spacing w:after="0" w:line="240" w:lineRule="auto"/>
              <w:rPr>
                <w:rFonts w:eastAsia="Times New Roman"/>
                <w:noProof/>
              </w:rPr>
            </w:pPr>
            <w:r>
              <w:rPr>
                <w:noProof/>
              </w:rPr>
              <w:t>2023</w:t>
            </w:r>
          </w:p>
        </w:tc>
        <w:tc>
          <w:tcPr>
            <w:tcW w:w="4819" w:type="dxa"/>
            <w:tcBorders>
              <w:top w:val="nil"/>
              <w:left w:val="nil"/>
              <w:bottom w:val="single" w:sz="4" w:space="0" w:color="auto"/>
              <w:right w:val="single" w:sz="4" w:space="0" w:color="auto"/>
            </w:tcBorders>
            <w:shd w:val="clear" w:color="auto" w:fill="C6EFCE"/>
            <w:noWrap/>
          </w:tcPr>
          <w:p w14:paraId="12146D66" w14:textId="77777777" w:rsidR="00C45D59" w:rsidRDefault="009B0962">
            <w:pPr>
              <w:pStyle w:val="P68B1DB1-Normal12"/>
              <w:spacing w:after="0" w:line="240" w:lineRule="auto"/>
              <w:rPr>
                <w:rFonts w:eastAsia="Times New Roman"/>
                <w:noProof/>
              </w:rPr>
            </w:pPr>
            <w:r>
              <w:rPr>
                <w:noProof/>
              </w:rPr>
              <w:t>Intrarea în vigoare a legislației primare care introduce un sistem de gestionare menit să recompenseze organizațiile publice în mod echitabil și consecvent, urmărind realizarea obiectivelor prestabilite. Principalele caracteristici ale sistemului sunt conforme cu grila salarială unificată (Legea nr. 4354/2015).</w:t>
            </w:r>
          </w:p>
        </w:tc>
      </w:tr>
      <w:tr w:rsidR="00C45D59" w14:paraId="61563E32" w14:textId="77777777">
        <w:trPr>
          <w:trHeight w:val="313"/>
          <w:jc w:val="center"/>
        </w:trPr>
        <w:tc>
          <w:tcPr>
            <w:tcW w:w="542" w:type="dxa"/>
            <w:tcBorders>
              <w:top w:val="nil"/>
              <w:left w:val="single" w:sz="4" w:space="0" w:color="auto"/>
              <w:bottom w:val="single" w:sz="4" w:space="0" w:color="auto"/>
              <w:right w:val="single" w:sz="4" w:space="0" w:color="auto"/>
            </w:tcBorders>
            <w:shd w:val="clear" w:color="auto" w:fill="C6EFCE"/>
            <w:noWrap/>
          </w:tcPr>
          <w:p w14:paraId="3516B580" w14:textId="77777777" w:rsidR="00C45D59" w:rsidRDefault="009B0962">
            <w:pPr>
              <w:pStyle w:val="P68B1DB1-Normal12"/>
              <w:spacing w:after="0" w:line="240" w:lineRule="auto"/>
              <w:rPr>
                <w:rFonts w:eastAsia="Times New Roman"/>
                <w:noProof/>
              </w:rPr>
            </w:pPr>
            <w:r>
              <w:rPr>
                <w:noProof/>
              </w:rPr>
              <w:t>208</w:t>
            </w:r>
          </w:p>
        </w:tc>
        <w:tc>
          <w:tcPr>
            <w:tcW w:w="2038" w:type="dxa"/>
            <w:tcBorders>
              <w:top w:val="nil"/>
              <w:left w:val="nil"/>
              <w:bottom w:val="single" w:sz="4" w:space="0" w:color="auto"/>
              <w:right w:val="single" w:sz="4" w:space="0" w:color="auto"/>
            </w:tcBorders>
            <w:shd w:val="clear" w:color="auto" w:fill="C6EFCE"/>
            <w:noWrap/>
          </w:tcPr>
          <w:p w14:paraId="433DCFDC" w14:textId="77777777" w:rsidR="00C45D59" w:rsidRDefault="009B0962">
            <w:pPr>
              <w:pStyle w:val="P68B1DB1-Normal12"/>
              <w:spacing w:after="0" w:line="240" w:lineRule="auto"/>
              <w:rPr>
                <w:rFonts w:eastAsia="Times New Roman"/>
                <w:noProof/>
              </w:rPr>
            </w:pPr>
            <w:r>
              <w:rPr>
                <w:noProof/>
              </w:rPr>
              <w:t>13-4.2. Modernizarea administrației publice, inclusiv prin accelerarea punerii în aplicare a investițiilor publice, îmbunătățirea cadrului privind achizițiile publice, măsuri de consolidare a capacităților și combaterea corupției – 16972_Reformarea administrației publice</w:t>
            </w:r>
          </w:p>
        </w:tc>
        <w:tc>
          <w:tcPr>
            <w:tcW w:w="1107" w:type="dxa"/>
            <w:tcBorders>
              <w:top w:val="nil"/>
              <w:left w:val="nil"/>
              <w:bottom w:val="single" w:sz="4" w:space="0" w:color="auto"/>
              <w:right w:val="single" w:sz="4" w:space="0" w:color="auto"/>
            </w:tcBorders>
            <w:shd w:val="clear" w:color="auto" w:fill="C6EFCE"/>
            <w:noWrap/>
          </w:tcPr>
          <w:p w14:paraId="355BF507" w14:textId="77777777" w:rsidR="00C45D59" w:rsidRDefault="009B0962">
            <w:pPr>
              <w:pStyle w:val="P68B1DB1-Normal12"/>
              <w:spacing w:after="0" w:line="240" w:lineRule="auto"/>
              <w:rPr>
                <w:rFonts w:eastAsia="Times New Roman"/>
                <w:noProof/>
              </w:rPr>
            </w:pPr>
            <w:r>
              <w:rPr>
                <w:noProof/>
              </w:rPr>
              <w:t>Etapă</w:t>
            </w:r>
          </w:p>
        </w:tc>
        <w:tc>
          <w:tcPr>
            <w:tcW w:w="1482" w:type="dxa"/>
            <w:tcBorders>
              <w:top w:val="nil"/>
              <w:left w:val="nil"/>
              <w:bottom w:val="single" w:sz="4" w:space="0" w:color="auto"/>
              <w:right w:val="single" w:sz="4" w:space="0" w:color="auto"/>
            </w:tcBorders>
            <w:shd w:val="clear" w:color="auto" w:fill="C6EFCE"/>
            <w:noWrap/>
          </w:tcPr>
          <w:p w14:paraId="23D3D9AC" w14:textId="509E1252" w:rsidR="00C45D59" w:rsidRDefault="009B0962">
            <w:pPr>
              <w:pStyle w:val="P68B1DB1-Normal23"/>
              <w:spacing w:after="0" w:line="240" w:lineRule="auto"/>
              <w:rPr>
                <w:noProof/>
              </w:rPr>
            </w:pPr>
            <w:r>
              <w:rPr>
                <w:noProof/>
              </w:rPr>
              <w:t>Cursuri de formare pentru angajații din sectorul public;</w:t>
            </w:r>
          </w:p>
          <w:p w14:paraId="115263F1" w14:textId="77777777" w:rsidR="00C45D59" w:rsidRDefault="009B0962">
            <w:pPr>
              <w:pStyle w:val="P68B1DB1-Normal23"/>
              <w:spacing w:after="0" w:line="240" w:lineRule="auto"/>
              <w:rPr>
                <w:noProof/>
              </w:rPr>
            </w:pPr>
            <w:r>
              <w:rPr>
                <w:noProof/>
              </w:rPr>
              <w:t>intrarea în vigoare a actelor juridice,</w:t>
            </w:r>
          </w:p>
          <w:p w14:paraId="20D0E0D4" w14:textId="77777777" w:rsidR="00C45D59" w:rsidRDefault="009B0962">
            <w:pPr>
              <w:pStyle w:val="P68B1DB1-Normal23"/>
              <w:spacing w:after="0" w:line="240" w:lineRule="auto"/>
              <w:rPr>
                <w:noProof/>
              </w:rPr>
            </w:pPr>
            <w:r>
              <w:rPr>
                <w:noProof/>
              </w:rPr>
              <w:t>punerea în funcțiune a sistemelor informatice </w:t>
            </w:r>
          </w:p>
        </w:tc>
        <w:tc>
          <w:tcPr>
            <w:tcW w:w="1520" w:type="dxa"/>
            <w:tcBorders>
              <w:top w:val="nil"/>
              <w:left w:val="nil"/>
              <w:bottom w:val="single" w:sz="4" w:space="0" w:color="auto"/>
              <w:right w:val="single" w:sz="4" w:space="0" w:color="auto"/>
            </w:tcBorders>
            <w:shd w:val="clear" w:color="auto" w:fill="C6EFCE"/>
            <w:noWrap/>
          </w:tcPr>
          <w:p w14:paraId="084DFB69" w14:textId="5CE2641D" w:rsidR="00C45D59" w:rsidRDefault="009B0962">
            <w:pPr>
              <w:pStyle w:val="P68B1DB1-Normal23"/>
              <w:spacing w:after="0" w:line="240" w:lineRule="auto"/>
              <w:rPr>
                <w:noProof/>
              </w:rPr>
            </w:pPr>
            <w:r>
              <w:rPr>
                <w:noProof/>
              </w:rPr>
              <w:t>Cursuri de formare pentru angajații din sectorul public;</w:t>
            </w:r>
          </w:p>
          <w:p w14:paraId="32B2AF2E" w14:textId="77777777" w:rsidR="00C45D59" w:rsidRDefault="009B0962">
            <w:pPr>
              <w:pStyle w:val="P68B1DB1-Normal23"/>
              <w:spacing w:after="0" w:line="240" w:lineRule="auto"/>
              <w:rPr>
                <w:noProof/>
              </w:rPr>
            </w:pPr>
            <w:r>
              <w:rPr>
                <w:noProof/>
              </w:rPr>
              <w:t>intrarea în vigoare a actelor juridice</w:t>
            </w:r>
          </w:p>
          <w:p w14:paraId="0BF74EDB" w14:textId="77777777" w:rsidR="00C45D59" w:rsidRDefault="009B0962">
            <w:pPr>
              <w:pStyle w:val="P68B1DB1-Normal23"/>
              <w:spacing w:after="0" w:line="240" w:lineRule="auto"/>
              <w:rPr>
                <w:noProof/>
              </w:rPr>
            </w:pPr>
            <w:r>
              <w:rPr>
                <w:noProof/>
              </w:rPr>
              <w:t>punerea în funcțiune a sistemelor informatice </w:t>
            </w:r>
          </w:p>
          <w:p w14:paraId="2998E48D"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054" w:type="dxa"/>
            <w:tcBorders>
              <w:top w:val="nil"/>
              <w:left w:val="nil"/>
              <w:bottom w:val="single" w:sz="4" w:space="0" w:color="auto"/>
              <w:right w:val="single" w:sz="4" w:space="0" w:color="auto"/>
            </w:tcBorders>
            <w:shd w:val="clear" w:color="auto" w:fill="C6EFCE"/>
            <w:noWrap/>
          </w:tcPr>
          <w:p w14:paraId="6984C984"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57" w:type="dxa"/>
            <w:tcBorders>
              <w:top w:val="nil"/>
              <w:left w:val="nil"/>
              <w:bottom w:val="single" w:sz="4" w:space="0" w:color="auto"/>
              <w:right w:val="single" w:sz="4" w:space="0" w:color="auto"/>
            </w:tcBorders>
            <w:shd w:val="clear" w:color="auto" w:fill="C6EFCE"/>
            <w:noWrap/>
          </w:tcPr>
          <w:p w14:paraId="2633B40E"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05" w:type="dxa"/>
            <w:tcBorders>
              <w:top w:val="nil"/>
              <w:left w:val="nil"/>
              <w:bottom w:val="single" w:sz="4" w:space="0" w:color="auto"/>
              <w:right w:val="single" w:sz="4" w:space="0" w:color="auto"/>
            </w:tcBorders>
            <w:shd w:val="clear" w:color="auto" w:fill="C6EFCE"/>
            <w:noWrap/>
          </w:tcPr>
          <w:p w14:paraId="288F5487"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46" w:type="dxa"/>
            <w:tcBorders>
              <w:top w:val="nil"/>
              <w:left w:val="nil"/>
              <w:bottom w:val="single" w:sz="4" w:space="0" w:color="auto"/>
              <w:right w:val="single" w:sz="4" w:space="0" w:color="auto"/>
            </w:tcBorders>
            <w:shd w:val="clear" w:color="auto" w:fill="C6EFCE"/>
            <w:noWrap/>
          </w:tcPr>
          <w:p w14:paraId="1DAA97E9" w14:textId="77777777" w:rsidR="00C45D59" w:rsidRDefault="009B0962">
            <w:pPr>
              <w:pStyle w:val="P68B1DB1-Normal12"/>
              <w:spacing w:after="0" w:line="240" w:lineRule="auto"/>
              <w:rPr>
                <w:rFonts w:eastAsia="Times New Roman"/>
                <w:noProof/>
              </w:rPr>
            </w:pPr>
            <w:r>
              <w:rPr>
                <w:noProof/>
              </w:rPr>
              <w:t>Î4</w:t>
            </w:r>
          </w:p>
        </w:tc>
        <w:tc>
          <w:tcPr>
            <w:tcW w:w="827" w:type="dxa"/>
            <w:tcBorders>
              <w:top w:val="nil"/>
              <w:left w:val="nil"/>
              <w:bottom w:val="single" w:sz="4" w:space="0" w:color="auto"/>
              <w:right w:val="single" w:sz="4" w:space="0" w:color="auto"/>
            </w:tcBorders>
            <w:shd w:val="clear" w:color="auto" w:fill="C6EFCE"/>
            <w:noWrap/>
          </w:tcPr>
          <w:p w14:paraId="34928975" w14:textId="77777777" w:rsidR="00C45D59" w:rsidRDefault="009B0962">
            <w:pPr>
              <w:pStyle w:val="P68B1DB1-Normal12"/>
              <w:spacing w:after="0" w:line="240" w:lineRule="auto"/>
              <w:rPr>
                <w:rFonts w:eastAsia="Times New Roman"/>
                <w:noProof/>
              </w:rPr>
            </w:pPr>
            <w:r>
              <w:rPr>
                <w:noProof/>
              </w:rPr>
              <w:t>2025</w:t>
            </w:r>
          </w:p>
        </w:tc>
        <w:tc>
          <w:tcPr>
            <w:tcW w:w="4819" w:type="dxa"/>
            <w:tcBorders>
              <w:top w:val="nil"/>
              <w:left w:val="nil"/>
              <w:bottom w:val="single" w:sz="4" w:space="0" w:color="auto"/>
              <w:right w:val="single" w:sz="4" w:space="0" w:color="auto"/>
            </w:tcBorders>
            <w:shd w:val="clear" w:color="auto" w:fill="C6EFCE"/>
            <w:noWrap/>
          </w:tcPr>
          <w:p w14:paraId="74B00FBD" w14:textId="0EA33519" w:rsidR="00C45D59" w:rsidRDefault="009B0962">
            <w:pPr>
              <w:pStyle w:val="P68B1DB1-Normal12"/>
              <w:spacing w:after="0" w:line="240" w:lineRule="auto"/>
              <w:rPr>
                <w:rFonts w:eastAsia="Times New Roman"/>
                <w:noProof/>
              </w:rPr>
            </w:pPr>
            <w:r>
              <w:rPr>
                <w:noProof/>
              </w:rPr>
              <w:t xml:space="preserve">(I) Furnizarea a 225 000 de cursuri de formare certificate pentru angajații din sectorul public. </w:t>
            </w:r>
          </w:p>
          <w:p w14:paraId="2158B561" w14:textId="77777777" w:rsidR="00C45D59" w:rsidRDefault="009B0962">
            <w:pPr>
              <w:pStyle w:val="P68B1DB1-Normal12"/>
              <w:spacing w:after="0" w:line="240" w:lineRule="auto"/>
              <w:rPr>
                <w:noProof/>
              </w:rPr>
            </w:pPr>
            <w:r>
              <w:rPr>
                <w:noProof/>
              </w:rPr>
              <w:t>(II) Intrarea în vigoare a actelor juridice pentru accelerarea procedurilor de angajare în sectorul public.</w:t>
            </w:r>
          </w:p>
          <w:p w14:paraId="63331D7B" w14:textId="77777777" w:rsidR="00C45D59" w:rsidRDefault="009B0962">
            <w:pPr>
              <w:pStyle w:val="P68B1DB1-Normal12"/>
              <w:spacing w:after="0" w:line="240" w:lineRule="auto"/>
              <w:rPr>
                <w:noProof/>
              </w:rPr>
            </w:pPr>
            <w:r>
              <w:rPr>
                <w:noProof/>
              </w:rPr>
              <w:t xml:space="preserve">(III) Punerea în funcțiune a unui sistem informatic pentru Consiliul Suprem pentru Selecția Personalului Civil (ASEP); </w:t>
            </w:r>
          </w:p>
          <w:p w14:paraId="3AFEF052" w14:textId="77777777" w:rsidR="00C45D59" w:rsidRDefault="009B0962">
            <w:pPr>
              <w:pStyle w:val="P68B1DB1-Normal12"/>
              <w:spacing w:after="0" w:line="240" w:lineRule="auto"/>
              <w:rPr>
                <w:rFonts w:eastAsia="Times New Roman"/>
                <w:noProof/>
              </w:rPr>
            </w:pPr>
            <w:r>
              <w:rPr>
                <w:noProof/>
              </w:rPr>
              <w:t>(IV) Punerea în funcțiune a sistemului informatic care sprijină cadrul strategic de planificare a forței de muncă care utilizează inteligența artificială.</w:t>
            </w:r>
          </w:p>
        </w:tc>
      </w:tr>
    </w:tbl>
    <w:p w14:paraId="449CFE26" w14:textId="77777777" w:rsidR="00C45D59" w:rsidRDefault="00C45D59">
      <w:pPr>
        <w:spacing w:before="120" w:after="120" w:line="240" w:lineRule="auto"/>
        <w:jc w:val="both"/>
        <w:rPr>
          <w:rFonts w:ascii="Times New Roman" w:hAnsi="Times New Roman" w:cs="Times New Roman"/>
          <w:noProof/>
          <w:sz w:val="24"/>
          <w:szCs w:val="24"/>
        </w:rPr>
      </w:pPr>
    </w:p>
    <w:p w14:paraId="55CEC68E" w14:textId="77777777" w:rsidR="00C45D59" w:rsidRDefault="00C45D59">
      <w:pPr>
        <w:keepNext/>
        <w:keepLines/>
        <w:spacing w:before="40" w:after="0" w:line="240" w:lineRule="auto"/>
        <w:jc w:val="both"/>
        <w:outlineLvl w:val="4"/>
        <w:rPr>
          <w:rFonts w:ascii="Cambria" w:hAnsi="Cambria"/>
          <w:noProof/>
          <w:color w:val="365F91"/>
          <w:sz w:val="24"/>
        </w:rPr>
        <w:sectPr w:rsidR="00C45D59">
          <w:headerReference w:type="even" r:id="rId276"/>
          <w:headerReference w:type="default" r:id="rId277"/>
          <w:footerReference w:type="even" r:id="rId278"/>
          <w:footerReference w:type="default" r:id="rId279"/>
          <w:headerReference w:type="first" r:id="rId280"/>
          <w:footerReference w:type="first" r:id="rId281"/>
          <w:pgSz w:w="16839" w:h="11907" w:orient="landscape"/>
          <w:pgMar w:top="1134" w:right="1134" w:bottom="1134" w:left="1134" w:header="567" w:footer="567" w:gutter="0"/>
          <w:cols w:space="720"/>
          <w:docGrid w:linePitch="360"/>
        </w:sectPr>
      </w:pPr>
    </w:p>
    <w:p w14:paraId="78A40BC0" w14:textId="77777777" w:rsidR="00C45D59" w:rsidRDefault="009B0962">
      <w:pPr>
        <w:pStyle w:val="P68B1DB1-Normal9"/>
        <w:keepNext/>
        <w:keepLines/>
        <w:spacing w:before="40" w:after="0" w:line="240" w:lineRule="auto"/>
        <w:jc w:val="both"/>
        <w:outlineLvl w:val="4"/>
        <w:rPr>
          <w:rFonts w:eastAsia="Times New Roman"/>
          <w:noProof/>
        </w:rPr>
      </w:pPr>
      <w:r>
        <w:rPr>
          <w:noProof/>
        </w:rPr>
        <w:t>Grupul 19: Combaterea spălării banilor și a corupției</w:t>
      </w:r>
    </w:p>
    <w:p w14:paraId="4863C09B" w14:textId="77777777" w:rsidR="00C45D59" w:rsidRDefault="009B0962">
      <w:pPr>
        <w:pStyle w:val="P68B1DB1-Normal5"/>
        <w:numPr>
          <w:ilvl w:val="0"/>
          <w:numId w:val="61"/>
        </w:numPr>
        <w:spacing w:before="120" w:after="0" w:line="240" w:lineRule="auto"/>
        <w:jc w:val="both"/>
        <w:rPr>
          <w:rFonts w:cs="Times New Roman"/>
          <w:noProof/>
        </w:rPr>
      </w:pPr>
      <w:r>
        <w:rPr>
          <w:noProof/>
        </w:rPr>
        <w:t>Consolidarea cadrului de combatere a spălării banilor și a finanțării terorismului (ID: 16702)</w:t>
      </w:r>
    </w:p>
    <w:p w14:paraId="35E0DDE4" w14:textId="77777777" w:rsidR="00C45D59" w:rsidRDefault="009B0962">
      <w:pPr>
        <w:pStyle w:val="P68B1DB1-Normal5"/>
        <w:numPr>
          <w:ilvl w:val="0"/>
          <w:numId w:val="61"/>
        </w:numPr>
        <w:spacing w:before="120" w:after="0" w:line="240" w:lineRule="auto"/>
        <w:jc w:val="both"/>
        <w:rPr>
          <w:rFonts w:cs="Times New Roman"/>
          <w:noProof/>
        </w:rPr>
      </w:pPr>
      <w:r>
        <w:rPr>
          <w:noProof/>
        </w:rPr>
        <w:t>Combaterea comerțului ilegal și protejarea proprietății intelectuale (ID: 16703)</w:t>
      </w:r>
    </w:p>
    <w:p w14:paraId="0EAD36AB" w14:textId="77777777" w:rsidR="00C45D59" w:rsidRDefault="009B0962">
      <w:pPr>
        <w:pStyle w:val="P68B1DB1-Normal5"/>
        <w:numPr>
          <w:ilvl w:val="0"/>
          <w:numId w:val="61"/>
        </w:numPr>
        <w:spacing w:before="120" w:after="0" w:line="240" w:lineRule="auto"/>
        <w:jc w:val="both"/>
        <w:rPr>
          <w:rFonts w:cs="Times New Roman"/>
          <w:noProof/>
        </w:rPr>
      </w:pPr>
      <w:r>
        <w:rPr>
          <w:noProof/>
        </w:rPr>
        <w:t>Consolidarea cadrului național anticorupție (ID: 16952)</w:t>
      </w:r>
    </w:p>
    <w:p w14:paraId="2616F27F" w14:textId="77777777" w:rsidR="00C45D59" w:rsidRDefault="009B0962">
      <w:pPr>
        <w:pStyle w:val="P68B1DB1-Normal5"/>
        <w:numPr>
          <w:ilvl w:val="0"/>
          <w:numId w:val="61"/>
        </w:numPr>
        <w:spacing w:before="120" w:after="120" w:line="240" w:lineRule="auto"/>
        <w:jc w:val="both"/>
        <w:rPr>
          <w:rFonts w:cs="Times New Roman"/>
          <w:noProof/>
          <w:szCs w:val="24"/>
        </w:rPr>
      </w:pPr>
      <w:r>
        <w:rPr>
          <w:noProof/>
        </w:rPr>
        <w:t>Combaterea eficientă a corupției (ID: 16978)</w:t>
      </w:r>
    </w:p>
    <w:tbl>
      <w:tblPr>
        <w:tblW w:w="15878" w:type="dxa"/>
        <w:jc w:val="center"/>
        <w:tblLook w:val="04A0" w:firstRow="1" w:lastRow="0" w:firstColumn="1" w:lastColumn="0" w:noHBand="0" w:noVBand="1"/>
      </w:tblPr>
      <w:tblGrid>
        <w:gridCol w:w="766"/>
        <w:gridCol w:w="1974"/>
        <w:gridCol w:w="1376"/>
        <w:gridCol w:w="1393"/>
        <w:gridCol w:w="1534"/>
        <w:gridCol w:w="933"/>
        <w:gridCol w:w="896"/>
        <w:gridCol w:w="866"/>
        <w:gridCol w:w="1006"/>
        <w:gridCol w:w="708"/>
        <w:gridCol w:w="5110"/>
      </w:tblGrid>
      <w:tr w:rsidR="00C45D59" w14:paraId="1D93653E" w14:textId="77777777">
        <w:trPr>
          <w:trHeight w:val="774"/>
          <w:tblHeader/>
          <w:jc w:val="center"/>
        </w:trPr>
        <w:tc>
          <w:tcPr>
            <w:tcW w:w="666" w:type="dxa"/>
            <w:vMerge w:val="restart"/>
            <w:tcBorders>
              <w:top w:val="single" w:sz="2" w:space="0" w:color="000000"/>
              <w:left w:val="single" w:sz="2" w:space="0" w:color="000000"/>
              <w:bottom w:val="single" w:sz="2" w:space="0" w:color="000000"/>
              <w:right w:val="single" w:sz="2" w:space="0" w:color="000000"/>
            </w:tcBorders>
            <w:shd w:val="clear" w:color="auto" w:fill="BDD7EE"/>
            <w:vAlign w:val="center"/>
            <w:hideMark/>
          </w:tcPr>
          <w:p w14:paraId="5961CAB3" w14:textId="77777777" w:rsidR="00C45D59" w:rsidRDefault="009B0962">
            <w:pPr>
              <w:pStyle w:val="P68B1DB1-Normal15"/>
              <w:spacing w:after="0" w:line="240" w:lineRule="auto"/>
              <w:jc w:val="center"/>
              <w:rPr>
                <w:rFonts w:eastAsia="Times New Roman"/>
                <w:bCs/>
                <w:noProof/>
              </w:rPr>
            </w:pPr>
            <w:r>
              <w:rPr>
                <w:noProof/>
              </w:rPr>
              <w:t xml:space="preserve">Număr </w:t>
            </w:r>
            <w:r>
              <w:rPr>
                <w:noProof/>
              </w:rPr>
              <w:br/>
              <w:t>Nu.</w:t>
            </w:r>
          </w:p>
        </w:tc>
        <w:tc>
          <w:tcPr>
            <w:tcW w:w="1974" w:type="dxa"/>
            <w:vMerge w:val="restart"/>
            <w:tcBorders>
              <w:top w:val="single" w:sz="2" w:space="0" w:color="000000"/>
              <w:left w:val="single" w:sz="2" w:space="0" w:color="000000"/>
              <w:bottom w:val="single" w:sz="2" w:space="0" w:color="000000"/>
              <w:right w:val="single" w:sz="2" w:space="0" w:color="000000"/>
            </w:tcBorders>
            <w:shd w:val="clear" w:color="auto" w:fill="BDD7EE"/>
            <w:vAlign w:val="center"/>
            <w:hideMark/>
          </w:tcPr>
          <w:p w14:paraId="17AA29B2" w14:textId="77777777" w:rsidR="00C45D59" w:rsidRDefault="009B0962">
            <w:pPr>
              <w:pStyle w:val="P68B1DB1-Normal41"/>
              <w:spacing w:after="0" w:line="240" w:lineRule="auto"/>
              <w:jc w:val="center"/>
              <w:rPr>
                <w:rFonts w:eastAsia="Times New Roman" w:cs="Times New Roman"/>
                <w:bCs/>
                <w:noProof/>
              </w:rPr>
            </w:pPr>
            <w:r>
              <w:rPr>
                <w:noProof/>
              </w:rPr>
              <w:t>Măsură conexă (reformă sau investiții)</w:t>
            </w:r>
          </w:p>
        </w:tc>
        <w:tc>
          <w:tcPr>
            <w:tcW w:w="1150" w:type="dxa"/>
            <w:vMerge w:val="restart"/>
            <w:tcBorders>
              <w:top w:val="single" w:sz="2" w:space="0" w:color="000000"/>
              <w:left w:val="single" w:sz="2" w:space="0" w:color="000000"/>
              <w:bottom w:val="single" w:sz="2" w:space="0" w:color="000000"/>
              <w:right w:val="single" w:sz="2" w:space="0" w:color="000000"/>
            </w:tcBorders>
            <w:shd w:val="clear" w:color="auto" w:fill="BDD7EE"/>
            <w:vAlign w:val="center"/>
            <w:hideMark/>
          </w:tcPr>
          <w:p w14:paraId="760E3E05" w14:textId="77777777" w:rsidR="00C45D59" w:rsidRDefault="009B0962">
            <w:pPr>
              <w:pStyle w:val="P68B1DB1-Normal41"/>
              <w:spacing w:after="0" w:line="240" w:lineRule="auto"/>
              <w:jc w:val="center"/>
              <w:rPr>
                <w:rFonts w:eastAsia="Times New Roman" w:cs="Times New Roman"/>
                <w:bCs/>
                <w:noProof/>
              </w:rPr>
            </w:pPr>
            <w:r>
              <w:rPr>
                <w:noProof/>
              </w:rPr>
              <w:t>Etapă/Obiectiv</w:t>
            </w:r>
          </w:p>
        </w:tc>
        <w:tc>
          <w:tcPr>
            <w:tcW w:w="1393" w:type="dxa"/>
            <w:vMerge w:val="restart"/>
            <w:tcBorders>
              <w:top w:val="single" w:sz="2" w:space="0" w:color="000000"/>
              <w:left w:val="single" w:sz="2" w:space="0" w:color="000000"/>
              <w:bottom w:val="single" w:sz="2" w:space="0" w:color="000000"/>
              <w:right w:val="single" w:sz="2" w:space="0" w:color="000000"/>
            </w:tcBorders>
            <w:shd w:val="clear" w:color="auto" w:fill="BDD7EE"/>
            <w:vAlign w:val="center"/>
            <w:hideMark/>
          </w:tcPr>
          <w:p w14:paraId="1B6E340A" w14:textId="77777777" w:rsidR="00C45D59" w:rsidRDefault="009B0962">
            <w:pPr>
              <w:pStyle w:val="P68B1DB1-Normal41"/>
              <w:spacing w:after="0" w:line="240" w:lineRule="auto"/>
              <w:jc w:val="center"/>
              <w:rPr>
                <w:rFonts w:eastAsia="Times New Roman" w:cs="Times New Roman"/>
                <w:bCs/>
                <w:noProof/>
              </w:rPr>
            </w:pPr>
            <w:r>
              <w:rPr>
                <w:noProof/>
              </w:rPr>
              <w:t>Nume</w:t>
            </w:r>
          </w:p>
        </w:tc>
        <w:tc>
          <w:tcPr>
            <w:tcW w:w="1534" w:type="dxa"/>
            <w:vMerge w:val="restart"/>
            <w:tcBorders>
              <w:top w:val="single" w:sz="2" w:space="0" w:color="000000"/>
              <w:left w:val="single" w:sz="2" w:space="0" w:color="000000"/>
              <w:bottom w:val="single" w:sz="2" w:space="0" w:color="000000"/>
              <w:right w:val="single" w:sz="2" w:space="0" w:color="000000"/>
            </w:tcBorders>
            <w:shd w:val="clear" w:color="auto" w:fill="BDD7EE"/>
            <w:vAlign w:val="center"/>
            <w:hideMark/>
          </w:tcPr>
          <w:p w14:paraId="6DCF1E99" w14:textId="77777777" w:rsidR="00C45D59" w:rsidRDefault="009B0962">
            <w:pPr>
              <w:pStyle w:val="P68B1DB1-Normal41"/>
              <w:spacing w:after="0" w:line="240" w:lineRule="auto"/>
              <w:jc w:val="center"/>
              <w:rPr>
                <w:rFonts w:eastAsia="Times New Roman" w:cs="Times New Roman"/>
                <w:bCs/>
                <w:noProof/>
              </w:rPr>
            </w:pPr>
            <w:r>
              <w:rPr>
                <w:noProof/>
              </w:rPr>
              <w:t>Indicatori calitativi (pentru obiectivele de etapă)</w:t>
            </w:r>
          </w:p>
        </w:tc>
        <w:tc>
          <w:tcPr>
            <w:tcW w:w="2492" w:type="dxa"/>
            <w:gridSpan w:val="3"/>
            <w:tcBorders>
              <w:top w:val="single" w:sz="2" w:space="0" w:color="000000"/>
              <w:left w:val="single" w:sz="2" w:space="0" w:color="000000"/>
              <w:bottom w:val="single" w:sz="2" w:space="0" w:color="000000"/>
              <w:right w:val="single" w:sz="2" w:space="0" w:color="000000"/>
            </w:tcBorders>
            <w:shd w:val="clear" w:color="auto" w:fill="BDD7EE"/>
            <w:vAlign w:val="center"/>
            <w:hideMark/>
          </w:tcPr>
          <w:p w14:paraId="3DD5D1E9" w14:textId="77777777" w:rsidR="00C45D59" w:rsidRDefault="009B0962">
            <w:pPr>
              <w:pStyle w:val="P68B1DB1-Normal41"/>
              <w:spacing w:after="0" w:line="240" w:lineRule="auto"/>
              <w:jc w:val="center"/>
              <w:rPr>
                <w:rFonts w:eastAsia="Times New Roman" w:cs="Times New Roman"/>
                <w:bCs/>
                <w:noProof/>
              </w:rPr>
            </w:pPr>
            <w:r>
              <w:rPr>
                <w:noProof/>
              </w:rPr>
              <w:t>Indicatori cantitativi (pentru ținte)</w:t>
            </w:r>
          </w:p>
        </w:tc>
        <w:tc>
          <w:tcPr>
            <w:tcW w:w="1559" w:type="dxa"/>
            <w:gridSpan w:val="2"/>
            <w:tcBorders>
              <w:top w:val="single" w:sz="2" w:space="0" w:color="000000"/>
              <w:left w:val="single" w:sz="2" w:space="0" w:color="000000"/>
              <w:bottom w:val="single" w:sz="2" w:space="0" w:color="000000"/>
              <w:right w:val="single" w:sz="2" w:space="0" w:color="000000"/>
            </w:tcBorders>
            <w:shd w:val="clear" w:color="auto" w:fill="BDD7EE"/>
            <w:vAlign w:val="center"/>
            <w:hideMark/>
          </w:tcPr>
          <w:p w14:paraId="4EE2BB13" w14:textId="77777777" w:rsidR="00C45D59" w:rsidRDefault="009B0962">
            <w:pPr>
              <w:pStyle w:val="P68B1DB1-Normal41"/>
              <w:spacing w:after="0" w:line="240" w:lineRule="auto"/>
              <w:jc w:val="center"/>
              <w:rPr>
                <w:rFonts w:eastAsia="Times New Roman" w:cs="Times New Roman"/>
                <w:bCs/>
                <w:noProof/>
              </w:rPr>
            </w:pPr>
            <w:r>
              <w:rPr>
                <w:noProof/>
              </w:rPr>
              <w:t xml:space="preserve">Calendar orientativ pentru finalizare </w:t>
            </w:r>
          </w:p>
        </w:tc>
        <w:tc>
          <w:tcPr>
            <w:tcW w:w="5110" w:type="dxa"/>
            <w:vMerge w:val="restart"/>
            <w:tcBorders>
              <w:top w:val="single" w:sz="2" w:space="0" w:color="000000"/>
              <w:left w:val="single" w:sz="2" w:space="0" w:color="000000"/>
              <w:bottom w:val="single" w:sz="2" w:space="0" w:color="000000"/>
              <w:right w:val="single" w:sz="2" w:space="0" w:color="000000"/>
            </w:tcBorders>
            <w:shd w:val="clear" w:color="auto" w:fill="BDD7EE"/>
            <w:vAlign w:val="center"/>
            <w:hideMark/>
          </w:tcPr>
          <w:p w14:paraId="6B2FA32A" w14:textId="77777777" w:rsidR="00C45D59" w:rsidRDefault="009B0962">
            <w:pPr>
              <w:pStyle w:val="P68B1DB1-Normal41"/>
              <w:spacing w:after="0" w:line="240" w:lineRule="auto"/>
              <w:jc w:val="center"/>
              <w:rPr>
                <w:rFonts w:eastAsia="Times New Roman" w:cs="Times New Roman"/>
                <w:bCs/>
                <w:noProof/>
              </w:rPr>
            </w:pPr>
            <w:r>
              <w:rPr>
                <w:noProof/>
              </w:rPr>
              <w:t>Descrierea fiecărui jalon și a fiecărei ținte</w:t>
            </w:r>
          </w:p>
        </w:tc>
      </w:tr>
      <w:tr w:rsidR="00C45D59" w14:paraId="1DBC3379" w14:textId="77777777">
        <w:trPr>
          <w:trHeight w:val="532"/>
          <w:tblHeader/>
          <w:jc w:val="center"/>
        </w:trPr>
        <w:tc>
          <w:tcPr>
            <w:tcW w:w="666" w:type="dxa"/>
            <w:vMerge/>
            <w:tcBorders>
              <w:top w:val="single" w:sz="2" w:space="0" w:color="000000"/>
              <w:left w:val="single" w:sz="2" w:space="0" w:color="000000"/>
              <w:bottom w:val="single" w:sz="2" w:space="0" w:color="000000"/>
              <w:right w:val="single" w:sz="2" w:space="0" w:color="000000"/>
            </w:tcBorders>
            <w:vAlign w:val="center"/>
            <w:hideMark/>
          </w:tcPr>
          <w:p w14:paraId="3A9FAD0D" w14:textId="77777777" w:rsidR="00C45D59" w:rsidRDefault="00C45D59">
            <w:pPr>
              <w:spacing w:after="0" w:line="240" w:lineRule="auto"/>
              <w:rPr>
                <w:rFonts w:ascii="Times New Roman" w:eastAsia="Times New Roman" w:hAnsi="Times New Roman" w:cs="Times New Roman"/>
                <w:b/>
                <w:bCs/>
                <w:noProof/>
                <w:sz w:val="18"/>
                <w:szCs w:val="18"/>
              </w:rPr>
            </w:pPr>
          </w:p>
        </w:tc>
        <w:tc>
          <w:tcPr>
            <w:tcW w:w="1974" w:type="dxa"/>
            <w:vMerge/>
            <w:tcBorders>
              <w:top w:val="single" w:sz="2" w:space="0" w:color="000000"/>
              <w:left w:val="single" w:sz="2" w:space="0" w:color="000000"/>
              <w:bottom w:val="single" w:sz="2" w:space="0" w:color="000000"/>
              <w:right w:val="single" w:sz="2" w:space="0" w:color="000000"/>
            </w:tcBorders>
            <w:vAlign w:val="center"/>
            <w:hideMark/>
          </w:tcPr>
          <w:p w14:paraId="1ABEA809" w14:textId="77777777" w:rsidR="00C45D59" w:rsidRDefault="00C45D59">
            <w:pPr>
              <w:spacing w:after="0" w:line="240" w:lineRule="auto"/>
              <w:rPr>
                <w:rFonts w:ascii="Times New Roman" w:eastAsia="Times New Roman" w:hAnsi="Times New Roman" w:cs="Times New Roman"/>
                <w:b/>
                <w:bCs/>
                <w:noProof/>
                <w:sz w:val="18"/>
                <w:szCs w:val="18"/>
              </w:rPr>
            </w:pPr>
          </w:p>
        </w:tc>
        <w:tc>
          <w:tcPr>
            <w:tcW w:w="1150" w:type="dxa"/>
            <w:vMerge/>
            <w:tcBorders>
              <w:top w:val="single" w:sz="2" w:space="0" w:color="000000"/>
              <w:left w:val="single" w:sz="2" w:space="0" w:color="000000"/>
              <w:bottom w:val="single" w:sz="2" w:space="0" w:color="000000"/>
              <w:right w:val="single" w:sz="2" w:space="0" w:color="000000"/>
            </w:tcBorders>
            <w:vAlign w:val="center"/>
            <w:hideMark/>
          </w:tcPr>
          <w:p w14:paraId="1F4132B8" w14:textId="77777777" w:rsidR="00C45D59" w:rsidRDefault="00C45D59">
            <w:pPr>
              <w:spacing w:after="0" w:line="240" w:lineRule="auto"/>
              <w:rPr>
                <w:rFonts w:ascii="Times New Roman" w:eastAsia="Times New Roman" w:hAnsi="Times New Roman" w:cs="Times New Roman"/>
                <w:b/>
                <w:bCs/>
                <w:noProof/>
                <w:sz w:val="18"/>
                <w:szCs w:val="18"/>
              </w:rPr>
            </w:pPr>
          </w:p>
        </w:tc>
        <w:tc>
          <w:tcPr>
            <w:tcW w:w="1393" w:type="dxa"/>
            <w:vMerge/>
            <w:tcBorders>
              <w:top w:val="single" w:sz="2" w:space="0" w:color="000000"/>
              <w:left w:val="single" w:sz="2" w:space="0" w:color="000000"/>
              <w:bottom w:val="single" w:sz="2" w:space="0" w:color="000000"/>
              <w:right w:val="single" w:sz="2" w:space="0" w:color="000000"/>
            </w:tcBorders>
            <w:vAlign w:val="center"/>
            <w:hideMark/>
          </w:tcPr>
          <w:p w14:paraId="23438155" w14:textId="77777777" w:rsidR="00C45D59" w:rsidRDefault="00C45D59">
            <w:pPr>
              <w:spacing w:after="0" w:line="240" w:lineRule="auto"/>
              <w:rPr>
                <w:rFonts w:ascii="Times New Roman" w:eastAsia="Times New Roman" w:hAnsi="Times New Roman" w:cs="Times New Roman"/>
                <w:b/>
                <w:bCs/>
                <w:noProof/>
                <w:sz w:val="18"/>
                <w:szCs w:val="18"/>
              </w:rPr>
            </w:pPr>
          </w:p>
        </w:tc>
        <w:tc>
          <w:tcPr>
            <w:tcW w:w="1534" w:type="dxa"/>
            <w:vMerge/>
            <w:tcBorders>
              <w:top w:val="single" w:sz="2" w:space="0" w:color="000000"/>
              <w:left w:val="single" w:sz="2" w:space="0" w:color="000000"/>
              <w:bottom w:val="single" w:sz="2" w:space="0" w:color="000000"/>
              <w:right w:val="single" w:sz="2" w:space="0" w:color="000000"/>
            </w:tcBorders>
            <w:vAlign w:val="center"/>
            <w:hideMark/>
          </w:tcPr>
          <w:p w14:paraId="6FC54E1A" w14:textId="77777777" w:rsidR="00C45D59" w:rsidRDefault="00C45D59">
            <w:pPr>
              <w:spacing w:after="0" w:line="240" w:lineRule="auto"/>
              <w:rPr>
                <w:rFonts w:ascii="Times New Roman" w:eastAsia="Times New Roman" w:hAnsi="Times New Roman" w:cs="Times New Roman"/>
                <w:b/>
                <w:bCs/>
                <w:noProof/>
                <w:sz w:val="18"/>
                <w:szCs w:val="18"/>
              </w:rPr>
            </w:pPr>
          </w:p>
        </w:tc>
        <w:tc>
          <w:tcPr>
            <w:tcW w:w="933" w:type="dxa"/>
            <w:tcBorders>
              <w:top w:val="single" w:sz="2" w:space="0" w:color="000000"/>
              <w:left w:val="single" w:sz="2" w:space="0" w:color="000000"/>
              <w:bottom w:val="single" w:sz="2" w:space="0" w:color="000000"/>
              <w:right w:val="single" w:sz="2" w:space="0" w:color="000000"/>
            </w:tcBorders>
            <w:shd w:val="clear" w:color="auto" w:fill="BDD7EE"/>
            <w:vAlign w:val="center"/>
            <w:hideMark/>
          </w:tcPr>
          <w:p w14:paraId="7F522C6F" w14:textId="77777777" w:rsidR="00C45D59" w:rsidRDefault="009B0962">
            <w:pPr>
              <w:pStyle w:val="P68B1DB1-Normal41"/>
              <w:spacing w:after="0" w:line="240" w:lineRule="auto"/>
              <w:jc w:val="center"/>
              <w:rPr>
                <w:rFonts w:eastAsia="Times New Roman" w:cs="Times New Roman"/>
                <w:bCs/>
                <w:noProof/>
              </w:rPr>
            </w:pPr>
            <w:r>
              <w:rPr>
                <w:noProof/>
              </w:rPr>
              <w:t>Unitatea de măsură</w:t>
            </w:r>
          </w:p>
        </w:tc>
        <w:tc>
          <w:tcPr>
            <w:tcW w:w="857" w:type="dxa"/>
            <w:tcBorders>
              <w:top w:val="single" w:sz="2" w:space="0" w:color="000000"/>
              <w:left w:val="single" w:sz="2" w:space="0" w:color="000000"/>
              <w:bottom w:val="single" w:sz="2" w:space="0" w:color="000000"/>
              <w:right w:val="single" w:sz="2" w:space="0" w:color="000000"/>
            </w:tcBorders>
            <w:shd w:val="clear" w:color="auto" w:fill="BDD7EE"/>
            <w:vAlign w:val="center"/>
            <w:hideMark/>
          </w:tcPr>
          <w:p w14:paraId="0E7F9B3C" w14:textId="77777777" w:rsidR="00C45D59" w:rsidRDefault="009B0962">
            <w:pPr>
              <w:pStyle w:val="P68B1DB1-Normal41"/>
              <w:spacing w:after="0" w:line="240" w:lineRule="auto"/>
              <w:jc w:val="center"/>
              <w:rPr>
                <w:rFonts w:eastAsia="Times New Roman" w:cs="Times New Roman"/>
                <w:bCs/>
                <w:noProof/>
              </w:rPr>
            </w:pPr>
            <w:r>
              <w:rPr>
                <w:noProof/>
              </w:rPr>
              <w:t xml:space="preserve">Situația de referință </w:t>
            </w:r>
          </w:p>
        </w:tc>
        <w:tc>
          <w:tcPr>
            <w:tcW w:w="702" w:type="dxa"/>
            <w:tcBorders>
              <w:top w:val="single" w:sz="2" w:space="0" w:color="000000"/>
              <w:left w:val="single" w:sz="2" w:space="0" w:color="000000"/>
              <w:bottom w:val="single" w:sz="2" w:space="0" w:color="000000"/>
              <w:right w:val="single" w:sz="2" w:space="0" w:color="000000"/>
            </w:tcBorders>
            <w:shd w:val="clear" w:color="auto" w:fill="BDD7EE"/>
            <w:vAlign w:val="center"/>
            <w:hideMark/>
          </w:tcPr>
          <w:p w14:paraId="5072F87B" w14:textId="77777777" w:rsidR="00C45D59" w:rsidRDefault="009B0962">
            <w:pPr>
              <w:pStyle w:val="P68B1DB1-Normal41"/>
              <w:spacing w:after="0" w:line="240" w:lineRule="auto"/>
              <w:jc w:val="center"/>
              <w:rPr>
                <w:rFonts w:eastAsia="Times New Roman" w:cs="Times New Roman"/>
                <w:bCs/>
                <w:noProof/>
              </w:rPr>
            </w:pPr>
            <w:r>
              <w:rPr>
                <w:noProof/>
              </w:rPr>
              <w:t xml:space="preserve">Obiectiv </w:t>
            </w:r>
          </w:p>
        </w:tc>
        <w:tc>
          <w:tcPr>
            <w:tcW w:w="851" w:type="dxa"/>
            <w:tcBorders>
              <w:top w:val="single" w:sz="2" w:space="0" w:color="000000"/>
              <w:left w:val="single" w:sz="2" w:space="0" w:color="000000"/>
              <w:bottom w:val="single" w:sz="2" w:space="0" w:color="000000"/>
              <w:right w:val="single" w:sz="2" w:space="0" w:color="000000"/>
            </w:tcBorders>
            <w:shd w:val="clear" w:color="auto" w:fill="BDD7EE"/>
            <w:vAlign w:val="center"/>
            <w:hideMark/>
          </w:tcPr>
          <w:p w14:paraId="65B35C8D" w14:textId="77777777" w:rsidR="00C45D59" w:rsidRDefault="009B0962">
            <w:pPr>
              <w:pStyle w:val="P68B1DB1-Normal41"/>
              <w:spacing w:after="0" w:line="240" w:lineRule="auto"/>
              <w:jc w:val="center"/>
              <w:rPr>
                <w:rFonts w:eastAsia="Times New Roman" w:cs="Times New Roman"/>
                <w:bCs/>
                <w:noProof/>
              </w:rPr>
            </w:pPr>
            <w:r>
              <w:rPr>
                <w:noProof/>
              </w:rPr>
              <w:t>Trimestru</w:t>
            </w:r>
          </w:p>
        </w:tc>
        <w:tc>
          <w:tcPr>
            <w:tcW w:w="708" w:type="dxa"/>
            <w:tcBorders>
              <w:top w:val="single" w:sz="2" w:space="0" w:color="000000"/>
              <w:left w:val="single" w:sz="2" w:space="0" w:color="000000"/>
              <w:bottom w:val="single" w:sz="2" w:space="0" w:color="000000"/>
              <w:right w:val="single" w:sz="2" w:space="0" w:color="000000"/>
            </w:tcBorders>
            <w:shd w:val="clear" w:color="auto" w:fill="BDD7EE"/>
            <w:vAlign w:val="center"/>
            <w:hideMark/>
          </w:tcPr>
          <w:p w14:paraId="2CF26D35" w14:textId="77777777" w:rsidR="00C45D59" w:rsidRDefault="009B0962">
            <w:pPr>
              <w:pStyle w:val="P68B1DB1-Normal41"/>
              <w:spacing w:after="0" w:line="240" w:lineRule="auto"/>
              <w:jc w:val="center"/>
              <w:rPr>
                <w:rFonts w:eastAsia="Times New Roman" w:cs="Times New Roman"/>
                <w:bCs/>
                <w:noProof/>
              </w:rPr>
            </w:pPr>
            <w:r>
              <w:rPr>
                <w:noProof/>
              </w:rPr>
              <w:t>Anul</w:t>
            </w:r>
          </w:p>
        </w:tc>
        <w:tc>
          <w:tcPr>
            <w:tcW w:w="5110" w:type="dxa"/>
            <w:vMerge/>
            <w:tcBorders>
              <w:top w:val="single" w:sz="2" w:space="0" w:color="000000"/>
              <w:left w:val="single" w:sz="2" w:space="0" w:color="000000"/>
              <w:bottom w:val="single" w:sz="2" w:space="0" w:color="000000"/>
              <w:right w:val="single" w:sz="2" w:space="0" w:color="000000"/>
            </w:tcBorders>
            <w:vAlign w:val="center"/>
            <w:hideMark/>
          </w:tcPr>
          <w:p w14:paraId="6B5457E1" w14:textId="77777777" w:rsidR="00C45D59" w:rsidRDefault="00C45D59">
            <w:pPr>
              <w:spacing w:after="0" w:line="240" w:lineRule="auto"/>
              <w:rPr>
                <w:rFonts w:ascii="Times New Roman" w:eastAsia="Times New Roman" w:hAnsi="Times New Roman" w:cs="Times New Roman"/>
                <w:b/>
                <w:bCs/>
                <w:noProof/>
                <w:sz w:val="18"/>
                <w:szCs w:val="18"/>
              </w:rPr>
            </w:pPr>
          </w:p>
        </w:tc>
      </w:tr>
      <w:tr w:rsidR="00C45D59" w14:paraId="7C52C8A7" w14:textId="77777777">
        <w:trPr>
          <w:trHeight w:val="313"/>
          <w:jc w:val="center"/>
        </w:trPr>
        <w:tc>
          <w:tcPr>
            <w:tcW w:w="666" w:type="dxa"/>
            <w:tcBorders>
              <w:top w:val="single" w:sz="2" w:space="0" w:color="000000"/>
              <w:left w:val="single" w:sz="2" w:space="0" w:color="000000"/>
              <w:bottom w:val="single" w:sz="2" w:space="0" w:color="000000"/>
              <w:right w:val="single" w:sz="2" w:space="0" w:color="000000"/>
            </w:tcBorders>
            <w:shd w:val="clear" w:color="auto" w:fill="C6EFCE"/>
            <w:noWrap/>
          </w:tcPr>
          <w:p w14:paraId="580F6F9D" w14:textId="77777777" w:rsidR="00C45D59" w:rsidRDefault="009B0962">
            <w:pPr>
              <w:pStyle w:val="P68B1DB1-Normal12"/>
              <w:spacing w:after="0" w:line="240" w:lineRule="auto"/>
              <w:rPr>
                <w:rFonts w:eastAsia="Times New Roman"/>
                <w:noProof/>
              </w:rPr>
            </w:pPr>
            <w:r>
              <w:rPr>
                <w:noProof/>
              </w:rPr>
              <w:t>209</w:t>
            </w:r>
          </w:p>
        </w:tc>
        <w:tc>
          <w:tcPr>
            <w:tcW w:w="1974" w:type="dxa"/>
            <w:tcBorders>
              <w:top w:val="single" w:sz="2" w:space="0" w:color="000000"/>
              <w:left w:val="single" w:sz="2" w:space="0" w:color="000000"/>
              <w:bottom w:val="single" w:sz="2" w:space="0" w:color="000000"/>
              <w:right w:val="single" w:sz="2" w:space="0" w:color="000000"/>
            </w:tcBorders>
            <w:shd w:val="clear" w:color="auto" w:fill="C6EFCE"/>
            <w:noWrap/>
          </w:tcPr>
          <w:p w14:paraId="6339BEE3" w14:textId="77777777" w:rsidR="00C45D59" w:rsidRDefault="009B0962">
            <w:pPr>
              <w:pStyle w:val="P68B1DB1-Normal12"/>
              <w:spacing w:after="0" w:line="240" w:lineRule="auto"/>
              <w:rPr>
                <w:rFonts w:eastAsia="Times New Roman"/>
                <w:noProof/>
              </w:rPr>
            </w:pPr>
            <w:r>
              <w:rPr>
                <w:noProof/>
              </w:rPr>
              <w:t>13-4.2. Modernizarea administrației publice, inclusiv prin accelerarea punerii în aplicare a investițiilor publice, îmbunătățirea cadrului privind achizițiile publice, măsuri de consolidare a capacităților și combaterea corupției – 16978_Combaterea eficientă a corupției</w:t>
            </w:r>
          </w:p>
        </w:tc>
        <w:tc>
          <w:tcPr>
            <w:tcW w:w="1150" w:type="dxa"/>
            <w:tcBorders>
              <w:top w:val="single" w:sz="2" w:space="0" w:color="000000"/>
              <w:left w:val="single" w:sz="2" w:space="0" w:color="000000"/>
              <w:bottom w:val="single" w:sz="2" w:space="0" w:color="000000"/>
              <w:right w:val="single" w:sz="2" w:space="0" w:color="000000"/>
            </w:tcBorders>
            <w:shd w:val="clear" w:color="auto" w:fill="C6EFCE"/>
            <w:noWrap/>
          </w:tcPr>
          <w:p w14:paraId="395CF709" w14:textId="77777777" w:rsidR="00C45D59" w:rsidRDefault="009B0962">
            <w:pPr>
              <w:pStyle w:val="P68B1DB1-Normal12"/>
              <w:spacing w:after="0" w:line="240" w:lineRule="auto"/>
              <w:rPr>
                <w:rFonts w:eastAsia="Times New Roman"/>
                <w:noProof/>
              </w:rPr>
            </w:pPr>
            <w:r>
              <w:rPr>
                <w:noProof/>
              </w:rPr>
              <w:t>Etapă</w:t>
            </w:r>
          </w:p>
        </w:tc>
        <w:tc>
          <w:tcPr>
            <w:tcW w:w="1393" w:type="dxa"/>
            <w:tcBorders>
              <w:top w:val="single" w:sz="2" w:space="0" w:color="000000"/>
              <w:left w:val="single" w:sz="2" w:space="0" w:color="000000"/>
              <w:bottom w:val="single" w:sz="2" w:space="0" w:color="000000"/>
              <w:right w:val="single" w:sz="2" w:space="0" w:color="000000"/>
            </w:tcBorders>
            <w:shd w:val="clear" w:color="auto" w:fill="C6EFCE"/>
            <w:noWrap/>
          </w:tcPr>
          <w:p w14:paraId="3E7DF5AD" w14:textId="77777777" w:rsidR="00C45D59" w:rsidRDefault="009B0962">
            <w:pPr>
              <w:pStyle w:val="P68B1DB1-Normal12"/>
              <w:spacing w:after="0" w:line="240" w:lineRule="auto"/>
              <w:rPr>
                <w:rFonts w:eastAsia="Times New Roman"/>
                <w:noProof/>
              </w:rPr>
            </w:pPr>
            <w:r>
              <w:rPr>
                <w:noProof/>
              </w:rPr>
              <w:t>Declarațiile de avere și partidele politice</w:t>
            </w:r>
          </w:p>
        </w:tc>
        <w:tc>
          <w:tcPr>
            <w:tcW w:w="1534" w:type="dxa"/>
            <w:tcBorders>
              <w:top w:val="single" w:sz="2" w:space="0" w:color="000000"/>
              <w:left w:val="single" w:sz="2" w:space="0" w:color="000000"/>
              <w:bottom w:val="single" w:sz="2" w:space="0" w:color="000000"/>
              <w:right w:val="single" w:sz="2" w:space="0" w:color="000000"/>
            </w:tcBorders>
            <w:shd w:val="clear" w:color="auto" w:fill="C6EFCE"/>
            <w:noWrap/>
          </w:tcPr>
          <w:p w14:paraId="0146CCC9" w14:textId="77777777" w:rsidR="00C45D59" w:rsidRDefault="009B0962">
            <w:pPr>
              <w:pStyle w:val="P68B1DB1-Normal12"/>
              <w:spacing w:after="0" w:line="240" w:lineRule="auto"/>
              <w:rPr>
                <w:rFonts w:eastAsia="Times New Roman"/>
                <w:noProof/>
              </w:rPr>
            </w:pPr>
            <w:r>
              <w:rPr>
                <w:noProof/>
              </w:rPr>
              <w:t>Intrarea în vigoare a noii legislații</w:t>
            </w:r>
          </w:p>
        </w:tc>
        <w:tc>
          <w:tcPr>
            <w:tcW w:w="933" w:type="dxa"/>
            <w:tcBorders>
              <w:top w:val="single" w:sz="2" w:space="0" w:color="000000"/>
              <w:left w:val="single" w:sz="2" w:space="0" w:color="000000"/>
              <w:bottom w:val="single" w:sz="2" w:space="0" w:color="000000"/>
              <w:right w:val="single" w:sz="2" w:space="0" w:color="000000"/>
            </w:tcBorders>
            <w:shd w:val="clear" w:color="auto" w:fill="C6EFCE"/>
            <w:noWrap/>
          </w:tcPr>
          <w:p w14:paraId="142AF3D1"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57" w:type="dxa"/>
            <w:tcBorders>
              <w:top w:val="single" w:sz="2" w:space="0" w:color="000000"/>
              <w:left w:val="single" w:sz="2" w:space="0" w:color="000000"/>
              <w:bottom w:val="single" w:sz="2" w:space="0" w:color="000000"/>
              <w:right w:val="single" w:sz="2" w:space="0" w:color="000000"/>
            </w:tcBorders>
            <w:shd w:val="clear" w:color="auto" w:fill="C6EFCE"/>
            <w:noWrap/>
          </w:tcPr>
          <w:p w14:paraId="4ED866A1"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702" w:type="dxa"/>
            <w:tcBorders>
              <w:top w:val="single" w:sz="2" w:space="0" w:color="000000"/>
              <w:left w:val="single" w:sz="2" w:space="0" w:color="000000"/>
              <w:bottom w:val="single" w:sz="2" w:space="0" w:color="000000"/>
              <w:right w:val="single" w:sz="2" w:space="0" w:color="000000"/>
            </w:tcBorders>
            <w:shd w:val="clear" w:color="auto" w:fill="C6EFCE"/>
            <w:noWrap/>
          </w:tcPr>
          <w:p w14:paraId="5EE5FB53"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51" w:type="dxa"/>
            <w:tcBorders>
              <w:top w:val="single" w:sz="2" w:space="0" w:color="000000"/>
              <w:left w:val="single" w:sz="2" w:space="0" w:color="000000"/>
              <w:bottom w:val="single" w:sz="2" w:space="0" w:color="000000"/>
              <w:right w:val="single" w:sz="2" w:space="0" w:color="000000"/>
            </w:tcBorders>
            <w:shd w:val="clear" w:color="auto" w:fill="C6EFCE"/>
            <w:noWrap/>
          </w:tcPr>
          <w:p w14:paraId="37E79697" w14:textId="77777777" w:rsidR="00C45D59" w:rsidRDefault="009B0962">
            <w:pPr>
              <w:pStyle w:val="P68B1DB1-Normal12"/>
              <w:spacing w:after="0" w:line="240" w:lineRule="auto"/>
              <w:rPr>
                <w:rFonts w:eastAsia="Times New Roman"/>
                <w:noProof/>
              </w:rPr>
            </w:pPr>
            <w:r>
              <w:rPr>
                <w:noProof/>
              </w:rPr>
              <w:t>Î3</w:t>
            </w:r>
          </w:p>
        </w:tc>
        <w:tc>
          <w:tcPr>
            <w:tcW w:w="708" w:type="dxa"/>
            <w:tcBorders>
              <w:top w:val="single" w:sz="2" w:space="0" w:color="000000"/>
              <w:left w:val="single" w:sz="2" w:space="0" w:color="000000"/>
              <w:bottom w:val="single" w:sz="2" w:space="0" w:color="000000"/>
              <w:right w:val="single" w:sz="2" w:space="0" w:color="000000"/>
            </w:tcBorders>
            <w:shd w:val="clear" w:color="auto" w:fill="C6EFCE"/>
            <w:noWrap/>
          </w:tcPr>
          <w:p w14:paraId="4A88E6DC" w14:textId="77777777" w:rsidR="00C45D59" w:rsidRDefault="009B0962">
            <w:pPr>
              <w:pStyle w:val="P68B1DB1-Normal12"/>
              <w:spacing w:after="0" w:line="240" w:lineRule="auto"/>
              <w:rPr>
                <w:rFonts w:eastAsia="Times New Roman"/>
                <w:noProof/>
              </w:rPr>
            </w:pPr>
            <w:r>
              <w:rPr>
                <w:noProof/>
              </w:rPr>
              <w:t>2022</w:t>
            </w:r>
          </w:p>
        </w:tc>
        <w:tc>
          <w:tcPr>
            <w:tcW w:w="5110" w:type="dxa"/>
            <w:tcBorders>
              <w:top w:val="single" w:sz="2" w:space="0" w:color="000000"/>
              <w:left w:val="single" w:sz="2" w:space="0" w:color="000000"/>
              <w:bottom w:val="single" w:sz="2" w:space="0" w:color="000000"/>
              <w:right w:val="single" w:sz="2" w:space="0" w:color="000000"/>
            </w:tcBorders>
            <w:shd w:val="clear" w:color="auto" w:fill="C6EFCE"/>
            <w:noWrap/>
          </w:tcPr>
          <w:p w14:paraId="010D751F" w14:textId="77777777" w:rsidR="00C45D59" w:rsidRDefault="009B0962">
            <w:pPr>
              <w:pStyle w:val="P68B1DB1-Normal12"/>
              <w:spacing w:after="0" w:line="240" w:lineRule="auto"/>
              <w:rPr>
                <w:rFonts w:eastAsia="Times New Roman"/>
                <w:noProof/>
              </w:rPr>
            </w:pPr>
            <w:r>
              <w:rPr>
                <w:noProof/>
              </w:rPr>
              <w:t xml:space="preserve">Intrarea în vigoare a noii legislații privind: (I) declarațiile de avere; (II) și codificarea legislației privind partidele politice. </w:t>
            </w:r>
          </w:p>
        </w:tc>
      </w:tr>
      <w:tr w:rsidR="00C45D59" w14:paraId="66D9C4C6" w14:textId="77777777">
        <w:trPr>
          <w:trHeight w:val="313"/>
          <w:jc w:val="center"/>
        </w:trPr>
        <w:tc>
          <w:tcPr>
            <w:tcW w:w="666" w:type="dxa"/>
            <w:tcBorders>
              <w:top w:val="single" w:sz="2" w:space="0" w:color="000000"/>
              <w:left w:val="single" w:sz="4" w:space="0" w:color="auto"/>
              <w:bottom w:val="single" w:sz="4" w:space="0" w:color="auto"/>
              <w:right w:val="single" w:sz="4" w:space="0" w:color="auto"/>
            </w:tcBorders>
            <w:shd w:val="clear" w:color="auto" w:fill="C6EFCE"/>
            <w:noWrap/>
          </w:tcPr>
          <w:p w14:paraId="0EE896D3" w14:textId="77777777" w:rsidR="00C45D59" w:rsidRDefault="009B0962">
            <w:pPr>
              <w:pStyle w:val="P68B1DB1-Normal12"/>
              <w:spacing w:after="0" w:line="240" w:lineRule="auto"/>
              <w:rPr>
                <w:rFonts w:eastAsia="Times New Roman"/>
                <w:noProof/>
              </w:rPr>
            </w:pPr>
            <w:r>
              <w:rPr>
                <w:noProof/>
              </w:rPr>
              <w:t>210</w:t>
            </w:r>
          </w:p>
        </w:tc>
        <w:tc>
          <w:tcPr>
            <w:tcW w:w="1974" w:type="dxa"/>
            <w:tcBorders>
              <w:top w:val="single" w:sz="2" w:space="0" w:color="000000"/>
              <w:left w:val="nil"/>
              <w:bottom w:val="single" w:sz="4" w:space="0" w:color="auto"/>
              <w:right w:val="single" w:sz="4" w:space="0" w:color="auto"/>
            </w:tcBorders>
            <w:shd w:val="clear" w:color="auto" w:fill="C6EFCE"/>
            <w:noWrap/>
          </w:tcPr>
          <w:p w14:paraId="0BEEC7BD" w14:textId="77777777" w:rsidR="00C45D59" w:rsidRDefault="009B0962">
            <w:pPr>
              <w:pStyle w:val="P68B1DB1-Normal12"/>
              <w:spacing w:after="0" w:line="240" w:lineRule="auto"/>
              <w:rPr>
                <w:rFonts w:eastAsia="Times New Roman"/>
                <w:noProof/>
              </w:rPr>
            </w:pPr>
            <w:r>
              <w:rPr>
                <w:noProof/>
              </w:rPr>
              <w:t>13-4.2. Modernizarea administrației publice, inclusiv prin accelerarea punerii în aplicare a investițiilor publice, îmbunătățirea cadrului privind achizițiile publice, măsuri de consolidare a capacităților și combaterea corupției – 16952_Consolidarea cadrului național anticorupție prin intervenții specifice în domeniile detectării, prevenirii și sensibilizării</w:t>
            </w:r>
          </w:p>
        </w:tc>
        <w:tc>
          <w:tcPr>
            <w:tcW w:w="1150" w:type="dxa"/>
            <w:tcBorders>
              <w:top w:val="single" w:sz="2" w:space="0" w:color="000000"/>
              <w:left w:val="nil"/>
              <w:bottom w:val="single" w:sz="4" w:space="0" w:color="auto"/>
              <w:right w:val="single" w:sz="4" w:space="0" w:color="auto"/>
            </w:tcBorders>
            <w:shd w:val="clear" w:color="auto" w:fill="C6EFCE"/>
            <w:noWrap/>
          </w:tcPr>
          <w:p w14:paraId="62716225" w14:textId="77777777" w:rsidR="00C45D59" w:rsidRDefault="009B0962">
            <w:pPr>
              <w:pStyle w:val="P68B1DB1-Normal12"/>
              <w:spacing w:after="0" w:line="240" w:lineRule="auto"/>
              <w:rPr>
                <w:rFonts w:eastAsia="Times New Roman"/>
                <w:noProof/>
              </w:rPr>
            </w:pPr>
            <w:r>
              <w:rPr>
                <w:noProof/>
              </w:rPr>
              <w:t>Etapă</w:t>
            </w:r>
          </w:p>
        </w:tc>
        <w:tc>
          <w:tcPr>
            <w:tcW w:w="1393" w:type="dxa"/>
            <w:tcBorders>
              <w:top w:val="single" w:sz="2" w:space="0" w:color="000000"/>
              <w:left w:val="nil"/>
              <w:bottom w:val="single" w:sz="4" w:space="0" w:color="auto"/>
              <w:right w:val="single" w:sz="4" w:space="0" w:color="auto"/>
            </w:tcBorders>
            <w:shd w:val="clear" w:color="auto" w:fill="C6EFCE"/>
            <w:noWrap/>
          </w:tcPr>
          <w:p w14:paraId="32CF0008" w14:textId="77777777" w:rsidR="00C45D59" w:rsidRDefault="009B0962">
            <w:pPr>
              <w:pStyle w:val="P68B1DB1-Normal12"/>
              <w:spacing w:after="0" w:line="240" w:lineRule="auto"/>
              <w:rPr>
                <w:rFonts w:eastAsia="Times New Roman"/>
                <w:noProof/>
              </w:rPr>
            </w:pPr>
            <w:r>
              <w:rPr>
                <w:noProof/>
              </w:rPr>
              <w:t>Planul național de acțiune anticorupție</w:t>
            </w:r>
          </w:p>
        </w:tc>
        <w:tc>
          <w:tcPr>
            <w:tcW w:w="1534" w:type="dxa"/>
            <w:tcBorders>
              <w:top w:val="single" w:sz="2" w:space="0" w:color="000000"/>
              <w:left w:val="nil"/>
              <w:bottom w:val="single" w:sz="4" w:space="0" w:color="auto"/>
              <w:right w:val="single" w:sz="4" w:space="0" w:color="auto"/>
            </w:tcBorders>
            <w:shd w:val="clear" w:color="auto" w:fill="C6EFCE"/>
            <w:noWrap/>
          </w:tcPr>
          <w:p w14:paraId="4A40FD89" w14:textId="77777777" w:rsidR="00C45D59" w:rsidRDefault="009B0962">
            <w:pPr>
              <w:pStyle w:val="P68B1DB1-Normal12"/>
              <w:spacing w:after="0" w:line="240" w:lineRule="auto"/>
              <w:rPr>
                <w:rFonts w:eastAsia="Times New Roman"/>
                <w:noProof/>
              </w:rPr>
            </w:pPr>
            <w:r>
              <w:rPr>
                <w:noProof/>
              </w:rPr>
              <w:t>Adoptarea de către Autoritatea Națională pentru Transparență a Planului național de acțiune anticorupție pentru perioada 2022-2025</w:t>
            </w:r>
          </w:p>
        </w:tc>
        <w:tc>
          <w:tcPr>
            <w:tcW w:w="933" w:type="dxa"/>
            <w:tcBorders>
              <w:top w:val="single" w:sz="2" w:space="0" w:color="000000"/>
              <w:left w:val="nil"/>
              <w:bottom w:val="single" w:sz="4" w:space="0" w:color="auto"/>
              <w:right w:val="single" w:sz="4" w:space="0" w:color="auto"/>
            </w:tcBorders>
            <w:shd w:val="clear" w:color="auto" w:fill="C6EFCE"/>
            <w:noWrap/>
          </w:tcPr>
          <w:p w14:paraId="3A4B4750"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57" w:type="dxa"/>
            <w:tcBorders>
              <w:top w:val="single" w:sz="2" w:space="0" w:color="000000"/>
              <w:left w:val="nil"/>
              <w:bottom w:val="single" w:sz="4" w:space="0" w:color="auto"/>
              <w:right w:val="single" w:sz="4" w:space="0" w:color="auto"/>
            </w:tcBorders>
            <w:shd w:val="clear" w:color="auto" w:fill="C6EFCE"/>
            <w:noWrap/>
          </w:tcPr>
          <w:p w14:paraId="74FB9A08"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702" w:type="dxa"/>
            <w:tcBorders>
              <w:top w:val="single" w:sz="2" w:space="0" w:color="000000"/>
              <w:left w:val="nil"/>
              <w:bottom w:val="single" w:sz="4" w:space="0" w:color="auto"/>
              <w:right w:val="single" w:sz="4" w:space="0" w:color="auto"/>
            </w:tcBorders>
            <w:shd w:val="clear" w:color="auto" w:fill="C6EFCE"/>
            <w:noWrap/>
          </w:tcPr>
          <w:p w14:paraId="73511A2B"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51" w:type="dxa"/>
            <w:tcBorders>
              <w:top w:val="single" w:sz="2" w:space="0" w:color="000000"/>
              <w:left w:val="nil"/>
              <w:bottom w:val="single" w:sz="4" w:space="0" w:color="auto"/>
              <w:right w:val="single" w:sz="4" w:space="0" w:color="auto"/>
            </w:tcBorders>
            <w:shd w:val="clear" w:color="auto" w:fill="C6EFCE"/>
            <w:noWrap/>
          </w:tcPr>
          <w:p w14:paraId="0965C7CE" w14:textId="77777777" w:rsidR="00C45D59" w:rsidRDefault="009B0962">
            <w:pPr>
              <w:pStyle w:val="P68B1DB1-Normal12"/>
              <w:spacing w:after="0" w:line="240" w:lineRule="auto"/>
              <w:rPr>
                <w:rFonts w:eastAsia="Times New Roman"/>
                <w:noProof/>
              </w:rPr>
            </w:pPr>
            <w:r>
              <w:rPr>
                <w:noProof/>
              </w:rPr>
              <w:t>Î3</w:t>
            </w:r>
          </w:p>
        </w:tc>
        <w:tc>
          <w:tcPr>
            <w:tcW w:w="708" w:type="dxa"/>
            <w:tcBorders>
              <w:top w:val="single" w:sz="2" w:space="0" w:color="000000"/>
              <w:left w:val="nil"/>
              <w:bottom w:val="single" w:sz="4" w:space="0" w:color="auto"/>
              <w:right w:val="single" w:sz="4" w:space="0" w:color="auto"/>
            </w:tcBorders>
            <w:shd w:val="clear" w:color="auto" w:fill="C6EFCE"/>
            <w:noWrap/>
          </w:tcPr>
          <w:p w14:paraId="20AED7C5" w14:textId="77777777" w:rsidR="00C45D59" w:rsidRDefault="009B0962">
            <w:pPr>
              <w:pStyle w:val="P68B1DB1-Normal12"/>
              <w:spacing w:after="0" w:line="240" w:lineRule="auto"/>
              <w:rPr>
                <w:rFonts w:eastAsia="Times New Roman"/>
                <w:noProof/>
              </w:rPr>
            </w:pPr>
            <w:r>
              <w:rPr>
                <w:noProof/>
              </w:rPr>
              <w:t>2022</w:t>
            </w:r>
          </w:p>
        </w:tc>
        <w:tc>
          <w:tcPr>
            <w:tcW w:w="5110" w:type="dxa"/>
            <w:tcBorders>
              <w:top w:val="single" w:sz="2" w:space="0" w:color="000000"/>
              <w:left w:val="nil"/>
              <w:bottom w:val="single" w:sz="4" w:space="0" w:color="auto"/>
              <w:right w:val="single" w:sz="4" w:space="0" w:color="auto"/>
            </w:tcBorders>
            <w:shd w:val="clear" w:color="auto" w:fill="C6EFCE"/>
            <w:noWrap/>
          </w:tcPr>
          <w:p w14:paraId="6E98614D" w14:textId="77777777" w:rsidR="00C45D59" w:rsidRDefault="009B0962">
            <w:pPr>
              <w:pStyle w:val="P68B1DB1-Normal12"/>
              <w:spacing w:after="0" w:line="240" w:lineRule="auto"/>
              <w:rPr>
                <w:rFonts w:eastAsia="Times New Roman"/>
                <w:noProof/>
              </w:rPr>
            </w:pPr>
            <w:r>
              <w:rPr>
                <w:noProof/>
              </w:rPr>
              <w:t>Adoptarea de către Autoritatea Națională pentru Transparență a Planului național de acțiune anticorupție pentru perioada 2022-2025, inclusiv specificarea: (I) acțiuni de sporire a transparenței și a responsabilității în întreaga administrație publică; (II) intervenții specifice pentru detectarea și prevenirea corupției în domeniile cu risc ridicat (inclusiv, de exemplu, sănătatea, finanțele publice, investițiile); (III) intervențiile de reglementare necesare în anumite domenii de politică.</w:t>
            </w:r>
          </w:p>
        </w:tc>
      </w:tr>
      <w:tr w:rsidR="00C45D59" w14:paraId="2D12F9AB" w14:textId="77777777">
        <w:trPr>
          <w:trHeight w:val="313"/>
          <w:jc w:val="center"/>
        </w:trPr>
        <w:tc>
          <w:tcPr>
            <w:tcW w:w="666" w:type="dxa"/>
            <w:tcBorders>
              <w:top w:val="nil"/>
              <w:left w:val="single" w:sz="4" w:space="0" w:color="auto"/>
              <w:bottom w:val="single" w:sz="4" w:space="0" w:color="auto"/>
              <w:right w:val="single" w:sz="4" w:space="0" w:color="auto"/>
            </w:tcBorders>
            <w:shd w:val="clear" w:color="auto" w:fill="C6EFCE"/>
            <w:noWrap/>
          </w:tcPr>
          <w:p w14:paraId="4B5EDF3C" w14:textId="77777777" w:rsidR="00C45D59" w:rsidRDefault="009B0962">
            <w:pPr>
              <w:pStyle w:val="P68B1DB1-Normal12"/>
              <w:spacing w:after="0" w:line="240" w:lineRule="auto"/>
              <w:rPr>
                <w:rFonts w:eastAsia="Times New Roman"/>
                <w:noProof/>
              </w:rPr>
            </w:pPr>
            <w:r>
              <w:rPr>
                <w:noProof/>
              </w:rPr>
              <w:t>211</w:t>
            </w:r>
          </w:p>
        </w:tc>
        <w:tc>
          <w:tcPr>
            <w:tcW w:w="1974" w:type="dxa"/>
            <w:tcBorders>
              <w:top w:val="nil"/>
              <w:left w:val="nil"/>
              <w:bottom w:val="single" w:sz="4" w:space="0" w:color="auto"/>
              <w:right w:val="single" w:sz="4" w:space="0" w:color="auto"/>
            </w:tcBorders>
            <w:shd w:val="clear" w:color="auto" w:fill="C6EFCE"/>
            <w:noWrap/>
          </w:tcPr>
          <w:p w14:paraId="11A6CB94" w14:textId="77777777" w:rsidR="00C45D59" w:rsidRDefault="009B0962">
            <w:pPr>
              <w:pStyle w:val="P68B1DB1-Normal12"/>
              <w:spacing w:after="0" w:line="240" w:lineRule="auto"/>
              <w:rPr>
                <w:rFonts w:eastAsia="Times New Roman"/>
                <w:noProof/>
              </w:rPr>
            </w:pPr>
            <w:r>
              <w:rPr>
                <w:noProof/>
              </w:rPr>
              <w:t>13-4.2. Modernizarea administrației publice, inclusiv prin accelerarea punerii în aplicare a investițiilor publice, îmbunătățirea cadrului privind achizițiile publice, măsuri de consolidare a capacităților și combaterea corupției – 16952_Consolidarea cadrului național anticorupție prin intervenții specifice în domeniile detectării, prevenirii și sensibilizării</w:t>
            </w:r>
          </w:p>
        </w:tc>
        <w:tc>
          <w:tcPr>
            <w:tcW w:w="1150" w:type="dxa"/>
            <w:tcBorders>
              <w:top w:val="nil"/>
              <w:left w:val="nil"/>
              <w:bottom w:val="single" w:sz="4" w:space="0" w:color="auto"/>
              <w:right w:val="single" w:sz="4" w:space="0" w:color="auto"/>
            </w:tcBorders>
            <w:shd w:val="clear" w:color="auto" w:fill="C6EFCE"/>
            <w:noWrap/>
          </w:tcPr>
          <w:p w14:paraId="46DCAAE2" w14:textId="77777777" w:rsidR="00C45D59" w:rsidRDefault="009B0962">
            <w:pPr>
              <w:pStyle w:val="P68B1DB1-Normal12"/>
              <w:spacing w:after="0" w:line="240" w:lineRule="auto"/>
              <w:rPr>
                <w:rFonts w:eastAsia="Times New Roman"/>
                <w:noProof/>
              </w:rPr>
            </w:pPr>
            <w:r>
              <w:rPr>
                <w:noProof/>
              </w:rPr>
              <w:t>Etapă</w:t>
            </w:r>
          </w:p>
        </w:tc>
        <w:tc>
          <w:tcPr>
            <w:tcW w:w="1393" w:type="dxa"/>
            <w:tcBorders>
              <w:top w:val="nil"/>
              <w:left w:val="nil"/>
              <w:bottom w:val="single" w:sz="4" w:space="0" w:color="auto"/>
              <w:right w:val="single" w:sz="4" w:space="0" w:color="auto"/>
            </w:tcBorders>
            <w:shd w:val="clear" w:color="auto" w:fill="C6EFCE"/>
            <w:noWrap/>
          </w:tcPr>
          <w:p w14:paraId="1A9469D5" w14:textId="77777777" w:rsidR="00C45D59" w:rsidRDefault="009B0962">
            <w:pPr>
              <w:pStyle w:val="P68B1DB1-Normal12"/>
              <w:spacing w:after="0" w:line="240" w:lineRule="auto"/>
              <w:rPr>
                <w:rFonts w:eastAsia="Times New Roman"/>
                <w:noProof/>
              </w:rPr>
            </w:pPr>
            <w:r>
              <w:rPr>
                <w:noProof/>
              </w:rPr>
              <w:t>Punerea în aplicare a legislației privind controalele interne</w:t>
            </w:r>
          </w:p>
        </w:tc>
        <w:tc>
          <w:tcPr>
            <w:tcW w:w="1534" w:type="dxa"/>
            <w:tcBorders>
              <w:top w:val="nil"/>
              <w:left w:val="nil"/>
              <w:bottom w:val="single" w:sz="4" w:space="0" w:color="auto"/>
              <w:right w:val="single" w:sz="4" w:space="0" w:color="auto"/>
            </w:tcBorders>
            <w:shd w:val="clear" w:color="auto" w:fill="C6EFCE"/>
            <w:noWrap/>
          </w:tcPr>
          <w:p w14:paraId="4AACE007" w14:textId="77777777" w:rsidR="00C45D59" w:rsidRDefault="009B0962">
            <w:pPr>
              <w:pStyle w:val="P68B1DB1-Normal12"/>
              <w:spacing w:after="0" w:line="240" w:lineRule="auto"/>
              <w:rPr>
                <w:rFonts w:eastAsia="Times New Roman"/>
                <w:noProof/>
              </w:rPr>
            </w:pPr>
            <w:r>
              <w:rPr>
                <w:noProof/>
              </w:rPr>
              <w:t>Raportul Autorității Naționale pentru Transparență privind sistemele de control intern instituite</w:t>
            </w:r>
          </w:p>
          <w:p w14:paraId="651B499A" w14:textId="77777777" w:rsidR="00C45D59" w:rsidRDefault="009B0962">
            <w:pPr>
              <w:pStyle w:val="P68B1DB1-Normal12"/>
              <w:spacing w:after="0" w:line="240" w:lineRule="auto"/>
              <w:rPr>
                <w:rFonts w:eastAsia="Times New Roman"/>
                <w:noProof/>
              </w:rPr>
            </w:pPr>
            <w:r>
              <w:rPr>
                <w:noProof/>
              </w:rPr>
              <w:t>— Acte de reglementare emise</w:t>
            </w:r>
          </w:p>
          <w:p w14:paraId="62E389B6" w14:textId="77777777" w:rsidR="00C45D59" w:rsidRDefault="009B0962">
            <w:pPr>
              <w:pStyle w:val="P68B1DB1-Normal12"/>
              <w:spacing w:after="0" w:line="240" w:lineRule="auto"/>
              <w:rPr>
                <w:rFonts w:eastAsia="Times New Roman"/>
                <w:noProof/>
              </w:rPr>
            </w:pPr>
            <w:r>
              <w:rPr>
                <w:noProof/>
              </w:rPr>
              <w:t xml:space="preserve">— Decizie ministerială comună emisă </w:t>
            </w:r>
          </w:p>
        </w:tc>
        <w:tc>
          <w:tcPr>
            <w:tcW w:w="933" w:type="dxa"/>
            <w:tcBorders>
              <w:top w:val="nil"/>
              <w:left w:val="nil"/>
              <w:bottom w:val="single" w:sz="4" w:space="0" w:color="auto"/>
              <w:right w:val="single" w:sz="4" w:space="0" w:color="auto"/>
            </w:tcBorders>
            <w:shd w:val="clear" w:color="auto" w:fill="C6EFCE"/>
            <w:noWrap/>
          </w:tcPr>
          <w:p w14:paraId="4E26F31E"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57" w:type="dxa"/>
            <w:tcBorders>
              <w:top w:val="nil"/>
              <w:left w:val="nil"/>
              <w:bottom w:val="single" w:sz="4" w:space="0" w:color="auto"/>
              <w:right w:val="single" w:sz="4" w:space="0" w:color="auto"/>
            </w:tcBorders>
            <w:shd w:val="clear" w:color="auto" w:fill="C6EFCE"/>
            <w:noWrap/>
          </w:tcPr>
          <w:p w14:paraId="4749A43C"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702" w:type="dxa"/>
            <w:tcBorders>
              <w:top w:val="nil"/>
              <w:left w:val="nil"/>
              <w:bottom w:val="single" w:sz="4" w:space="0" w:color="auto"/>
              <w:right w:val="single" w:sz="4" w:space="0" w:color="auto"/>
            </w:tcBorders>
            <w:shd w:val="clear" w:color="auto" w:fill="C6EFCE"/>
            <w:noWrap/>
          </w:tcPr>
          <w:p w14:paraId="6F2E5F92"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51" w:type="dxa"/>
            <w:tcBorders>
              <w:top w:val="nil"/>
              <w:left w:val="nil"/>
              <w:bottom w:val="single" w:sz="4" w:space="0" w:color="auto"/>
              <w:right w:val="single" w:sz="4" w:space="0" w:color="auto"/>
            </w:tcBorders>
            <w:shd w:val="clear" w:color="auto" w:fill="C6EFCE"/>
            <w:noWrap/>
          </w:tcPr>
          <w:p w14:paraId="611552B5" w14:textId="77777777" w:rsidR="00C45D59" w:rsidRDefault="009B0962">
            <w:pPr>
              <w:pStyle w:val="P68B1DB1-Normal12"/>
              <w:spacing w:after="0" w:line="240" w:lineRule="auto"/>
              <w:rPr>
                <w:rFonts w:eastAsia="Times New Roman"/>
                <w:noProof/>
              </w:rPr>
            </w:pPr>
            <w:r>
              <w:rPr>
                <w:noProof/>
              </w:rPr>
              <w:t>Î4</w:t>
            </w:r>
          </w:p>
        </w:tc>
        <w:tc>
          <w:tcPr>
            <w:tcW w:w="708" w:type="dxa"/>
            <w:tcBorders>
              <w:top w:val="nil"/>
              <w:left w:val="nil"/>
              <w:bottom w:val="single" w:sz="4" w:space="0" w:color="auto"/>
              <w:right w:val="single" w:sz="4" w:space="0" w:color="auto"/>
            </w:tcBorders>
            <w:shd w:val="clear" w:color="auto" w:fill="C6EFCE"/>
            <w:noWrap/>
          </w:tcPr>
          <w:p w14:paraId="0A12CE89" w14:textId="77777777" w:rsidR="00C45D59" w:rsidRDefault="009B0962">
            <w:pPr>
              <w:pStyle w:val="P68B1DB1-Normal12"/>
              <w:spacing w:after="0" w:line="240" w:lineRule="auto"/>
              <w:rPr>
                <w:rFonts w:eastAsia="Times New Roman"/>
                <w:noProof/>
              </w:rPr>
            </w:pPr>
            <w:r>
              <w:rPr>
                <w:noProof/>
              </w:rPr>
              <w:t>2022</w:t>
            </w:r>
          </w:p>
        </w:tc>
        <w:tc>
          <w:tcPr>
            <w:tcW w:w="5110" w:type="dxa"/>
            <w:tcBorders>
              <w:top w:val="nil"/>
              <w:left w:val="nil"/>
              <w:bottom w:val="single" w:sz="4" w:space="0" w:color="auto"/>
              <w:right w:val="single" w:sz="4" w:space="0" w:color="auto"/>
            </w:tcBorders>
            <w:shd w:val="clear" w:color="auto" w:fill="C6EFCE"/>
            <w:noWrap/>
          </w:tcPr>
          <w:p w14:paraId="0E8A1D03" w14:textId="77777777" w:rsidR="00C45D59" w:rsidRDefault="009B0962">
            <w:pPr>
              <w:pStyle w:val="P68B1DB1-Normal12"/>
              <w:spacing w:after="0" w:line="240" w:lineRule="auto"/>
              <w:rPr>
                <w:rFonts w:eastAsia="Times New Roman"/>
                <w:noProof/>
              </w:rPr>
            </w:pPr>
            <w:r>
              <w:rPr>
                <w:noProof/>
              </w:rPr>
              <w:t>Punerea în aplicare a noii legi privind controalele interne în administrația publică, inclusiv: (I) înființarea unor unități de audit intern în ministerele de resort; (II) emiterea actelor de reglementare pentru înființarea unităților de audit intern și a comitetelor de audit în entitățile administrației publice locale (clasa</w:t>
            </w:r>
            <w:r>
              <w:rPr>
                <w:noProof/>
                <w:vertAlign w:val="superscript"/>
              </w:rPr>
              <w:t xml:space="preserve"> a</w:t>
            </w:r>
            <w:r>
              <w:rPr>
                <w:noProof/>
              </w:rPr>
              <w:t xml:space="preserve"> 1-a și</w:t>
            </w:r>
            <w:r>
              <w:rPr>
                <w:noProof/>
                <w:vertAlign w:val="superscript"/>
              </w:rPr>
              <w:t xml:space="preserve"> a</w:t>
            </w:r>
            <w:r>
              <w:rPr>
                <w:noProof/>
              </w:rPr>
              <w:t xml:space="preserve"> 2-a), universități, spitale – unități sanitare, autorități independente și entități juridice ale entităților administrației publice locale; (III) emiterea unei decizii ministeriale comune de stabilire a criteriilor pentru cooperarea unităților de audit intern cu experți externi.</w:t>
            </w:r>
          </w:p>
          <w:p w14:paraId="6387BB41" w14:textId="77777777" w:rsidR="00C45D59" w:rsidRDefault="00C45D59">
            <w:pPr>
              <w:spacing w:after="0" w:line="240" w:lineRule="auto"/>
              <w:rPr>
                <w:rFonts w:ascii="Times New Roman" w:eastAsia="Times New Roman" w:hAnsi="Times New Roman" w:cs="Times New Roman"/>
                <w:noProof/>
                <w:color w:val="006100"/>
                <w:sz w:val="18"/>
                <w:szCs w:val="18"/>
              </w:rPr>
            </w:pPr>
          </w:p>
          <w:p w14:paraId="69278B2C" w14:textId="77777777" w:rsidR="00C45D59" w:rsidRDefault="009B0962">
            <w:pPr>
              <w:pStyle w:val="P68B1DB1-Normal12"/>
              <w:spacing w:after="0" w:line="240" w:lineRule="auto"/>
              <w:rPr>
                <w:rFonts w:eastAsia="Times New Roman"/>
                <w:noProof/>
              </w:rPr>
            </w:pPr>
            <w:r>
              <w:rPr>
                <w:noProof/>
              </w:rPr>
              <w:t xml:space="preserve">Autoritatea Națională pentru Transparență, în cooperare cu Ministerul de Interne, asigură supravegherea și îndrumarea entităților guvernamentale generale pentru a institui un sistem de control intern coerent și funcțional. Autoritatea națională pentru transparență facilitează o autoevaluare pilot cu privire la elementele de bază ale sistemului de control intern. Curtea de Conturi a Greciei a inclus în planul său anual de lucru audituri pentru evaluarea mecanismelor de control intern la nivelul entităților administrației publice. </w:t>
            </w:r>
          </w:p>
        </w:tc>
      </w:tr>
      <w:tr w:rsidR="00C45D59" w14:paraId="3DD4258E" w14:textId="77777777">
        <w:trPr>
          <w:trHeight w:val="313"/>
          <w:jc w:val="center"/>
        </w:trPr>
        <w:tc>
          <w:tcPr>
            <w:tcW w:w="666" w:type="dxa"/>
            <w:tcBorders>
              <w:top w:val="nil"/>
              <w:left w:val="single" w:sz="4" w:space="0" w:color="auto"/>
              <w:bottom w:val="single" w:sz="4" w:space="0" w:color="auto"/>
              <w:right w:val="single" w:sz="4" w:space="0" w:color="auto"/>
            </w:tcBorders>
            <w:shd w:val="clear" w:color="auto" w:fill="C6EFCE"/>
            <w:noWrap/>
          </w:tcPr>
          <w:p w14:paraId="4C00D110" w14:textId="77777777" w:rsidR="00C45D59" w:rsidRDefault="009B0962">
            <w:pPr>
              <w:pStyle w:val="P68B1DB1-Normal12"/>
              <w:spacing w:after="0" w:line="240" w:lineRule="auto"/>
              <w:rPr>
                <w:noProof/>
              </w:rPr>
            </w:pPr>
            <w:r>
              <w:rPr>
                <w:noProof/>
              </w:rPr>
              <w:t>211a</w:t>
            </w:r>
          </w:p>
        </w:tc>
        <w:tc>
          <w:tcPr>
            <w:tcW w:w="1974" w:type="dxa"/>
            <w:tcBorders>
              <w:top w:val="nil"/>
              <w:left w:val="nil"/>
              <w:bottom w:val="single" w:sz="4" w:space="0" w:color="auto"/>
              <w:right w:val="single" w:sz="4" w:space="0" w:color="auto"/>
            </w:tcBorders>
            <w:shd w:val="clear" w:color="auto" w:fill="C6EFCE"/>
            <w:noWrap/>
          </w:tcPr>
          <w:p w14:paraId="566138A4" w14:textId="77777777" w:rsidR="00C45D59" w:rsidRDefault="009B0962">
            <w:pPr>
              <w:pStyle w:val="P68B1DB1-Normal12"/>
              <w:spacing w:after="0" w:line="240" w:lineRule="auto"/>
              <w:rPr>
                <w:noProof/>
              </w:rPr>
            </w:pPr>
            <w:r>
              <w:rPr>
                <w:noProof/>
              </w:rPr>
              <w:t>13-4.2. Modernizarea administrației publice, inclusiv prin accelerarea punerii în aplicare a investițiilor publice, îmbunătățirea cadrului privind achizițiile publice, măsuri de consolidare a capacităților și combaterea corupției – 16952_Consolidarea cadrului național anticorupție prin intervenții specifice în domeniile detectării, prevenirii și sensibilizării</w:t>
            </w:r>
          </w:p>
        </w:tc>
        <w:tc>
          <w:tcPr>
            <w:tcW w:w="1150" w:type="dxa"/>
            <w:tcBorders>
              <w:top w:val="nil"/>
              <w:left w:val="nil"/>
              <w:bottom w:val="single" w:sz="4" w:space="0" w:color="auto"/>
              <w:right w:val="single" w:sz="4" w:space="0" w:color="auto"/>
            </w:tcBorders>
            <w:shd w:val="clear" w:color="auto" w:fill="C6EFCE"/>
            <w:noWrap/>
          </w:tcPr>
          <w:p w14:paraId="6AC6BFA5" w14:textId="77777777" w:rsidR="00C45D59" w:rsidRDefault="009B0962">
            <w:pPr>
              <w:pStyle w:val="P68B1DB1-Normal12"/>
              <w:spacing w:after="0" w:line="240" w:lineRule="auto"/>
              <w:rPr>
                <w:noProof/>
              </w:rPr>
            </w:pPr>
            <w:r>
              <w:rPr>
                <w:noProof/>
              </w:rPr>
              <w:t>Etapă</w:t>
            </w:r>
          </w:p>
        </w:tc>
        <w:tc>
          <w:tcPr>
            <w:tcW w:w="1393" w:type="dxa"/>
            <w:tcBorders>
              <w:top w:val="nil"/>
              <w:left w:val="nil"/>
              <w:bottom w:val="single" w:sz="4" w:space="0" w:color="auto"/>
              <w:right w:val="single" w:sz="4" w:space="0" w:color="auto"/>
            </w:tcBorders>
            <w:shd w:val="clear" w:color="auto" w:fill="C6EFCE"/>
            <w:noWrap/>
          </w:tcPr>
          <w:p w14:paraId="65B31580" w14:textId="6A8D6B25" w:rsidR="00C45D59" w:rsidRDefault="009B0962">
            <w:pPr>
              <w:pStyle w:val="P68B1DB1-Normal12"/>
              <w:spacing w:after="0" w:line="240" w:lineRule="auto"/>
              <w:rPr>
                <w:noProof/>
              </w:rPr>
            </w:pPr>
            <w:r>
              <w:rPr>
                <w:noProof/>
              </w:rPr>
              <w:t>Realizarea de proiecte de investiții pentru a sprijini capacitățile digitale și de infrastructură ale Autorității Naționale pentru Transparență</w:t>
            </w:r>
          </w:p>
        </w:tc>
        <w:tc>
          <w:tcPr>
            <w:tcW w:w="1534" w:type="dxa"/>
            <w:tcBorders>
              <w:top w:val="nil"/>
              <w:left w:val="nil"/>
              <w:bottom w:val="single" w:sz="4" w:space="0" w:color="auto"/>
              <w:right w:val="single" w:sz="4" w:space="0" w:color="auto"/>
            </w:tcBorders>
            <w:shd w:val="clear" w:color="auto" w:fill="C6EFCE"/>
            <w:noWrap/>
          </w:tcPr>
          <w:p w14:paraId="224CB362" w14:textId="473417ED" w:rsidR="00C45D59" w:rsidRDefault="009B0962">
            <w:pPr>
              <w:pStyle w:val="P68B1DB1-Normal12"/>
              <w:spacing w:after="0" w:line="240" w:lineRule="auto"/>
              <w:rPr>
                <w:noProof/>
              </w:rPr>
            </w:pPr>
            <w:r>
              <w:rPr>
                <w:noProof/>
              </w:rPr>
              <w:t>Realizarea de proiecte de investiții pentru a sprijini capacitățile digitale și de infrastructură ale Autorității Naționale pentru Transparență</w:t>
            </w:r>
          </w:p>
        </w:tc>
        <w:tc>
          <w:tcPr>
            <w:tcW w:w="933" w:type="dxa"/>
            <w:tcBorders>
              <w:top w:val="nil"/>
              <w:left w:val="nil"/>
              <w:bottom w:val="single" w:sz="4" w:space="0" w:color="auto"/>
              <w:right w:val="single" w:sz="4" w:space="0" w:color="auto"/>
            </w:tcBorders>
            <w:shd w:val="clear" w:color="auto" w:fill="C6EFCE"/>
            <w:noWrap/>
          </w:tcPr>
          <w:p w14:paraId="738A6EF2"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57" w:type="dxa"/>
            <w:tcBorders>
              <w:top w:val="nil"/>
              <w:left w:val="nil"/>
              <w:bottom w:val="single" w:sz="4" w:space="0" w:color="auto"/>
              <w:right w:val="single" w:sz="4" w:space="0" w:color="auto"/>
            </w:tcBorders>
            <w:shd w:val="clear" w:color="auto" w:fill="C6EFCE"/>
            <w:noWrap/>
          </w:tcPr>
          <w:p w14:paraId="20CF2A89"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702" w:type="dxa"/>
            <w:tcBorders>
              <w:top w:val="nil"/>
              <w:left w:val="nil"/>
              <w:bottom w:val="single" w:sz="4" w:space="0" w:color="auto"/>
              <w:right w:val="single" w:sz="4" w:space="0" w:color="auto"/>
            </w:tcBorders>
            <w:shd w:val="clear" w:color="auto" w:fill="C6EFCE"/>
            <w:noWrap/>
          </w:tcPr>
          <w:p w14:paraId="469F7D8B"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51" w:type="dxa"/>
            <w:tcBorders>
              <w:top w:val="nil"/>
              <w:left w:val="nil"/>
              <w:bottom w:val="single" w:sz="4" w:space="0" w:color="auto"/>
              <w:right w:val="single" w:sz="4" w:space="0" w:color="auto"/>
            </w:tcBorders>
            <w:shd w:val="clear" w:color="auto" w:fill="C6EFCE"/>
            <w:noWrap/>
          </w:tcPr>
          <w:p w14:paraId="6FA02B0A" w14:textId="77777777" w:rsidR="00C45D59" w:rsidRDefault="009B0962">
            <w:pPr>
              <w:pStyle w:val="P68B1DB1-Normal12"/>
              <w:spacing w:after="0" w:line="240" w:lineRule="auto"/>
              <w:rPr>
                <w:noProof/>
              </w:rPr>
            </w:pPr>
            <w:r>
              <w:rPr>
                <w:noProof/>
              </w:rPr>
              <w:t>Î4</w:t>
            </w:r>
          </w:p>
        </w:tc>
        <w:tc>
          <w:tcPr>
            <w:tcW w:w="708" w:type="dxa"/>
            <w:tcBorders>
              <w:top w:val="nil"/>
              <w:left w:val="nil"/>
              <w:bottom w:val="single" w:sz="4" w:space="0" w:color="auto"/>
              <w:right w:val="single" w:sz="4" w:space="0" w:color="auto"/>
            </w:tcBorders>
            <w:shd w:val="clear" w:color="auto" w:fill="C6EFCE"/>
            <w:noWrap/>
          </w:tcPr>
          <w:p w14:paraId="6EA00DE6" w14:textId="77777777" w:rsidR="00C45D59" w:rsidRDefault="009B0962">
            <w:pPr>
              <w:pStyle w:val="P68B1DB1-Normal12"/>
              <w:spacing w:after="0" w:line="240" w:lineRule="auto"/>
              <w:rPr>
                <w:noProof/>
              </w:rPr>
            </w:pPr>
            <w:r>
              <w:rPr>
                <w:noProof/>
              </w:rPr>
              <w:t>2025</w:t>
            </w:r>
          </w:p>
        </w:tc>
        <w:tc>
          <w:tcPr>
            <w:tcW w:w="5110" w:type="dxa"/>
            <w:tcBorders>
              <w:top w:val="nil"/>
              <w:left w:val="nil"/>
              <w:bottom w:val="single" w:sz="4" w:space="0" w:color="auto"/>
              <w:right w:val="single" w:sz="4" w:space="0" w:color="auto"/>
            </w:tcBorders>
            <w:shd w:val="clear" w:color="auto" w:fill="C6EFCE"/>
            <w:noWrap/>
          </w:tcPr>
          <w:p w14:paraId="1FEBBBDF" w14:textId="666B7709" w:rsidR="00C45D59" w:rsidRDefault="009B0962">
            <w:pPr>
              <w:pStyle w:val="P68B1DB1-Normal12"/>
              <w:spacing w:after="0" w:line="240" w:lineRule="auto"/>
              <w:rPr>
                <w:noProof/>
              </w:rPr>
            </w:pPr>
            <w:r>
              <w:rPr>
                <w:noProof/>
              </w:rPr>
              <w:t>Realizarea următoarelor proiecte de investiții pentru a sprijini Autoritatea Națională pentru Transparență:</w:t>
            </w:r>
          </w:p>
          <w:p w14:paraId="4CC0E330" w14:textId="382E4B3A" w:rsidR="00C45D59" w:rsidRDefault="009B0962">
            <w:pPr>
              <w:pStyle w:val="P68B1DB1-Normal12"/>
              <w:spacing w:after="0" w:line="240" w:lineRule="auto"/>
              <w:rPr>
                <w:noProof/>
              </w:rPr>
            </w:pPr>
            <w:r>
              <w:rPr>
                <w:noProof/>
              </w:rPr>
              <w:t>1. Echipamente și software pentru laboratorul de criminalistică digitală.</w:t>
            </w:r>
          </w:p>
          <w:p w14:paraId="1ED88F77" w14:textId="60905FD6" w:rsidR="00C45D59" w:rsidRDefault="009B0962">
            <w:pPr>
              <w:pStyle w:val="P68B1DB1-Normal12"/>
              <w:spacing w:after="0" w:line="240" w:lineRule="auto"/>
              <w:rPr>
                <w:noProof/>
              </w:rPr>
            </w:pPr>
            <w:r>
              <w:rPr>
                <w:noProof/>
              </w:rPr>
              <w:t>2. Un sistem informatic integrat pentru gestionarea auditurilor și inspecțiilor, inclusiv un instrument de inteligență artificială.</w:t>
            </w:r>
          </w:p>
          <w:p w14:paraId="750498B3" w14:textId="1DB97B9F" w:rsidR="00C45D59" w:rsidRDefault="009B0962">
            <w:pPr>
              <w:pStyle w:val="P68B1DB1-Normal12"/>
              <w:spacing w:after="0" w:line="240" w:lineRule="auto"/>
              <w:rPr>
                <w:noProof/>
              </w:rPr>
            </w:pPr>
            <w:r>
              <w:rPr>
                <w:noProof/>
              </w:rPr>
              <w:t>3. Planul de comunicare, conținutul material și creativ.</w:t>
            </w:r>
          </w:p>
          <w:p w14:paraId="0D4226B8" w14:textId="2D69498F" w:rsidR="00C45D59" w:rsidRDefault="00C45D59">
            <w:pPr>
              <w:spacing w:after="0" w:line="240" w:lineRule="auto"/>
              <w:rPr>
                <w:rFonts w:ascii="Times New Roman" w:hAnsi="Times New Roman" w:cs="Times New Roman"/>
                <w:noProof/>
                <w:color w:val="006100"/>
                <w:sz w:val="18"/>
                <w:szCs w:val="18"/>
              </w:rPr>
            </w:pPr>
          </w:p>
        </w:tc>
      </w:tr>
      <w:tr w:rsidR="00C45D59" w14:paraId="46E8356A" w14:textId="77777777">
        <w:trPr>
          <w:trHeight w:val="313"/>
          <w:jc w:val="center"/>
        </w:trPr>
        <w:tc>
          <w:tcPr>
            <w:tcW w:w="666" w:type="dxa"/>
            <w:tcBorders>
              <w:top w:val="nil"/>
              <w:left w:val="single" w:sz="4" w:space="0" w:color="auto"/>
              <w:bottom w:val="single" w:sz="4" w:space="0" w:color="auto"/>
              <w:right w:val="single" w:sz="4" w:space="0" w:color="auto"/>
            </w:tcBorders>
            <w:shd w:val="clear" w:color="auto" w:fill="C6EFCE"/>
            <w:noWrap/>
          </w:tcPr>
          <w:p w14:paraId="0EB181B8" w14:textId="77777777" w:rsidR="00C45D59" w:rsidRDefault="009B0962">
            <w:pPr>
              <w:pStyle w:val="P68B1DB1-Normal12"/>
              <w:spacing w:after="0" w:line="240" w:lineRule="auto"/>
              <w:rPr>
                <w:rFonts w:eastAsia="Times New Roman"/>
                <w:noProof/>
              </w:rPr>
            </w:pPr>
            <w:r>
              <w:rPr>
                <w:noProof/>
              </w:rPr>
              <w:t>212</w:t>
            </w:r>
          </w:p>
        </w:tc>
        <w:tc>
          <w:tcPr>
            <w:tcW w:w="1974" w:type="dxa"/>
            <w:tcBorders>
              <w:top w:val="nil"/>
              <w:left w:val="nil"/>
              <w:bottom w:val="single" w:sz="4" w:space="0" w:color="auto"/>
              <w:right w:val="single" w:sz="4" w:space="0" w:color="auto"/>
            </w:tcBorders>
            <w:shd w:val="clear" w:color="auto" w:fill="C6EFCE"/>
            <w:noWrap/>
          </w:tcPr>
          <w:p w14:paraId="4ACA2E1C" w14:textId="77777777" w:rsidR="00C45D59" w:rsidRDefault="009B0962">
            <w:pPr>
              <w:pStyle w:val="P68B1DB1-Normal12"/>
              <w:spacing w:after="0" w:line="240" w:lineRule="auto"/>
              <w:rPr>
                <w:rFonts w:eastAsia="Times New Roman"/>
                <w:noProof/>
              </w:rPr>
            </w:pPr>
            <w:r>
              <w:rPr>
                <w:noProof/>
              </w:rPr>
              <w:t>13-4.2. Modernizarea administrației publice, inclusiv prin accelerarea punerii în aplicare a investițiilor publice, îmbunătățirea cadrului privind achizițiile publice, măsuri de consolidare a capacităților și combaterea corupției – 16702_Consolidarea cadrului privind combaterea spălării banilor și a finanțării terorismului</w:t>
            </w:r>
          </w:p>
        </w:tc>
        <w:tc>
          <w:tcPr>
            <w:tcW w:w="1150" w:type="dxa"/>
            <w:tcBorders>
              <w:top w:val="nil"/>
              <w:left w:val="nil"/>
              <w:bottom w:val="single" w:sz="4" w:space="0" w:color="auto"/>
              <w:right w:val="single" w:sz="4" w:space="0" w:color="auto"/>
            </w:tcBorders>
            <w:shd w:val="clear" w:color="auto" w:fill="C6EFCE"/>
            <w:noWrap/>
          </w:tcPr>
          <w:p w14:paraId="4957BFD6" w14:textId="77777777" w:rsidR="00C45D59" w:rsidRDefault="009B0962">
            <w:pPr>
              <w:pStyle w:val="P68B1DB1-Normal12"/>
              <w:spacing w:after="0" w:line="240" w:lineRule="auto"/>
              <w:rPr>
                <w:rFonts w:eastAsia="Times New Roman"/>
                <w:noProof/>
              </w:rPr>
            </w:pPr>
            <w:r>
              <w:rPr>
                <w:noProof/>
              </w:rPr>
              <w:t>Etapă</w:t>
            </w:r>
          </w:p>
        </w:tc>
        <w:tc>
          <w:tcPr>
            <w:tcW w:w="1393" w:type="dxa"/>
            <w:tcBorders>
              <w:top w:val="nil"/>
              <w:left w:val="nil"/>
              <w:bottom w:val="single" w:sz="4" w:space="0" w:color="auto"/>
              <w:right w:val="single" w:sz="4" w:space="0" w:color="auto"/>
            </w:tcBorders>
            <w:shd w:val="clear" w:color="auto" w:fill="C6EFCE"/>
            <w:noWrap/>
          </w:tcPr>
          <w:p w14:paraId="46676283" w14:textId="77777777" w:rsidR="00C45D59" w:rsidRDefault="009B0962">
            <w:pPr>
              <w:pStyle w:val="P68B1DB1-Normal12"/>
              <w:spacing w:after="0" w:line="240" w:lineRule="auto"/>
              <w:rPr>
                <w:rFonts w:eastAsia="Times New Roman"/>
                <w:noProof/>
              </w:rPr>
            </w:pPr>
            <w:r>
              <w:rPr>
                <w:noProof/>
              </w:rPr>
              <w:t>Cadrul consolidat de combatere a spălării banilor (CSB) și a finanțării terorismului (CFT)</w:t>
            </w:r>
          </w:p>
        </w:tc>
        <w:tc>
          <w:tcPr>
            <w:tcW w:w="1534" w:type="dxa"/>
            <w:tcBorders>
              <w:top w:val="nil"/>
              <w:left w:val="nil"/>
              <w:bottom w:val="single" w:sz="4" w:space="0" w:color="auto"/>
              <w:right w:val="single" w:sz="4" w:space="0" w:color="auto"/>
            </w:tcBorders>
            <w:shd w:val="clear" w:color="auto" w:fill="C6EFCE"/>
            <w:noWrap/>
          </w:tcPr>
          <w:p w14:paraId="073B1967" w14:textId="77777777" w:rsidR="00C45D59" w:rsidRDefault="009B0962">
            <w:pPr>
              <w:pStyle w:val="P68B1DB1-Normal12"/>
              <w:spacing w:after="0" w:line="240" w:lineRule="auto"/>
              <w:rPr>
                <w:rFonts w:eastAsia="Times New Roman"/>
                <w:noProof/>
              </w:rPr>
            </w:pPr>
            <w:r>
              <w:rPr>
                <w:noProof/>
              </w:rPr>
              <w:t>Lansarea platformei de colectare a datelor statistice; finalizarea îmbunătățirilor aduse registrului special al beneficiarilor reali</w:t>
            </w:r>
          </w:p>
        </w:tc>
        <w:tc>
          <w:tcPr>
            <w:tcW w:w="933" w:type="dxa"/>
            <w:tcBorders>
              <w:top w:val="nil"/>
              <w:left w:val="nil"/>
              <w:bottom w:val="single" w:sz="4" w:space="0" w:color="auto"/>
              <w:right w:val="single" w:sz="4" w:space="0" w:color="auto"/>
            </w:tcBorders>
            <w:shd w:val="clear" w:color="auto" w:fill="C6EFCE"/>
            <w:noWrap/>
          </w:tcPr>
          <w:p w14:paraId="014A47C8" w14:textId="77777777" w:rsidR="00C45D59" w:rsidRDefault="009B0962">
            <w:pPr>
              <w:pStyle w:val="P68B1DB1-Normal16"/>
              <w:spacing w:after="0" w:line="240" w:lineRule="auto"/>
              <w:rPr>
                <w:rFonts w:eastAsia="Times New Roman"/>
                <w:noProof/>
                <w:color w:val="006100"/>
              </w:rPr>
            </w:pPr>
            <w:r>
              <w:rPr>
                <w:noProof/>
              </w:rPr>
              <w:t xml:space="preserve"> </w:t>
            </w:r>
          </w:p>
        </w:tc>
        <w:tc>
          <w:tcPr>
            <w:tcW w:w="857" w:type="dxa"/>
            <w:tcBorders>
              <w:top w:val="nil"/>
              <w:left w:val="nil"/>
              <w:bottom w:val="single" w:sz="4" w:space="0" w:color="auto"/>
              <w:right w:val="single" w:sz="4" w:space="0" w:color="auto"/>
            </w:tcBorders>
            <w:shd w:val="clear" w:color="auto" w:fill="C6EFCE"/>
            <w:noWrap/>
          </w:tcPr>
          <w:p w14:paraId="19B08273" w14:textId="77777777" w:rsidR="00C45D59" w:rsidRDefault="009B0962">
            <w:pPr>
              <w:pStyle w:val="P68B1DB1-Normal16"/>
              <w:spacing w:after="0" w:line="240" w:lineRule="auto"/>
              <w:rPr>
                <w:rFonts w:eastAsia="Times New Roman"/>
                <w:noProof/>
                <w:color w:val="006100"/>
              </w:rPr>
            </w:pPr>
            <w:r>
              <w:rPr>
                <w:noProof/>
              </w:rPr>
              <w:t xml:space="preserve"> </w:t>
            </w:r>
          </w:p>
        </w:tc>
        <w:tc>
          <w:tcPr>
            <w:tcW w:w="702" w:type="dxa"/>
            <w:tcBorders>
              <w:top w:val="nil"/>
              <w:left w:val="nil"/>
              <w:bottom w:val="single" w:sz="4" w:space="0" w:color="auto"/>
              <w:right w:val="single" w:sz="4" w:space="0" w:color="auto"/>
            </w:tcBorders>
            <w:shd w:val="clear" w:color="auto" w:fill="C6EFCE"/>
            <w:noWrap/>
          </w:tcPr>
          <w:p w14:paraId="23893180"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51" w:type="dxa"/>
            <w:tcBorders>
              <w:top w:val="nil"/>
              <w:left w:val="nil"/>
              <w:bottom w:val="single" w:sz="4" w:space="0" w:color="auto"/>
              <w:right w:val="single" w:sz="4" w:space="0" w:color="auto"/>
            </w:tcBorders>
            <w:shd w:val="clear" w:color="auto" w:fill="C6EFCE"/>
            <w:noWrap/>
          </w:tcPr>
          <w:p w14:paraId="613CB18F" w14:textId="77777777" w:rsidR="00C45D59" w:rsidRDefault="009B0962">
            <w:pPr>
              <w:pStyle w:val="P68B1DB1-Normal12"/>
              <w:spacing w:after="0" w:line="240" w:lineRule="auto"/>
              <w:rPr>
                <w:rFonts w:eastAsia="Times New Roman"/>
                <w:noProof/>
              </w:rPr>
            </w:pPr>
            <w:r>
              <w:rPr>
                <w:noProof/>
              </w:rPr>
              <w:t>Î2</w:t>
            </w:r>
          </w:p>
        </w:tc>
        <w:tc>
          <w:tcPr>
            <w:tcW w:w="708" w:type="dxa"/>
            <w:tcBorders>
              <w:top w:val="nil"/>
              <w:left w:val="nil"/>
              <w:bottom w:val="single" w:sz="4" w:space="0" w:color="auto"/>
              <w:right w:val="single" w:sz="4" w:space="0" w:color="auto"/>
            </w:tcBorders>
            <w:shd w:val="clear" w:color="auto" w:fill="C6EFCE"/>
            <w:noWrap/>
          </w:tcPr>
          <w:p w14:paraId="7074AA07" w14:textId="77777777" w:rsidR="00C45D59" w:rsidRDefault="009B0962">
            <w:pPr>
              <w:pStyle w:val="P68B1DB1-Normal12"/>
              <w:spacing w:after="0" w:line="240" w:lineRule="auto"/>
              <w:rPr>
                <w:rFonts w:eastAsia="Times New Roman"/>
                <w:noProof/>
              </w:rPr>
            </w:pPr>
            <w:r>
              <w:rPr>
                <w:noProof/>
              </w:rPr>
              <w:t>2024</w:t>
            </w:r>
          </w:p>
        </w:tc>
        <w:tc>
          <w:tcPr>
            <w:tcW w:w="5110" w:type="dxa"/>
            <w:tcBorders>
              <w:top w:val="nil"/>
              <w:left w:val="nil"/>
              <w:bottom w:val="single" w:sz="4" w:space="0" w:color="auto"/>
              <w:right w:val="single" w:sz="4" w:space="0" w:color="auto"/>
            </w:tcBorders>
            <w:shd w:val="clear" w:color="auto" w:fill="C6EFCE"/>
            <w:noWrap/>
          </w:tcPr>
          <w:p w14:paraId="46ABC66E" w14:textId="77777777" w:rsidR="00C45D59" w:rsidRDefault="009B0962">
            <w:pPr>
              <w:pStyle w:val="P68B1DB1-Normal12"/>
              <w:spacing w:after="0" w:line="240" w:lineRule="auto"/>
              <w:rPr>
                <w:rFonts w:eastAsia="Times New Roman"/>
                <w:noProof/>
              </w:rPr>
            </w:pPr>
            <w:r>
              <w:rPr>
                <w:noProof/>
              </w:rPr>
              <w:t>(I) Lansarea platformei de colectare a datelor statistice deținute de autoritățile naționale competente (și anume autoritățile judiciare, de supraveghere și de aplicare a legii); (II) îmbunătățirea registrului central al beneficiarilor reali pentru a facilita accesul direct al autorităților competente la astfel de informații; (III) interconectarea registrului central al beneficiarilor reali cu registrele respective ale statelor membre ale UE prin intermediul platformei relevante a UE.</w:t>
            </w:r>
          </w:p>
        </w:tc>
      </w:tr>
      <w:tr w:rsidR="00C45D59" w14:paraId="5A5A65B0" w14:textId="77777777">
        <w:trPr>
          <w:trHeight w:val="313"/>
          <w:jc w:val="center"/>
        </w:trPr>
        <w:tc>
          <w:tcPr>
            <w:tcW w:w="666" w:type="dxa"/>
            <w:tcBorders>
              <w:top w:val="nil"/>
              <w:left w:val="single" w:sz="4" w:space="0" w:color="auto"/>
              <w:bottom w:val="single" w:sz="4" w:space="0" w:color="auto"/>
              <w:right w:val="single" w:sz="4" w:space="0" w:color="auto"/>
            </w:tcBorders>
            <w:shd w:val="clear" w:color="auto" w:fill="C6EFCE"/>
            <w:noWrap/>
          </w:tcPr>
          <w:p w14:paraId="5555F9F9" w14:textId="77777777" w:rsidR="00C45D59" w:rsidRDefault="009B0962">
            <w:pPr>
              <w:pStyle w:val="P68B1DB1-Normal12"/>
              <w:spacing w:after="0" w:line="240" w:lineRule="auto"/>
              <w:rPr>
                <w:rFonts w:eastAsia="Times New Roman"/>
                <w:noProof/>
              </w:rPr>
            </w:pPr>
            <w:r>
              <w:rPr>
                <w:noProof/>
              </w:rPr>
              <w:t>213</w:t>
            </w:r>
          </w:p>
        </w:tc>
        <w:tc>
          <w:tcPr>
            <w:tcW w:w="1974" w:type="dxa"/>
            <w:tcBorders>
              <w:top w:val="nil"/>
              <w:left w:val="nil"/>
              <w:bottom w:val="single" w:sz="4" w:space="0" w:color="auto"/>
              <w:right w:val="single" w:sz="4" w:space="0" w:color="auto"/>
            </w:tcBorders>
            <w:shd w:val="clear" w:color="auto" w:fill="C6EFCE"/>
            <w:noWrap/>
          </w:tcPr>
          <w:p w14:paraId="5E63B6D2" w14:textId="77777777" w:rsidR="00C45D59" w:rsidRDefault="009B0962">
            <w:pPr>
              <w:pStyle w:val="P68B1DB1-Normal12"/>
              <w:spacing w:after="0" w:line="240" w:lineRule="auto"/>
              <w:rPr>
                <w:rFonts w:eastAsia="Times New Roman"/>
                <w:noProof/>
              </w:rPr>
            </w:pPr>
            <w:r>
              <w:rPr>
                <w:noProof/>
              </w:rPr>
              <w:t>13-4.2. Modernizarea administrației publice, inclusiv prin accelerarea punerii în aplicare a investițiilor publice, îmbunătățirea cadrului privind achizițiile publice, măsuri de consolidare a capacităților și combaterea corupției – 16703_Combaterea comerțului ilegal și protejarea proprietății intelectuale</w:t>
            </w:r>
          </w:p>
        </w:tc>
        <w:tc>
          <w:tcPr>
            <w:tcW w:w="1150" w:type="dxa"/>
            <w:tcBorders>
              <w:top w:val="nil"/>
              <w:left w:val="nil"/>
              <w:bottom w:val="single" w:sz="4" w:space="0" w:color="auto"/>
              <w:right w:val="single" w:sz="4" w:space="0" w:color="auto"/>
            </w:tcBorders>
            <w:shd w:val="clear" w:color="auto" w:fill="C6EFCE"/>
            <w:noWrap/>
          </w:tcPr>
          <w:p w14:paraId="32698FAD" w14:textId="77777777" w:rsidR="00C45D59" w:rsidRDefault="009B0962">
            <w:pPr>
              <w:pStyle w:val="P68B1DB1-Normal12"/>
              <w:spacing w:after="0" w:line="240" w:lineRule="auto"/>
              <w:rPr>
                <w:rFonts w:eastAsia="Times New Roman"/>
                <w:noProof/>
              </w:rPr>
            </w:pPr>
            <w:r>
              <w:rPr>
                <w:noProof/>
              </w:rPr>
              <w:t>Etapă</w:t>
            </w:r>
          </w:p>
        </w:tc>
        <w:tc>
          <w:tcPr>
            <w:tcW w:w="1393" w:type="dxa"/>
            <w:tcBorders>
              <w:top w:val="nil"/>
              <w:left w:val="nil"/>
              <w:bottom w:val="single" w:sz="4" w:space="0" w:color="auto"/>
              <w:right w:val="single" w:sz="4" w:space="0" w:color="auto"/>
            </w:tcBorders>
            <w:shd w:val="clear" w:color="auto" w:fill="C6EFCE"/>
            <w:noWrap/>
          </w:tcPr>
          <w:p w14:paraId="16B99D37" w14:textId="77777777" w:rsidR="00C45D59" w:rsidRDefault="009B0962">
            <w:pPr>
              <w:pStyle w:val="P68B1DB1-Normal12"/>
              <w:spacing w:after="0" w:line="240" w:lineRule="auto"/>
              <w:rPr>
                <w:rFonts w:eastAsia="Times New Roman"/>
                <w:noProof/>
              </w:rPr>
            </w:pPr>
            <w:r>
              <w:rPr>
                <w:noProof/>
              </w:rPr>
              <w:t>Crearea unui sistem de informare, furnizarea de posturi de control și formare pentru combaterea comerțului ilegal</w:t>
            </w:r>
          </w:p>
        </w:tc>
        <w:tc>
          <w:tcPr>
            <w:tcW w:w="1534" w:type="dxa"/>
            <w:tcBorders>
              <w:top w:val="nil"/>
              <w:left w:val="nil"/>
              <w:bottom w:val="single" w:sz="4" w:space="0" w:color="auto"/>
              <w:right w:val="single" w:sz="4" w:space="0" w:color="auto"/>
            </w:tcBorders>
            <w:shd w:val="clear" w:color="auto" w:fill="C6EFCE"/>
            <w:noWrap/>
          </w:tcPr>
          <w:p w14:paraId="69D117C0" w14:textId="77777777" w:rsidR="00C45D59" w:rsidRDefault="009B0962">
            <w:pPr>
              <w:pStyle w:val="P68B1DB1-Normal12"/>
              <w:spacing w:after="0" w:line="240" w:lineRule="auto"/>
              <w:rPr>
                <w:rFonts w:eastAsia="Times New Roman"/>
                <w:noProof/>
              </w:rPr>
            </w:pPr>
            <w:r>
              <w:rPr>
                <w:noProof/>
              </w:rPr>
              <w:t>Crearea unui sistem de informare, furnizarea de posturi de control și formare pentru combaterea comerțului ilegal</w:t>
            </w:r>
          </w:p>
        </w:tc>
        <w:tc>
          <w:tcPr>
            <w:tcW w:w="933" w:type="dxa"/>
            <w:tcBorders>
              <w:top w:val="nil"/>
              <w:left w:val="nil"/>
              <w:bottom w:val="single" w:sz="4" w:space="0" w:color="auto"/>
              <w:right w:val="single" w:sz="4" w:space="0" w:color="auto"/>
            </w:tcBorders>
            <w:shd w:val="clear" w:color="auto" w:fill="C6EFCE"/>
            <w:noWrap/>
          </w:tcPr>
          <w:p w14:paraId="1589199D"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57" w:type="dxa"/>
            <w:tcBorders>
              <w:top w:val="nil"/>
              <w:left w:val="nil"/>
              <w:bottom w:val="single" w:sz="4" w:space="0" w:color="auto"/>
              <w:right w:val="single" w:sz="4" w:space="0" w:color="auto"/>
            </w:tcBorders>
            <w:shd w:val="clear" w:color="auto" w:fill="C6EFCE"/>
            <w:noWrap/>
          </w:tcPr>
          <w:p w14:paraId="47A84EFC"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702" w:type="dxa"/>
            <w:tcBorders>
              <w:top w:val="nil"/>
              <w:left w:val="nil"/>
              <w:bottom w:val="single" w:sz="4" w:space="0" w:color="auto"/>
              <w:right w:val="single" w:sz="4" w:space="0" w:color="auto"/>
            </w:tcBorders>
            <w:shd w:val="clear" w:color="auto" w:fill="C6EFCE"/>
            <w:noWrap/>
          </w:tcPr>
          <w:p w14:paraId="1EEB072B"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51" w:type="dxa"/>
            <w:tcBorders>
              <w:top w:val="nil"/>
              <w:left w:val="nil"/>
              <w:bottom w:val="single" w:sz="4" w:space="0" w:color="auto"/>
              <w:right w:val="single" w:sz="4" w:space="0" w:color="auto"/>
            </w:tcBorders>
            <w:shd w:val="clear" w:color="auto" w:fill="C6EFCE"/>
            <w:noWrap/>
          </w:tcPr>
          <w:p w14:paraId="397ECC7F" w14:textId="77777777" w:rsidR="00C45D59" w:rsidRDefault="009B0962">
            <w:pPr>
              <w:pStyle w:val="P68B1DB1-Normal12"/>
              <w:spacing w:after="0" w:line="240" w:lineRule="auto"/>
              <w:rPr>
                <w:rFonts w:eastAsia="Times New Roman"/>
                <w:noProof/>
              </w:rPr>
            </w:pPr>
            <w:r>
              <w:rPr>
                <w:noProof/>
              </w:rPr>
              <w:t>Î2</w:t>
            </w:r>
          </w:p>
        </w:tc>
        <w:tc>
          <w:tcPr>
            <w:tcW w:w="708" w:type="dxa"/>
            <w:tcBorders>
              <w:top w:val="nil"/>
              <w:left w:val="nil"/>
              <w:bottom w:val="single" w:sz="4" w:space="0" w:color="auto"/>
              <w:right w:val="single" w:sz="4" w:space="0" w:color="auto"/>
            </w:tcBorders>
            <w:shd w:val="clear" w:color="auto" w:fill="C6EFCE"/>
            <w:noWrap/>
          </w:tcPr>
          <w:p w14:paraId="5077EFBD" w14:textId="77777777" w:rsidR="00C45D59" w:rsidRDefault="009B0962">
            <w:pPr>
              <w:pStyle w:val="P68B1DB1-Normal12"/>
              <w:spacing w:after="0" w:line="240" w:lineRule="auto"/>
              <w:rPr>
                <w:rFonts w:eastAsia="Times New Roman"/>
                <w:noProof/>
              </w:rPr>
            </w:pPr>
            <w:r>
              <w:rPr>
                <w:noProof/>
              </w:rPr>
              <w:t>2025</w:t>
            </w:r>
          </w:p>
        </w:tc>
        <w:tc>
          <w:tcPr>
            <w:tcW w:w="5110" w:type="dxa"/>
            <w:tcBorders>
              <w:top w:val="nil"/>
              <w:left w:val="nil"/>
              <w:bottom w:val="single" w:sz="4" w:space="0" w:color="auto"/>
              <w:right w:val="single" w:sz="4" w:space="0" w:color="auto"/>
            </w:tcBorders>
            <w:shd w:val="clear" w:color="auto" w:fill="C6EFCE"/>
            <w:noWrap/>
          </w:tcPr>
          <w:p w14:paraId="24350A11" w14:textId="77777777" w:rsidR="00C45D59" w:rsidRDefault="009B0962">
            <w:pPr>
              <w:pStyle w:val="P68B1DB1-Normal12"/>
              <w:spacing w:after="0" w:line="240" w:lineRule="auto"/>
              <w:rPr>
                <w:noProof/>
              </w:rPr>
            </w:pPr>
            <w:r>
              <w:rPr>
                <w:noProof/>
              </w:rPr>
              <w:t>— Crearea unui sistem de informații pentru controalele de combatere a comerțului ilegal și pentru controlul circulației bunurilor și serviciilor.</w:t>
            </w:r>
          </w:p>
          <w:p w14:paraId="21CFF0F0" w14:textId="77777777" w:rsidR="00C45D59" w:rsidRDefault="009B0962">
            <w:pPr>
              <w:pStyle w:val="P68B1DB1-Normal12"/>
              <w:spacing w:after="0" w:line="240" w:lineRule="auto"/>
              <w:rPr>
                <w:rFonts w:eastAsia="Times New Roman"/>
                <w:noProof/>
              </w:rPr>
            </w:pPr>
            <w:r>
              <w:rPr>
                <w:noProof/>
              </w:rPr>
              <w:t>— Livrarea stațiilor de comandă (10 clădiri prefabricate ISOBOX).</w:t>
            </w:r>
          </w:p>
          <w:p w14:paraId="415AFAF5" w14:textId="77777777" w:rsidR="00C45D59" w:rsidRDefault="009B0962">
            <w:pPr>
              <w:pStyle w:val="P68B1DB1-Normal16"/>
              <w:spacing w:after="0" w:line="240" w:lineRule="auto"/>
              <w:rPr>
                <w:rFonts w:eastAsia="Times New Roman"/>
                <w:noProof/>
                <w:color w:val="006100"/>
              </w:rPr>
            </w:pPr>
            <w:r>
              <w:rPr>
                <w:noProof/>
                <w:color w:val="006100"/>
              </w:rPr>
              <w:t>— Furnizarea de cursuri de formare pentru personalul de audit și</w:t>
            </w:r>
            <w:r>
              <w:rPr>
                <w:noProof/>
              </w:rPr>
              <w:t xml:space="preserve"> </w:t>
            </w:r>
            <w:r>
              <w:rPr>
                <w:noProof/>
                <w:color w:val="006100"/>
              </w:rPr>
              <w:t>cetățeni.</w:t>
            </w:r>
          </w:p>
        </w:tc>
      </w:tr>
    </w:tbl>
    <w:p w14:paraId="58FC053A" w14:textId="77777777" w:rsidR="00C45D59" w:rsidRDefault="00C45D59">
      <w:pPr>
        <w:spacing w:before="120" w:after="120" w:line="240" w:lineRule="auto"/>
        <w:jc w:val="both"/>
        <w:rPr>
          <w:rFonts w:ascii="Times New Roman" w:hAnsi="Times New Roman" w:cs="Times New Roman"/>
          <w:noProof/>
          <w:sz w:val="24"/>
          <w:szCs w:val="24"/>
        </w:rPr>
      </w:pPr>
    </w:p>
    <w:p w14:paraId="57615850" w14:textId="77777777" w:rsidR="00C45D59" w:rsidRDefault="00C45D59">
      <w:pPr>
        <w:keepNext/>
        <w:keepLines/>
        <w:spacing w:before="40" w:after="0" w:line="240" w:lineRule="auto"/>
        <w:jc w:val="both"/>
        <w:outlineLvl w:val="4"/>
        <w:rPr>
          <w:rFonts w:ascii="Cambria" w:hAnsi="Cambria"/>
          <w:noProof/>
          <w:color w:val="365F91"/>
          <w:sz w:val="24"/>
        </w:rPr>
        <w:sectPr w:rsidR="00C45D59">
          <w:headerReference w:type="even" r:id="rId282"/>
          <w:headerReference w:type="default" r:id="rId283"/>
          <w:footerReference w:type="even" r:id="rId284"/>
          <w:footerReference w:type="default" r:id="rId285"/>
          <w:headerReference w:type="first" r:id="rId286"/>
          <w:footerReference w:type="first" r:id="rId287"/>
          <w:pgSz w:w="16839" w:h="11907" w:orient="landscape"/>
          <w:pgMar w:top="1134" w:right="1134" w:bottom="1134" w:left="1134" w:header="567" w:footer="567" w:gutter="0"/>
          <w:cols w:space="720"/>
          <w:docGrid w:linePitch="360"/>
        </w:sectPr>
      </w:pPr>
    </w:p>
    <w:p w14:paraId="4C85D186" w14:textId="77777777" w:rsidR="00C45D59" w:rsidRDefault="009B0962">
      <w:pPr>
        <w:pStyle w:val="P68B1DB1-Normal9"/>
        <w:keepNext/>
        <w:keepLines/>
        <w:spacing w:before="40" w:after="0" w:line="240" w:lineRule="auto"/>
        <w:jc w:val="both"/>
        <w:outlineLvl w:val="4"/>
        <w:rPr>
          <w:rFonts w:eastAsia="Times New Roman"/>
          <w:noProof/>
        </w:rPr>
      </w:pPr>
      <w:r>
        <w:rPr>
          <w:noProof/>
        </w:rPr>
        <w:t>Grupul 20: Consolidarea administrației publice</w:t>
      </w:r>
    </w:p>
    <w:p w14:paraId="44C3E110" w14:textId="77777777" w:rsidR="00C45D59" w:rsidRDefault="009B0962">
      <w:pPr>
        <w:pStyle w:val="P68B1DB1-Normal5"/>
        <w:numPr>
          <w:ilvl w:val="0"/>
          <w:numId w:val="61"/>
        </w:numPr>
        <w:spacing w:before="120" w:after="0" w:line="240" w:lineRule="auto"/>
        <w:jc w:val="both"/>
        <w:rPr>
          <w:rFonts w:cs="Times New Roman"/>
          <w:noProof/>
        </w:rPr>
      </w:pPr>
      <w:r>
        <w:rPr>
          <w:noProof/>
        </w:rPr>
        <w:t>govERP (ID: 16705)</w:t>
      </w:r>
    </w:p>
    <w:p w14:paraId="299E056B" w14:textId="77777777" w:rsidR="00C45D59" w:rsidRDefault="009B0962">
      <w:pPr>
        <w:pStyle w:val="P68B1DB1-Normal5"/>
        <w:numPr>
          <w:ilvl w:val="0"/>
          <w:numId w:val="61"/>
        </w:numPr>
        <w:spacing w:before="120" w:after="0" w:line="240" w:lineRule="auto"/>
        <w:jc w:val="both"/>
        <w:rPr>
          <w:rFonts w:cs="Times New Roman"/>
          <w:noProof/>
        </w:rPr>
      </w:pPr>
      <w:r>
        <w:rPr>
          <w:noProof/>
        </w:rPr>
        <w:t>Reforma contabilă (ID: 16974)</w:t>
      </w:r>
    </w:p>
    <w:p w14:paraId="2E42B536" w14:textId="77777777" w:rsidR="00C45D59" w:rsidRDefault="009B0962">
      <w:pPr>
        <w:pStyle w:val="P68B1DB1-Normal5"/>
        <w:numPr>
          <w:ilvl w:val="0"/>
          <w:numId w:val="61"/>
        </w:numPr>
        <w:spacing w:before="120" w:after="0" w:line="240" w:lineRule="auto"/>
        <w:jc w:val="both"/>
        <w:rPr>
          <w:rFonts w:cs="Times New Roman"/>
          <w:noProof/>
        </w:rPr>
      </w:pPr>
      <w:r>
        <w:rPr>
          <w:noProof/>
        </w:rPr>
        <w:t>Cadrul instituțional modern pentru întreprinderile de stat (ID: 16657)</w:t>
      </w:r>
    </w:p>
    <w:p w14:paraId="502E9C34" w14:textId="77777777" w:rsidR="00C45D59" w:rsidRDefault="009B0962">
      <w:pPr>
        <w:pStyle w:val="P68B1DB1-Normal5"/>
        <w:numPr>
          <w:ilvl w:val="0"/>
          <w:numId w:val="61"/>
        </w:numPr>
        <w:spacing w:before="120" w:after="0" w:line="240" w:lineRule="auto"/>
        <w:jc w:val="both"/>
        <w:rPr>
          <w:rFonts w:cs="Times New Roman"/>
          <w:noProof/>
        </w:rPr>
      </w:pPr>
      <w:r>
        <w:rPr>
          <w:noProof/>
        </w:rPr>
        <w:t>Consolidarea rețelei de ajutoare de stat (ID: 16701)</w:t>
      </w:r>
    </w:p>
    <w:p w14:paraId="272B4A96" w14:textId="77777777" w:rsidR="00C45D59" w:rsidRDefault="009B0962">
      <w:pPr>
        <w:pStyle w:val="P68B1DB1-Normal5"/>
        <w:numPr>
          <w:ilvl w:val="0"/>
          <w:numId w:val="61"/>
        </w:numPr>
        <w:spacing w:before="120" w:after="0" w:line="240" w:lineRule="auto"/>
        <w:jc w:val="both"/>
        <w:rPr>
          <w:rFonts w:cs="Times New Roman"/>
          <w:noProof/>
        </w:rPr>
      </w:pPr>
      <w:r>
        <w:rPr>
          <w:noProof/>
        </w:rPr>
        <w:t>Modernizarea Fondului elen de depozite și împrumuturi pentru transporturi (ID: 16940)</w:t>
      </w:r>
    </w:p>
    <w:p w14:paraId="42D93236" w14:textId="77777777" w:rsidR="00C45D59" w:rsidRDefault="009B0962">
      <w:pPr>
        <w:pStyle w:val="P68B1DB1-Normal5"/>
        <w:numPr>
          <w:ilvl w:val="0"/>
          <w:numId w:val="61"/>
        </w:numPr>
        <w:spacing w:before="120" w:after="0" w:line="240" w:lineRule="auto"/>
        <w:jc w:val="both"/>
        <w:rPr>
          <w:rFonts w:cs="Times New Roman"/>
          <w:noProof/>
        </w:rPr>
      </w:pPr>
      <w:r>
        <w:rPr>
          <w:noProof/>
        </w:rPr>
        <w:t>Profesionalizarea domeniului achizițiilor publice (ID: 16711)</w:t>
      </w:r>
    </w:p>
    <w:p w14:paraId="216813AA" w14:textId="77777777" w:rsidR="00C45D59" w:rsidRDefault="009B0962">
      <w:pPr>
        <w:pStyle w:val="P68B1DB1-Normal7"/>
        <w:numPr>
          <w:ilvl w:val="0"/>
          <w:numId w:val="61"/>
        </w:numPr>
        <w:spacing w:before="120" w:after="0" w:line="240" w:lineRule="auto"/>
        <w:jc w:val="both"/>
        <w:rPr>
          <w:rFonts w:cs="Times New Roman"/>
          <w:noProof/>
        </w:rPr>
      </w:pPr>
      <w:r>
        <w:rPr>
          <w:noProof/>
        </w:rPr>
        <w:t>Finalizarea cadastrului național (carte de identitate: 16986)</w:t>
      </w:r>
    </w:p>
    <w:tbl>
      <w:tblPr>
        <w:tblW w:w="16385" w:type="dxa"/>
        <w:jc w:val="center"/>
        <w:tblLook w:val="04A0" w:firstRow="1" w:lastRow="0" w:firstColumn="1" w:lastColumn="0" w:noHBand="0" w:noVBand="1"/>
      </w:tblPr>
      <w:tblGrid>
        <w:gridCol w:w="613"/>
        <w:gridCol w:w="2560"/>
        <w:gridCol w:w="1376"/>
        <w:gridCol w:w="2034"/>
        <w:gridCol w:w="1975"/>
        <w:gridCol w:w="1777"/>
        <w:gridCol w:w="1003"/>
        <w:gridCol w:w="876"/>
        <w:gridCol w:w="1006"/>
        <w:gridCol w:w="673"/>
        <w:gridCol w:w="2965"/>
      </w:tblGrid>
      <w:tr w:rsidR="00C45D59" w14:paraId="0FBD235E" w14:textId="77777777">
        <w:trPr>
          <w:trHeight w:val="640"/>
          <w:tblHeader/>
          <w:jc w:val="center"/>
        </w:trPr>
        <w:tc>
          <w:tcPr>
            <w:tcW w:w="61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0C736A0" w14:textId="13650860" w:rsidR="00C45D59" w:rsidRDefault="009B0962">
            <w:pPr>
              <w:pStyle w:val="P68B1DB1-Normal15"/>
              <w:spacing w:after="0" w:line="240" w:lineRule="auto"/>
              <w:jc w:val="center"/>
              <w:rPr>
                <w:rFonts w:eastAsia="Times New Roman"/>
                <w:bCs/>
                <w:noProof/>
              </w:rPr>
            </w:pPr>
            <w:r>
              <w:rPr>
                <w:noProof/>
              </w:rPr>
              <w:t>Nr</w:t>
            </w:r>
            <w:r w:rsidR="00892E7E">
              <w:rPr>
                <w:noProof/>
              </w:rPr>
              <w:t>. crt.</w:t>
            </w:r>
          </w:p>
        </w:tc>
        <w:tc>
          <w:tcPr>
            <w:tcW w:w="256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587781B" w14:textId="77777777" w:rsidR="00C45D59" w:rsidRDefault="009B0962">
            <w:pPr>
              <w:pStyle w:val="P68B1DB1-Normal10"/>
              <w:spacing w:after="0" w:line="240" w:lineRule="auto"/>
              <w:jc w:val="center"/>
              <w:rPr>
                <w:rFonts w:eastAsia="Times New Roman" w:cs="Times New Roman"/>
                <w:bCs/>
                <w:noProof/>
                <w:szCs w:val="18"/>
              </w:rPr>
            </w:pPr>
            <w:r>
              <w:rPr>
                <w:noProof/>
              </w:rPr>
              <w:t>Măsură conexă (reformă sau investiții)</w:t>
            </w:r>
          </w:p>
        </w:tc>
        <w:tc>
          <w:tcPr>
            <w:tcW w:w="106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91797CD" w14:textId="77777777" w:rsidR="00C45D59" w:rsidRDefault="009B0962">
            <w:pPr>
              <w:pStyle w:val="P68B1DB1-Normal10"/>
              <w:spacing w:after="0" w:line="240" w:lineRule="auto"/>
              <w:jc w:val="center"/>
              <w:rPr>
                <w:rFonts w:eastAsia="Times New Roman" w:cs="Times New Roman"/>
                <w:bCs/>
                <w:noProof/>
                <w:szCs w:val="18"/>
              </w:rPr>
            </w:pPr>
            <w:r>
              <w:rPr>
                <w:noProof/>
              </w:rPr>
              <w:t>Etapă/Obiectiv</w:t>
            </w:r>
          </w:p>
        </w:tc>
        <w:tc>
          <w:tcPr>
            <w:tcW w:w="203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9274DD8" w14:textId="44731D38" w:rsidR="00C45D59" w:rsidRDefault="00892E7E">
            <w:pPr>
              <w:pStyle w:val="P68B1DB1-Normal10"/>
              <w:spacing w:after="0" w:line="240" w:lineRule="auto"/>
              <w:jc w:val="center"/>
              <w:rPr>
                <w:rFonts w:eastAsia="Times New Roman" w:cs="Times New Roman"/>
                <w:bCs/>
                <w:noProof/>
                <w:szCs w:val="18"/>
              </w:rPr>
            </w:pPr>
            <w:r>
              <w:rPr>
                <w:noProof/>
              </w:rPr>
              <w:t>Denumire</w:t>
            </w:r>
          </w:p>
        </w:tc>
        <w:tc>
          <w:tcPr>
            <w:tcW w:w="197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3E21E0D" w14:textId="77777777" w:rsidR="00C45D59" w:rsidRDefault="009B0962">
            <w:pPr>
              <w:pStyle w:val="P68B1DB1-Normal10"/>
              <w:spacing w:after="0" w:line="240" w:lineRule="auto"/>
              <w:jc w:val="center"/>
              <w:rPr>
                <w:rFonts w:eastAsia="Times New Roman" w:cs="Times New Roman"/>
                <w:bCs/>
                <w:noProof/>
                <w:szCs w:val="18"/>
              </w:rPr>
            </w:pPr>
            <w:r>
              <w:rPr>
                <w:noProof/>
              </w:rPr>
              <w:t>Indicatori calitativi (pentru obiectivele de etapă)</w:t>
            </w:r>
          </w:p>
        </w:tc>
        <w:tc>
          <w:tcPr>
            <w:tcW w:w="3656"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04A7B69D" w14:textId="77777777" w:rsidR="00C45D59" w:rsidRDefault="009B0962">
            <w:pPr>
              <w:pStyle w:val="P68B1DB1-Normal10"/>
              <w:spacing w:after="0" w:line="240" w:lineRule="auto"/>
              <w:jc w:val="center"/>
              <w:rPr>
                <w:rFonts w:eastAsia="Times New Roman" w:cs="Times New Roman"/>
                <w:bCs/>
                <w:noProof/>
                <w:szCs w:val="18"/>
              </w:rPr>
            </w:pPr>
            <w:r>
              <w:rPr>
                <w:noProof/>
              </w:rPr>
              <w:t>Indicatori cantitativi (pentru ținte)</w:t>
            </w:r>
          </w:p>
        </w:tc>
        <w:tc>
          <w:tcPr>
            <w:tcW w:w="1519"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31154901" w14:textId="77777777" w:rsidR="00C45D59" w:rsidRDefault="009B0962">
            <w:pPr>
              <w:pStyle w:val="P68B1DB1-Normal10"/>
              <w:spacing w:after="0" w:line="240" w:lineRule="auto"/>
              <w:jc w:val="center"/>
              <w:rPr>
                <w:rFonts w:eastAsia="Times New Roman" w:cs="Times New Roman"/>
                <w:bCs/>
                <w:noProof/>
                <w:szCs w:val="18"/>
              </w:rPr>
            </w:pPr>
            <w:r>
              <w:rPr>
                <w:noProof/>
              </w:rPr>
              <w:t xml:space="preserve">Calendar orientativ pentru finalizare </w:t>
            </w:r>
          </w:p>
        </w:tc>
        <w:tc>
          <w:tcPr>
            <w:tcW w:w="296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89E6609" w14:textId="77777777" w:rsidR="00C45D59" w:rsidRDefault="009B0962">
            <w:pPr>
              <w:pStyle w:val="P68B1DB1-Normal10"/>
              <w:spacing w:after="0" w:line="240" w:lineRule="auto"/>
              <w:jc w:val="center"/>
              <w:rPr>
                <w:rFonts w:eastAsia="Times New Roman" w:cs="Times New Roman"/>
                <w:bCs/>
                <w:noProof/>
                <w:szCs w:val="18"/>
              </w:rPr>
            </w:pPr>
            <w:r>
              <w:rPr>
                <w:noProof/>
              </w:rPr>
              <w:t>Descrierea fiecărui jalon și a fiecărei ținte</w:t>
            </w:r>
          </w:p>
        </w:tc>
      </w:tr>
      <w:tr w:rsidR="00C45D59" w14:paraId="2FCF6198" w14:textId="77777777">
        <w:trPr>
          <w:trHeight w:val="400"/>
          <w:tblHeader/>
          <w:jc w:val="center"/>
        </w:trPr>
        <w:tc>
          <w:tcPr>
            <w:tcW w:w="613" w:type="dxa"/>
            <w:vMerge/>
            <w:tcBorders>
              <w:top w:val="single" w:sz="4" w:space="0" w:color="auto"/>
              <w:left w:val="single" w:sz="4" w:space="0" w:color="auto"/>
              <w:bottom w:val="single" w:sz="4" w:space="0" w:color="auto"/>
              <w:right w:val="single" w:sz="4" w:space="0" w:color="auto"/>
            </w:tcBorders>
            <w:vAlign w:val="center"/>
            <w:hideMark/>
          </w:tcPr>
          <w:p w14:paraId="6602742F" w14:textId="77777777" w:rsidR="00C45D59" w:rsidRDefault="00C45D59">
            <w:pPr>
              <w:spacing w:after="0" w:line="240" w:lineRule="auto"/>
              <w:rPr>
                <w:rFonts w:ascii="Times New Roman" w:eastAsia="Times New Roman" w:hAnsi="Times New Roman" w:cs="Times New Roman"/>
                <w:b/>
                <w:bCs/>
                <w:noProof/>
                <w:sz w:val="18"/>
                <w:szCs w:val="18"/>
              </w:rPr>
            </w:pPr>
          </w:p>
        </w:tc>
        <w:tc>
          <w:tcPr>
            <w:tcW w:w="2560" w:type="dxa"/>
            <w:vMerge/>
            <w:tcBorders>
              <w:top w:val="single" w:sz="4" w:space="0" w:color="auto"/>
              <w:left w:val="single" w:sz="4" w:space="0" w:color="auto"/>
              <w:bottom w:val="single" w:sz="4" w:space="0" w:color="auto"/>
              <w:right w:val="single" w:sz="4" w:space="0" w:color="auto"/>
            </w:tcBorders>
            <w:vAlign w:val="center"/>
            <w:hideMark/>
          </w:tcPr>
          <w:p w14:paraId="07302145" w14:textId="77777777" w:rsidR="00C45D59" w:rsidRDefault="00C45D59">
            <w:pPr>
              <w:spacing w:after="0" w:line="240" w:lineRule="auto"/>
              <w:rPr>
                <w:rFonts w:ascii="Times New Roman" w:eastAsia="Times New Roman" w:hAnsi="Times New Roman" w:cs="Times New Roman"/>
                <w:b/>
                <w:bCs/>
                <w:noProof/>
                <w:sz w:val="18"/>
                <w:szCs w:val="18"/>
              </w:rPr>
            </w:pPr>
          </w:p>
        </w:tc>
        <w:tc>
          <w:tcPr>
            <w:tcW w:w="1063" w:type="dxa"/>
            <w:vMerge/>
            <w:tcBorders>
              <w:top w:val="single" w:sz="4" w:space="0" w:color="auto"/>
              <w:left w:val="single" w:sz="4" w:space="0" w:color="auto"/>
              <w:bottom w:val="single" w:sz="4" w:space="0" w:color="auto"/>
              <w:right w:val="single" w:sz="4" w:space="0" w:color="auto"/>
            </w:tcBorders>
            <w:vAlign w:val="center"/>
            <w:hideMark/>
          </w:tcPr>
          <w:p w14:paraId="5C7900A6" w14:textId="77777777" w:rsidR="00C45D59" w:rsidRDefault="00C45D59">
            <w:pPr>
              <w:spacing w:after="0" w:line="240" w:lineRule="auto"/>
              <w:rPr>
                <w:rFonts w:ascii="Times New Roman" w:eastAsia="Times New Roman" w:hAnsi="Times New Roman" w:cs="Times New Roman"/>
                <w:b/>
                <w:bCs/>
                <w:noProof/>
                <w:sz w:val="18"/>
                <w:szCs w:val="18"/>
              </w:rPr>
            </w:pPr>
          </w:p>
        </w:tc>
        <w:tc>
          <w:tcPr>
            <w:tcW w:w="2034" w:type="dxa"/>
            <w:vMerge/>
            <w:tcBorders>
              <w:top w:val="single" w:sz="4" w:space="0" w:color="auto"/>
              <w:left w:val="single" w:sz="4" w:space="0" w:color="auto"/>
              <w:bottom w:val="single" w:sz="4" w:space="0" w:color="auto"/>
              <w:right w:val="single" w:sz="4" w:space="0" w:color="auto"/>
            </w:tcBorders>
            <w:vAlign w:val="center"/>
            <w:hideMark/>
          </w:tcPr>
          <w:p w14:paraId="291ABD11" w14:textId="77777777" w:rsidR="00C45D59" w:rsidRDefault="00C45D59">
            <w:pPr>
              <w:spacing w:after="0" w:line="240" w:lineRule="auto"/>
              <w:rPr>
                <w:rFonts w:ascii="Times New Roman" w:eastAsia="Times New Roman" w:hAnsi="Times New Roman" w:cs="Times New Roman"/>
                <w:b/>
                <w:bCs/>
                <w:noProof/>
                <w:sz w:val="18"/>
                <w:szCs w:val="18"/>
              </w:rPr>
            </w:pPr>
          </w:p>
        </w:tc>
        <w:tc>
          <w:tcPr>
            <w:tcW w:w="1975" w:type="dxa"/>
            <w:vMerge/>
            <w:tcBorders>
              <w:top w:val="single" w:sz="4" w:space="0" w:color="auto"/>
              <w:left w:val="single" w:sz="4" w:space="0" w:color="auto"/>
              <w:bottom w:val="single" w:sz="4" w:space="0" w:color="auto"/>
              <w:right w:val="single" w:sz="4" w:space="0" w:color="auto"/>
            </w:tcBorders>
            <w:vAlign w:val="center"/>
            <w:hideMark/>
          </w:tcPr>
          <w:p w14:paraId="01D40A13" w14:textId="77777777" w:rsidR="00C45D59" w:rsidRDefault="00C45D59">
            <w:pPr>
              <w:spacing w:after="0" w:line="240" w:lineRule="auto"/>
              <w:rPr>
                <w:rFonts w:ascii="Times New Roman" w:eastAsia="Times New Roman" w:hAnsi="Times New Roman" w:cs="Times New Roman"/>
                <w:b/>
                <w:bCs/>
                <w:noProof/>
                <w:sz w:val="18"/>
                <w:szCs w:val="18"/>
              </w:rPr>
            </w:pPr>
          </w:p>
        </w:tc>
        <w:tc>
          <w:tcPr>
            <w:tcW w:w="1777"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3E9326A9" w14:textId="77777777" w:rsidR="00C45D59" w:rsidRDefault="009B0962">
            <w:pPr>
              <w:pStyle w:val="P68B1DB1-Normal10"/>
              <w:spacing w:after="0" w:line="240" w:lineRule="auto"/>
              <w:jc w:val="center"/>
              <w:rPr>
                <w:rFonts w:eastAsia="Times New Roman" w:cs="Times New Roman"/>
                <w:bCs/>
                <w:noProof/>
                <w:szCs w:val="18"/>
              </w:rPr>
            </w:pPr>
            <w:r>
              <w:rPr>
                <w:noProof/>
              </w:rPr>
              <w:t>Unitatea de măsură</w:t>
            </w:r>
          </w:p>
        </w:tc>
        <w:tc>
          <w:tcPr>
            <w:tcW w:w="1003"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2E3EFE3C" w14:textId="77777777" w:rsidR="00C45D59" w:rsidRDefault="009B0962">
            <w:pPr>
              <w:pStyle w:val="P68B1DB1-Normal10"/>
              <w:spacing w:after="0" w:line="240" w:lineRule="auto"/>
              <w:jc w:val="center"/>
              <w:rPr>
                <w:rFonts w:eastAsia="Times New Roman" w:cs="Times New Roman"/>
                <w:bCs/>
                <w:noProof/>
                <w:szCs w:val="18"/>
              </w:rPr>
            </w:pPr>
            <w:r>
              <w:rPr>
                <w:noProof/>
              </w:rPr>
              <w:t xml:space="preserve">Situația de referință </w:t>
            </w:r>
          </w:p>
        </w:tc>
        <w:tc>
          <w:tcPr>
            <w:tcW w:w="876"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41AC104D" w14:textId="77777777" w:rsidR="00C45D59" w:rsidRDefault="009B0962">
            <w:pPr>
              <w:pStyle w:val="P68B1DB1-Normal10"/>
              <w:spacing w:after="0" w:line="240" w:lineRule="auto"/>
              <w:jc w:val="center"/>
              <w:rPr>
                <w:rFonts w:eastAsia="Times New Roman" w:cs="Times New Roman"/>
                <w:bCs/>
                <w:noProof/>
                <w:szCs w:val="18"/>
              </w:rPr>
            </w:pPr>
            <w:r>
              <w:rPr>
                <w:noProof/>
              </w:rPr>
              <w:t xml:space="preserve">Obiectiv </w:t>
            </w:r>
          </w:p>
        </w:tc>
        <w:tc>
          <w:tcPr>
            <w:tcW w:w="846"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00FA1EE9" w14:textId="77777777" w:rsidR="00C45D59" w:rsidRDefault="009B0962">
            <w:pPr>
              <w:pStyle w:val="P68B1DB1-Normal10"/>
              <w:spacing w:after="0" w:line="240" w:lineRule="auto"/>
              <w:jc w:val="center"/>
              <w:rPr>
                <w:rFonts w:eastAsia="Times New Roman" w:cs="Times New Roman"/>
                <w:bCs/>
                <w:noProof/>
                <w:szCs w:val="18"/>
              </w:rPr>
            </w:pPr>
            <w:r>
              <w:rPr>
                <w:noProof/>
              </w:rPr>
              <w:t>Trimestru</w:t>
            </w:r>
          </w:p>
        </w:tc>
        <w:tc>
          <w:tcPr>
            <w:tcW w:w="673"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6808852" w14:textId="77777777" w:rsidR="00C45D59" w:rsidRDefault="009B0962">
            <w:pPr>
              <w:pStyle w:val="P68B1DB1-Normal10"/>
              <w:spacing w:after="0" w:line="240" w:lineRule="auto"/>
              <w:jc w:val="center"/>
              <w:rPr>
                <w:rFonts w:eastAsia="Times New Roman" w:cs="Times New Roman"/>
                <w:bCs/>
                <w:noProof/>
                <w:szCs w:val="18"/>
              </w:rPr>
            </w:pPr>
            <w:r>
              <w:rPr>
                <w:noProof/>
              </w:rPr>
              <w:t>Anul</w:t>
            </w:r>
          </w:p>
        </w:tc>
        <w:tc>
          <w:tcPr>
            <w:tcW w:w="2965" w:type="dxa"/>
            <w:vMerge/>
            <w:tcBorders>
              <w:top w:val="single" w:sz="4" w:space="0" w:color="auto"/>
              <w:left w:val="single" w:sz="4" w:space="0" w:color="auto"/>
              <w:bottom w:val="single" w:sz="4" w:space="0" w:color="auto"/>
              <w:right w:val="single" w:sz="4" w:space="0" w:color="auto"/>
            </w:tcBorders>
            <w:vAlign w:val="center"/>
            <w:hideMark/>
          </w:tcPr>
          <w:p w14:paraId="5BFA63B1" w14:textId="77777777" w:rsidR="00C45D59" w:rsidRDefault="00C45D59">
            <w:pPr>
              <w:spacing w:after="0" w:line="240" w:lineRule="auto"/>
              <w:rPr>
                <w:rFonts w:ascii="Times New Roman" w:eastAsia="Times New Roman" w:hAnsi="Times New Roman" w:cs="Times New Roman"/>
                <w:b/>
                <w:bCs/>
                <w:noProof/>
                <w:sz w:val="18"/>
                <w:szCs w:val="18"/>
              </w:rPr>
            </w:pPr>
          </w:p>
        </w:tc>
      </w:tr>
      <w:tr w:rsidR="00C45D59" w14:paraId="4C1CABDC" w14:textId="77777777">
        <w:trPr>
          <w:trHeight w:val="309"/>
          <w:jc w:val="center"/>
        </w:trPr>
        <w:tc>
          <w:tcPr>
            <w:tcW w:w="613" w:type="dxa"/>
            <w:tcBorders>
              <w:top w:val="single" w:sz="4" w:space="0" w:color="auto"/>
              <w:left w:val="single" w:sz="4" w:space="0" w:color="auto"/>
              <w:bottom w:val="single" w:sz="4" w:space="0" w:color="auto"/>
              <w:right w:val="single" w:sz="4" w:space="0" w:color="auto"/>
            </w:tcBorders>
            <w:shd w:val="clear" w:color="auto" w:fill="C6EFCE"/>
            <w:noWrap/>
          </w:tcPr>
          <w:p w14:paraId="41DFCFBF" w14:textId="77777777" w:rsidR="00C45D59" w:rsidRDefault="009B0962">
            <w:pPr>
              <w:pStyle w:val="P68B1DB1-Normal12"/>
              <w:spacing w:after="0" w:line="240" w:lineRule="auto"/>
              <w:rPr>
                <w:rFonts w:eastAsia="Times New Roman"/>
                <w:noProof/>
              </w:rPr>
            </w:pPr>
            <w:r>
              <w:rPr>
                <w:noProof/>
              </w:rPr>
              <w:t>214</w:t>
            </w:r>
          </w:p>
        </w:tc>
        <w:tc>
          <w:tcPr>
            <w:tcW w:w="2560" w:type="dxa"/>
            <w:tcBorders>
              <w:top w:val="single" w:sz="4" w:space="0" w:color="auto"/>
              <w:left w:val="single" w:sz="4" w:space="0" w:color="auto"/>
              <w:bottom w:val="single" w:sz="4" w:space="0" w:color="auto"/>
              <w:right w:val="single" w:sz="4" w:space="0" w:color="auto"/>
            </w:tcBorders>
            <w:shd w:val="clear" w:color="auto" w:fill="C6EFCE"/>
            <w:noWrap/>
          </w:tcPr>
          <w:p w14:paraId="4231AFD3" w14:textId="77777777" w:rsidR="00C45D59" w:rsidRDefault="009B0962">
            <w:pPr>
              <w:pStyle w:val="P68B1DB1-Normal12"/>
              <w:spacing w:after="0" w:line="240" w:lineRule="auto"/>
              <w:rPr>
                <w:rFonts w:eastAsia="Times New Roman"/>
                <w:noProof/>
              </w:rPr>
            </w:pPr>
            <w:r>
              <w:rPr>
                <w:noProof/>
              </w:rPr>
              <w:t>13-4.2. Modernizarea administrației publice, inclusiv prin accelerarea punerii în aplicare a investițiilor publice, îmbunătățirea cadrului privind achizițiile publice, măsuri de consolidare a capacităților și combaterea corupției – 16701_Consolidarea rețelei de ajutoare de stat</w:t>
            </w:r>
          </w:p>
        </w:tc>
        <w:tc>
          <w:tcPr>
            <w:tcW w:w="1063" w:type="dxa"/>
            <w:tcBorders>
              <w:top w:val="single" w:sz="4" w:space="0" w:color="auto"/>
              <w:left w:val="single" w:sz="4" w:space="0" w:color="auto"/>
              <w:bottom w:val="single" w:sz="4" w:space="0" w:color="auto"/>
              <w:right w:val="single" w:sz="4" w:space="0" w:color="auto"/>
            </w:tcBorders>
            <w:shd w:val="clear" w:color="auto" w:fill="C6EFCE"/>
            <w:noWrap/>
          </w:tcPr>
          <w:p w14:paraId="0732F88A" w14:textId="77777777" w:rsidR="00C45D59" w:rsidRDefault="009B0962">
            <w:pPr>
              <w:pStyle w:val="P68B1DB1-Normal12"/>
              <w:spacing w:after="0" w:line="240" w:lineRule="auto"/>
              <w:rPr>
                <w:rFonts w:eastAsia="Times New Roman"/>
                <w:noProof/>
              </w:rPr>
            </w:pPr>
            <w:r>
              <w:rPr>
                <w:noProof/>
              </w:rPr>
              <w:t>Etapă</w:t>
            </w:r>
          </w:p>
        </w:tc>
        <w:tc>
          <w:tcPr>
            <w:tcW w:w="2034" w:type="dxa"/>
            <w:tcBorders>
              <w:top w:val="single" w:sz="4" w:space="0" w:color="auto"/>
              <w:left w:val="single" w:sz="4" w:space="0" w:color="auto"/>
              <w:bottom w:val="single" w:sz="4" w:space="0" w:color="auto"/>
              <w:right w:val="single" w:sz="4" w:space="0" w:color="auto"/>
            </w:tcBorders>
            <w:shd w:val="clear" w:color="auto" w:fill="C6EFCE"/>
            <w:noWrap/>
          </w:tcPr>
          <w:p w14:paraId="4975732A" w14:textId="77777777" w:rsidR="00C45D59" w:rsidRDefault="009B0962">
            <w:pPr>
              <w:pStyle w:val="P68B1DB1-Normal12"/>
              <w:spacing w:after="0" w:line="240" w:lineRule="auto"/>
              <w:rPr>
                <w:rFonts w:eastAsia="Times New Roman"/>
                <w:noProof/>
              </w:rPr>
            </w:pPr>
            <w:r>
              <w:rPr>
                <w:noProof/>
              </w:rPr>
              <w:t>Consolidarea rețelei de ajutoare de stat</w:t>
            </w:r>
          </w:p>
        </w:tc>
        <w:tc>
          <w:tcPr>
            <w:tcW w:w="1975" w:type="dxa"/>
            <w:tcBorders>
              <w:top w:val="single" w:sz="4" w:space="0" w:color="auto"/>
              <w:left w:val="single" w:sz="4" w:space="0" w:color="auto"/>
              <w:bottom w:val="single" w:sz="4" w:space="0" w:color="auto"/>
              <w:right w:val="single" w:sz="4" w:space="0" w:color="auto"/>
            </w:tcBorders>
            <w:shd w:val="clear" w:color="auto" w:fill="C6EFCE"/>
            <w:noWrap/>
          </w:tcPr>
          <w:p w14:paraId="39CFF277" w14:textId="77777777" w:rsidR="00C45D59" w:rsidRDefault="009B0962">
            <w:pPr>
              <w:pStyle w:val="P68B1DB1-Normal12"/>
              <w:spacing w:after="0" w:line="240" w:lineRule="auto"/>
              <w:rPr>
                <w:rFonts w:eastAsia="Times New Roman"/>
                <w:noProof/>
              </w:rPr>
            </w:pPr>
            <w:r>
              <w:rPr>
                <w:noProof/>
              </w:rPr>
              <w:t>Intrarea în vigoare a cadrului consolidat privind ajutoarele de stat</w:t>
            </w:r>
          </w:p>
        </w:tc>
        <w:tc>
          <w:tcPr>
            <w:tcW w:w="1777" w:type="dxa"/>
            <w:tcBorders>
              <w:top w:val="single" w:sz="4" w:space="0" w:color="auto"/>
              <w:left w:val="single" w:sz="4" w:space="0" w:color="auto"/>
              <w:bottom w:val="single" w:sz="4" w:space="0" w:color="auto"/>
              <w:right w:val="single" w:sz="4" w:space="0" w:color="auto"/>
            </w:tcBorders>
            <w:shd w:val="clear" w:color="auto" w:fill="C6EFCE"/>
            <w:noWrap/>
          </w:tcPr>
          <w:p w14:paraId="7995A1C2"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003" w:type="dxa"/>
            <w:tcBorders>
              <w:top w:val="single" w:sz="4" w:space="0" w:color="auto"/>
              <w:left w:val="single" w:sz="4" w:space="0" w:color="auto"/>
              <w:bottom w:val="single" w:sz="4" w:space="0" w:color="auto"/>
              <w:right w:val="single" w:sz="4" w:space="0" w:color="auto"/>
            </w:tcBorders>
            <w:shd w:val="clear" w:color="auto" w:fill="C6EFCE"/>
            <w:noWrap/>
          </w:tcPr>
          <w:p w14:paraId="7C6B8A35"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76" w:type="dxa"/>
            <w:tcBorders>
              <w:top w:val="single" w:sz="4" w:space="0" w:color="auto"/>
              <w:left w:val="single" w:sz="4" w:space="0" w:color="auto"/>
              <w:bottom w:val="single" w:sz="4" w:space="0" w:color="auto"/>
              <w:right w:val="single" w:sz="4" w:space="0" w:color="auto"/>
            </w:tcBorders>
            <w:shd w:val="clear" w:color="auto" w:fill="C6EFCE"/>
            <w:noWrap/>
          </w:tcPr>
          <w:p w14:paraId="44A20179"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161F604B" w14:textId="77777777" w:rsidR="00C45D59" w:rsidRDefault="009B0962">
            <w:pPr>
              <w:pStyle w:val="P68B1DB1-Normal12"/>
              <w:spacing w:after="0" w:line="240" w:lineRule="auto"/>
              <w:rPr>
                <w:rFonts w:eastAsia="Times New Roman"/>
                <w:noProof/>
              </w:rPr>
            </w:pPr>
            <w:r>
              <w:rPr>
                <w:noProof/>
              </w:rPr>
              <w:t>Î4</w:t>
            </w:r>
          </w:p>
        </w:tc>
        <w:tc>
          <w:tcPr>
            <w:tcW w:w="673" w:type="dxa"/>
            <w:tcBorders>
              <w:top w:val="single" w:sz="4" w:space="0" w:color="auto"/>
              <w:left w:val="single" w:sz="4" w:space="0" w:color="auto"/>
              <w:bottom w:val="single" w:sz="4" w:space="0" w:color="auto"/>
              <w:right w:val="single" w:sz="4" w:space="0" w:color="auto"/>
            </w:tcBorders>
            <w:shd w:val="clear" w:color="auto" w:fill="C6EFCE"/>
            <w:noWrap/>
          </w:tcPr>
          <w:p w14:paraId="4CBDCED9" w14:textId="77777777" w:rsidR="00C45D59" w:rsidRDefault="009B0962">
            <w:pPr>
              <w:pStyle w:val="P68B1DB1-Normal12"/>
              <w:spacing w:after="0" w:line="240" w:lineRule="auto"/>
              <w:rPr>
                <w:rFonts w:eastAsia="Times New Roman"/>
                <w:noProof/>
              </w:rPr>
            </w:pPr>
            <w:r>
              <w:rPr>
                <w:noProof/>
              </w:rPr>
              <w:t>2022</w:t>
            </w:r>
          </w:p>
        </w:tc>
        <w:tc>
          <w:tcPr>
            <w:tcW w:w="2965" w:type="dxa"/>
            <w:tcBorders>
              <w:top w:val="single" w:sz="4" w:space="0" w:color="auto"/>
              <w:left w:val="single" w:sz="4" w:space="0" w:color="auto"/>
              <w:bottom w:val="single" w:sz="4" w:space="0" w:color="auto"/>
              <w:right w:val="single" w:sz="4" w:space="0" w:color="auto"/>
            </w:tcBorders>
            <w:shd w:val="clear" w:color="auto" w:fill="C6EFCE"/>
            <w:noWrap/>
          </w:tcPr>
          <w:p w14:paraId="28B53E1D" w14:textId="77777777" w:rsidR="00C45D59" w:rsidRDefault="009B0962">
            <w:pPr>
              <w:pStyle w:val="P68B1DB1-Normal12"/>
              <w:spacing w:after="0" w:line="240" w:lineRule="auto"/>
              <w:rPr>
                <w:rFonts w:eastAsia="Times New Roman"/>
                <w:noProof/>
              </w:rPr>
            </w:pPr>
            <w:r>
              <w:rPr>
                <w:noProof/>
              </w:rPr>
              <w:t>Intrarea în vigoare a modificărilor aduse cadrului juridic privind ajutoarele de stat pentru funcționarea Rețelei centrale a ajutoarelor de stat (CESANET), în vederea consolidării competențelor Unității centrale pentru ajutoarele de stat și ale Unităților descentralizate pentru ajutoarele de stat</w:t>
            </w:r>
          </w:p>
        </w:tc>
      </w:tr>
      <w:tr w:rsidR="00C45D59" w14:paraId="13A72A96" w14:textId="77777777">
        <w:trPr>
          <w:trHeight w:val="309"/>
          <w:jc w:val="center"/>
        </w:trPr>
        <w:tc>
          <w:tcPr>
            <w:tcW w:w="613" w:type="dxa"/>
            <w:tcBorders>
              <w:top w:val="single" w:sz="4" w:space="0" w:color="auto"/>
              <w:left w:val="single" w:sz="4" w:space="0" w:color="auto"/>
              <w:bottom w:val="single" w:sz="4" w:space="0" w:color="auto"/>
              <w:right w:val="single" w:sz="4" w:space="0" w:color="auto"/>
            </w:tcBorders>
            <w:shd w:val="clear" w:color="auto" w:fill="C6EFCE"/>
            <w:noWrap/>
          </w:tcPr>
          <w:p w14:paraId="02FA0226" w14:textId="77777777" w:rsidR="00C45D59" w:rsidRDefault="009B0962">
            <w:pPr>
              <w:pStyle w:val="P68B1DB1-Normal12"/>
              <w:spacing w:after="0" w:line="240" w:lineRule="auto"/>
              <w:rPr>
                <w:rFonts w:eastAsia="Times New Roman"/>
                <w:noProof/>
              </w:rPr>
            </w:pPr>
            <w:r>
              <w:rPr>
                <w:noProof/>
              </w:rPr>
              <w:t>215</w:t>
            </w:r>
          </w:p>
        </w:tc>
        <w:tc>
          <w:tcPr>
            <w:tcW w:w="2560" w:type="dxa"/>
            <w:tcBorders>
              <w:top w:val="single" w:sz="4" w:space="0" w:color="auto"/>
              <w:left w:val="nil"/>
              <w:bottom w:val="single" w:sz="4" w:space="0" w:color="auto"/>
              <w:right w:val="single" w:sz="4" w:space="0" w:color="auto"/>
            </w:tcBorders>
            <w:shd w:val="clear" w:color="auto" w:fill="C6EFCE"/>
            <w:noWrap/>
          </w:tcPr>
          <w:p w14:paraId="4C311C82" w14:textId="77777777" w:rsidR="00C45D59" w:rsidRDefault="009B0962">
            <w:pPr>
              <w:pStyle w:val="P68B1DB1-Normal12"/>
              <w:spacing w:after="0" w:line="240" w:lineRule="auto"/>
              <w:rPr>
                <w:rFonts w:eastAsia="Times New Roman"/>
                <w:noProof/>
              </w:rPr>
            </w:pPr>
            <w:r>
              <w:rPr>
                <w:noProof/>
              </w:rPr>
              <w:t>13-4.2. Modernizarea administrației publice, inclusiv prin accelerarea punerii în aplicare a investițiilor publice, îmbunătățirea cadrului privind achizițiile publice, măsuri de consolidare a capacităților și combaterea corupției – 16981_Îmbunătățirea planificării și coordonării politicilor</w:t>
            </w:r>
          </w:p>
        </w:tc>
        <w:tc>
          <w:tcPr>
            <w:tcW w:w="1063" w:type="dxa"/>
            <w:tcBorders>
              <w:top w:val="single" w:sz="4" w:space="0" w:color="auto"/>
              <w:left w:val="nil"/>
              <w:bottom w:val="single" w:sz="4" w:space="0" w:color="auto"/>
              <w:right w:val="single" w:sz="4" w:space="0" w:color="auto"/>
            </w:tcBorders>
            <w:shd w:val="clear" w:color="auto" w:fill="C6EFCE"/>
            <w:noWrap/>
          </w:tcPr>
          <w:p w14:paraId="131F839E" w14:textId="77777777" w:rsidR="00C45D59" w:rsidRDefault="009B0962">
            <w:pPr>
              <w:pStyle w:val="P68B1DB1-Normal12"/>
              <w:spacing w:after="0" w:line="240" w:lineRule="auto"/>
              <w:rPr>
                <w:rFonts w:eastAsia="Times New Roman"/>
                <w:noProof/>
              </w:rPr>
            </w:pPr>
            <w:r>
              <w:rPr>
                <w:noProof/>
              </w:rPr>
              <w:t>Etapă</w:t>
            </w:r>
          </w:p>
        </w:tc>
        <w:tc>
          <w:tcPr>
            <w:tcW w:w="2034" w:type="dxa"/>
            <w:tcBorders>
              <w:top w:val="single" w:sz="4" w:space="0" w:color="auto"/>
              <w:left w:val="nil"/>
              <w:bottom w:val="single" w:sz="4" w:space="0" w:color="auto"/>
              <w:right w:val="single" w:sz="4" w:space="0" w:color="auto"/>
            </w:tcBorders>
            <w:shd w:val="clear" w:color="auto" w:fill="C6EFCE"/>
            <w:noWrap/>
          </w:tcPr>
          <w:p w14:paraId="3B090D74" w14:textId="77777777" w:rsidR="00C45D59" w:rsidRDefault="009B0962">
            <w:pPr>
              <w:pStyle w:val="P68B1DB1-Normal12"/>
              <w:spacing w:after="0" w:line="240" w:lineRule="auto"/>
              <w:rPr>
                <w:rFonts w:eastAsia="Times New Roman"/>
                <w:noProof/>
              </w:rPr>
            </w:pPr>
            <w:r>
              <w:rPr>
                <w:noProof/>
              </w:rPr>
              <w:t>Planificarea și coordonarea politicilor – evaluarea impactului</w:t>
            </w:r>
          </w:p>
        </w:tc>
        <w:tc>
          <w:tcPr>
            <w:tcW w:w="1975" w:type="dxa"/>
            <w:tcBorders>
              <w:top w:val="single" w:sz="4" w:space="0" w:color="auto"/>
              <w:left w:val="nil"/>
              <w:bottom w:val="single" w:sz="4" w:space="0" w:color="auto"/>
              <w:right w:val="single" w:sz="4" w:space="0" w:color="auto"/>
            </w:tcBorders>
            <w:shd w:val="clear" w:color="auto" w:fill="C6EFCE"/>
            <w:noWrap/>
          </w:tcPr>
          <w:p w14:paraId="6555F8CD" w14:textId="77777777" w:rsidR="00C45D59" w:rsidRDefault="009B0962">
            <w:pPr>
              <w:pStyle w:val="P68B1DB1-Normal12"/>
              <w:spacing w:after="0" w:line="240" w:lineRule="auto"/>
              <w:rPr>
                <w:rFonts w:eastAsia="Times New Roman"/>
                <w:noProof/>
              </w:rPr>
            </w:pPr>
            <w:r>
              <w:rPr>
                <w:noProof/>
              </w:rPr>
              <w:t>A fost lansat un program de formare la care au participat 100 de funcționari publici selectați.</w:t>
            </w:r>
          </w:p>
        </w:tc>
        <w:tc>
          <w:tcPr>
            <w:tcW w:w="1777" w:type="dxa"/>
            <w:tcBorders>
              <w:top w:val="single" w:sz="4" w:space="0" w:color="auto"/>
              <w:left w:val="nil"/>
              <w:bottom w:val="single" w:sz="4" w:space="0" w:color="auto"/>
              <w:right w:val="single" w:sz="4" w:space="0" w:color="auto"/>
            </w:tcBorders>
            <w:shd w:val="clear" w:color="auto" w:fill="C6EFCE"/>
            <w:noWrap/>
          </w:tcPr>
          <w:p w14:paraId="2E36AC43"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003" w:type="dxa"/>
            <w:tcBorders>
              <w:top w:val="single" w:sz="4" w:space="0" w:color="auto"/>
              <w:left w:val="nil"/>
              <w:bottom w:val="single" w:sz="4" w:space="0" w:color="auto"/>
              <w:right w:val="single" w:sz="4" w:space="0" w:color="auto"/>
            </w:tcBorders>
            <w:shd w:val="clear" w:color="auto" w:fill="C6EFCE"/>
            <w:noWrap/>
          </w:tcPr>
          <w:p w14:paraId="027B4D60"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76" w:type="dxa"/>
            <w:tcBorders>
              <w:top w:val="single" w:sz="4" w:space="0" w:color="auto"/>
              <w:left w:val="nil"/>
              <w:bottom w:val="single" w:sz="4" w:space="0" w:color="auto"/>
              <w:right w:val="single" w:sz="4" w:space="0" w:color="auto"/>
            </w:tcBorders>
            <w:shd w:val="clear" w:color="auto" w:fill="C6EFCE"/>
            <w:noWrap/>
          </w:tcPr>
          <w:p w14:paraId="4F5416D8"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46" w:type="dxa"/>
            <w:tcBorders>
              <w:top w:val="single" w:sz="4" w:space="0" w:color="auto"/>
              <w:left w:val="nil"/>
              <w:bottom w:val="single" w:sz="4" w:space="0" w:color="auto"/>
              <w:right w:val="single" w:sz="4" w:space="0" w:color="auto"/>
            </w:tcBorders>
            <w:shd w:val="clear" w:color="auto" w:fill="C6EFCE"/>
            <w:noWrap/>
          </w:tcPr>
          <w:p w14:paraId="67FD346F" w14:textId="77777777" w:rsidR="00C45D59" w:rsidRDefault="009B0962">
            <w:pPr>
              <w:pStyle w:val="P68B1DB1-Normal12"/>
              <w:spacing w:after="0" w:line="240" w:lineRule="auto"/>
              <w:rPr>
                <w:rFonts w:eastAsia="Times New Roman"/>
                <w:noProof/>
              </w:rPr>
            </w:pPr>
            <w:r>
              <w:rPr>
                <w:noProof/>
              </w:rPr>
              <w:t>Î4</w:t>
            </w:r>
          </w:p>
        </w:tc>
        <w:tc>
          <w:tcPr>
            <w:tcW w:w="673" w:type="dxa"/>
            <w:tcBorders>
              <w:top w:val="single" w:sz="4" w:space="0" w:color="auto"/>
              <w:left w:val="nil"/>
              <w:bottom w:val="single" w:sz="4" w:space="0" w:color="auto"/>
              <w:right w:val="single" w:sz="4" w:space="0" w:color="auto"/>
            </w:tcBorders>
            <w:shd w:val="clear" w:color="auto" w:fill="C6EFCE"/>
            <w:noWrap/>
          </w:tcPr>
          <w:p w14:paraId="77D1809B" w14:textId="77777777" w:rsidR="00C45D59" w:rsidRDefault="009B0962">
            <w:pPr>
              <w:pStyle w:val="P68B1DB1-Normal12"/>
              <w:spacing w:after="0" w:line="240" w:lineRule="auto"/>
              <w:rPr>
                <w:rFonts w:eastAsia="Times New Roman"/>
                <w:noProof/>
              </w:rPr>
            </w:pPr>
            <w:r>
              <w:rPr>
                <w:noProof/>
              </w:rPr>
              <w:t>2022</w:t>
            </w:r>
          </w:p>
        </w:tc>
        <w:tc>
          <w:tcPr>
            <w:tcW w:w="2965" w:type="dxa"/>
            <w:tcBorders>
              <w:top w:val="single" w:sz="4" w:space="0" w:color="auto"/>
              <w:left w:val="nil"/>
              <w:bottom w:val="single" w:sz="4" w:space="0" w:color="auto"/>
              <w:right w:val="single" w:sz="4" w:space="0" w:color="auto"/>
            </w:tcBorders>
            <w:shd w:val="clear" w:color="auto" w:fill="C6EFCE"/>
            <w:noWrap/>
          </w:tcPr>
          <w:p w14:paraId="3B3FA4EF" w14:textId="77777777" w:rsidR="00C45D59" w:rsidRDefault="009B0962">
            <w:pPr>
              <w:pStyle w:val="P68B1DB1-Normal12"/>
              <w:spacing w:after="0" w:line="240" w:lineRule="auto"/>
              <w:rPr>
                <w:rFonts w:eastAsia="Times New Roman"/>
                <w:noProof/>
              </w:rPr>
            </w:pPr>
            <w:r>
              <w:rPr>
                <w:noProof/>
              </w:rPr>
              <w:t xml:space="preserve">În urma lansării platformei electronice pentru evaluarea impactului, se lansează un program de formare și o procedură de acreditare asociată cu cel puțin 100 de funcționari publici înscriși, inclusiv funcționari publici selectați pentru „ramurile executive” (Legea nr. 4622/2019, articolul 104), cu scopul de a îmbunătăți calitatea evaluărilor impactului pregătite și de a facilita utilizarea platformei electronice. </w:t>
            </w:r>
          </w:p>
        </w:tc>
      </w:tr>
      <w:tr w:rsidR="00C45D59" w14:paraId="188222A6" w14:textId="77777777">
        <w:trPr>
          <w:trHeight w:val="309"/>
          <w:jc w:val="center"/>
        </w:trPr>
        <w:tc>
          <w:tcPr>
            <w:tcW w:w="613" w:type="dxa"/>
            <w:tcBorders>
              <w:top w:val="nil"/>
              <w:left w:val="single" w:sz="4" w:space="0" w:color="auto"/>
              <w:bottom w:val="single" w:sz="4" w:space="0" w:color="auto"/>
              <w:right w:val="single" w:sz="4" w:space="0" w:color="auto"/>
            </w:tcBorders>
            <w:shd w:val="clear" w:color="auto" w:fill="C6EFCE"/>
            <w:noWrap/>
          </w:tcPr>
          <w:p w14:paraId="0F197418" w14:textId="77777777" w:rsidR="00C45D59" w:rsidRDefault="009B0962">
            <w:pPr>
              <w:pStyle w:val="P68B1DB1-Normal12"/>
              <w:spacing w:line="240" w:lineRule="auto"/>
              <w:rPr>
                <w:rFonts w:eastAsia="Times New Roman"/>
                <w:noProof/>
              </w:rPr>
            </w:pPr>
            <w:r>
              <w:rPr>
                <w:noProof/>
              </w:rPr>
              <w:t>216a</w:t>
            </w:r>
          </w:p>
        </w:tc>
        <w:tc>
          <w:tcPr>
            <w:tcW w:w="2560" w:type="dxa"/>
            <w:tcBorders>
              <w:top w:val="nil"/>
              <w:left w:val="nil"/>
              <w:bottom w:val="single" w:sz="4" w:space="0" w:color="auto"/>
              <w:right w:val="single" w:sz="4" w:space="0" w:color="auto"/>
            </w:tcBorders>
            <w:shd w:val="clear" w:color="auto" w:fill="C6EFCE"/>
            <w:noWrap/>
          </w:tcPr>
          <w:p w14:paraId="5E8767A7" w14:textId="63E5CA14" w:rsidR="00C45D59" w:rsidRDefault="009B0962">
            <w:pPr>
              <w:pStyle w:val="P68B1DB1-Normal12"/>
              <w:spacing w:line="240" w:lineRule="auto"/>
              <w:rPr>
                <w:rFonts w:eastAsia="Times New Roman"/>
                <w:noProof/>
              </w:rPr>
            </w:pPr>
            <w:r>
              <w:rPr>
                <w:noProof/>
              </w:rPr>
              <w:t xml:space="preserve">13-4.2. Modernizarea administrației publice, inclusiv prin accelerarea punerii în aplicare a investițiilor publice, îmbunătățirea cadrului privind achizițiile publice, măsuri de consolidare a capacităților și combaterea corupției – 16711_Profesionalizarea domeniului achizițiilor publice </w:t>
            </w:r>
          </w:p>
        </w:tc>
        <w:tc>
          <w:tcPr>
            <w:tcW w:w="1063" w:type="dxa"/>
            <w:tcBorders>
              <w:top w:val="nil"/>
              <w:left w:val="nil"/>
              <w:bottom w:val="single" w:sz="4" w:space="0" w:color="auto"/>
              <w:right w:val="single" w:sz="4" w:space="0" w:color="auto"/>
            </w:tcBorders>
            <w:shd w:val="clear" w:color="auto" w:fill="C6EFCE"/>
            <w:noWrap/>
          </w:tcPr>
          <w:p w14:paraId="0BA04E95" w14:textId="77777777" w:rsidR="00C45D59" w:rsidRDefault="009B0962">
            <w:pPr>
              <w:pStyle w:val="P68B1DB1-Normal12"/>
              <w:spacing w:line="240" w:lineRule="auto"/>
              <w:rPr>
                <w:rFonts w:eastAsia="Times New Roman"/>
                <w:noProof/>
              </w:rPr>
            </w:pPr>
            <w:r>
              <w:rPr>
                <w:noProof/>
              </w:rPr>
              <w:t>Etapă</w:t>
            </w:r>
          </w:p>
        </w:tc>
        <w:tc>
          <w:tcPr>
            <w:tcW w:w="2034" w:type="dxa"/>
            <w:tcBorders>
              <w:top w:val="nil"/>
              <w:left w:val="nil"/>
              <w:bottom w:val="single" w:sz="4" w:space="0" w:color="auto"/>
              <w:right w:val="single" w:sz="4" w:space="0" w:color="auto"/>
            </w:tcBorders>
            <w:shd w:val="clear" w:color="auto" w:fill="C6EFCE"/>
            <w:noWrap/>
          </w:tcPr>
          <w:p w14:paraId="1FF36699" w14:textId="77777777" w:rsidR="00C45D59" w:rsidRDefault="009B0962">
            <w:pPr>
              <w:pStyle w:val="P68B1DB1-Normal12"/>
              <w:spacing w:line="240" w:lineRule="auto"/>
              <w:rPr>
                <w:rFonts w:eastAsia="Times New Roman"/>
                <w:noProof/>
              </w:rPr>
            </w:pPr>
            <w:r>
              <w:rPr>
                <w:noProof/>
              </w:rPr>
              <w:t>Modificarea Strategiei naționale privind achizițiile publice 2021-2025</w:t>
            </w:r>
          </w:p>
        </w:tc>
        <w:tc>
          <w:tcPr>
            <w:tcW w:w="1975" w:type="dxa"/>
            <w:tcBorders>
              <w:top w:val="nil"/>
              <w:left w:val="nil"/>
              <w:bottom w:val="single" w:sz="4" w:space="0" w:color="auto"/>
              <w:right w:val="single" w:sz="4" w:space="0" w:color="auto"/>
            </w:tcBorders>
            <w:shd w:val="clear" w:color="auto" w:fill="C6EFCE"/>
            <w:noWrap/>
          </w:tcPr>
          <w:p w14:paraId="57B3C576" w14:textId="77777777" w:rsidR="00C45D59" w:rsidRDefault="009B0962">
            <w:pPr>
              <w:pStyle w:val="P68B1DB1-Normal12"/>
              <w:spacing w:line="240" w:lineRule="auto"/>
              <w:rPr>
                <w:rFonts w:eastAsia="Times New Roman"/>
                <w:noProof/>
              </w:rPr>
            </w:pPr>
            <w:r>
              <w:rPr>
                <w:noProof/>
              </w:rPr>
              <w:t>Modificarea Strategiei naționale privind achizițiile publice intră în vigoare printr-un act legislativ secundar</w:t>
            </w:r>
          </w:p>
        </w:tc>
        <w:tc>
          <w:tcPr>
            <w:tcW w:w="1777" w:type="dxa"/>
            <w:tcBorders>
              <w:top w:val="nil"/>
              <w:left w:val="nil"/>
              <w:bottom w:val="single" w:sz="4" w:space="0" w:color="auto"/>
              <w:right w:val="single" w:sz="4" w:space="0" w:color="auto"/>
            </w:tcBorders>
            <w:shd w:val="clear" w:color="auto" w:fill="C6EFCE"/>
            <w:noWrap/>
          </w:tcPr>
          <w:p w14:paraId="26AB1D74" w14:textId="77777777" w:rsidR="00C45D59" w:rsidRDefault="00C45D59">
            <w:pPr>
              <w:spacing w:line="240" w:lineRule="auto"/>
              <w:rPr>
                <w:rFonts w:ascii="Times New Roman" w:eastAsia="Times New Roman" w:hAnsi="Times New Roman" w:cs="Times New Roman"/>
                <w:noProof/>
                <w:color w:val="006100"/>
                <w:sz w:val="18"/>
                <w:szCs w:val="18"/>
              </w:rPr>
            </w:pPr>
          </w:p>
        </w:tc>
        <w:tc>
          <w:tcPr>
            <w:tcW w:w="1003" w:type="dxa"/>
            <w:tcBorders>
              <w:top w:val="nil"/>
              <w:left w:val="nil"/>
              <w:bottom w:val="single" w:sz="4" w:space="0" w:color="auto"/>
              <w:right w:val="single" w:sz="4" w:space="0" w:color="auto"/>
            </w:tcBorders>
            <w:shd w:val="clear" w:color="auto" w:fill="C6EFCE"/>
            <w:noWrap/>
          </w:tcPr>
          <w:p w14:paraId="0D95BFF6" w14:textId="77777777" w:rsidR="00C45D59" w:rsidRDefault="00C45D59">
            <w:pPr>
              <w:spacing w:line="240" w:lineRule="auto"/>
              <w:rPr>
                <w:rFonts w:ascii="Times New Roman" w:eastAsia="Times New Roman" w:hAnsi="Times New Roman" w:cs="Times New Roman"/>
                <w:noProof/>
                <w:color w:val="006100"/>
                <w:sz w:val="18"/>
                <w:szCs w:val="18"/>
              </w:rPr>
            </w:pPr>
          </w:p>
        </w:tc>
        <w:tc>
          <w:tcPr>
            <w:tcW w:w="876" w:type="dxa"/>
            <w:tcBorders>
              <w:top w:val="nil"/>
              <w:left w:val="nil"/>
              <w:bottom w:val="single" w:sz="4" w:space="0" w:color="auto"/>
              <w:right w:val="single" w:sz="4" w:space="0" w:color="auto"/>
            </w:tcBorders>
            <w:shd w:val="clear" w:color="auto" w:fill="C6EFCE"/>
            <w:noWrap/>
          </w:tcPr>
          <w:p w14:paraId="44F20B85" w14:textId="77777777" w:rsidR="00C45D59" w:rsidRDefault="00C45D59">
            <w:pPr>
              <w:spacing w:line="240" w:lineRule="auto"/>
              <w:rPr>
                <w:rFonts w:ascii="Times New Roman" w:eastAsia="Times New Roman" w:hAnsi="Times New Roman" w:cs="Times New Roman"/>
                <w:noProof/>
                <w:color w:val="006100"/>
                <w:sz w:val="18"/>
                <w:szCs w:val="18"/>
              </w:rPr>
            </w:pPr>
          </w:p>
        </w:tc>
        <w:tc>
          <w:tcPr>
            <w:tcW w:w="846" w:type="dxa"/>
            <w:tcBorders>
              <w:top w:val="nil"/>
              <w:left w:val="nil"/>
              <w:bottom w:val="single" w:sz="4" w:space="0" w:color="auto"/>
              <w:right w:val="single" w:sz="4" w:space="0" w:color="auto"/>
            </w:tcBorders>
            <w:shd w:val="clear" w:color="auto" w:fill="C6EFCE"/>
            <w:noWrap/>
          </w:tcPr>
          <w:p w14:paraId="14B0CE47" w14:textId="77777777" w:rsidR="00C45D59" w:rsidRDefault="009B0962">
            <w:pPr>
              <w:pStyle w:val="P68B1DB1-Normal12"/>
              <w:spacing w:line="240" w:lineRule="auto"/>
              <w:rPr>
                <w:rFonts w:eastAsia="Times New Roman"/>
                <w:noProof/>
              </w:rPr>
            </w:pPr>
            <w:r>
              <w:rPr>
                <w:noProof/>
              </w:rPr>
              <w:t>Î4</w:t>
            </w:r>
          </w:p>
        </w:tc>
        <w:tc>
          <w:tcPr>
            <w:tcW w:w="673" w:type="dxa"/>
            <w:tcBorders>
              <w:top w:val="nil"/>
              <w:left w:val="nil"/>
              <w:bottom w:val="single" w:sz="4" w:space="0" w:color="auto"/>
              <w:right w:val="single" w:sz="4" w:space="0" w:color="auto"/>
            </w:tcBorders>
            <w:shd w:val="clear" w:color="auto" w:fill="C6EFCE"/>
            <w:noWrap/>
          </w:tcPr>
          <w:p w14:paraId="5DE62EEA" w14:textId="77777777" w:rsidR="00C45D59" w:rsidRDefault="009B0962">
            <w:pPr>
              <w:pStyle w:val="P68B1DB1-Normal12"/>
              <w:spacing w:line="240" w:lineRule="auto"/>
              <w:rPr>
                <w:rFonts w:eastAsia="Times New Roman"/>
                <w:noProof/>
              </w:rPr>
            </w:pPr>
            <w:r>
              <w:rPr>
                <w:noProof/>
              </w:rPr>
              <w:t>2023</w:t>
            </w:r>
          </w:p>
        </w:tc>
        <w:tc>
          <w:tcPr>
            <w:tcW w:w="2965" w:type="dxa"/>
            <w:tcBorders>
              <w:top w:val="nil"/>
              <w:left w:val="nil"/>
              <w:bottom w:val="single" w:sz="4" w:space="0" w:color="auto"/>
              <w:right w:val="single" w:sz="4" w:space="0" w:color="auto"/>
            </w:tcBorders>
            <w:shd w:val="clear" w:color="auto" w:fill="C6EFCE"/>
            <w:noWrap/>
          </w:tcPr>
          <w:p w14:paraId="62A2BEE4" w14:textId="77777777" w:rsidR="00C45D59" w:rsidRDefault="009B0962">
            <w:pPr>
              <w:pStyle w:val="P68B1DB1-Normal12"/>
              <w:spacing w:line="240" w:lineRule="auto"/>
              <w:rPr>
                <w:rFonts w:eastAsia="Times New Roman"/>
                <w:noProof/>
              </w:rPr>
            </w:pPr>
            <w:r>
              <w:rPr>
                <w:noProof/>
              </w:rPr>
              <w:t>Intrarea în vigoare, prin intermediul legislației secundare, a Strategiei naționale modificate privind achizițiile publice 2021-2025</w:t>
            </w:r>
          </w:p>
        </w:tc>
      </w:tr>
      <w:tr w:rsidR="00C45D59" w14:paraId="1FE07E71" w14:textId="77777777">
        <w:trPr>
          <w:trHeight w:val="309"/>
          <w:jc w:val="center"/>
        </w:trPr>
        <w:tc>
          <w:tcPr>
            <w:tcW w:w="613" w:type="dxa"/>
            <w:tcBorders>
              <w:top w:val="nil"/>
              <w:left w:val="single" w:sz="4" w:space="0" w:color="auto"/>
              <w:bottom w:val="single" w:sz="4" w:space="0" w:color="auto"/>
              <w:right w:val="single" w:sz="4" w:space="0" w:color="auto"/>
            </w:tcBorders>
            <w:shd w:val="clear" w:color="auto" w:fill="C6EFCE"/>
            <w:noWrap/>
            <w:hideMark/>
          </w:tcPr>
          <w:p w14:paraId="5377EA68" w14:textId="77777777" w:rsidR="00C45D59" w:rsidRDefault="009B0962">
            <w:pPr>
              <w:pStyle w:val="P68B1DB1-Normal12"/>
              <w:spacing w:after="0" w:line="240" w:lineRule="auto"/>
              <w:rPr>
                <w:rFonts w:eastAsia="Times New Roman"/>
                <w:noProof/>
              </w:rPr>
            </w:pPr>
            <w:r>
              <w:rPr>
                <w:noProof/>
              </w:rPr>
              <w:t>216</w:t>
            </w:r>
          </w:p>
        </w:tc>
        <w:tc>
          <w:tcPr>
            <w:tcW w:w="2560" w:type="dxa"/>
            <w:tcBorders>
              <w:top w:val="nil"/>
              <w:left w:val="nil"/>
              <w:bottom w:val="single" w:sz="4" w:space="0" w:color="auto"/>
              <w:right w:val="single" w:sz="4" w:space="0" w:color="auto"/>
            </w:tcBorders>
            <w:shd w:val="clear" w:color="auto" w:fill="C6EFCE"/>
            <w:noWrap/>
            <w:hideMark/>
          </w:tcPr>
          <w:p w14:paraId="3A688926" w14:textId="77777777" w:rsidR="00C45D59" w:rsidRDefault="009B0962">
            <w:pPr>
              <w:pStyle w:val="P68B1DB1-Normal12"/>
              <w:spacing w:after="0" w:line="240" w:lineRule="auto"/>
              <w:rPr>
                <w:rFonts w:eastAsia="Times New Roman"/>
                <w:noProof/>
              </w:rPr>
            </w:pPr>
            <w:r>
              <w:rPr>
                <w:noProof/>
              </w:rPr>
              <w:t>13-4.2. Modernizarea administrației publice, inclusiv prin accelerarea punerii în aplicare a investițiilor publice, îmbunătățirea cadrului privind achizițiile publice, măsuri de consolidare a capacităților și combaterea corupției – 16711_Profesionalizarea domeniului achizițiilor publice</w:t>
            </w:r>
          </w:p>
        </w:tc>
        <w:tc>
          <w:tcPr>
            <w:tcW w:w="1063" w:type="dxa"/>
            <w:tcBorders>
              <w:top w:val="nil"/>
              <w:left w:val="nil"/>
              <w:bottom w:val="single" w:sz="4" w:space="0" w:color="auto"/>
              <w:right w:val="single" w:sz="4" w:space="0" w:color="auto"/>
            </w:tcBorders>
            <w:shd w:val="clear" w:color="auto" w:fill="C6EFCE"/>
            <w:noWrap/>
            <w:hideMark/>
          </w:tcPr>
          <w:p w14:paraId="576249D3" w14:textId="77777777" w:rsidR="00C45D59" w:rsidRDefault="009B0962">
            <w:pPr>
              <w:pStyle w:val="P68B1DB1-Normal12"/>
              <w:spacing w:after="0" w:line="240" w:lineRule="auto"/>
              <w:rPr>
                <w:rFonts w:eastAsia="Times New Roman"/>
                <w:noProof/>
              </w:rPr>
            </w:pPr>
            <w:r>
              <w:rPr>
                <w:noProof/>
              </w:rPr>
              <w:t>Etapă</w:t>
            </w:r>
          </w:p>
        </w:tc>
        <w:tc>
          <w:tcPr>
            <w:tcW w:w="2034" w:type="dxa"/>
            <w:tcBorders>
              <w:top w:val="nil"/>
              <w:left w:val="nil"/>
              <w:bottom w:val="single" w:sz="4" w:space="0" w:color="auto"/>
              <w:right w:val="single" w:sz="4" w:space="0" w:color="auto"/>
            </w:tcBorders>
            <w:shd w:val="clear" w:color="auto" w:fill="C6EFCE"/>
            <w:noWrap/>
            <w:hideMark/>
          </w:tcPr>
          <w:p w14:paraId="70B70761" w14:textId="77777777" w:rsidR="00C45D59" w:rsidRDefault="009B0962">
            <w:pPr>
              <w:pStyle w:val="P68B1DB1-Normal12"/>
              <w:spacing w:after="0" w:line="240" w:lineRule="auto"/>
              <w:rPr>
                <w:rFonts w:eastAsia="Times New Roman"/>
                <w:noProof/>
              </w:rPr>
            </w:pPr>
            <w:r>
              <w:rPr>
                <w:noProof/>
              </w:rPr>
              <w:t>Profesionalizarea domeniului achizițiilor publice – legislație nouă</w:t>
            </w:r>
          </w:p>
        </w:tc>
        <w:tc>
          <w:tcPr>
            <w:tcW w:w="1975" w:type="dxa"/>
            <w:tcBorders>
              <w:top w:val="nil"/>
              <w:left w:val="nil"/>
              <w:bottom w:val="single" w:sz="4" w:space="0" w:color="auto"/>
              <w:right w:val="single" w:sz="4" w:space="0" w:color="auto"/>
            </w:tcBorders>
            <w:shd w:val="clear" w:color="auto" w:fill="C6EFCE"/>
            <w:noWrap/>
            <w:hideMark/>
          </w:tcPr>
          <w:p w14:paraId="38A30B60" w14:textId="77777777" w:rsidR="00C45D59" w:rsidRDefault="009B0962">
            <w:pPr>
              <w:pStyle w:val="P68B1DB1-Normal12"/>
              <w:spacing w:after="0" w:line="240" w:lineRule="auto"/>
              <w:rPr>
                <w:rFonts w:eastAsia="Times New Roman"/>
                <w:noProof/>
              </w:rPr>
            </w:pPr>
            <w:r>
              <w:rPr>
                <w:noProof/>
              </w:rPr>
              <w:t>A intrat în vigoare o nouă legislație; studiu aprofundat finalizat</w:t>
            </w:r>
          </w:p>
        </w:tc>
        <w:tc>
          <w:tcPr>
            <w:tcW w:w="1777" w:type="dxa"/>
            <w:tcBorders>
              <w:top w:val="nil"/>
              <w:left w:val="nil"/>
              <w:bottom w:val="single" w:sz="4" w:space="0" w:color="auto"/>
              <w:right w:val="single" w:sz="4" w:space="0" w:color="auto"/>
            </w:tcBorders>
            <w:shd w:val="clear" w:color="auto" w:fill="C6EFCE"/>
            <w:noWrap/>
            <w:hideMark/>
          </w:tcPr>
          <w:p w14:paraId="61F83485" w14:textId="77777777" w:rsidR="00C45D59" w:rsidRDefault="009B0962">
            <w:pPr>
              <w:pStyle w:val="P68B1DB1-Normal12"/>
              <w:spacing w:after="0" w:line="240" w:lineRule="auto"/>
              <w:rPr>
                <w:rFonts w:eastAsia="Times New Roman"/>
                <w:noProof/>
              </w:rPr>
            </w:pPr>
            <w:r>
              <w:rPr>
                <w:noProof/>
              </w:rPr>
              <w:t xml:space="preserve"> </w:t>
            </w:r>
          </w:p>
        </w:tc>
        <w:tc>
          <w:tcPr>
            <w:tcW w:w="1003" w:type="dxa"/>
            <w:tcBorders>
              <w:top w:val="nil"/>
              <w:left w:val="nil"/>
              <w:bottom w:val="single" w:sz="4" w:space="0" w:color="auto"/>
              <w:right w:val="single" w:sz="4" w:space="0" w:color="auto"/>
            </w:tcBorders>
            <w:shd w:val="clear" w:color="auto" w:fill="C6EFCE"/>
            <w:noWrap/>
            <w:hideMark/>
          </w:tcPr>
          <w:p w14:paraId="0A03B992" w14:textId="77777777" w:rsidR="00C45D59" w:rsidRDefault="009B0962">
            <w:pPr>
              <w:pStyle w:val="P68B1DB1-Normal12"/>
              <w:spacing w:after="0" w:line="240" w:lineRule="auto"/>
              <w:rPr>
                <w:rFonts w:eastAsia="Times New Roman"/>
                <w:noProof/>
              </w:rPr>
            </w:pPr>
            <w:r>
              <w:rPr>
                <w:noProof/>
              </w:rPr>
              <w:t xml:space="preserve"> </w:t>
            </w:r>
          </w:p>
        </w:tc>
        <w:tc>
          <w:tcPr>
            <w:tcW w:w="876" w:type="dxa"/>
            <w:tcBorders>
              <w:top w:val="nil"/>
              <w:left w:val="nil"/>
              <w:bottom w:val="single" w:sz="4" w:space="0" w:color="auto"/>
              <w:right w:val="single" w:sz="4" w:space="0" w:color="auto"/>
            </w:tcBorders>
            <w:shd w:val="clear" w:color="auto" w:fill="C6EFCE"/>
            <w:noWrap/>
            <w:hideMark/>
          </w:tcPr>
          <w:p w14:paraId="4BF2D50E" w14:textId="77777777" w:rsidR="00C45D59" w:rsidRDefault="009B0962">
            <w:pPr>
              <w:pStyle w:val="P68B1DB1-Normal12"/>
              <w:spacing w:after="0" w:line="240" w:lineRule="auto"/>
              <w:rPr>
                <w:rFonts w:eastAsia="Times New Roman"/>
                <w:noProof/>
              </w:rPr>
            </w:pPr>
            <w:r>
              <w:rPr>
                <w:noProof/>
              </w:rPr>
              <w:t xml:space="preserve"> </w:t>
            </w:r>
          </w:p>
        </w:tc>
        <w:tc>
          <w:tcPr>
            <w:tcW w:w="846" w:type="dxa"/>
            <w:tcBorders>
              <w:top w:val="nil"/>
              <w:left w:val="nil"/>
              <w:bottom w:val="single" w:sz="4" w:space="0" w:color="auto"/>
              <w:right w:val="single" w:sz="4" w:space="0" w:color="auto"/>
            </w:tcBorders>
            <w:shd w:val="clear" w:color="auto" w:fill="C6EFCE"/>
            <w:noWrap/>
            <w:hideMark/>
          </w:tcPr>
          <w:p w14:paraId="3DE44AB6" w14:textId="77777777" w:rsidR="00C45D59" w:rsidRDefault="009B0962">
            <w:pPr>
              <w:pStyle w:val="P68B1DB1-Normal12"/>
              <w:spacing w:after="0" w:line="240" w:lineRule="auto"/>
              <w:rPr>
                <w:rFonts w:eastAsia="Times New Roman"/>
                <w:noProof/>
              </w:rPr>
            </w:pPr>
            <w:r>
              <w:rPr>
                <w:noProof/>
              </w:rPr>
              <w:t>Î2</w:t>
            </w:r>
          </w:p>
        </w:tc>
        <w:tc>
          <w:tcPr>
            <w:tcW w:w="673" w:type="dxa"/>
            <w:tcBorders>
              <w:top w:val="nil"/>
              <w:left w:val="nil"/>
              <w:bottom w:val="single" w:sz="4" w:space="0" w:color="auto"/>
              <w:right w:val="single" w:sz="4" w:space="0" w:color="auto"/>
            </w:tcBorders>
            <w:shd w:val="clear" w:color="auto" w:fill="C6EFCE"/>
            <w:noWrap/>
            <w:hideMark/>
          </w:tcPr>
          <w:p w14:paraId="7A12ECAC" w14:textId="77777777" w:rsidR="00C45D59" w:rsidRDefault="009B0962">
            <w:pPr>
              <w:pStyle w:val="P68B1DB1-Normal12"/>
              <w:spacing w:after="0" w:line="240" w:lineRule="auto"/>
              <w:rPr>
                <w:rFonts w:eastAsia="Times New Roman"/>
                <w:noProof/>
              </w:rPr>
            </w:pPr>
            <w:r>
              <w:rPr>
                <w:noProof/>
              </w:rPr>
              <w:t>2024</w:t>
            </w:r>
          </w:p>
        </w:tc>
        <w:tc>
          <w:tcPr>
            <w:tcW w:w="2965" w:type="dxa"/>
            <w:tcBorders>
              <w:top w:val="nil"/>
              <w:left w:val="nil"/>
              <w:bottom w:val="single" w:sz="4" w:space="0" w:color="auto"/>
              <w:right w:val="single" w:sz="4" w:space="0" w:color="auto"/>
            </w:tcBorders>
            <w:shd w:val="clear" w:color="auto" w:fill="C6EFCE"/>
            <w:noWrap/>
            <w:hideMark/>
          </w:tcPr>
          <w:p w14:paraId="430E8A68" w14:textId="77777777" w:rsidR="00C45D59" w:rsidRDefault="009B0962">
            <w:pPr>
              <w:pStyle w:val="P68B1DB1-Normal12"/>
              <w:spacing w:after="0" w:line="240" w:lineRule="auto"/>
              <w:rPr>
                <w:rFonts w:eastAsia="Times New Roman"/>
                <w:noProof/>
              </w:rPr>
            </w:pPr>
            <w:r>
              <w:rPr>
                <w:noProof/>
              </w:rPr>
              <w:t>(I) Intrarea în vigoare a unei noi legislații care să prevadă fluxuri de lucru profesionale pentru personalul care se ocupă de achizițiile publice, grupuri de competențe specifice și adoptarea de stimulente financiare și nefinanciare în deplină concordanță cu grila salarială unificată (Legea nr. 4354/2015), fără a stabili nicio derogare. Adoptarea stimulentelor financiare și nefinanciare poate avea o intrare în vigoare întârziată; (II) Finalizarea studiului aprofundat pentru reorganizarea structurii și a responsabilităților Direcției Generale pentru Achiziții Publice din cadrul Ministerului Dezvoltării competente pentru desfășurarea procedurilor centralizate de achiziții publice la nivel național.</w:t>
            </w:r>
          </w:p>
        </w:tc>
      </w:tr>
      <w:tr w:rsidR="00C45D59" w14:paraId="6CE07399" w14:textId="77777777">
        <w:trPr>
          <w:trHeight w:val="309"/>
          <w:jc w:val="center"/>
        </w:trPr>
        <w:tc>
          <w:tcPr>
            <w:tcW w:w="613" w:type="dxa"/>
            <w:tcBorders>
              <w:top w:val="nil"/>
              <w:left w:val="single" w:sz="4" w:space="0" w:color="auto"/>
              <w:bottom w:val="single" w:sz="4" w:space="0" w:color="auto"/>
              <w:right w:val="single" w:sz="4" w:space="0" w:color="auto"/>
            </w:tcBorders>
            <w:shd w:val="clear" w:color="auto" w:fill="C6EFCE"/>
            <w:noWrap/>
            <w:hideMark/>
          </w:tcPr>
          <w:p w14:paraId="025F738C" w14:textId="77777777" w:rsidR="00C45D59" w:rsidRDefault="009B0962">
            <w:pPr>
              <w:pStyle w:val="P68B1DB1-Normal12"/>
              <w:spacing w:after="0" w:line="240" w:lineRule="auto"/>
              <w:rPr>
                <w:rFonts w:eastAsia="Times New Roman"/>
                <w:noProof/>
              </w:rPr>
            </w:pPr>
            <w:r>
              <w:rPr>
                <w:noProof/>
              </w:rPr>
              <w:t>217</w:t>
            </w:r>
          </w:p>
        </w:tc>
        <w:tc>
          <w:tcPr>
            <w:tcW w:w="2560" w:type="dxa"/>
            <w:tcBorders>
              <w:top w:val="nil"/>
              <w:left w:val="nil"/>
              <w:bottom w:val="single" w:sz="4" w:space="0" w:color="auto"/>
              <w:right w:val="single" w:sz="4" w:space="0" w:color="auto"/>
            </w:tcBorders>
            <w:shd w:val="clear" w:color="auto" w:fill="C6EFCE"/>
            <w:noWrap/>
            <w:hideMark/>
          </w:tcPr>
          <w:p w14:paraId="22E061B5" w14:textId="77777777" w:rsidR="00C45D59" w:rsidRDefault="009B0962">
            <w:pPr>
              <w:pStyle w:val="P68B1DB1-Normal12"/>
              <w:spacing w:after="0" w:line="240" w:lineRule="auto"/>
              <w:rPr>
                <w:rFonts w:eastAsia="Times New Roman"/>
                <w:noProof/>
              </w:rPr>
            </w:pPr>
            <w:r>
              <w:rPr>
                <w:noProof/>
              </w:rPr>
              <w:t>13-4.2. Modernizarea administrației publice, inclusiv prin accelerarea punerii în aplicare a investițiilor publice, îmbunătățirea cadrului privind achizițiile publice, măsuri de consolidare a capacităților și combaterea corupției – 16940_Modernizarea Fondului elen de depozitare și creditare a transporturilor </w:t>
            </w:r>
          </w:p>
        </w:tc>
        <w:tc>
          <w:tcPr>
            <w:tcW w:w="1063" w:type="dxa"/>
            <w:tcBorders>
              <w:top w:val="nil"/>
              <w:left w:val="nil"/>
              <w:bottom w:val="single" w:sz="4" w:space="0" w:color="auto"/>
              <w:right w:val="single" w:sz="4" w:space="0" w:color="auto"/>
            </w:tcBorders>
            <w:shd w:val="clear" w:color="auto" w:fill="C6EFCE"/>
            <w:noWrap/>
            <w:hideMark/>
          </w:tcPr>
          <w:p w14:paraId="151117CD" w14:textId="77777777" w:rsidR="00C45D59" w:rsidRDefault="009B0962">
            <w:pPr>
              <w:pStyle w:val="P68B1DB1-Normal12"/>
              <w:spacing w:after="0" w:line="240" w:lineRule="auto"/>
              <w:rPr>
                <w:rFonts w:eastAsia="Times New Roman"/>
                <w:noProof/>
              </w:rPr>
            </w:pPr>
            <w:r>
              <w:rPr>
                <w:noProof/>
              </w:rPr>
              <w:t>Etapă</w:t>
            </w:r>
          </w:p>
        </w:tc>
        <w:tc>
          <w:tcPr>
            <w:tcW w:w="2034" w:type="dxa"/>
            <w:tcBorders>
              <w:top w:val="nil"/>
              <w:left w:val="nil"/>
              <w:bottom w:val="single" w:sz="4" w:space="0" w:color="auto"/>
              <w:right w:val="single" w:sz="4" w:space="0" w:color="auto"/>
            </w:tcBorders>
            <w:shd w:val="clear" w:color="auto" w:fill="C6EFCE"/>
            <w:noWrap/>
            <w:hideMark/>
          </w:tcPr>
          <w:p w14:paraId="4BCAE30C" w14:textId="77777777" w:rsidR="00C45D59" w:rsidRDefault="009B0962">
            <w:pPr>
              <w:pStyle w:val="P68B1DB1-Normal12"/>
              <w:spacing w:after="0" w:line="240" w:lineRule="auto"/>
              <w:rPr>
                <w:rFonts w:eastAsia="Times New Roman"/>
                <w:noProof/>
              </w:rPr>
            </w:pPr>
            <w:r>
              <w:rPr>
                <w:noProof/>
              </w:rPr>
              <w:t>Crearea unui sistem de digitalizare a arhivelor și de gestionare a documentelor și a unui sistem integrat de informații pentru Fondul elen de depozitare și creditare a expedierilor</w:t>
            </w:r>
          </w:p>
        </w:tc>
        <w:tc>
          <w:tcPr>
            <w:tcW w:w="1975" w:type="dxa"/>
            <w:tcBorders>
              <w:top w:val="nil"/>
              <w:left w:val="nil"/>
              <w:bottom w:val="single" w:sz="4" w:space="0" w:color="auto"/>
              <w:right w:val="single" w:sz="4" w:space="0" w:color="auto"/>
            </w:tcBorders>
            <w:shd w:val="clear" w:color="auto" w:fill="C6EFCE"/>
            <w:noWrap/>
            <w:hideMark/>
          </w:tcPr>
          <w:p w14:paraId="41751974" w14:textId="77777777" w:rsidR="00C45D59" w:rsidRDefault="009B0962">
            <w:pPr>
              <w:pStyle w:val="P68B1DB1-Normal12"/>
              <w:spacing w:after="0" w:line="240" w:lineRule="auto"/>
              <w:rPr>
                <w:rFonts w:eastAsia="Times New Roman"/>
                <w:noProof/>
              </w:rPr>
            </w:pPr>
            <w:r>
              <w:rPr>
                <w:noProof/>
              </w:rPr>
              <w:t>Crearea unui sistem de digitalizare a arhivelor și de gestionare a documentelor și a unui sistem integrat de informații pentru Fondul elen de depozitare și creditare a expedierilor</w:t>
            </w:r>
          </w:p>
        </w:tc>
        <w:tc>
          <w:tcPr>
            <w:tcW w:w="1777" w:type="dxa"/>
            <w:tcBorders>
              <w:top w:val="nil"/>
              <w:left w:val="nil"/>
              <w:bottom w:val="single" w:sz="4" w:space="0" w:color="auto"/>
              <w:right w:val="single" w:sz="4" w:space="0" w:color="auto"/>
            </w:tcBorders>
            <w:shd w:val="clear" w:color="auto" w:fill="C6EFCE"/>
            <w:noWrap/>
            <w:hideMark/>
          </w:tcPr>
          <w:p w14:paraId="445E45AA"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003" w:type="dxa"/>
            <w:tcBorders>
              <w:top w:val="nil"/>
              <w:left w:val="nil"/>
              <w:bottom w:val="single" w:sz="4" w:space="0" w:color="auto"/>
              <w:right w:val="single" w:sz="4" w:space="0" w:color="auto"/>
            </w:tcBorders>
            <w:shd w:val="clear" w:color="auto" w:fill="C6EFCE"/>
            <w:noWrap/>
            <w:hideMark/>
          </w:tcPr>
          <w:p w14:paraId="6FA37262" w14:textId="77777777" w:rsidR="00C45D59" w:rsidRDefault="009B0962">
            <w:pPr>
              <w:pStyle w:val="P68B1DB1-Normal12"/>
              <w:spacing w:after="0" w:line="240" w:lineRule="auto"/>
              <w:rPr>
                <w:rFonts w:eastAsia="Times New Roman"/>
                <w:noProof/>
              </w:rPr>
            </w:pPr>
            <w:r>
              <w:rPr>
                <w:noProof/>
              </w:rPr>
              <w:t xml:space="preserve"> </w:t>
            </w:r>
          </w:p>
        </w:tc>
        <w:tc>
          <w:tcPr>
            <w:tcW w:w="876" w:type="dxa"/>
            <w:tcBorders>
              <w:top w:val="nil"/>
              <w:left w:val="nil"/>
              <w:bottom w:val="single" w:sz="4" w:space="0" w:color="auto"/>
              <w:right w:val="single" w:sz="4" w:space="0" w:color="auto"/>
            </w:tcBorders>
            <w:shd w:val="clear" w:color="auto" w:fill="C6EFCE"/>
            <w:noWrap/>
            <w:hideMark/>
          </w:tcPr>
          <w:p w14:paraId="6C67FB75"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46" w:type="dxa"/>
            <w:tcBorders>
              <w:top w:val="nil"/>
              <w:left w:val="nil"/>
              <w:bottom w:val="single" w:sz="4" w:space="0" w:color="auto"/>
              <w:right w:val="single" w:sz="4" w:space="0" w:color="auto"/>
            </w:tcBorders>
            <w:shd w:val="clear" w:color="auto" w:fill="C6EFCE"/>
            <w:noWrap/>
            <w:hideMark/>
          </w:tcPr>
          <w:p w14:paraId="6C269A08" w14:textId="77777777" w:rsidR="00C45D59" w:rsidRDefault="009B0962">
            <w:pPr>
              <w:pStyle w:val="P68B1DB1-Normal12"/>
              <w:spacing w:after="0" w:line="240" w:lineRule="auto"/>
              <w:rPr>
                <w:rFonts w:eastAsia="Times New Roman"/>
                <w:noProof/>
              </w:rPr>
            </w:pPr>
            <w:r>
              <w:rPr>
                <w:noProof/>
              </w:rPr>
              <w:t>Î2</w:t>
            </w:r>
          </w:p>
        </w:tc>
        <w:tc>
          <w:tcPr>
            <w:tcW w:w="673" w:type="dxa"/>
            <w:tcBorders>
              <w:top w:val="nil"/>
              <w:left w:val="nil"/>
              <w:bottom w:val="single" w:sz="4" w:space="0" w:color="auto"/>
              <w:right w:val="single" w:sz="4" w:space="0" w:color="auto"/>
            </w:tcBorders>
            <w:shd w:val="clear" w:color="auto" w:fill="C6EFCE"/>
            <w:noWrap/>
            <w:hideMark/>
          </w:tcPr>
          <w:p w14:paraId="1FF01FB7" w14:textId="77777777" w:rsidR="00C45D59" w:rsidRDefault="009B0962">
            <w:pPr>
              <w:pStyle w:val="P68B1DB1-Normal12"/>
              <w:spacing w:after="0" w:line="240" w:lineRule="auto"/>
              <w:rPr>
                <w:rFonts w:eastAsia="Times New Roman"/>
                <w:noProof/>
              </w:rPr>
            </w:pPr>
            <w:r>
              <w:rPr>
                <w:noProof/>
              </w:rPr>
              <w:t>2025</w:t>
            </w:r>
          </w:p>
        </w:tc>
        <w:tc>
          <w:tcPr>
            <w:tcW w:w="2965" w:type="dxa"/>
            <w:tcBorders>
              <w:top w:val="nil"/>
              <w:left w:val="nil"/>
              <w:bottom w:val="single" w:sz="4" w:space="0" w:color="auto"/>
              <w:right w:val="single" w:sz="4" w:space="0" w:color="auto"/>
            </w:tcBorders>
            <w:shd w:val="clear" w:color="auto" w:fill="C6EFCE"/>
            <w:noWrap/>
            <w:hideMark/>
          </w:tcPr>
          <w:p w14:paraId="59FD7E3B" w14:textId="77777777" w:rsidR="00C45D59" w:rsidRDefault="009B0962">
            <w:pPr>
              <w:pStyle w:val="P68B1DB1-Normal12"/>
              <w:spacing w:after="0" w:line="240" w:lineRule="auto"/>
              <w:rPr>
                <w:rFonts w:eastAsia="Times New Roman"/>
                <w:noProof/>
              </w:rPr>
            </w:pPr>
            <w:r>
              <w:rPr>
                <w:noProof/>
              </w:rPr>
              <w:t>Crearea următoarelor sisteme pentru Fondul elen de depozitare și creditare a expedierilor: (I) sistemul de digitalizare a arhivelor și de gestionare a documentelor; (II) sistemul integrat de informații.</w:t>
            </w:r>
          </w:p>
        </w:tc>
      </w:tr>
      <w:tr w:rsidR="00C45D59" w14:paraId="2CDC1FB8" w14:textId="77777777">
        <w:trPr>
          <w:trHeight w:val="3240"/>
          <w:jc w:val="center"/>
        </w:trPr>
        <w:tc>
          <w:tcPr>
            <w:tcW w:w="613" w:type="dxa"/>
            <w:tcBorders>
              <w:top w:val="single" w:sz="4" w:space="0" w:color="auto"/>
              <w:left w:val="single" w:sz="4" w:space="0" w:color="auto"/>
              <w:bottom w:val="single" w:sz="4" w:space="0" w:color="auto"/>
              <w:right w:val="single" w:sz="4" w:space="0" w:color="auto"/>
            </w:tcBorders>
            <w:shd w:val="clear" w:color="auto" w:fill="C6EFCE"/>
            <w:noWrap/>
          </w:tcPr>
          <w:p w14:paraId="79BFB06F" w14:textId="77777777" w:rsidR="00C45D59" w:rsidRDefault="009B0962">
            <w:pPr>
              <w:pStyle w:val="P68B1DB1-Normal12"/>
              <w:spacing w:after="0" w:line="240" w:lineRule="auto"/>
              <w:rPr>
                <w:rFonts w:eastAsia="Times New Roman"/>
                <w:noProof/>
              </w:rPr>
            </w:pPr>
            <w:r>
              <w:rPr>
                <w:noProof/>
              </w:rPr>
              <w:t>219</w:t>
            </w:r>
          </w:p>
        </w:tc>
        <w:tc>
          <w:tcPr>
            <w:tcW w:w="2560" w:type="dxa"/>
            <w:tcBorders>
              <w:top w:val="single" w:sz="4" w:space="0" w:color="auto"/>
              <w:left w:val="nil"/>
              <w:bottom w:val="single" w:sz="4" w:space="0" w:color="auto"/>
              <w:right w:val="single" w:sz="4" w:space="0" w:color="auto"/>
            </w:tcBorders>
            <w:shd w:val="clear" w:color="auto" w:fill="C6EFCE"/>
            <w:noWrap/>
          </w:tcPr>
          <w:p w14:paraId="49E09C44" w14:textId="77777777" w:rsidR="00C45D59" w:rsidRDefault="009B0962">
            <w:pPr>
              <w:pStyle w:val="P68B1DB1-Normal12"/>
              <w:spacing w:after="0" w:line="240" w:lineRule="auto"/>
              <w:rPr>
                <w:rFonts w:eastAsia="Times New Roman"/>
                <w:noProof/>
              </w:rPr>
            </w:pPr>
            <w:r>
              <w:rPr>
                <w:noProof/>
              </w:rPr>
              <w:t>13-4.2. Modernizarea administrației publice, inclusiv prin accelerarea punerii în aplicare a investițiilor publice, îmbunătățirea cadrului privind achizițiile publice, măsuri de consolidare a capacităților și combaterea corupției – 16974_Reforma contabilă</w:t>
            </w:r>
          </w:p>
        </w:tc>
        <w:tc>
          <w:tcPr>
            <w:tcW w:w="1063" w:type="dxa"/>
            <w:tcBorders>
              <w:top w:val="single" w:sz="4" w:space="0" w:color="auto"/>
              <w:left w:val="nil"/>
              <w:bottom w:val="single" w:sz="4" w:space="0" w:color="auto"/>
              <w:right w:val="single" w:sz="4" w:space="0" w:color="auto"/>
            </w:tcBorders>
            <w:shd w:val="clear" w:color="auto" w:fill="C6EFCE"/>
            <w:noWrap/>
          </w:tcPr>
          <w:p w14:paraId="48D7C5FA" w14:textId="77777777" w:rsidR="00C45D59" w:rsidRDefault="009B0962">
            <w:pPr>
              <w:pStyle w:val="P68B1DB1-Normal12"/>
              <w:spacing w:after="0" w:line="240" w:lineRule="auto"/>
              <w:rPr>
                <w:rFonts w:eastAsia="Times New Roman"/>
                <w:noProof/>
              </w:rPr>
            </w:pPr>
            <w:r>
              <w:rPr>
                <w:noProof/>
              </w:rPr>
              <w:t>Etapă</w:t>
            </w:r>
          </w:p>
        </w:tc>
        <w:tc>
          <w:tcPr>
            <w:tcW w:w="2034" w:type="dxa"/>
            <w:tcBorders>
              <w:top w:val="single" w:sz="4" w:space="0" w:color="auto"/>
              <w:left w:val="nil"/>
              <w:bottom w:val="single" w:sz="4" w:space="0" w:color="auto"/>
              <w:right w:val="single" w:sz="4" w:space="0" w:color="auto"/>
            </w:tcBorders>
            <w:shd w:val="clear" w:color="auto" w:fill="C6EFCE"/>
            <w:noWrap/>
          </w:tcPr>
          <w:p w14:paraId="18D2E988" w14:textId="77777777" w:rsidR="00C45D59" w:rsidRDefault="009B0962">
            <w:pPr>
              <w:pStyle w:val="P68B1DB1-Normal12"/>
              <w:spacing w:after="0" w:line="240" w:lineRule="auto"/>
              <w:rPr>
                <w:rFonts w:eastAsia="Times New Roman"/>
                <w:noProof/>
              </w:rPr>
            </w:pPr>
            <w:r>
              <w:rPr>
                <w:noProof/>
              </w:rPr>
              <w:t>Reforma contabilă: Situații financiare consolidate pentru administrația publică</w:t>
            </w:r>
          </w:p>
        </w:tc>
        <w:tc>
          <w:tcPr>
            <w:tcW w:w="1975" w:type="dxa"/>
            <w:tcBorders>
              <w:top w:val="single" w:sz="4" w:space="0" w:color="auto"/>
              <w:left w:val="nil"/>
              <w:bottom w:val="single" w:sz="4" w:space="0" w:color="auto"/>
              <w:right w:val="single" w:sz="4" w:space="0" w:color="auto"/>
            </w:tcBorders>
            <w:shd w:val="clear" w:color="auto" w:fill="C6EFCE"/>
            <w:noWrap/>
          </w:tcPr>
          <w:p w14:paraId="6E55B47C" w14:textId="77777777" w:rsidR="00C45D59" w:rsidRDefault="009B0962">
            <w:pPr>
              <w:pStyle w:val="P68B1DB1-Normal12"/>
              <w:spacing w:after="0" w:line="240" w:lineRule="auto"/>
              <w:rPr>
                <w:rFonts w:eastAsia="Times New Roman"/>
                <w:noProof/>
              </w:rPr>
            </w:pPr>
            <w:r>
              <w:rPr>
                <w:noProof/>
              </w:rPr>
              <w:t>Publicarea politicilor contabilității de angajamente și compilarea situațiilor financiare consolidate pentru administrația publică.</w:t>
            </w:r>
          </w:p>
        </w:tc>
        <w:tc>
          <w:tcPr>
            <w:tcW w:w="1777" w:type="dxa"/>
            <w:tcBorders>
              <w:top w:val="single" w:sz="4" w:space="0" w:color="auto"/>
              <w:left w:val="nil"/>
              <w:bottom w:val="single" w:sz="4" w:space="0" w:color="auto"/>
              <w:right w:val="single" w:sz="4" w:space="0" w:color="auto"/>
            </w:tcBorders>
            <w:shd w:val="clear" w:color="auto" w:fill="C6EFCE"/>
            <w:noWrap/>
          </w:tcPr>
          <w:p w14:paraId="68F9EE15"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003" w:type="dxa"/>
            <w:tcBorders>
              <w:top w:val="single" w:sz="4" w:space="0" w:color="auto"/>
              <w:left w:val="nil"/>
              <w:bottom w:val="single" w:sz="4" w:space="0" w:color="auto"/>
              <w:right w:val="single" w:sz="4" w:space="0" w:color="auto"/>
            </w:tcBorders>
            <w:shd w:val="clear" w:color="auto" w:fill="C6EFCE"/>
            <w:noWrap/>
          </w:tcPr>
          <w:p w14:paraId="572F9157"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76" w:type="dxa"/>
            <w:tcBorders>
              <w:top w:val="single" w:sz="4" w:space="0" w:color="auto"/>
              <w:left w:val="nil"/>
              <w:bottom w:val="single" w:sz="4" w:space="0" w:color="auto"/>
              <w:right w:val="single" w:sz="4" w:space="0" w:color="auto"/>
            </w:tcBorders>
            <w:shd w:val="clear" w:color="auto" w:fill="C6EFCE"/>
            <w:noWrap/>
          </w:tcPr>
          <w:p w14:paraId="56E79E28"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46" w:type="dxa"/>
            <w:tcBorders>
              <w:top w:val="single" w:sz="4" w:space="0" w:color="auto"/>
              <w:left w:val="nil"/>
              <w:bottom w:val="single" w:sz="4" w:space="0" w:color="auto"/>
              <w:right w:val="single" w:sz="4" w:space="0" w:color="auto"/>
            </w:tcBorders>
            <w:shd w:val="clear" w:color="auto" w:fill="C6EFCE"/>
            <w:noWrap/>
          </w:tcPr>
          <w:p w14:paraId="0EAB3F6C" w14:textId="77777777" w:rsidR="00C45D59" w:rsidRDefault="009B0962">
            <w:pPr>
              <w:pStyle w:val="P68B1DB1-Normal12"/>
              <w:spacing w:after="0" w:line="240" w:lineRule="auto"/>
              <w:rPr>
                <w:rFonts w:eastAsia="Times New Roman"/>
                <w:noProof/>
              </w:rPr>
            </w:pPr>
            <w:r>
              <w:rPr>
                <w:noProof/>
              </w:rPr>
              <w:t>Î4</w:t>
            </w:r>
          </w:p>
        </w:tc>
        <w:tc>
          <w:tcPr>
            <w:tcW w:w="673" w:type="dxa"/>
            <w:tcBorders>
              <w:top w:val="single" w:sz="4" w:space="0" w:color="auto"/>
              <w:left w:val="nil"/>
              <w:bottom w:val="single" w:sz="4" w:space="0" w:color="auto"/>
              <w:right w:val="single" w:sz="4" w:space="0" w:color="auto"/>
            </w:tcBorders>
            <w:shd w:val="clear" w:color="auto" w:fill="C6EFCE"/>
            <w:noWrap/>
          </w:tcPr>
          <w:p w14:paraId="5AACD25F" w14:textId="77777777" w:rsidR="00C45D59" w:rsidRDefault="009B0962">
            <w:pPr>
              <w:pStyle w:val="P68B1DB1-Normal12"/>
              <w:spacing w:after="0" w:line="240" w:lineRule="auto"/>
              <w:rPr>
                <w:rFonts w:eastAsia="Times New Roman"/>
                <w:noProof/>
              </w:rPr>
            </w:pPr>
            <w:r>
              <w:rPr>
                <w:noProof/>
              </w:rPr>
              <w:t>2025</w:t>
            </w:r>
          </w:p>
        </w:tc>
        <w:tc>
          <w:tcPr>
            <w:tcW w:w="2965" w:type="dxa"/>
            <w:tcBorders>
              <w:top w:val="single" w:sz="4" w:space="0" w:color="auto"/>
              <w:left w:val="nil"/>
              <w:bottom w:val="single" w:sz="4" w:space="0" w:color="auto"/>
              <w:right w:val="single" w:sz="4" w:space="0" w:color="auto"/>
            </w:tcBorders>
            <w:shd w:val="clear" w:color="auto" w:fill="C6EFCE"/>
            <w:noWrap/>
          </w:tcPr>
          <w:p w14:paraId="330F72EF" w14:textId="7424D8F7" w:rsidR="00C45D59" w:rsidRDefault="009B0962">
            <w:pPr>
              <w:pStyle w:val="P68B1DB1-ListParagraph34"/>
              <w:numPr>
                <w:ilvl w:val="0"/>
                <w:numId w:val="62"/>
              </w:numPr>
              <w:spacing w:after="0" w:line="240" w:lineRule="auto"/>
              <w:ind w:left="406" w:hanging="270"/>
              <w:rPr>
                <w:rFonts w:eastAsia="Times New Roman"/>
                <w:noProof/>
              </w:rPr>
            </w:pPr>
            <w:r>
              <w:rPr>
                <w:noProof/>
              </w:rPr>
              <w:t>Publicarea actului (actelor) juridic (e) în Monitorul Oficial privind politicile de contabilitate pe bază de angajamente pentru administrația publică, pe baza standardelor internaționale de contabilitate pentru sectorul public</w:t>
            </w:r>
          </w:p>
          <w:p w14:paraId="72B90E4B" w14:textId="77777777" w:rsidR="00C45D59" w:rsidRDefault="009B0962">
            <w:pPr>
              <w:pStyle w:val="P68B1DB1-ListParagraph42"/>
              <w:numPr>
                <w:ilvl w:val="0"/>
                <w:numId w:val="62"/>
              </w:numPr>
              <w:spacing w:after="0" w:line="240" w:lineRule="auto"/>
              <w:ind w:left="406" w:hanging="270"/>
              <w:rPr>
                <w:rFonts w:eastAsia="Times New Roman"/>
                <w:noProof/>
                <w:color w:val="006100"/>
              </w:rPr>
            </w:pPr>
            <w:r>
              <w:rPr>
                <w:noProof/>
                <w:color w:val="006100"/>
              </w:rPr>
              <w:t>Publicarea, pe site-ul oficial al Ministerului Economiei și Finanțelor, a listei tuturor entităților vizate de procedura de consolidare a situațiilor financiare pentru 2025 (perioada de raportare 2023)</w:t>
            </w:r>
            <w:r>
              <w:rPr>
                <w:noProof/>
              </w:rPr>
              <w:t>.</w:t>
            </w:r>
          </w:p>
          <w:p w14:paraId="40663A6C" w14:textId="77777777" w:rsidR="00C45D59" w:rsidRDefault="009B0962">
            <w:pPr>
              <w:pStyle w:val="P68B1DB1-ListParagraph34"/>
              <w:numPr>
                <w:ilvl w:val="0"/>
                <w:numId w:val="62"/>
              </w:numPr>
              <w:spacing w:after="0" w:line="240" w:lineRule="auto"/>
              <w:ind w:left="406" w:hanging="270"/>
              <w:rPr>
                <w:rFonts w:eastAsia="Times New Roman"/>
                <w:noProof/>
              </w:rPr>
            </w:pPr>
            <w:r>
              <w:rPr>
                <w:noProof/>
              </w:rPr>
              <w:t>Transmiterea către Comisia Europeană a situațiilor financiare consolidate întocmite, inclusiv a metodologiei și a parametrilor utilizați.</w:t>
            </w:r>
          </w:p>
        </w:tc>
      </w:tr>
      <w:tr w:rsidR="00C45D59" w14:paraId="79B17592" w14:textId="77777777">
        <w:trPr>
          <w:trHeight w:val="309"/>
          <w:jc w:val="center"/>
        </w:trPr>
        <w:tc>
          <w:tcPr>
            <w:tcW w:w="613" w:type="dxa"/>
            <w:tcBorders>
              <w:top w:val="single" w:sz="4" w:space="0" w:color="auto"/>
              <w:left w:val="single" w:sz="4" w:space="0" w:color="auto"/>
              <w:bottom w:val="single" w:sz="4" w:space="0" w:color="auto"/>
              <w:right w:val="single" w:sz="4" w:space="0" w:color="auto"/>
            </w:tcBorders>
            <w:shd w:val="clear" w:color="auto" w:fill="C6EFCE"/>
            <w:noWrap/>
          </w:tcPr>
          <w:p w14:paraId="13B9B18F" w14:textId="77777777" w:rsidR="00C45D59" w:rsidRDefault="009B0962">
            <w:pPr>
              <w:pStyle w:val="P68B1DB1-Normal12"/>
              <w:spacing w:after="0" w:line="240" w:lineRule="auto"/>
              <w:rPr>
                <w:rFonts w:eastAsia="Times New Roman"/>
                <w:noProof/>
              </w:rPr>
            </w:pPr>
            <w:r>
              <w:rPr>
                <w:noProof/>
              </w:rPr>
              <w:t>220</w:t>
            </w:r>
          </w:p>
        </w:tc>
        <w:tc>
          <w:tcPr>
            <w:tcW w:w="2560" w:type="dxa"/>
            <w:tcBorders>
              <w:top w:val="single" w:sz="4" w:space="0" w:color="auto"/>
              <w:left w:val="nil"/>
              <w:bottom w:val="single" w:sz="4" w:space="0" w:color="auto"/>
              <w:right w:val="single" w:sz="4" w:space="0" w:color="auto"/>
            </w:tcBorders>
            <w:shd w:val="clear" w:color="auto" w:fill="C6EFCE"/>
            <w:noWrap/>
          </w:tcPr>
          <w:p w14:paraId="55DD7B03" w14:textId="77777777" w:rsidR="00C45D59" w:rsidRDefault="009B0962">
            <w:pPr>
              <w:pStyle w:val="P68B1DB1-Normal12"/>
              <w:spacing w:after="0" w:line="240" w:lineRule="auto"/>
              <w:rPr>
                <w:rFonts w:eastAsia="Times New Roman"/>
                <w:noProof/>
              </w:rPr>
            </w:pPr>
            <w:r>
              <w:rPr>
                <w:noProof/>
              </w:rPr>
              <w:t>13-4.2. Modernizarea administrației publice, inclusiv prin accelerarea punerii în aplicare a investițiilor publice, îmbunătățirea cadrului de achiziții publice, măsuri de consolidare a capacităților și combaterea corupției – 16705_Transformarea digitală a gestionării și supravegherii fiscale în guvernanță &amp; facturarea electronică</w:t>
            </w:r>
          </w:p>
        </w:tc>
        <w:tc>
          <w:tcPr>
            <w:tcW w:w="1063" w:type="dxa"/>
            <w:tcBorders>
              <w:top w:val="single" w:sz="4" w:space="0" w:color="auto"/>
              <w:left w:val="nil"/>
              <w:bottom w:val="single" w:sz="4" w:space="0" w:color="auto"/>
              <w:right w:val="single" w:sz="4" w:space="0" w:color="auto"/>
            </w:tcBorders>
            <w:shd w:val="clear" w:color="auto" w:fill="C6EFCE"/>
            <w:noWrap/>
          </w:tcPr>
          <w:p w14:paraId="2CC5078B" w14:textId="77777777" w:rsidR="00C45D59" w:rsidRDefault="009B0962">
            <w:pPr>
              <w:pStyle w:val="P68B1DB1-Normal12"/>
              <w:spacing w:after="0" w:line="240" w:lineRule="auto"/>
              <w:rPr>
                <w:rFonts w:eastAsia="Times New Roman"/>
                <w:noProof/>
              </w:rPr>
            </w:pPr>
            <w:r>
              <w:rPr>
                <w:noProof/>
              </w:rPr>
              <w:t>Etapă</w:t>
            </w:r>
          </w:p>
        </w:tc>
        <w:tc>
          <w:tcPr>
            <w:tcW w:w="2034" w:type="dxa"/>
            <w:tcBorders>
              <w:top w:val="single" w:sz="4" w:space="0" w:color="auto"/>
              <w:left w:val="nil"/>
              <w:bottom w:val="single" w:sz="4" w:space="0" w:color="auto"/>
              <w:right w:val="single" w:sz="4" w:space="0" w:color="auto"/>
            </w:tcBorders>
            <w:shd w:val="clear" w:color="auto" w:fill="C6EFCE"/>
            <w:noWrap/>
          </w:tcPr>
          <w:p w14:paraId="1DBF3717" w14:textId="77777777" w:rsidR="00C45D59" w:rsidRDefault="009B0962">
            <w:pPr>
              <w:pStyle w:val="P68B1DB1-Normal12"/>
              <w:spacing w:after="0" w:line="240" w:lineRule="auto"/>
              <w:rPr>
                <w:rFonts w:eastAsia="Times New Roman"/>
                <w:noProof/>
              </w:rPr>
            </w:pPr>
            <w:r>
              <w:rPr>
                <w:noProof/>
              </w:rPr>
              <w:t>Planificarea resurselor întreprinderilor guvernamentale (govERP)</w:t>
            </w:r>
          </w:p>
        </w:tc>
        <w:tc>
          <w:tcPr>
            <w:tcW w:w="1975" w:type="dxa"/>
            <w:tcBorders>
              <w:top w:val="single" w:sz="4" w:space="0" w:color="auto"/>
              <w:left w:val="nil"/>
              <w:bottom w:val="single" w:sz="4" w:space="0" w:color="auto"/>
              <w:right w:val="single" w:sz="4" w:space="0" w:color="auto"/>
            </w:tcBorders>
            <w:shd w:val="clear" w:color="auto" w:fill="C6EFCE"/>
            <w:noWrap/>
          </w:tcPr>
          <w:p w14:paraId="4BB12DCB" w14:textId="77777777" w:rsidR="00C45D59" w:rsidRDefault="009B0962">
            <w:pPr>
              <w:pStyle w:val="P68B1DB1-Normal12"/>
              <w:spacing w:after="0" w:line="240" w:lineRule="auto"/>
              <w:rPr>
                <w:rFonts w:eastAsia="Times New Roman"/>
                <w:noProof/>
              </w:rPr>
            </w:pPr>
            <w:r>
              <w:rPr>
                <w:noProof/>
              </w:rPr>
              <w:t>Punerea în aplicare a Planului guvernamental de planificare a resurselor întreprinderilor (govERP) pentru a sprijini pregătirea bugetului.</w:t>
            </w:r>
          </w:p>
        </w:tc>
        <w:tc>
          <w:tcPr>
            <w:tcW w:w="1777" w:type="dxa"/>
            <w:tcBorders>
              <w:top w:val="single" w:sz="4" w:space="0" w:color="auto"/>
              <w:left w:val="nil"/>
              <w:bottom w:val="single" w:sz="4" w:space="0" w:color="auto"/>
              <w:right w:val="single" w:sz="4" w:space="0" w:color="auto"/>
            </w:tcBorders>
            <w:shd w:val="clear" w:color="auto" w:fill="C6EFCE"/>
            <w:noWrap/>
          </w:tcPr>
          <w:p w14:paraId="6736A6AD"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003" w:type="dxa"/>
            <w:tcBorders>
              <w:top w:val="single" w:sz="4" w:space="0" w:color="auto"/>
              <w:left w:val="nil"/>
              <w:bottom w:val="single" w:sz="4" w:space="0" w:color="auto"/>
              <w:right w:val="single" w:sz="4" w:space="0" w:color="auto"/>
            </w:tcBorders>
            <w:shd w:val="clear" w:color="auto" w:fill="C6EFCE"/>
            <w:noWrap/>
          </w:tcPr>
          <w:p w14:paraId="36A52433"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76" w:type="dxa"/>
            <w:tcBorders>
              <w:top w:val="single" w:sz="4" w:space="0" w:color="auto"/>
              <w:left w:val="nil"/>
              <w:bottom w:val="single" w:sz="4" w:space="0" w:color="auto"/>
              <w:right w:val="single" w:sz="4" w:space="0" w:color="auto"/>
            </w:tcBorders>
            <w:shd w:val="clear" w:color="auto" w:fill="C6EFCE"/>
            <w:noWrap/>
          </w:tcPr>
          <w:p w14:paraId="786A7AD6"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46" w:type="dxa"/>
            <w:tcBorders>
              <w:top w:val="single" w:sz="4" w:space="0" w:color="auto"/>
              <w:left w:val="nil"/>
              <w:bottom w:val="single" w:sz="4" w:space="0" w:color="auto"/>
              <w:right w:val="single" w:sz="4" w:space="0" w:color="auto"/>
            </w:tcBorders>
            <w:shd w:val="clear" w:color="auto" w:fill="C6EFCE"/>
            <w:noWrap/>
          </w:tcPr>
          <w:p w14:paraId="27F75A6E" w14:textId="77777777" w:rsidR="00C45D59" w:rsidRDefault="009B0962">
            <w:pPr>
              <w:pStyle w:val="P68B1DB1-Normal12"/>
              <w:spacing w:after="0" w:line="240" w:lineRule="auto"/>
              <w:rPr>
                <w:rFonts w:eastAsia="Times New Roman"/>
                <w:noProof/>
              </w:rPr>
            </w:pPr>
            <w:r>
              <w:rPr>
                <w:noProof/>
              </w:rPr>
              <w:t>Î4</w:t>
            </w:r>
          </w:p>
        </w:tc>
        <w:tc>
          <w:tcPr>
            <w:tcW w:w="673" w:type="dxa"/>
            <w:tcBorders>
              <w:top w:val="single" w:sz="4" w:space="0" w:color="auto"/>
              <w:left w:val="nil"/>
              <w:bottom w:val="single" w:sz="4" w:space="0" w:color="auto"/>
              <w:right w:val="single" w:sz="4" w:space="0" w:color="auto"/>
            </w:tcBorders>
            <w:shd w:val="clear" w:color="auto" w:fill="C6EFCE"/>
            <w:noWrap/>
          </w:tcPr>
          <w:p w14:paraId="5754FD02" w14:textId="77777777" w:rsidR="00C45D59" w:rsidRDefault="009B0962">
            <w:pPr>
              <w:pStyle w:val="P68B1DB1-Normal12"/>
              <w:spacing w:after="0" w:line="240" w:lineRule="auto"/>
              <w:rPr>
                <w:rFonts w:eastAsia="Times New Roman"/>
                <w:noProof/>
              </w:rPr>
            </w:pPr>
            <w:r>
              <w:rPr>
                <w:noProof/>
              </w:rPr>
              <w:t>2025</w:t>
            </w:r>
          </w:p>
        </w:tc>
        <w:tc>
          <w:tcPr>
            <w:tcW w:w="2965" w:type="dxa"/>
            <w:tcBorders>
              <w:top w:val="single" w:sz="4" w:space="0" w:color="auto"/>
              <w:left w:val="nil"/>
              <w:bottom w:val="single" w:sz="4" w:space="0" w:color="auto"/>
              <w:right w:val="single" w:sz="4" w:space="0" w:color="auto"/>
            </w:tcBorders>
            <w:shd w:val="clear" w:color="auto" w:fill="C6EFCE"/>
            <w:noWrap/>
          </w:tcPr>
          <w:p w14:paraId="727B27C4" w14:textId="5BD3635F" w:rsidR="00C45D59" w:rsidRDefault="009B0962">
            <w:pPr>
              <w:pStyle w:val="P68B1DB1-ListParagraph34"/>
              <w:ind w:left="144"/>
              <w:rPr>
                <w:rFonts w:eastAsia="Times New Roman"/>
                <w:noProof/>
              </w:rPr>
            </w:pPr>
            <w:r>
              <w:rPr>
                <w:noProof/>
              </w:rPr>
              <w:t xml:space="preserve">Realizarea transformării digitale a cadrului de gestiune financiară și de supraveghere prin dezvoltarea Planului guvernamental de planificare a resurselor întreprinderilor (govERP) și utilizarea acestuia pentru a sprijini pregătirea bugetului. Aplicarea govERP la execuția bugetului nu face parte din măsura MRR. </w:t>
            </w:r>
          </w:p>
        </w:tc>
      </w:tr>
      <w:tr w:rsidR="00C45D59" w14:paraId="20089825" w14:textId="77777777">
        <w:trPr>
          <w:trHeight w:val="309"/>
          <w:jc w:val="center"/>
        </w:trPr>
        <w:tc>
          <w:tcPr>
            <w:tcW w:w="613" w:type="dxa"/>
            <w:tcBorders>
              <w:top w:val="single" w:sz="4" w:space="0" w:color="auto"/>
              <w:left w:val="single" w:sz="4" w:space="0" w:color="auto"/>
              <w:bottom w:val="single" w:sz="4" w:space="0" w:color="auto"/>
              <w:right w:val="single" w:sz="4" w:space="0" w:color="auto"/>
            </w:tcBorders>
            <w:shd w:val="clear" w:color="auto" w:fill="C6EFCE"/>
            <w:noWrap/>
          </w:tcPr>
          <w:p w14:paraId="27F86D7B" w14:textId="77777777" w:rsidR="00C45D59" w:rsidRDefault="009B0962">
            <w:pPr>
              <w:pStyle w:val="P68B1DB1-Normal12"/>
              <w:spacing w:after="0" w:line="240" w:lineRule="auto"/>
              <w:rPr>
                <w:rFonts w:eastAsia="Times New Roman"/>
                <w:noProof/>
              </w:rPr>
            </w:pPr>
            <w:r>
              <w:rPr>
                <w:noProof/>
              </w:rPr>
              <w:t>221</w:t>
            </w:r>
          </w:p>
        </w:tc>
        <w:tc>
          <w:tcPr>
            <w:tcW w:w="2560" w:type="dxa"/>
            <w:tcBorders>
              <w:top w:val="single" w:sz="4" w:space="0" w:color="auto"/>
              <w:left w:val="nil"/>
              <w:bottom w:val="single" w:sz="4" w:space="0" w:color="auto"/>
              <w:right w:val="single" w:sz="4" w:space="0" w:color="auto"/>
            </w:tcBorders>
            <w:shd w:val="clear" w:color="auto" w:fill="C6EFCE"/>
            <w:noWrap/>
          </w:tcPr>
          <w:p w14:paraId="008CE2E0" w14:textId="77777777" w:rsidR="00C45D59" w:rsidRDefault="009B0962">
            <w:pPr>
              <w:pStyle w:val="P68B1DB1-Normal12"/>
              <w:spacing w:after="0" w:line="240" w:lineRule="auto"/>
              <w:rPr>
                <w:rFonts w:eastAsia="Times New Roman"/>
                <w:noProof/>
              </w:rPr>
            </w:pPr>
            <w:r>
              <w:rPr>
                <w:noProof/>
              </w:rPr>
              <w:t>13-4.2. Modernizarea administrației publice, inclusiv prin accelerarea punerii în aplicare a investițiilor publice, îmbunătățirea cadrului privind achizițiile publice, măsuri de consolidare a capacităților și combaterea corupției – 16711_Profesionalizarea domeniului achizițiilor publice</w:t>
            </w:r>
          </w:p>
        </w:tc>
        <w:tc>
          <w:tcPr>
            <w:tcW w:w="1063" w:type="dxa"/>
            <w:tcBorders>
              <w:top w:val="single" w:sz="4" w:space="0" w:color="auto"/>
              <w:left w:val="nil"/>
              <w:bottom w:val="single" w:sz="4" w:space="0" w:color="auto"/>
              <w:right w:val="single" w:sz="4" w:space="0" w:color="auto"/>
            </w:tcBorders>
            <w:shd w:val="clear" w:color="auto" w:fill="C6EFCE"/>
            <w:noWrap/>
          </w:tcPr>
          <w:p w14:paraId="37E86106" w14:textId="77777777" w:rsidR="00C45D59" w:rsidRDefault="009B0962">
            <w:pPr>
              <w:pStyle w:val="P68B1DB1-Normal12"/>
              <w:spacing w:after="0" w:line="240" w:lineRule="auto"/>
              <w:rPr>
                <w:rFonts w:eastAsia="Times New Roman"/>
                <w:noProof/>
              </w:rPr>
            </w:pPr>
            <w:r>
              <w:rPr>
                <w:noProof/>
              </w:rPr>
              <w:t>Țintă</w:t>
            </w:r>
          </w:p>
        </w:tc>
        <w:tc>
          <w:tcPr>
            <w:tcW w:w="2034" w:type="dxa"/>
            <w:tcBorders>
              <w:top w:val="single" w:sz="4" w:space="0" w:color="auto"/>
              <w:left w:val="nil"/>
              <w:bottom w:val="single" w:sz="4" w:space="0" w:color="auto"/>
              <w:right w:val="single" w:sz="4" w:space="0" w:color="auto"/>
            </w:tcBorders>
            <w:shd w:val="clear" w:color="auto" w:fill="C6EFCE"/>
            <w:noWrap/>
          </w:tcPr>
          <w:p w14:paraId="68DEFF1E" w14:textId="333CADB1" w:rsidR="00C45D59" w:rsidRDefault="009B0962">
            <w:pPr>
              <w:pStyle w:val="P68B1DB1-Normal12"/>
              <w:spacing w:after="0" w:line="240" w:lineRule="auto"/>
              <w:rPr>
                <w:rFonts w:eastAsia="Times New Roman"/>
                <w:noProof/>
              </w:rPr>
            </w:pPr>
            <w:r>
              <w:rPr>
                <w:noProof/>
              </w:rPr>
              <w:t>Finalizarea programului de formare intitulat: „Certificarea profesioniștilor din domeniul achizițiilor publice”</w:t>
            </w:r>
          </w:p>
        </w:tc>
        <w:tc>
          <w:tcPr>
            <w:tcW w:w="1975" w:type="dxa"/>
            <w:tcBorders>
              <w:top w:val="single" w:sz="4" w:space="0" w:color="auto"/>
              <w:left w:val="nil"/>
              <w:bottom w:val="single" w:sz="4" w:space="0" w:color="auto"/>
              <w:right w:val="single" w:sz="4" w:space="0" w:color="auto"/>
            </w:tcBorders>
            <w:shd w:val="clear" w:color="auto" w:fill="C6EFCE"/>
            <w:noWrap/>
          </w:tcPr>
          <w:p w14:paraId="4DEE0255"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777" w:type="dxa"/>
            <w:tcBorders>
              <w:top w:val="single" w:sz="4" w:space="0" w:color="auto"/>
              <w:left w:val="nil"/>
              <w:bottom w:val="single" w:sz="4" w:space="0" w:color="auto"/>
              <w:right w:val="single" w:sz="4" w:space="0" w:color="auto"/>
            </w:tcBorders>
            <w:shd w:val="clear" w:color="auto" w:fill="C6EFCE"/>
            <w:noWrap/>
          </w:tcPr>
          <w:p w14:paraId="3EDC47F4" w14:textId="77777777" w:rsidR="00C45D59" w:rsidRDefault="009B0962">
            <w:pPr>
              <w:pStyle w:val="P68B1DB1-Normal12"/>
              <w:spacing w:after="0" w:line="240" w:lineRule="auto"/>
              <w:rPr>
                <w:rFonts w:eastAsia="Times New Roman"/>
                <w:noProof/>
              </w:rPr>
            </w:pPr>
            <w:r>
              <w:rPr>
                <w:noProof/>
              </w:rPr>
              <w:t>Numărul de certificări acordate</w:t>
            </w:r>
          </w:p>
        </w:tc>
        <w:tc>
          <w:tcPr>
            <w:tcW w:w="1003" w:type="dxa"/>
            <w:tcBorders>
              <w:top w:val="single" w:sz="4" w:space="0" w:color="auto"/>
              <w:left w:val="nil"/>
              <w:bottom w:val="single" w:sz="4" w:space="0" w:color="auto"/>
              <w:right w:val="single" w:sz="4" w:space="0" w:color="auto"/>
            </w:tcBorders>
            <w:shd w:val="clear" w:color="auto" w:fill="C6EFCE"/>
            <w:noWrap/>
          </w:tcPr>
          <w:p w14:paraId="23C123A6" w14:textId="77777777" w:rsidR="00C45D59" w:rsidRDefault="009B0962">
            <w:pPr>
              <w:pStyle w:val="P68B1DB1-Normal12"/>
              <w:spacing w:after="0" w:line="240" w:lineRule="auto"/>
              <w:rPr>
                <w:rFonts w:eastAsia="Times New Roman"/>
                <w:noProof/>
              </w:rPr>
            </w:pPr>
            <w:r>
              <w:rPr>
                <w:noProof/>
              </w:rPr>
              <w:t>0</w:t>
            </w:r>
          </w:p>
        </w:tc>
        <w:tc>
          <w:tcPr>
            <w:tcW w:w="876" w:type="dxa"/>
            <w:tcBorders>
              <w:top w:val="single" w:sz="4" w:space="0" w:color="auto"/>
              <w:left w:val="nil"/>
              <w:bottom w:val="single" w:sz="4" w:space="0" w:color="auto"/>
              <w:right w:val="single" w:sz="4" w:space="0" w:color="auto"/>
            </w:tcBorders>
            <w:shd w:val="clear" w:color="auto" w:fill="C6EFCE"/>
            <w:noWrap/>
          </w:tcPr>
          <w:p w14:paraId="43816023" w14:textId="77777777" w:rsidR="00C45D59" w:rsidRDefault="009B0962">
            <w:pPr>
              <w:pStyle w:val="P68B1DB1-Normal12"/>
              <w:spacing w:after="0" w:line="240" w:lineRule="auto"/>
              <w:rPr>
                <w:rFonts w:eastAsia="Times New Roman"/>
                <w:noProof/>
              </w:rPr>
            </w:pPr>
            <w:r>
              <w:rPr>
                <w:noProof/>
              </w:rPr>
              <w:t>4 500</w:t>
            </w:r>
          </w:p>
        </w:tc>
        <w:tc>
          <w:tcPr>
            <w:tcW w:w="846" w:type="dxa"/>
            <w:tcBorders>
              <w:top w:val="single" w:sz="4" w:space="0" w:color="auto"/>
              <w:left w:val="nil"/>
              <w:bottom w:val="single" w:sz="4" w:space="0" w:color="auto"/>
              <w:right w:val="single" w:sz="4" w:space="0" w:color="auto"/>
            </w:tcBorders>
            <w:shd w:val="clear" w:color="auto" w:fill="C6EFCE"/>
            <w:noWrap/>
          </w:tcPr>
          <w:p w14:paraId="5551E778" w14:textId="77777777" w:rsidR="00C45D59" w:rsidRDefault="009B0962">
            <w:pPr>
              <w:pStyle w:val="P68B1DB1-Normal12"/>
              <w:spacing w:after="0" w:line="240" w:lineRule="auto"/>
              <w:rPr>
                <w:rFonts w:eastAsia="Times New Roman"/>
                <w:noProof/>
              </w:rPr>
            </w:pPr>
            <w:r>
              <w:rPr>
                <w:noProof/>
              </w:rPr>
              <w:t>Î4</w:t>
            </w:r>
          </w:p>
        </w:tc>
        <w:tc>
          <w:tcPr>
            <w:tcW w:w="673" w:type="dxa"/>
            <w:tcBorders>
              <w:top w:val="single" w:sz="4" w:space="0" w:color="auto"/>
              <w:left w:val="nil"/>
              <w:bottom w:val="single" w:sz="4" w:space="0" w:color="auto"/>
              <w:right w:val="single" w:sz="4" w:space="0" w:color="auto"/>
            </w:tcBorders>
            <w:shd w:val="clear" w:color="auto" w:fill="C6EFCE"/>
            <w:noWrap/>
          </w:tcPr>
          <w:p w14:paraId="4229CEBF" w14:textId="77777777" w:rsidR="00C45D59" w:rsidRDefault="009B0962">
            <w:pPr>
              <w:pStyle w:val="P68B1DB1-Normal12"/>
              <w:spacing w:after="0" w:line="240" w:lineRule="auto"/>
              <w:rPr>
                <w:rFonts w:eastAsia="Times New Roman"/>
                <w:noProof/>
              </w:rPr>
            </w:pPr>
            <w:r>
              <w:rPr>
                <w:noProof/>
              </w:rPr>
              <w:t>2025</w:t>
            </w:r>
          </w:p>
        </w:tc>
        <w:tc>
          <w:tcPr>
            <w:tcW w:w="2965" w:type="dxa"/>
            <w:tcBorders>
              <w:top w:val="single" w:sz="4" w:space="0" w:color="auto"/>
              <w:left w:val="nil"/>
              <w:bottom w:val="single" w:sz="4" w:space="0" w:color="auto"/>
              <w:right w:val="single" w:sz="4" w:space="0" w:color="auto"/>
            </w:tcBorders>
            <w:shd w:val="clear" w:color="auto" w:fill="C6EFCE"/>
            <w:noWrap/>
          </w:tcPr>
          <w:p w14:paraId="58ED3B4B" w14:textId="3317B6CC" w:rsidR="00C45D59" w:rsidRDefault="009B0962">
            <w:pPr>
              <w:pStyle w:val="P68B1DB1-Normal12"/>
              <w:spacing w:after="0" w:line="240" w:lineRule="auto"/>
              <w:rPr>
                <w:rFonts w:eastAsia="Times New Roman"/>
                <w:noProof/>
              </w:rPr>
            </w:pPr>
            <w:r>
              <w:rPr>
                <w:noProof/>
              </w:rPr>
              <w:t>4 500 de certificări acordate la participarea la un program de formare specific intitulat: „Certificarea profesioniștilor din domeniul achizițiilor publice”</w:t>
            </w:r>
          </w:p>
        </w:tc>
      </w:tr>
      <w:tr w:rsidR="00C45D59" w14:paraId="2CC5A995" w14:textId="77777777">
        <w:trPr>
          <w:trHeight w:val="309"/>
          <w:jc w:val="center"/>
        </w:trPr>
        <w:tc>
          <w:tcPr>
            <w:tcW w:w="613" w:type="dxa"/>
            <w:tcBorders>
              <w:top w:val="single" w:sz="4" w:space="0" w:color="auto"/>
              <w:left w:val="single" w:sz="4" w:space="0" w:color="auto"/>
              <w:bottom w:val="single" w:sz="4" w:space="0" w:color="auto"/>
              <w:right w:val="single" w:sz="4" w:space="0" w:color="auto"/>
            </w:tcBorders>
            <w:shd w:val="clear" w:color="auto" w:fill="C6EFCE"/>
            <w:noWrap/>
          </w:tcPr>
          <w:p w14:paraId="04C18C80" w14:textId="77777777" w:rsidR="00C45D59" w:rsidRDefault="009B0962">
            <w:pPr>
              <w:pStyle w:val="P68B1DB1-Normal12"/>
              <w:spacing w:after="0" w:line="240" w:lineRule="auto"/>
              <w:rPr>
                <w:rFonts w:eastAsia="Times New Roman"/>
                <w:noProof/>
              </w:rPr>
            </w:pPr>
            <w:r>
              <w:rPr>
                <w:noProof/>
              </w:rPr>
              <w:t>341</w:t>
            </w:r>
          </w:p>
        </w:tc>
        <w:tc>
          <w:tcPr>
            <w:tcW w:w="2560" w:type="dxa"/>
            <w:tcBorders>
              <w:top w:val="single" w:sz="4" w:space="0" w:color="auto"/>
              <w:left w:val="nil"/>
              <w:bottom w:val="single" w:sz="4" w:space="0" w:color="auto"/>
              <w:right w:val="single" w:sz="4" w:space="0" w:color="auto"/>
            </w:tcBorders>
            <w:shd w:val="clear" w:color="auto" w:fill="C6EFCE"/>
            <w:noWrap/>
          </w:tcPr>
          <w:p w14:paraId="1037C1CD" w14:textId="77777777" w:rsidR="00C45D59" w:rsidRDefault="009B0962">
            <w:pPr>
              <w:pStyle w:val="P68B1DB1-Normal12"/>
              <w:spacing w:after="0" w:line="240" w:lineRule="auto"/>
              <w:rPr>
                <w:rFonts w:eastAsia="Times New Roman"/>
                <w:noProof/>
              </w:rPr>
            </w:pPr>
            <w:r>
              <w:rPr>
                <w:noProof/>
              </w:rPr>
              <w:t>13-4.2. Modernizarea administrației publice, inclusiv prin accelerarea punerii în aplicare a investițiilor publice, îmbunătățirea cadrului privind achizițiile publice, măsuri de consolidare a capacităților și combaterea corupției – 16986_Finalizarea cadastrului național</w:t>
            </w:r>
          </w:p>
        </w:tc>
        <w:tc>
          <w:tcPr>
            <w:tcW w:w="1063" w:type="dxa"/>
            <w:tcBorders>
              <w:top w:val="single" w:sz="4" w:space="0" w:color="auto"/>
              <w:left w:val="nil"/>
              <w:bottom w:val="single" w:sz="4" w:space="0" w:color="auto"/>
              <w:right w:val="single" w:sz="4" w:space="0" w:color="auto"/>
            </w:tcBorders>
            <w:shd w:val="clear" w:color="auto" w:fill="C6EFCE"/>
            <w:noWrap/>
          </w:tcPr>
          <w:p w14:paraId="46128AE6" w14:textId="77777777" w:rsidR="00C45D59" w:rsidRDefault="009B0962">
            <w:pPr>
              <w:pStyle w:val="P68B1DB1-Normal12"/>
              <w:spacing w:after="0" w:line="240" w:lineRule="auto"/>
              <w:rPr>
                <w:rFonts w:eastAsia="Times New Roman"/>
                <w:noProof/>
              </w:rPr>
            </w:pPr>
            <w:r>
              <w:rPr>
                <w:noProof/>
              </w:rPr>
              <w:t>Țintă</w:t>
            </w:r>
          </w:p>
        </w:tc>
        <w:tc>
          <w:tcPr>
            <w:tcW w:w="2034" w:type="dxa"/>
            <w:tcBorders>
              <w:top w:val="single" w:sz="4" w:space="0" w:color="auto"/>
              <w:left w:val="nil"/>
              <w:bottom w:val="single" w:sz="4" w:space="0" w:color="auto"/>
              <w:right w:val="single" w:sz="4" w:space="0" w:color="auto"/>
            </w:tcBorders>
            <w:shd w:val="clear" w:color="auto" w:fill="C6EFCE"/>
            <w:noWrap/>
          </w:tcPr>
          <w:p w14:paraId="50676096" w14:textId="77777777" w:rsidR="00C45D59" w:rsidRDefault="009B0962">
            <w:pPr>
              <w:pStyle w:val="P68B1DB1-Normal12"/>
              <w:spacing w:after="0" w:line="240" w:lineRule="auto"/>
              <w:rPr>
                <w:rFonts w:eastAsia="Times New Roman"/>
                <w:noProof/>
              </w:rPr>
            </w:pPr>
            <w:r>
              <w:rPr>
                <w:noProof/>
              </w:rPr>
              <w:t>Cartografiere cadastrală – finalizare 85 %</w:t>
            </w:r>
          </w:p>
        </w:tc>
        <w:tc>
          <w:tcPr>
            <w:tcW w:w="1975" w:type="dxa"/>
            <w:tcBorders>
              <w:top w:val="single" w:sz="4" w:space="0" w:color="auto"/>
              <w:left w:val="nil"/>
              <w:bottom w:val="single" w:sz="4" w:space="0" w:color="auto"/>
              <w:right w:val="single" w:sz="4" w:space="0" w:color="auto"/>
            </w:tcBorders>
            <w:shd w:val="clear" w:color="auto" w:fill="C6EFCE"/>
            <w:noWrap/>
          </w:tcPr>
          <w:p w14:paraId="28F13BD3"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777" w:type="dxa"/>
            <w:tcBorders>
              <w:top w:val="single" w:sz="4" w:space="0" w:color="auto"/>
              <w:left w:val="nil"/>
              <w:bottom w:val="single" w:sz="4" w:space="0" w:color="auto"/>
              <w:right w:val="single" w:sz="4" w:space="0" w:color="auto"/>
            </w:tcBorders>
            <w:shd w:val="clear" w:color="auto" w:fill="C6EFCE"/>
            <w:noWrap/>
          </w:tcPr>
          <w:p w14:paraId="4990E59E" w14:textId="77777777" w:rsidR="00C45D59" w:rsidRDefault="009B0962">
            <w:pPr>
              <w:pStyle w:val="P68B1DB1-Normal12"/>
              <w:spacing w:after="0" w:line="240" w:lineRule="auto"/>
              <w:rPr>
                <w:rFonts w:eastAsia="Times New Roman"/>
                <w:noProof/>
              </w:rPr>
            </w:pPr>
            <w:r>
              <w:rPr>
                <w:noProof/>
              </w:rPr>
              <w:t>% din totalul drepturilor de proprietate încărcate pentru afișare publică, în conformitate cu dispozițiile Legii nr. 2308/1995, astfel cum a fost modificată prin articolul 3 din Legea nr. 4821/2021</w:t>
            </w:r>
          </w:p>
        </w:tc>
        <w:tc>
          <w:tcPr>
            <w:tcW w:w="1003" w:type="dxa"/>
            <w:tcBorders>
              <w:top w:val="single" w:sz="4" w:space="0" w:color="auto"/>
              <w:left w:val="nil"/>
              <w:bottom w:val="single" w:sz="4" w:space="0" w:color="auto"/>
              <w:right w:val="single" w:sz="4" w:space="0" w:color="auto"/>
            </w:tcBorders>
            <w:shd w:val="clear" w:color="auto" w:fill="C6EFCE"/>
            <w:noWrap/>
          </w:tcPr>
          <w:p w14:paraId="56C5C1AD" w14:textId="77777777" w:rsidR="00C45D59" w:rsidRDefault="009B0962">
            <w:pPr>
              <w:pStyle w:val="P68B1DB1-Normal12"/>
              <w:spacing w:after="0" w:line="240" w:lineRule="auto"/>
              <w:rPr>
                <w:rFonts w:eastAsia="Times New Roman"/>
                <w:noProof/>
              </w:rPr>
            </w:pPr>
            <w:r>
              <w:rPr>
                <w:noProof/>
              </w:rPr>
              <w:t>79 %</w:t>
            </w:r>
          </w:p>
        </w:tc>
        <w:tc>
          <w:tcPr>
            <w:tcW w:w="876" w:type="dxa"/>
            <w:tcBorders>
              <w:top w:val="single" w:sz="4" w:space="0" w:color="auto"/>
              <w:left w:val="nil"/>
              <w:bottom w:val="single" w:sz="4" w:space="0" w:color="auto"/>
              <w:right w:val="single" w:sz="4" w:space="0" w:color="auto"/>
            </w:tcBorders>
            <w:shd w:val="clear" w:color="auto" w:fill="C6EFCE"/>
            <w:noWrap/>
          </w:tcPr>
          <w:p w14:paraId="7BA3FD89" w14:textId="77777777" w:rsidR="00C45D59" w:rsidRDefault="009B0962">
            <w:pPr>
              <w:pStyle w:val="P68B1DB1-Normal12"/>
              <w:spacing w:after="0" w:line="240" w:lineRule="auto"/>
              <w:rPr>
                <w:rFonts w:eastAsia="Times New Roman"/>
                <w:noProof/>
              </w:rPr>
            </w:pPr>
            <w:r>
              <w:rPr>
                <w:noProof/>
              </w:rPr>
              <w:t>85 %</w:t>
            </w:r>
          </w:p>
        </w:tc>
        <w:tc>
          <w:tcPr>
            <w:tcW w:w="846" w:type="dxa"/>
            <w:tcBorders>
              <w:top w:val="single" w:sz="4" w:space="0" w:color="auto"/>
              <w:left w:val="nil"/>
              <w:bottom w:val="single" w:sz="4" w:space="0" w:color="auto"/>
              <w:right w:val="single" w:sz="4" w:space="0" w:color="auto"/>
            </w:tcBorders>
            <w:shd w:val="clear" w:color="auto" w:fill="C6EFCE"/>
            <w:noWrap/>
          </w:tcPr>
          <w:p w14:paraId="5D425BFE" w14:textId="77777777" w:rsidR="00C45D59" w:rsidRDefault="009B0962">
            <w:pPr>
              <w:pStyle w:val="P68B1DB1-Normal12"/>
              <w:spacing w:after="0" w:line="240" w:lineRule="auto"/>
              <w:rPr>
                <w:rFonts w:eastAsia="Times New Roman"/>
                <w:noProof/>
              </w:rPr>
            </w:pPr>
            <w:r>
              <w:rPr>
                <w:noProof/>
              </w:rPr>
              <w:t>Î4</w:t>
            </w:r>
          </w:p>
        </w:tc>
        <w:tc>
          <w:tcPr>
            <w:tcW w:w="673" w:type="dxa"/>
            <w:tcBorders>
              <w:top w:val="single" w:sz="4" w:space="0" w:color="auto"/>
              <w:left w:val="nil"/>
              <w:bottom w:val="single" w:sz="4" w:space="0" w:color="auto"/>
              <w:right w:val="single" w:sz="4" w:space="0" w:color="auto"/>
            </w:tcBorders>
            <w:shd w:val="clear" w:color="auto" w:fill="C6EFCE"/>
            <w:noWrap/>
          </w:tcPr>
          <w:p w14:paraId="55CFF66A" w14:textId="77777777" w:rsidR="00C45D59" w:rsidRDefault="009B0962">
            <w:pPr>
              <w:pStyle w:val="P68B1DB1-Normal12"/>
              <w:spacing w:after="0" w:line="240" w:lineRule="auto"/>
              <w:rPr>
                <w:rFonts w:eastAsia="Times New Roman"/>
                <w:noProof/>
              </w:rPr>
            </w:pPr>
            <w:r>
              <w:rPr>
                <w:noProof/>
              </w:rPr>
              <w:t>2023</w:t>
            </w:r>
          </w:p>
        </w:tc>
        <w:tc>
          <w:tcPr>
            <w:tcW w:w="2965" w:type="dxa"/>
            <w:tcBorders>
              <w:top w:val="single" w:sz="4" w:space="0" w:color="auto"/>
              <w:left w:val="nil"/>
              <w:bottom w:val="single" w:sz="4" w:space="0" w:color="auto"/>
              <w:right w:val="single" w:sz="4" w:space="0" w:color="auto"/>
            </w:tcBorders>
            <w:shd w:val="clear" w:color="auto" w:fill="C6EFCE"/>
            <w:noWrap/>
          </w:tcPr>
          <w:p w14:paraId="262D23DD" w14:textId="77777777" w:rsidR="00C45D59" w:rsidRDefault="009B0962">
            <w:pPr>
              <w:pStyle w:val="P68B1DB1-Normal12"/>
              <w:spacing w:after="0" w:line="240" w:lineRule="auto"/>
              <w:rPr>
                <w:rFonts w:eastAsia="Times New Roman"/>
                <w:noProof/>
              </w:rPr>
            </w:pPr>
            <w:r>
              <w:rPr>
                <w:noProof/>
              </w:rPr>
              <w:t>85 % din drepturile de proprietate ale Greciei au ajuns în stadiul de expunere publică.</w:t>
            </w:r>
          </w:p>
        </w:tc>
      </w:tr>
      <w:tr w:rsidR="00C45D59" w14:paraId="5FCACFE8" w14:textId="77777777">
        <w:trPr>
          <w:trHeight w:val="309"/>
          <w:jc w:val="center"/>
        </w:trPr>
        <w:tc>
          <w:tcPr>
            <w:tcW w:w="613" w:type="dxa"/>
            <w:tcBorders>
              <w:top w:val="single" w:sz="4" w:space="0" w:color="auto"/>
              <w:left w:val="single" w:sz="4" w:space="0" w:color="auto"/>
              <w:bottom w:val="single" w:sz="4" w:space="0" w:color="auto"/>
              <w:right w:val="single" w:sz="4" w:space="0" w:color="auto"/>
            </w:tcBorders>
            <w:shd w:val="clear" w:color="auto" w:fill="C6EFCE"/>
            <w:noWrap/>
          </w:tcPr>
          <w:p w14:paraId="360779DE" w14:textId="77777777" w:rsidR="00C45D59" w:rsidRDefault="009B0962">
            <w:pPr>
              <w:pStyle w:val="P68B1DB1-Normal12"/>
              <w:spacing w:after="0" w:line="240" w:lineRule="auto"/>
              <w:rPr>
                <w:rFonts w:eastAsia="Times New Roman"/>
                <w:noProof/>
              </w:rPr>
            </w:pPr>
            <w:r>
              <w:rPr>
                <w:noProof/>
              </w:rPr>
              <w:t>342</w:t>
            </w:r>
          </w:p>
        </w:tc>
        <w:tc>
          <w:tcPr>
            <w:tcW w:w="2560" w:type="dxa"/>
            <w:tcBorders>
              <w:top w:val="single" w:sz="4" w:space="0" w:color="auto"/>
              <w:left w:val="nil"/>
              <w:bottom w:val="single" w:sz="4" w:space="0" w:color="auto"/>
              <w:right w:val="single" w:sz="4" w:space="0" w:color="auto"/>
            </w:tcBorders>
            <w:shd w:val="clear" w:color="auto" w:fill="C6EFCE"/>
            <w:noWrap/>
          </w:tcPr>
          <w:p w14:paraId="57DB1117" w14:textId="77777777" w:rsidR="00C45D59" w:rsidRDefault="009B0962">
            <w:pPr>
              <w:pStyle w:val="P68B1DB1-Normal12"/>
              <w:spacing w:after="0" w:line="240" w:lineRule="auto"/>
              <w:rPr>
                <w:rFonts w:eastAsia="Times New Roman"/>
                <w:noProof/>
              </w:rPr>
            </w:pPr>
            <w:r>
              <w:rPr>
                <w:noProof/>
              </w:rPr>
              <w:t>13-4.2. Modernizarea administrației publice, inclusiv prin accelerarea punerii în aplicare a investițiilor publice, îmbunătățirea cadrului privind achizițiile publice, măsuri de consolidare a capacităților și combaterea corupției – 16986_Finalizarea cadastrului național</w:t>
            </w:r>
          </w:p>
        </w:tc>
        <w:tc>
          <w:tcPr>
            <w:tcW w:w="1063" w:type="dxa"/>
            <w:tcBorders>
              <w:top w:val="single" w:sz="4" w:space="0" w:color="auto"/>
              <w:left w:val="nil"/>
              <w:bottom w:val="single" w:sz="4" w:space="0" w:color="auto"/>
              <w:right w:val="single" w:sz="4" w:space="0" w:color="auto"/>
            </w:tcBorders>
            <w:shd w:val="clear" w:color="auto" w:fill="C6EFCE"/>
            <w:noWrap/>
          </w:tcPr>
          <w:p w14:paraId="0A2B7839" w14:textId="77777777" w:rsidR="00C45D59" w:rsidRDefault="009B0962">
            <w:pPr>
              <w:pStyle w:val="P68B1DB1-Normal12"/>
              <w:spacing w:after="0" w:line="240" w:lineRule="auto"/>
              <w:rPr>
                <w:rFonts w:eastAsia="Times New Roman"/>
                <w:noProof/>
              </w:rPr>
            </w:pPr>
            <w:r>
              <w:rPr>
                <w:noProof/>
              </w:rPr>
              <w:t>Țintă</w:t>
            </w:r>
          </w:p>
        </w:tc>
        <w:tc>
          <w:tcPr>
            <w:tcW w:w="2034" w:type="dxa"/>
            <w:tcBorders>
              <w:top w:val="single" w:sz="4" w:space="0" w:color="auto"/>
              <w:left w:val="nil"/>
              <w:bottom w:val="single" w:sz="4" w:space="0" w:color="auto"/>
              <w:right w:val="single" w:sz="4" w:space="0" w:color="auto"/>
            </w:tcBorders>
            <w:shd w:val="clear" w:color="auto" w:fill="C6EFCE"/>
            <w:noWrap/>
          </w:tcPr>
          <w:p w14:paraId="40AFE684" w14:textId="77777777" w:rsidR="00C45D59" w:rsidRDefault="009B0962">
            <w:pPr>
              <w:pStyle w:val="P68B1DB1-Normal12"/>
              <w:spacing w:after="0" w:line="240" w:lineRule="auto"/>
              <w:rPr>
                <w:rFonts w:eastAsia="Times New Roman"/>
                <w:noProof/>
              </w:rPr>
            </w:pPr>
            <w:r>
              <w:rPr>
                <w:noProof/>
              </w:rPr>
              <w:t>Cartografiere cadastrală – finalizare 95 %</w:t>
            </w:r>
          </w:p>
        </w:tc>
        <w:tc>
          <w:tcPr>
            <w:tcW w:w="1975" w:type="dxa"/>
            <w:tcBorders>
              <w:top w:val="single" w:sz="4" w:space="0" w:color="auto"/>
              <w:left w:val="nil"/>
              <w:bottom w:val="single" w:sz="4" w:space="0" w:color="auto"/>
              <w:right w:val="single" w:sz="4" w:space="0" w:color="auto"/>
            </w:tcBorders>
            <w:shd w:val="clear" w:color="auto" w:fill="C6EFCE"/>
            <w:noWrap/>
          </w:tcPr>
          <w:p w14:paraId="372B3E8E"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777" w:type="dxa"/>
            <w:tcBorders>
              <w:top w:val="single" w:sz="4" w:space="0" w:color="auto"/>
              <w:left w:val="nil"/>
              <w:bottom w:val="single" w:sz="4" w:space="0" w:color="auto"/>
              <w:right w:val="single" w:sz="4" w:space="0" w:color="auto"/>
            </w:tcBorders>
            <w:shd w:val="clear" w:color="auto" w:fill="C6EFCE"/>
            <w:noWrap/>
          </w:tcPr>
          <w:p w14:paraId="110B96F2" w14:textId="77777777" w:rsidR="00C45D59" w:rsidRDefault="009B0962">
            <w:pPr>
              <w:pStyle w:val="P68B1DB1-Normal12"/>
              <w:spacing w:after="0" w:line="240" w:lineRule="auto"/>
              <w:rPr>
                <w:rFonts w:eastAsia="Times New Roman"/>
                <w:noProof/>
              </w:rPr>
            </w:pPr>
            <w:r>
              <w:rPr>
                <w:noProof/>
              </w:rPr>
              <w:t>% din totalul drepturilor de proprietate încărcate pentru afișare publică, în conformitate cu dispozițiile Legii nr. 2308/1995, astfel cum a fost modificată prin articolul 6 din Legea nr. 4821/2021</w:t>
            </w:r>
          </w:p>
        </w:tc>
        <w:tc>
          <w:tcPr>
            <w:tcW w:w="1003" w:type="dxa"/>
            <w:tcBorders>
              <w:top w:val="single" w:sz="4" w:space="0" w:color="auto"/>
              <w:left w:val="nil"/>
              <w:bottom w:val="single" w:sz="4" w:space="0" w:color="auto"/>
              <w:right w:val="single" w:sz="4" w:space="0" w:color="auto"/>
            </w:tcBorders>
            <w:shd w:val="clear" w:color="auto" w:fill="C6EFCE"/>
            <w:noWrap/>
          </w:tcPr>
          <w:p w14:paraId="04AA6EBA" w14:textId="77777777" w:rsidR="00C45D59" w:rsidRDefault="009B0962">
            <w:pPr>
              <w:pStyle w:val="P68B1DB1-Normal12"/>
              <w:spacing w:after="0" w:line="240" w:lineRule="auto"/>
              <w:rPr>
                <w:rFonts w:eastAsia="Times New Roman"/>
                <w:noProof/>
              </w:rPr>
            </w:pPr>
            <w:r>
              <w:rPr>
                <w:noProof/>
              </w:rPr>
              <w:t>85 %</w:t>
            </w:r>
          </w:p>
        </w:tc>
        <w:tc>
          <w:tcPr>
            <w:tcW w:w="876" w:type="dxa"/>
            <w:tcBorders>
              <w:top w:val="single" w:sz="4" w:space="0" w:color="auto"/>
              <w:left w:val="nil"/>
              <w:bottom w:val="single" w:sz="4" w:space="0" w:color="auto"/>
              <w:right w:val="single" w:sz="4" w:space="0" w:color="auto"/>
            </w:tcBorders>
            <w:shd w:val="clear" w:color="auto" w:fill="C6EFCE"/>
            <w:noWrap/>
          </w:tcPr>
          <w:p w14:paraId="19667A83" w14:textId="77777777" w:rsidR="00C45D59" w:rsidRDefault="009B0962">
            <w:pPr>
              <w:pStyle w:val="P68B1DB1-Normal12"/>
              <w:spacing w:after="0" w:line="240" w:lineRule="auto"/>
              <w:rPr>
                <w:rFonts w:eastAsia="Times New Roman"/>
                <w:noProof/>
              </w:rPr>
            </w:pPr>
            <w:r>
              <w:rPr>
                <w:noProof/>
              </w:rPr>
              <w:t>95 %</w:t>
            </w:r>
          </w:p>
        </w:tc>
        <w:tc>
          <w:tcPr>
            <w:tcW w:w="846" w:type="dxa"/>
            <w:tcBorders>
              <w:top w:val="single" w:sz="4" w:space="0" w:color="auto"/>
              <w:left w:val="nil"/>
              <w:bottom w:val="single" w:sz="4" w:space="0" w:color="auto"/>
              <w:right w:val="single" w:sz="4" w:space="0" w:color="auto"/>
            </w:tcBorders>
            <w:shd w:val="clear" w:color="auto" w:fill="C6EFCE"/>
            <w:noWrap/>
          </w:tcPr>
          <w:p w14:paraId="0B76BC20" w14:textId="77777777" w:rsidR="00C45D59" w:rsidRDefault="009B0962">
            <w:pPr>
              <w:pStyle w:val="P68B1DB1-Normal12"/>
              <w:spacing w:after="0" w:line="240" w:lineRule="auto"/>
              <w:rPr>
                <w:rFonts w:eastAsia="Times New Roman"/>
                <w:noProof/>
              </w:rPr>
            </w:pPr>
            <w:r>
              <w:rPr>
                <w:noProof/>
              </w:rPr>
              <w:t>Î2</w:t>
            </w:r>
          </w:p>
        </w:tc>
        <w:tc>
          <w:tcPr>
            <w:tcW w:w="673" w:type="dxa"/>
            <w:tcBorders>
              <w:top w:val="single" w:sz="4" w:space="0" w:color="auto"/>
              <w:left w:val="nil"/>
              <w:bottom w:val="single" w:sz="4" w:space="0" w:color="auto"/>
              <w:right w:val="single" w:sz="4" w:space="0" w:color="auto"/>
            </w:tcBorders>
            <w:shd w:val="clear" w:color="auto" w:fill="C6EFCE"/>
            <w:noWrap/>
          </w:tcPr>
          <w:p w14:paraId="651BC481" w14:textId="77777777" w:rsidR="00C45D59" w:rsidRDefault="009B0962">
            <w:pPr>
              <w:pStyle w:val="P68B1DB1-Normal12"/>
              <w:spacing w:after="0" w:line="240" w:lineRule="auto"/>
              <w:rPr>
                <w:rFonts w:eastAsia="Times New Roman"/>
                <w:noProof/>
              </w:rPr>
            </w:pPr>
            <w:r>
              <w:rPr>
                <w:noProof/>
              </w:rPr>
              <w:t>2024</w:t>
            </w:r>
          </w:p>
        </w:tc>
        <w:tc>
          <w:tcPr>
            <w:tcW w:w="2965" w:type="dxa"/>
            <w:tcBorders>
              <w:top w:val="single" w:sz="4" w:space="0" w:color="auto"/>
              <w:left w:val="nil"/>
              <w:bottom w:val="single" w:sz="4" w:space="0" w:color="auto"/>
              <w:right w:val="single" w:sz="4" w:space="0" w:color="auto"/>
            </w:tcBorders>
            <w:shd w:val="clear" w:color="auto" w:fill="C6EFCE"/>
            <w:noWrap/>
          </w:tcPr>
          <w:p w14:paraId="754E817F" w14:textId="77777777" w:rsidR="00C45D59" w:rsidRDefault="009B0962">
            <w:pPr>
              <w:pStyle w:val="P68B1DB1-Normal12"/>
              <w:spacing w:after="0" w:line="240" w:lineRule="auto"/>
              <w:rPr>
                <w:rFonts w:eastAsia="Times New Roman"/>
                <w:noProof/>
              </w:rPr>
            </w:pPr>
            <w:r>
              <w:rPr>
                <w:noProof/>
              </w:rPr>
              <w:t>95 % din drepturile de proprietate ale Greciei au ajuns în stadiul de expunere publică.</w:t>
            </w:r>
          </w:p>
        </w:tc>
      </w:tr>
      <w:tr w:rsidR="00C45D59" w14:paraId="3812A969" w14:textId="77777777">
        <w:trPr>
          <w:trHeight w:val="309"/>
          <w:jc w:val="center"/>
        </w:trPr>
        <w:tc>
          <w:tcPr>
            <w:tcW w:w="613" w:type="dxa"/>
            <w:tcBorders>
              <w:top w:val="single" w:sz="4" w:space="0" w:color="auto"/>
              <w:left w:val="single" w:sz="4" w:space="0" w:color="auto"/>
              <w:bottom w:val="single" w:sz="4" w:space="0" w:color="auto"/>
              <w:right w:val="single" w:sz="4" w:space="0" w:color="auto"/>
            </w:tcBorders>
            <w:shd w:val="clear" w:color="auto" w:fill="C6EFCE"/>
            <w:noWrap/>
          </w:tcPr>
          <w:p w14:paraId="0296F158" w14:textId="77777777" w:rsidR="00C45D59" w:rsidRDefault="009B0962">
            <w:pPr>
              <w:pStyle w:val="P68B1DB1-Normal12"/>
              <w:spacing w:after="0" w:line="240" w:lineRule="auto"/>
              <w:rPr>
                <w:rFonts w:eastAsia="Times New Roman"/>
                <w:noProof/>
              </w:rPr>
            </w:pPr>
            <w:r>
              <w:rPr>
                <w:noProof/>
              </w:rPr>
              <w:t>343</w:t>
            </w:r>
          </w:p>
        </w:tc>
        <w:tc>
          <w:tcPr>
            <w:tcW w:w="2560" w:type="dxa"/>
            <w:tcBorders>
              <w:top w:val="single" w:sz="4" w:space="0" w:color="auto"/>
              <w:left w:val="nil"/>
              <w:bottom w:val="single" w:sz="4" w:space="0" w:color="auto"/>
              <w:right w:val="single" w:sz="4" w:space="0" w:color="auto"/>
            </w:tcBorders>
            <w:shd w:val="clear" w:color="auto" w:fill="C6EFCE"/>
            <w:noWrap/>
          </w:tcPr>
          <w:p w14:paraId="73B56C52" w14:textId="77777777" w:rsidR="00C45D59" w:rsidRDefault="009B0962">
            <w:pPr>
              <w:pStyle w:val="P68B1DB1-Normal12"/>
              <w:spacing w:after="0" w:line="240" w:lineRule="auto"/>
              <w:rPr>
                <w:rFonts w:eastAsia="Times New Roman"/>
                <w:noProof/>
              </w:rPr>
            </w:pPr>
            <w:r>
              <w:rPr>
                <w:noProof/>
              </w:rPr>
              <w:t xml:space="preserve">13-4.2. Modernizarea administrației publice, inclusiv prin accelerarea punerii în aplicare a investițiilor publice, îmbunătățirea cadrului privind achizițiile publice, măsuri de consolidare a capacităților și combaterea corupției – 16986_Finalizarea cadastrului național </w:t>
            </w:r>
          </w:p>
        </w:tc>
        <w:tc>
          <w:tcPr>
            <w:tcW w:w="1063" w:type="dxa"/>
            <w:tcBorders>
              <w:top w:val="single" w:sz="4" w:space="0" w:color="auto"/>
              <w:left w:val="nil"/>
              <w:bottom w:val="single" w:sz="4" w:space="0" w:color="auto"/>
              <w:right w:val="single" w:sz="4" w:space="0" w:color="auto"/>
            </w:tcBorders>
            <w:shd w:val="clear" w:color="auto" w:fill="C6EFCE"/>
            <w:noWrap/>
          </w:tcPr>
          <w:p w14:paraId="12097E34" w14:textId="77777777" w:rsidR="00C45D59" w:rsidRDefault="009B0962">
            <w:pPr>
              <w:pStyle w:val="P68B1DB1-Normal12"/>
              <w:spacing w:after="0" w:line="240" w:lineRule="auto"/>
              <w:rPr>
                <w:rFonts w:eastAsia="Times New Roman"/>
                <w:noProof/>
              </w:rPr>
            </w:pPr>
            <w:r>
              <w:rPr>
                <w:noProof/>
              </w:rPr>
              <w:t>Etapă</w:t>
            </w:r>
          </w:p>
        </w:tc>
        <w:tc>
          <w:tcPr>
            <w:tcW w:w="2034" w:type="dxa"/>
            <w:tcBorders>
              <w:top w:val="single" w:sz="4" w:space="0" w:color="auto"/>
              <w:left w:val="nil"/>
              <w:bottom w:val="single" w:sz="4" w:space="0" w:color="auto"/>
              <w:right w:val="single" w:sz="4" w:space="0" w:color="auto"/>
            </w:tcBorders>
            <w:shd w:val="clear" w:color="auto" w:fill="C6EFCE"/>
            <w:noWrap/>
          </w:tcPr>
          <w:p w14:paraId="113B5767" w14:textId="77777777" w:rsidR="00C45D59" w:rsidRDefault="009B0962">
            <w:pPr>
              <w:pStyle w:val="P68B1DB1-Normal12"/>
              <w:spacing w:after="0" w:line="240" w:lineRule="auto"/>
              <w:rPr>
                <w:rFonts w:eastAsia="Times New Roman"/>
                <w:noProof/>
              </w:rPr>
            </w:pPr>
            <w:r>
              <w:rPr>
                <w:noProof/>
              </w:rPr>
              <w:t>Tranziția către noua structură organizațională a Cadastrului elen – finalizare integrală</w:t>
            </w:r>
          </w:p>
        </w:tc>
        <w:tc>
          <w:tcPr>
            <w:tcW w:w="1975" w:type="dxa"/>
            <w:tcBorders>
              <w:top w:val="single" w:sz="4" w:space="0" w:color="auto"/>
              <w:left w:val="nil"/>
              <w:bottom w:val="single" w:sz="4" w:space="0" w:color="auto"/>
              <w:right w:val="single" w:sz="4" w:space="0" w:color="auto"/>
            </w:tcBorders>
            <w:shd w:val="clear" w:color="auto" w:fill="C6EFCE"/>
            <w:noWrap/>
          </w:tcPr>
          <w:p w14:paraId="2C94BAF9" w14:textId="77777777" w:rsidR="00C45D59" w:rsidRDefault="009B0962">
            <w:pPr>
              <w:pStyle w:val="P68B1DB1-Normal16"/>
              <w:spacing w:after="0" w:line="240" w:lineRule="auto"/>
              <w:rPr>
                <w:rFonts w:eastAsia="Times New Roman"/>
                <w:noProof/>
                <w:color w:val="006100"/>
              </w:rPr>
            </w:pPr>
            <w:r>
              <w:rPr>
                <w:noProof/>
                <w:color w:val="006100"/>
              </w:rPr>
              <w:t>Deciziile oficiale ale Consiliului de administrație al Cadastrului elen pentru deschiderea și operaționalizarea birourilor și sucursalelor cadastrale pe întreg teritoriul Greciei și închiderea vechilor birouri ipotecare.</w:t>
            </w:r>
          </w:p>
        </w:tc>
        <w:tc>
          <w:tcPr>
            <w:tcW w:w="1777" w:type="dxa"/>
            <w:tcBorders>
              <w:top w:val="single" w:sz="4" w:space="0" w:color="auto"/>
              <w:left w:val="nil"/>
              <w:bottom w:val="single" w:sz="4" w:space="0" w:color="auto"/>
              <w:right w:val="single" w:sz="4" w:space="0" w:color="auto"/>
            </w:tcBorders>
            <w:shd w:val="clear" w:color="auto" w:fill="C6EFCE"/>
            <w:noWrap/>
          </w:tcPr>
          <w:p w14:paraId="60D5B0E8"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003" w:type="dxa"/>
            <w:tcBorders>
              <w:top w:val="single" w:sz="4" w:space="0" w:color="auto"/>
              <w:left w:val="nil"/>
              <w:bottom w:val="single" w:sz="4" w:space="0" w:color="auto"/>
              <w:right w:val="single" w:sz="4" w:space="0" w:color="auto"/>
            </w:tcBorders>
            <w:shd w:val="clear" w:color="auto" w:fill="C6EFCE"/>
            <w:noWrap/>
          </w:tcPr>
          <w:p w14:paraId="00F094F1"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76" w:type="dxa"/>
            <w:tcBorders>
              <w:top w:val="single" w:sz="4" w:space="0" w:color="auto"/>
              <w:left w:val="nil"/>
              <w:bottom w:val="single" w:sz="4" w:space="0" w:color="auto"/>
              <w:right w:val="single" w:sz="4" w:space="0" w:color="auto"/>
            </w:tcBorders>
            <w:shd w:val="clear" w:color="auto" w:fill="C6EFCE"/>
            <w:noWrap/>
          </w:tcPr>
          <w:p w14:paraId="288EA12B"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46" w:type="dxa"/>
            <w:tcBorders>
              <w:top w:val="single" w:sz="4" w:space="0" w:color="auto"/>
              <w:left w:val="nil"/>
              <w:bottom w:val="single" w:sz="4" w:space="0" w:color="auto"/>
              <w:right w:val="single" w:sz="4" w:space="0" w:color="auto"/>
            </w:tcBorders>
            <w:shd w:val="clear" w:color="auto" w:fill="C6EFCE"/>
            <w:noWrap/>
          </w:tcPr>
          <w:p w14:paraId="02C9AA45" w14:textId="77777777" w:rsidR="00C45D59" w:rsidRDefault="009B0962">
            <w:pPr>
              <w:pStyle w:val="P68B1DB1-Normal12"/>
              <w:spacing w:after="0" w:line="240" w:lineRule="auto"/>
              <w:rPr>
                <w:rFonts w:eastAsia="Times New Roman"/>
                <w:noProof/>
              </w:rPr>
            </w:pPr>
            <w:r>
              <w:rPr>
                <w:noProof/>
              </w:rPr>
              <w:t>Î2</w:t>
            </w:r>
          </w:p>
        </w:tc>
        <w:tc>
          <w:tcPr>
            <w:tcW w:w="673" w:type="dxa"/>
            <w:tcBorders>
              <w:top w:val="single" w:sz="4" w:space="0" w:color="auto"/>
              <w:left w:val="nil"/>
              <w:bottom w:val="single" w:sz="4" w:space="0" w:color="auto"/>
              <w:right w:val="single" w:sz="4" w:space="0" w:color="auto"/>
            </w:tcBorders>
            <w:shd w:val="clear" w:color="auto" w:fill="C6EFCE"/>
            <w:noWrap/>
          </w:tcPr>
          <w:p w14:paraId="0D95C82A" w14:textId="77777777" w:rsidR="00C45D59" w:rsidRDefault="009B0962">
            <w:pPr>
              <w:pStyle w:val="P68B1DB1-Normal12"/>
              <w:spacing w:after="0" w:line="240" w:lineRule="auto"/>
              <w:rPr>
                <w:rFonts w:eastAsia="Times New Roman"/>
                <w:noProof/>
              </w:rPr>
            </w:pPr>
            <w:r>
              <w:rPr>
                <w:noProof/>
              </w:rPr>
              <w:t>2024</w:t>
            </w:r>
          </w:p>
        </w:tc>
        <w:tc>
          <w:tcPr>
            <w:tcW w:w="2965" w:type="dxa"/>
            <w:tcBorders>
              <w:top w:val="single" w:sz="4" w:space="0" w:color="auto"/>
              <w:left w:val="nil"/>
              <w:bottom w:val="single" w:sz="4" w:space="0" w:color="auto"/>
              <w:right w:val="single" w:sz="4" w:space="0" w:color="auto"/>
            </w:tcBorders>
            <w:shd w:val="clear" w:color="auto" w:fill="C6EFCE"/>
            <w:noWrap/>
          </w:tcPr>
          <w:p w14:paraId="462C99BC" w14:textId="77777777" w:rsidR="00C45D59" w:rsidRDefault="009B0962">
            <w:pPr>
              <w:pStyle w:val="P68B1DB1-Normal12"/>
              <w:spacing w:after="0" w:line="240" w:lineRule="auto"/>
              <w:rPr>
                <w:rFonts w:eastAsia="Times New Roman"/>
                <w:noProof/>
              </w:rPr>
            </w:pPr>
            <w:r>
              <w:rPr>
                <w:noProof/>
              </w:rPr>
              <w:t>În urma adoptării deciziilor oficiale ale Consiliului de administrație al cadastrului elen, tranziția către noua structură organizațională a cadastrului elen este finalizată. Mai precis, i) birourile cadastrale rămase pentru regiunile Salonic, Creta și Dodecanez sunt deschise și operaționale; II) restul de 18 sucursale sunt deschise și operaționale; și iii) restul de 223 de oficii ipotecare vechi sunt închise.</w:t>
            </w:r>
          </w:p>
        </w:tc>
      </w:tr>
      <w:tr w:rsidR="00C45D59" w14:paraId="107F5F9D" w14:textId="77777777">
        <w:trPr>
          <w:trHeight w:val="309"/>
          <w:jc w:val="center"/>
        </w:trPr>
        <w:tc>
          <w:tcPr>
            <w:tcW w:w="613" w:type="dxa"/>
            <w:tcBorders>
              <w:top w:val="single" w:sz="4" w:space="0" w:color="auto"/>
              <w:left w:val="single" w:sz="4" w:space="0" w:color="auto"/>
              <w:bottom w:val="single" w:sz="4" w:space="0" w:color="auto"/>
              <w:right w:val="single" w:sz="4" w:space="0" w:color="auto"/>
            </w:tcBorders>
            <w:shd w:val="clear" w:color="auto" w:fill="C6EFCE"/>
            <w:noWrap/>
          </w:tcPr>
          <w:p w14:paraId="3EF9F6B7" w14:textId="77777777" w:rsidR="00C45D59" w:rsidRDefault="009B0962">
            <w:pPr>
              <w:pStyle w:val="P68B1DB1-Normal12"/>
              <w:spacing w:after="0" w:line="240" w:lineRule="auto"/>
              <w:rPr>
                <w:rFonts w:eastAsia="Times New Roman"/>
                <w:noProof/>
              </w:rPr>
            </w:pPr>
            <w:r>
              <w:rPr>
                <w:noProof/>
              </w:rPr>
              <w:t>344</w:t>
            </w:r>
          </w:p>
        </w:tc>
        <w:tc>
          <w:tcPr>
            <w:tcW w:w="2560" w:type="dxa"/>
            <w:tcBorders>
              <w:top w:val="single" w:sz="4" w:space="0" w:color="auto"/>
              <w:left w:val="nil"/>
              <w:bottom w:val="single" w:sz="4" w:space="0" w:color="auto"/>
              <w:right w:val="single" w:sz="4" w:space="0" w:color="auto"/>
            </w:tcBorders>
            <w:shd w:val="clear" w:color="auto" w:fill="C6EFCE"/>
            <w:noWrap/>
          </w:tcPr>
          <w:p w14:paraId="167A8E98" w14:textId="77777777" w:rsidR="00C45D59" w:rsidRDefault="009B0962">
            <w:pPr>
              <w:pStyle w:val="P68B1DB1-Normal12"/>
              <w:spacing w:after="0" w:line="240" w:lineRule="auto"/>
              <w:rPr>
                <w:rFonts w:eastAsia="Times New Roman"/>
                <w:noProof/>
              </w:rPr>
            </w:pPr>
            <w:r>
              <w:rPr>
                <w:noProof/>
              </w:rPr>
              <w:t>13-4.2. Modernizarea administrației publice, inclusiv prin accelerarea punerii în aplicare a investițiilor publice, îmbunătățirea cadrului privind achizițiile publice, măsuri de consolidare a capacităților și combaterea corupției – 16986_Finalizarea cadastrului național</w:t>
            </w:r>
          </w:p>
        </w:tc>
        <w:tc>
          <w:tcPr>
            <w:tcW w:w="1063" w:type="dxa"/>
            <w:tcBorders>
              <w:top w:val="single" w:sz="4" w:space="0" w:color="auto"/>
              <w:left w:val="nil"/>
              <w:bottom w:val="single" w:sz="4" w:space="0" w:color="auto"/>
              <w:right w:val="single" w:sz="4" w:space="0" w:color="auto"/>
            </w:tcBorders>
            <w:shd w:val="clear" w:color="auto" w:fill="C6EFCE"/>
            <w:noWrap/>
          </w:tcPr>
          <w:p w14:paraId="76BD14F6" w14:textId="77777777" w:rsidR="00C45D59" w:rsidRDefault="009B0962">
            <w:pPr>
              <w:pStyle w:val="P68B1DB1-Normal12"/>
              <w:spacing w:after="0" w:line="240" w:lineRule="auto"/>
              <w:rPr>
                <w:rFonts w:eastAsia="Times New Roman"/>
                <w:noProof/>
              </w:rPr>
            </w:pPr>
            <w:r>
              <w:rPr>
                <w:noProof/>
              </w:rPr>
              <w:t>Țintă</w:t>
            </w:r>
          </w:p>
        </w:tc>
        <w:tc>
          <w:tcPr>
            <w:tcW w:w="2034" w:type="dxa"/>
            <w:tcBorders>
              <w:top w:val="single" w:sz="4" w:space="0" w:color="auto"/>
              <w:left w:val="nil"/>
              <w:bottom w:val="single" w:sz="4" w:space="0" w:color="auto"/>
              <w:right w:val="single" w:sz="4" w:space="0" w:color="auto"/>
            </w:tcBorders>
            <w:shd w:val="clear" w:color="auto" w:fill="C6EFCE"/>
            <w:noWrap/>
          </w:tcPr>
          <w:p w14:paraId="4EDA26F7" w14:textId="77777777" w:rsidR="00C45D59" w:rsidRDefault="009B0962">
            <w:pPr>
              <w:pStyle w:val="P68B1DB1-Normal12"/>
              <w:spacing w:after="0" w:line="240" w:lineRule="auto"/>
              <w:rPr>
                <w:rFonts w:eastAsia="Times New Roman"/>
                <w:noProof/>
              </w:rPr>
            </w:pPr>
            <w:r>
              <w:rPr>
                <w:noProof/>
              </w:rPr>
              <w:t>Cartografiere cadastrală – finalizare</w:t>
            </w:r>
          </w:p>
        </w:tc>
        <w:tc>
          <w:tcPr>
            <w:tcW w:w="1975" w:type="dxa"/>
            <w:tcBorders>
              <w:top w:val="single" w:sz="4" w:space="0" w:color="auto"/>
              <w:left w:val="nil"/>
              <w:bottom w:val="single" w:sz="4" w:space="0" w:color="auto"/>
              <w:right w:val="single" w:sz="4" w:space="0" w:color="auto"/>
            </w:tcBorders>
            <w:shd w:val="clear" w:color="auto" w:fill="C6EFCE"/>
            <w:noWrap/>
          </w:tcPr>
          <w:p w14:paraId="2215A67A"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777" w:type="dxa"/>
            <w:tcBorders>
              <w:top w:val="single" w:sz="4" w:space="0" w:color="auto"/>
              <w:left w:val="nil"/>
              <w:bottom w:val="single" w:sz="4" w:space="0" w:color="auto"/>
              <w:right w:val="single" w:sz="4" w:space="0" w:color="auto"/>
            </w:tcBorders>
            <w:shd w:val="clear" w:color="auto" w:fill="C6EFCE"/>
            <w:noWrap/>
          </w:tcPr>
          <w:p w14:paraId="33A05A82" w14:textId="77777777" w:rsidR="00C45D59" w:rsidRDefault="009B0962">
            <w:pPr>
              <w:pStyle w:val="P68B1DB1-Normal12"/>
              <w:spacing w:after="0" w:line="240" w:lineRule="auto"/>
              <w:rPr>
                <w:rFonts w:eastAsia="Times New Roman"/>
                <w:noProof/>
              </w:rPr>
            </w:pPr>
            <w:r>
              <w:rPr>
                <w:noProof/>
              </w:rPr>
              <w:t xml:space="preserve">% din totalul drepturilor de proprietate încărcate pentru afișare publică, în conformitate cu dispozițiile Legii nr. 2308/1995 </w:t>
            </w:r>
          </w:p>
        </w:tc>
        <w:tc>
          <w:tcPr>
            <w:tcW w:w="1003" w:type="dxa"/>
            <w:tcBorders>
              <w:top w:val="single" w:sz="4" w:space="0" w:color="auto"/>
              <w:left w:val="nil"/>
              <w:bottom w:val="single" w:sz="4" w:space="0" w:color="auto"/>
              <w:right w:val="single" w:sz="4" w:space="0" w:color="auto"/>
            </w:tcBorders>
            <w:shd w:val="clear" w:color="auto" w:fill="C6EFCE"/>
            <w:noWrap/>
          </w:tcPr>
          <w:p w14:paraId="29BCEBF1" w14:textId="77777777" w:rsidR="00C45D59" w:rsidRDefault="009B0962">
            <w:pPr>
              <w:pStyle w:val="P68B1DB1-Normal12"/>
              <w:spacing w:after="0" w:line="240" w:lineRule="auto"/>
              <w:rPr>
                <w:rFonts w:eastAsia="Times New Roman"/>
                <w:noProof/>
              </w:rPr>
            </w:pPr>
            <w:r>
              <w:rPr>
                <w:noProof/>
              </w:rPr>
              <w:t>95 %</w:t>
            </w:r>
          </w:p>
        </w:tc>
        <w:tc>
          <w:tcPr>
            <w:tcW w:w="876" w:type="dxa"/>
            <w:tcBorders>
              <w:top w:val="single" w:sz="4" w:space="0" w:color="auto"/>
              <w:left w:val="nil"/>
              <w:bottom w:val="single" w:sz="4" w:space="0" w:color="auto"/>
              <w:right w:val="single" w:sz="4" w:space="0" w:color="auto"/>
            </w:tcBorders>
            <w:shd w:val="clear" w:color="auto" w:fill="C6EFCE"/>
            <w:noWrap/>
          </w:tcPr>
          <w:p w14:paraId="4FB457AA" w14:textId="77777777" w:rsidR="00C45D59" w:rsidRDefault="009B0962">
            <w:pPr>
              <w:pStyle w:val="P68B1DB1-Normal12"/>
              <w:spacing w:after="0" w:line="240" w:lineRule="auto"/>
              <w:rPr>
                <w:rFonts w:eastAsia="Times New Roman"/>
                <w:noProof/>
              </w:rPr>
            </w:pPr>
            <w:r>
              <w:rPr>
                <w:noProof/>
              </w:rPr>
              <w:t>100 %</w:t>
            </w:r>
          </w:p>
        </w:tc>
        <w:tc>
          <w:tcPr>
            <w:tcW w:w="846" w:type="dxa"/>
            <w:tcBorders>
              <w:top w:val="single" w:sz="4" w:space="0" w:color="auto"/>
              <w:left w:val="nil"/>
              <w:bottom w:val="single" w:sz="4" w:space="0" w:color="auto"/>
              <w:right w:val="single" w:sz="4" w:space="0" w:color="auto"/>
            </w:tcBorders>
            <w:shd w:val="clear" w:color="auto" w:fill="C6EFCE"/>
            <w:noWrap/>
          </w:tcPr>
          <w:p w14:paraId="5493E9CD" w14:textId="77777777" w:rsidR="00C45D59" w:rsidRDefault="009B0962">
            <w:pPr>
              <w:pStyle w:val="P68B1DB1-Normal12"/>
              <w:spacing w:after="0" w:line="240" w:lineRule="auto"/>
              <w:rPr>
                <w:rFonts w:eastAsia="Times New Roman"/>
                <w:noProof/>
              </w:rPr>
            </w:pPr>
            <w:r>
              <w:rPr>
                <w:noProof/>
              </w:rPr>
              <w:t>Î2</w:t>
            </w:r>
          </w:p>
        </w:tc>
        <w:tc>
          <w:tcPr>
            <w:tcW w:w="673" w:type="dxa"/>
            <w:tcBorders>
              <w:top w:val="single" w:sz="4" w:space="0" w:color="auto"/>
              <w:left w:val="nil"/>
              <w:bottom w:val="single" w:sz="4" w:space="0" w:color="auto"/>
              <w:right w:val="single" w:sz="4" w:space="0" w:color="auto"/>
            </w:tcBorders>
            <w:shd w:val="clear" w:color="auto" w:fill="C6EFCE"/>
            <w:noWrap/>
          </w:tcPr>
          <w:p w14:paraId="497D3D88" w14:textId="77777777" w:rsidR="00C45D59" w:rsidRDefault="009B0962">
            <w:pPr>
              <w:pStyle w:val="P68B1DB1-Normal12"/>
              <w:spacing w:after="0" w:line="240" w:lineRule="auto"/>
              <w:rPr>
                <w:rFonts w:eastAsia="Times New Roman"/>
                <w:noProof/>
              </w:rPr>
            </w:pPr>
            <w:r>
              <w:rPr>
                <w:noProof/>
              </w:rPr>
              <w:t>2025</w:t>
            </w:r>
          </w:p>
        </w:tc>
        <w:tc>
          <w:tcPr>
            <w:tcW w:w="2965" w:type="dxa"/>
            <w:tcBorders>
              <w:top w:val="single" w:sz="4" w:space="0" w:color="auto"/>
              <w:left w:val="nil"/>
              <w:bottom w:val="single" w:sz="4" w:space="0" w:color="auto"/>
              <w:right w:val="single" w:sz="4" w:space="0" w:color="auto"/>
            </w:tcBorders>
            <w:shd w:val="clear" w:color="auto" w:fill="C6EFCE"/>
            <w:noWrap/>
          </w:tcPr>
          <w:p w14:paraId="64AE5F00" w14:textId="77777777" w:rsidR="00C45D59" w:rsidRDefault="009B0962">
            <w:pPr>
              <w:pStyle w:val="P68B1DB1-Normal12"/>
              <w:spacing w:after="0" w:line="240" w:lineRule="auto"/>
              <w:rPr>
                <w:rFonts w:eastAsia="Times New Roman"/>
                <w:noProof/>
              </w:rPr>
            </w:pPr>
            <w:r>
              <w:rPr>
                <w:noProof/>
              </w:rPr>
              <w:t>Cartografierea cadastrală a drepturilor de proprietate în Grecia este finalizată, toate drepturile de proprietate de pe teritoriul Greciei ajungând în stadiul de expunere publică.</w:t>
            </w:r>
          </w:p>
        </w:tc>
      </w:tr>
    </w:tbl>
    <w:p w14:paraId="0183D0FF" w14:textId="77777777" w:rsidR="00C45D59" w:rsidRDefault="00C45D59">
      <w:pPr>
        <w:spacing w:before="120" w:after="120" w:line="240" w:lineRule="auto"/>
        <w:ind w:left="709"/>
        <w:jc w:val="both"/>
        <w:rPr>
          <w:rFonts w:ascii="Times New Roman" w:hAnsi="Times New Roman" w:cs="Times New Roman"/>
          <w:noProof/>
          <w:sz w:val="24"/>
          <w:szCs w:val="24"/>
        </w:rPr>
      </w:pPr>
    </w:p>
    <w:p w14:paraId="38F57AA3" w14:textId="77777777" w:rsidR="00C45D59" w:rsidRDefault="00C45D59">
      <w:pPr>
        <w:spacing w:before="120" w:after="120" w:line="240" w:lineRule="auto"/>
        <w:ind w:left="709"/>
        <w:jc w:val="both"/>
        <w:rPr>
          <w:rFonts w:ascii="Times New Roman" w:hAnsi="Times New Roman" w:cs="Times New Roman"/>
          <w:noProof/>
          <w:sz w:val="24"/>
        </w:rPr>
        <w:sectPr w:rsidR="00C45D59">
          <w:headerReference w:type="even" r:id="rId288"/>
          <w:headerReference w:type="default" r:id="rId289"/>
          <w:footerReference w:type="even" r:id="rId290"/>
          <w:footerReference w:type="default" r:id="rId291"/>
          <w:headerReference w:type="first" r:id="rId292"/>
          <w:footerReference w:type="first" r:id="rId293"/>
          <w:pgSz w:w="16839" w:h="11907" w:orient="landscape"/>
          <w:pgMar w:top="1134" w:right="1134" w:bottom="1134" w:left="1134" w:header="567" w:footer="567" w:gutter="0"/>
          <w:cols w:space="720"/>
          <w:docGrid w:linePitch="360"/>
        </w:sectPr>
      </w:pPr>
    </w:p>
    <w:p w14:paraId="3C6E9B4E" w14:textId="77777777" w:rsidR="00C45D59" w:rsidRDefault="009B0962">
      <w:pPr>
        <w:pStyle w:val="P68B1DB1-Normal17"/>
        <w:spacing w:before="120" w:after="120" w:line="240" w:lineRule="auto"/>
        <w:ind w:firstLine="6"/>
        <w:jc w:val="both"/>
        <w:outlineLvl w:val="3"/>
        <w:rPr>
          <w:rFonts w:cs="Times New Roman"/>
          <w:bCs/>
          <w:noProof/>
        </w:rPr>
      </w:pPr>
      <w:r>
        <w:rPr>
          <w:noProof/>
        </w:rPr>
        <w:t>N. COMPONENTA 4.3: ÎMBUNĂTĂȚIREA EFICIENȚEI SISTEMULUI JUDICIAR</w:t>
      </w:r>
    </w:p>
    <w:p w14:paraId="7A48C757" w14:textId="77777777" w:rsidR="00C45D59" w:rsidRDefault="009B0962">
      <w:pPr>
        <w:pStyle w:val="P68B1DB1-Normal5"/>
        <w:spacing w:before="120" w:after="120" w:line="240" w:lineRule="auto"/>
        <w:jc w:val="both"/>
        <w:rPr>
          <w:rFonts w:cs="Times New Roman"/>
          <w:noProof/>
        </w:rPr>
      </w:pPr>
      <w:r>
        <w:rPr>
          <w:noProof/>
        </w:rPr>
        <w:t>Această componentă a planului elen de redresare și reziliență cuprinde o serie de reforme ample, precum și investiții menite să sporească eficacitatea și eficiența sistemului judiciar elen prin introducerea unei revizuiri ambițioase a hărții judiciare a țării, prin abordarea nevoilor de infrastructură, prin adoptarea de măsuri de creștere a capacităților digitale ale sistemului judiciar, prin modernizarea funcției instanțelor, prin înființarea unei poliții judiciare și prin extinderea și modernizarea educației (atât inițiale, cât și pe tot parcursul vieții) a magistraților și a personalului administrativ. Se preconizează că măsurile vor sprijini abordarea provocărilor din recomandările specifice fiecărei țări privind investițiile publice și private (Recomandarea specifică fiecărei țări 2 2019, Recomandarea specifică fiecărei țări 3 2020) și reformele structurale menite să îmbunătățească funcționarea economiei (Recomandarea specifică fiecărei țări 4 2020). Se preconizează că nicio măsură din cadrul acestei componente nu prejudiciază în mod semnificativ obiectivele de mediu în sensul articolului 17 din Regulamentul (UE) 2020/852, ținând seama de descrierea măsurilor și a etapelor de atenuare prevăzute în planul de redresare și reziliență în conformitate cu Orientările tehnice privind aplicarea principiului de „a nu prejudicia în mod semnificativ” (2021/C58/01).</w:t>
      </w:r>
    </w:p>
    <w:p w14:paraId="551443CC" w14:textId="77777777" w:rsidR="00C45D59" w:rsidRDefault="009B0962">
      <w:pPr>
        <w:pStyle w:val="P68B1DB1-Normal6"/>
        <w:spacing w:before="120" w:after="120" w:line="240" w:lineRule="auto"/>
        <w:jc w:val="both"/>
        <w:rPr>
          <w:rFonts w:cs="Times New Roman"/>
          <w:bCs/>
          <w:i/>
          <w:iCs/>
          <w:noProof/>
          <w:color w:val="4F81BD"/>
        </w:rPr>
      </w:pPr>
      <w:r>
        <w:rPr>
          <w:noProof/>
        </w:rPr>
        <w:t>N.1. Descrierea reformelor și a investițiilor pentru sprijinul financiar nerambursabil</w:t>
      </w:r>
    </w:p>
    <w:p w14:paraId="0579D83B" w14:textId="208E1D1A" w:rsidR="00C45D59" w:rsidRDefault="009B0962">
      <w:pPr>
        <w:pStyle w:val="P68B1DB1-Normal7"/>
        <w:spacing w:before="120" w:after="120" w:line="240" w:lineRule="auto"/>
        <w:jc w:val="both"/>
        <w:rPr>
          <w:rFonts w:cs="Times New Roman"/>
          <w:noProof/>
        </w:rPr>
      </w:pPr>
      <w:r>
        <w:rPr>
          <w:b/>
          <w:noProof/>
        </w:rPr>
        <w:t xml:space="preserve">Investiții: </w:t>
      </w:r>
      <w:r>
        <w:rPr>
          <w:noProof/>
        </w:rPr>
        <w:t xml:space="preserve">Clădiri judiciare noi </w:t>
      </w:r>
      <w:r>
        <w:rPr>
          <w:noProof/>
          <w:color w:val="000000" w:themeColor="text1"/>
        </w:rPr>
        <w:t>și renovări</w:t>
      </w:r>
      <w:r>
        <w:rPr>
          <w:noProof/>
        </w:rPr>
        <w:t xml:space="preserve"> (măsura ID 16292)</w:t>
      </w:r>
    </w:p>
    <w:p w14:paraId="2E691139" w14:textId="5A8ACCD8" w:rsidR="00C45D59" w:rsidRDefault="009B0962">
      <w:pPr>
        <w:pStyle w:val="P68B1DB1-Normal5"/>
        <w:spacing w:before="120" w:after="120" w:line="240" w:lineRule="auto"/>
        <w:jc w:val="both"/>
        <w:rPr>
          <w:rFonts w:cs="Times New Roman"/>
          <w:noProof/>
        </w:rPr>
      </w:pPr>
      <w:r>
        <w:rPr>
          <w:noProof/>
        </w:rPr>
        <w:t xml:space="preserve">Obiectivul măsurii este de a spori eficiența sistemului judiciar prin îmbunătățirea facilităților clădirilor judiciare. Măsura constă într-o investiție pentru construirea și renovarea clădirilor judiciare care nu sunt afectate de revizuirea hărții judiciare și eliberarea de extrase de identitate electronică pentru clădirile deținute de sistemul judiciar sau acordate acestuia prin intermediul platformei de identitate electronică. </w:t>
      </w:r>
    </w:p>
    <w:p w14:paraId="0FC67D9E" w14:textId="77777777" w:rsidR="00C45D59" w:rsidRDefault="009B0962">
      <w:pPr>
        <w:pStyle w:val="P68B1DB1-Normal5"/>
        <w:spacing w:before="120" w:after="120" w:line="240" w:lineRule="auto"/>
        <w:jc w:val="both"/>
        <w:rPr>
          <w:rFonts w:cs="Times New Roman"/>
          <w:noProof/>
        </w:rPr>
      </w:pPr>
      <w:r>
        <w:rPr>
          <w:b/>
          <w:noProof/>
        </w:rPr>
        <w:t>Reformă:</w:t>
      </w:r>
      <w:r>
        <w:rPr>
          <w:noProof/>
        </w:rPr>
        <w:t xml:space="preserve"> Transformarea digitală a justiției (e-justiție) (măsura ID 16727)</w:t>
      </w:r>
    </w:p>
    <w:p w14:paraId="4CCDDBEE" w14:textId="77777777" w:rsidR="00C45D59" w:rsidRDefault="009B0962">
      <w:pPr>
        <w:pStyle w:val="P68B1DB1-Normal5"/>
        <w:spacing w:before="120" w:after="120" w:line="240" w:lineRule="auto"/>
        <w:jc w:val="both"/>
        <w:rPr>
          <w:rFonts w:cs="Times New Roman"/>
          <w:noProof/>
        </w:rPr>
      </w:pPr>
      <w:r>
        <w:rPr>
          <w:noProof/>
        </w:rPr>
        <w:t xml:space="preserve">Obiectivul reformei este de a pune la dispoziția judecătorilor și a personalului din justiție instrumente și infrastructuri informatice pentru a gestiona mai bine volumul de cauze și pentru a accelera administrarea justiției. Măsura constă în digitalizarea documentelor, consolidarea sistemului de ținere a evidenței al instanțelor civile și penale și digitalizarea instanțelor civile și penale, a Curții de Conturi și a cazierului judiciar național. </w:t>
      </w:r>
    </w:p>
    <w:p w14:paraId="107B28E2" w14:textId="77777777" w:rsidR="00C45D59" w:rsidRDefault="009B0962">
      <w:pPr>
        <w:pStyle w:val="P68B1DB1-Normal7"/>
        <w:spacing w:before="120" w:after="120" w:line="240" w:lineRule="auto"/>
        <w:jc w:val="both"/>
        <w:rPr>
          <w:rFonts w:cs="Times New Roman"/>
          <w:noProof/>
        </w:rPr>
      </w:pPr>
      <w:r>
        <w:rPr>
          <w:b/>
          <w:noProof/>
        </w:rPr>
        <w:t>Reformă:</w:t>
      </w:r>
      <w:r>
        <w:rPr>
          <w:noProof/>
        </w:rPr>
        <w:t xml:space="preserve"> Competențele și competențele digitale ale judecătorilor și ale angajaților din sistemul judiciar (personalul din justiție) (măsura ID 16733)</w:t>
      </w:r>
    </w:p>
    <w:p w14:paraId="5FDC1D66" w14:textId="77777777" w:rsidR="00C45D59" w:rsidRDefault="009B0962">
      <w:pPr>
        <w:pStyle w:val="P68B1DB1-Normal5"/>
        <w:spacing w:before="120" w:after="120" w:line="240" w:lineRule="auto"/>
        <w:jc w:val="both"/>
        <w:rPr>
          <w:noProof/>
        </w:rPr>
      </w:pPr>
      <w:r>
        <w:rPr>
          <w:noProof/>
        </w:rPr>
        <w:t xml:space="preserve">Școala Națională de Judecători suferă o serie de schimbări instituționale în ceea ce privește funcția și programul său educațional; criteriile sale de selecție a candidaților vor fi, de asemenea, revizuite, pentru a oferi un mediu de studii mai selectiv și mai competitiv, admițând în același timp categorii suplimentare de studenți (judecători ai instanțelor magistraților și judecători ai curților de conturi); de asemenea, oferă cursuri suplimentare care vizează furnizarea de noi competențe, cu accent pe competențele manageriale și digitale, precum și pe subiecte relevante pentru îndeplinirea atribuțiilor judiciare, în conformitate cu Legea nr. 4871/2021; reforma include furnizarea de formare obligatorie pe tot parcursul vieții pentru judecători cu privire la subiecte esențiale pentru îndeplinirea sarcinilor lor de către formatori selectați, de asemenea, de Școala Națională a Judecătorilor în conformitate cu Legea nr. 4871/2021. În cele din urmă, se creează un nou program educațional pentru funcționarii judiciari în cadrul Școlii Naționale de Judecători, pentru a oferi formare și formare pe tot parcursul vieții personalului administrativ cu privire la subiecte esențiale pentru îndeplinirea sarcinilor sale, gestionarea și organizarea serviciului său, competențele digitale, dreptul procedural și material. </w:t>
      </w:r>
    </w:p>
    <w:p w14:paraId="1A60ADD8" w14:textId="77777777" w:rsidR="00C45D59" w:rsidRDefault="009B0962">
      <w:pPr>
        <w:pStyle w:val="P68B1DB1-Normal5"/>
        <w:spacing w:before="120" w:after="120" w:line="240" w:lineRule="auto"/>
        <w:jc w:val="both"/>
        <w:rPr>
          <w:noProof/>
        </w:rPr>
      </w:pPr>
      <w:r>
        <w:rPr>
          <w:noProof/>
        </w:rPr>
        <w:t>Punerea în aplicare a reformei se finalizează până la 31 decembrie 2024.</w:t>
      </w:r>
    </w:p>
    <w:p w14:paraId="09F9FE81" w14:textId="77777777" w:rsidR="00C45D59" w:rsidRDefault="009B0962">
      <w:pPr>
        <w:pStyle w:val="P68B1DB1-Normal5"/>
        <w:spacing w:before="120" w:after="120" w:line="240" w:lineRule="auto"/>
        <w:jc w:val="both"/>
        <w:rPr>
          <w:noProof/>
        </w:rPr>
      </w:pPr>
      <w:r>
        <w:rPr>
          <w:noProof/>
        </w:rPr>
        <w:t>Reformă: Accelerarea administrării justiției (măsura ID 16575)</w:t>
      </w:r>
    </w:p>
    <w:p w14:paraId="56A555D5" w14:textId="02FABB89" w:rsidR="00C45D59" w:rsidRDefault="009B0962">
      <w:pPr>
        <w:pStyle w:val="P68B1DB1-Normal7"/>
        <w:spacing w:before="120" w:after="120" w:line="240" w:lineRule="auto"/>
        <w:jc w:val="both"/>
        <w:rPr>
          <w:noProof/>
        </w:rPr>
      </w:pPr>
      <w:r>
        <w:rPr>
          <w:noProof/>
        </w:rPr>
        <w:t>Acest obiectiv al măsurii este de a accelera administrarea justiției. Măsura constă în revizuirea hărții judiciare civile/penale și administrative prin instituirea, desființarea sau redistribuirea instanțelor din toate districtele judiciare, furnizarea de cursuri de formare privind soluționarea alternativă a litigiilor pentru profesioniștii din domeniul juridic și/sau mediatori și furnizarea unui sistem digital unificat pentru centrele de mediere.</w:t>
      </w:r>
    </w:p>
    <w:p w14:paraId="1FDAA459" w14:textId="77777777" w:rsidR="00C45D59" w:rsidRDefault="00C45D59">
      <w:pPr>
        <w:spacing w:before="120" w:after="120" w:line="240" w:lineRule="auto"/>
        <w:ind w:left="709"/>
        <w:jc w:val="both"/>
        <w:rPr>
          <w:rFonts w:ascii="Times New Roman" w:hAnsi="Times New Roman" w:cs="Times New Roman"/>
          <w:b/>
          <w:bCs/>
          <w:noProof/>
          <w:sz w:val="24"/>
          <w:u w:val="single"/>
        </w:rPr>
      </w:pPr>
    </w:p>
    <w:p w14:paraId="21DFA740" w14:textId="77777777" w:rsidR="00C45D59" w:rsidRDefault="00C45D59">
      <w:pPr>
        <w:spacing w:before="120" w:after="120" w:line="240" w:lineRule="auto"/>
        <w:ind w:left="709"/>
        <w:jc w:val="both"/>
        <w:rPr>
          <w:rFonts w:ascii="Times New Roman" w:hAnsi="Times New Roman" w:cs="Times New Roman"/>
          <w:noProof/>
          <w:sz w:val="24"/>
        </w:rPr>
        <w:sectPr w:rsidR="00C45D59">
          <w:headerReference w:type="even" r:id="rId294"/>
          <w:headerReference w:type="default" r:id="rId295"/>
          <w:footerReference w:type="even" r:id="rId296"/>
          <w:footerReference w:type="default" r:id="rId297"/>
          <w:headerReference w:type="first" r:id="rId298"/>
          <w:footerReference w:type="first" r:id="rId299"/>
          <w:pgSz w:w="11906" w:h="16838"/>
          <w:pgMar w:top="1134" w:right="1134" w:bottom="1134" w:left="1134" w:header="567" w:footer="567" w:gutter="0"/>
          <w:cols w:space="708"/>
          <w:docGrid w:linePitch="360"/>
        </w:sectPr>
      </w:pPr>
    </w:p>
    <w:p w14:paraId="1C200F94" w14:textId="77777777" w:rsidR="00C45D59" w:rsidRDefault="009B0962">
      <w:pPr>
        <w:pStyle w:val="P68B1DB1-Normal6"/>
        <w:spacing w:before="120" w:after="120" w:line="240" w:lineRule="auto"/>
        <w:jc w:val="both"/>
        <w:rPr>
          <w:rFonts w:cs="Times New Roman"/>
          <w:bCs/>
          <w:noProof/>
        </w:rPr>
      </w:pPr>
      <w:r>
        <w:rPr>
          <w:noProof/>
        </w:rPr>
        <w:t>N.2. Jaloane, ținte, indicatori și calendarul de monitorizare și implementare aplicabile sprijinului financiar nerambursabil</w:t>
      </w:r>
    </w:p>
    <w:p w14:paraId="150265A1" w14:textId="77777777" w:rsidR="00C45D59" w:rsidRDefault="009B0962">
      <w:pPr>
        <w:pStyle w:val="P68B1DB1-Normal9"/>
        <w:keepNext/>
        <w:keepLines/>
        <w:spacing w:before="40" w:after="0" w:line="240" w:lineRule="auto"/>
        <w:jc w:val="both"/>
        <w:outlineLvl w:val="4"/>
        <w:rPr>
          <w:rFonts w:eastAsia="Times New Roman"/>
          <w:noProof/>
        </w:rPr>
      </w:pPr>
      <w:r>
        <w:rPr>
          <w:noProof/>
        </w:rPr>
        <w:t>Grupul 21: Îmbunătățirea eficienței sistemului judiciar</w:t>
      </w:r>
    </w:p>
    <w:p w14:paraId="18018232" w14:textId="77777777" w:rsidR="00C45D59" w:rsidRDefault="009B0962">
      <w:pPr>
        <w:pStyle w:val="P68B1DB1-Normal5"/>
        <w:spacing w:before="120" w:after="120" w:line="240" w:lineRule="auto"/>
        <w:jc w:val="both"/>
        <w:rPr>
          <w:rFonts w:cs="Times New Roman"/>
          <w:noProof/>
        </w:rPr>
      </w:pPr>
      <w:r>
        <w:rPr>
          <w:noProof/>
        </w:rPr>
        <w:t>Măsurile incluse în acest grup sunt:</w:t>
      </w:r>
    </w:p>
    <w:p w14:paraId="0CEC6E31" w14:textId="08A54E11" w:rsidR="00C45D59" w:rsidRDefault="009B0962">
      <w:pPr>
        <w:pStyle w:val="P68B1DB1-Normal7"/>
        <w:numPr>
          <w:ilvl w:val="0"/>
          <w:numId w:val="64"/>
        </w:numPr>
        <w:spacing w:before="120" w:after="0" w:line="240" w:lineRule="auto"/>
        <w:jc w:val="both"/>
        <w:rPr>
          <w:rFonts w:cs="Times New Roman"/>
          <w:noProof/>
        </w:rPr>
      </w:pPr>
      <w:r>
        <w:rPr>
          <w:noProof/>
        </w:rPr>
        <w:t>Noi clădiri și renovări judiciare (ID: 16292)</w:t>
      </w:r>
    </w:p>
    <w:p w14:paraId="654BFFDA" w14:textId="77777777" w:rsidR="00C45D59" w:rsidRDefault="009B0962">
      <w:pPr>
        <w:pStyle w:val="P68B1DB1-Normal5"/>
        <w:numPr>
          <w:ilvl w:val="0"/>
          <w:numId w:val="64"/>
        </w:numPr>
        <w:spacing w:before="120" w:after="0" w:line="240" w:lineRule="auto"/>
        <w:jc w:val="both"/>
        <w:rPr>
          <w:rFonts w:cs="Times New Roman"/>
          <w:noProof/>
        </w:rPr>
      </w:pPr>
      <w:r>
        <w:rPr>
          <w:noProof/>
        </w:rPr>
        <w:t>Transformarea digitală a justiției (e-justiție) (ID: 16727)</w:t>
      </w:r>
    </w:p>
    <w:p w14:paraId="2FA334EC" w14:textId="77777777" w:rsidR="00C45D59" w:rsidRDefault="009B0962">
      <w:pPr>
        <w:pStyle w:val="P68B1DB1-Normal5"/>
        <w:numPr>
          <w:ilvl w:val="0"/>
          <w:numId w:val="64"/>
        </w:numPr>
        <w:spacing w:before="120" w:after="120" w:line="240" w:lineRule="auto"/>
        <w:jc w:val="both"/>
        <w:rPr>
          <w:rFonts w:cs="Times New Roman"/>
          <w:noProof/>
        </w:rPr>
      </w:pPr>
      <w:r>
        <w:rPr>
          <w:noProof/>
        </w:rPr>
        <w:t>Competențe și competențe digitale pentru judecători și angajații din sistemul judiciar (personalul din justiție) (ID: 16733)</w:t>
      </w:r>
    </w:p>
    <w:p w14:paraId="23321CB3" w14:textId="77777777" w:rsidR="00C45D59" w:rsidRDefault="009B0962">
      <w:pPr>
        <w:pStyle w:val="P68B1DB1-Normal5"/>
        <w:numPr>
          <w:ilvl w:val="0"/>
          <w:numId w:val="64"/>
        </w:numPr>
        <w:spacing w:before="120" w:after="120" w:line="240" w:lineRule="auto"/>
        <w:jc w:val="both"/>
        <w:rPr>
          <w:rFonts w:cs="Times New Roman"/>
          <w:noProof/>
        </w:rPr>
      </w:pPr>
      <w:r>
        <w:rPr>
          <w:noProof/>
        </w:rPr>
        <w:t>Accelerarea administrării justiției (ID: 16575)</w:t>
      </w:r>
    </w:p>
    <w:tbl>
      <w:tblPr>
        <w:tblW w:w="15730" w:type="dxa"/>
        <w:jc w:val="center"/>
        <w:tblLook w:val="04A0" w:firstRow="1" w:lastRow="0" w:firstColumn="1" w:lastColumn="0" w:noHBand="0" w:noVBand="1"/>
      </w:tblPr>
      <w:tblGrid>
        <w:gridCol w:w="592"/>
        <w:gridCol w:w="8"/>
        <w:gridCol w:w="1968"/>
        <w:gridCol w:w="1424"/>
        <w:gridCol w:w="1397"/>
        <w:gridCol w:w="1552"/>
        <w:gridCol w:w="992"/>
        <w:gridCol w:w="896"/>
        <w:gridCol w:w="866"/>
        <w:gridCol w:w="1006"/>
        <w:gridCol w:w="622"/>
        <w:gridCol w:w="4885"/>
      </w:tblGrid>
      <w:tr w:rsidR="00C45D59" w14:paraId="60FACD44" w14:textId="77777777">
        <w:trPr>
          <w:trHeight w:val="927"/>
          <w:tblHeader/>
          <w:jc w:val="center"/>
        </w:trPr>
        <w:tc>
          <w:tcPr>
            <w:tcW w:w="600" w:type="dxa"/>
            <w:gridSpan w:val="2"/>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483C622" w14:textId="0A618DEA" w:rsidR="00C45D59" w:rsidRDefault="009B0962">
            <w:pPr>
              <w:pStyle w:val="P68B1DB1-Normal15"/>
              <w:spacing w:after="0" w:line="240" w:lineRule="auto"/>
              <w:jc w:val="center"/>
              <w:rPr>
                <w:rFonts w:eastAsia="Times New Roman"/>
                <w:bCs/>
                <w:noProof/>
              </w:rPr>
            </w:pPr>
            <w:r>
              <w:rPr>
                <w:noProof/>
              </w:rPr>
              <w:t>N</w:t>
            </w:r>
            <w:r w:rsidR="00892E7E">
              <w:rPr>
                <w:noProof/>
              </w:rPr>
              <w:t>r</w:t>
            </w:r>
            <w:r>
              <w:rPr>
                <w:noProof/>
              </w:rPr>
              <w:t>.</w:t>
            </w:r>
            <w:r w:rsidR="00892E7E">
              <w:rPr>
                <w:noProof/>
              </w:rPr>
              <w:t xml:space="preserve"> crt.</w:t>
            </w:r>
          </w:p>
        </w:tc>
        <w:tc>
          <w:tcPr>
            <w:tcW w:w="196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E54EEA6" w14:textId="77777777" w:rsidR="00C45D59" w:rsidRDefault="009B0962">
            <w:pPr>
              <w:pStyle w:val="P68B1DB1-Normal10"/>
              <w:spacing w:after="0" w:line="240" w:lineRule="auto"/>
              <w:jc w:val="center"/>
              <w:rPr>
                <w:rFonts w:eastAsia="Times New Roman" w:cs="Times New Roman"/>
                <w:bCs/>
                <w:noProof/>
                <w:szCs w:val="18"/>
              </w:rPr>
            </w:pPr>
            <w:r>
              <w:rPr>
                <w:noProof/>
              </w:rPr>
              <w:t>Măsură conexă (reformă sau investiții)</w:t>
            </w:r>
          </w:p>
        </w:tc>
        <w:tc>
          <w:tcPr>
            <w:tcW w:w="142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B545082" w14:textId="77777777" w:rsidR="00C45D59" w:rsidRDefault="009B0962">
            <w:pPr>
              <w:pStyle w:val="P68B1DB1-Normal10"/>
              <w:spacing w:after="0" w:line="240" w:lineRule="auto"/>
              <w:jc w:val="center"/>
              <w:rPr>
                <w:rFonts w:eastAsia="Times New Roman" w:cs="Times New Roman"/>
                <w:bCs/>
                <w:noProof/>
                <w:szCs w:val="18"/>
              </w:rPr>
            </w:pPr>
            <w:r>
              <w:rPr>
                <w:noProof/>
              </w:rPr>
              <w:t>Etapă/Obiectiv</w:t>
            </w:r>
          </w:p>
        </w:tc>
        <w:tc>
          <w:tcPr>
            <w:tcW w:w="139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CA1953E" w14:textId="732AF9BB" w:rsidR="00C45D59" w:rsidRDefault="00892E7E">
            <w:pPr>
              <w:pStyle w:val="P68B1DB1-Normal10"/>
              <w:spacing w:after="0" w:line="240" w:lineRule="auto"/>
              <w:jc w:val="center"/>
              <w:rPr>
                <w:rFonts w:eastAsia="Times New Roman" w:cs="Times New Roman"/>
                <w:bCs/>
                <w:noProof/>
                <w:szCs w:val="18"/>
              </w:rPr>
            </w:pPr>
            <w:r>
              <w:rPr>
                <w:noProof/>
              </w:rPr>
              <w:t>Denumire</w:t>
            </w:r>
          </w:p>
        </w:tc>
        <w:tc>
          <w:tcPr>
            <w:tcW w:w="155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DE75BD8" w14:textId="77777777" w:rsidR="00C45D59" w:rsidRDefault="009B0962">
            <w:pPr>
              <w:pStyle w:val="P68B1DB1-Normal10"/>
              <w:spacing w:after="0" w:line="240" w:lineRule="auto"/>
              <w:jc w:val="center"/>
              <w:rPr>
                <w:rFonts w:eastAsia="Times New Roman" w:cs="Times New Roman"/>
                <w:bCs/>
                <w:noProof/>
                <w:szCs w:val="18"/>
              </w:rPr>
            </w:pPr>
            <w:r>
              <w:rPr>
                <w:noProof/>
              </w:rPr>
              <w:t>Indicatori calitativi (pentru obiectivele de etapă)</w:t>
            </w:r>
          </w:p>
        </w:tc>
        <w:tc>
          <w:tcPr>
            <w:tcW w:w="2436"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7FBB2BBB" w14:textId="77777777" w:rsidR="00C45D59" w:rsidRDefault="009B0962">
            <w:pPr>
              <w:pStyle w:val="P68B1DB1-Normal10"/>
              <w:spacing w:after="0" w:line="240" w:lineRule="auto"/>
              <w:jc w:val="center"/>
              <w:rPr>
                <w:rFonts w:eastAsia="Times New Roman" w:cs="Times New Roman"/>
                <w:bCs/>
                <w:noProof/>
                <w:szCs w:val="18"/>
              </w:rPr>
            </w:pPr>
            <w:r>
              <w:rPr>
                <w:noProof/>
              </w:rPr>
              <w:t>Indicatori cantitativi (pentru ținte)</w:t>
            </w:r>
          </w:p>
        </w:tc>
        <w:tc>
          <w:tcPr>
            <w:tcW w:w="1468"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4A89A2F6" w14:textId="77777777" w:rsidR="00C45D59" w:rsidRDefault="009B0962">
            <w:pPr>
              <w:pStyle w:val="P68B1DB1-Normal10"/>
              <w:spacing w:after="0" w:line="240" w:lineRule="auto"/>
              <w:jc w:val="center"/>
              <w:rPr>
                <w:rFonts w:eastAsia="Times New Roman" w:cs="Times New Roman"/>
                <w:bCs/>
                <w:noProof/>
                <w:szCs w:val="18"/>
              </w:rPr>
            </w:pPr>
            <w:r>
              <w:rPr>
                <w:noProof/>
              </w:rPr>
              <w:t>Calendar orientativ pentru finalizare</w:t>
            </w:r>
          </w:p>
        </w:tc>
        <w:tc>
          <w:tcPr>
            <w:tcW w:w="488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D3DA54A" w14:textId="77777777" w:rsidR="00C45D59" w:rsidRDefault="009B0962">
            <w:pPr>
              <w:pStyle w:val="P68B1DB1-Normal10"/>
              <w:spacing w:after="0" w:line="240" w:lineRule="auto"/>
              <w:jc w:val="center"/>
              <w:rPr>
                <w:rFonts w:eastAsia="Times New Roman" w:cs="Times New Roman"/>
                <w:bCs/>
                <w:noProof/>
                <w:szCs w:val="18"/>
              </w:rPr>
            </w:pPr>
            <w:r>
              <w:rPr>
                <w:noProof/>
              </w:rPr>
              <w:t>Descrierea fiecărui jalon și a fiecărei ținte</w:t>
            </w:r>
          </w:p>
        </w:tc>
      </w:tr>
      <w:tr w:rsidR="00C45D59" w14:paraId="410E6EE3" w14:textId="77777777">
        <w:trPr>
          <w:trHeight w:val="629"/>
          <w:tblHeader/>
          <w:jc w:val="center"/>
        </w:trPr>
        <w:tc>
          <w:tcPr>
            <w:tcW w:w="600" w:type="dxa"/>
            <w:gridSpan w:val="2"/>
            <w:vMerge/>
            <w:tcBorders>
              <w:top w:val="single" w:sz="4" w:space="0" w:color="auto"/>
              <w:left w:val="single" w:sz="4" w:space="0" w:color="auto"/>
              <w:bottom w:val="single" w:sz="4" w:space="0" w:color="auto"/>
              <w:right w:val="single" w:sz="4" w:space="0" w:color="auto"/>
            </w:tcBorders>
            <w:hideMark/>
          </w:tcPr>
          <w:p w14:paraId="10A18B30" w14:textId="77777777" w:rsidR="00C45D59" w:rsidRDefault="00C45D59">
            <w:pPr>
              <w:spacing w:after="0" w:line="240" w:lineRule="auto"/>
              <w:rPr>
                <w:rFonts w:ascii="Times New Roman" w:eastAsia="Times New Roman" w:hAnsi="Times New Roman" w:cs="Times New Roman"/>
                <w:b/>
                <w:bCs/>
                <w:noProof/>
                <w:sz w:val="18"/>
                <w:szCs w:val="18"/>
              </w:rPr>
            </w:pPr>
          </w:p>
        </w:tc>
        <w:tc>
          <w:tcPr>
            <w:tcW w:w="1968" w:type="dxa"/>
            <w:vMerge/>
            <w:tcBorders>
              <w:top w:val="single" w:sz="4" w:space="0" w:color="auto"/>
              <w:left w:val="single" w:sz="4" w:space="0" w:color="auto"/>
              <w:bottom w:val="single" w:sz="4" w:space="0" w:color="auto"/>
              <w:right w:val="single" w:sz="4" w:space="0" w:color="auto"/>
            </w:tcBorders>
            <w:hideMark/>
          </w:tcPr>
          <w:p w14:paraId="20656FFB" w14:textId="77777777" w:rsidR="00C45D59" w:rsidRDefault="00C45D59">
            <w:pPr>
              <w:spacing w:after="0" w:line="240" w:lineRule="auto"/>
              <w:rPr>
                <w:rFonts w:ascii="Times New Roman" w:eastAsia="Times New Roman" w:hAnsi="Times New Roman" w:cs="Times New Roman"/>
                <w:b/>
                <w:bCs/>
                <w:noProof/>
                <w:sz w:val="18"/>
                <w:szCs w:val="18"/>
              </w:rPr>
            </w:pPr>
          </w:p>
        </w:tc>
        <w:tc>
          <w:tcPr>
            <w:tcW w:w="1424" w:type="dxa"/>
            <w:vMerge/>
            <w:tcBorders>
              <w:top w:val="single" w:sz="4" w:space="0" w:color="auto"/>
              <w:left w:val="single" w:sz="4" w:space="0" w:color="auto"/>
              <w:bottom w:val="single" w:sz="4" w:space="0" w:color="auto"/>
              <w:right w:val="single" w:sz="4" w:space="0" w:color="auto"/>
            </w:tcBorders>
            <w:hideMark/>
          </w:tcPr>
          <w:p w14:paraId="6E85A4DB" w14:textId="77777777" w:rsidR="00C45D59" w:rsidRDefault="00C45D59">
            <w:pPr>
              <w:spacing w:after="0" w:line="240" w:lineRule="auto"/>
              <w:rPr>
                <w:rFonts w:ascii="Times New Roman" w:eastAsia="Times New Roman" w:hAnsi="Times New Roman" w:cs="Times New Roman"/>
                <w:b/>
                <w:bCs/>
                <w:noProof/>
                <w:sz w:val="18"/>
                <w:szCs w:val="18"/>
              </w:rPr>
            </w:pPr>
          </w:p>
        </w:tc>
        <w:tc>
          <w:tcPr>
            <w:tcW w:w="1397" w:type="dxa"/>
            <w:vMerge/>
            <w:tcBorders>
              <w:top w:val="single" w:sz="4" w:space="0" w:color="auto"/>
              <w:left w:val="single" w:sz="4" w:space="0" w:color="auto"/>
              <w:bottom w:val="single" w:sz="4" w:space="0" w:color="auto"/>
              <w:right w:val="single" w:sz="4" w:space="0" w:color="auto"/>
            </w:tcBorders>
            <w:hideMark/>
          </w:tcPr>
          <w:p w14:paraId="18125A00" w14:textId="77777777" w:rsidR="00C45D59" w:rsidRDefault="00C45D59">
            <w:pPr>
              <w:spacing w:after="0" w:line="240" w:lineRule="auto"/>
              <w:rPr>
                <w:rFonts w:ascii="Times New Roman" w:eastAsia="Times New Roman" w:hAnsi="Times New Roman" w:cs="Times New Roman"/>
                <w:b/>
                <w:bCs/>
                <w:noProof/>
                <w:sz w:val="18"/>
                <w:szCs w:val="18"/>
              </w:rPr>
            </w:pPr>
          </w:p>
        </w:tc>
        <w:tc>
          <w:tcPr>
            <w:tcW w:w="1552" w:type="dxa"/>
            <w:vMerge/>
            <w:tcBorders>
              <w:top w:val="single" w:sz="4" w:space="0" w:color="auto"/>
              <w:left w:val="single" w:sz="4" w:space="0" w:color="auto"/>
              <w:bottom w:val="single" w:sz="4" w:space="0" w:color="auto"/>
              <w:right w:val="single" w:sz="4" w:space="0" w:color="auto"/>
            </w:tcBorders>
            <w:hideMark/>
          </w:tcPr>
          <w:p w14:paraId="13136FF8" w14:textId="77777777" w:rsidR="00C45D59" w:rsidRDefault="00C45D59">
            <w:pPr>
              <w:spacing w:after="0" w:line="240" w:lineRule="auto"/>
              <w:rPr>
                <w:rFonts w:ascii="Times New Roman" w:eastAsia="Times New Roman" w:hAnsi="Times New Roman" w:cs="Times New Roman"/>
                <w:b/>
                <w:bCs/>
                <w:noProof/>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6BBB38E2" w14:textId="77777777" w:rsidR="00C45D59" w:rsidRDefault="009B0962">
            <w:pPr>
              <w:pStyle w:val="P68B1DB1-Normal10"/>
              <w:spacing w:after="0" w:line="240" w:lineRule="auto"/>
              <w:jc w:val="center"/>
              <w:rPr>
                <w:rFonts w:eastAsia="Times New Roman" w:cs="Times New Roman"/>
                <w:bCs/>
                <w:noProof/>
                <w:szCs w:val="18"/>
              </w:rPr>
            </w:pPr>
            <w:r>
              <w:rPr>
                <w:noProof/>
              </w:rPr>
              <w:t>Unitatea de măsură</w:t>
            </w:r>
          </w:p>
        </w:tc>
        <w:tc>
          <w:tcPr>
            <w:tcW w:w="857"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0882345C" w14:textId="77777777" w:rsidR="00C45D59" w:rsidRDefault="009B0962">
            <w:pPr>
              <w:pStyle w:val="P68B1DB1-Normal10"/>
              <w:spacing w:after="0" w:line="240" w:lineRule="auto"/>
              <w:jc w:val="center"/>
              <w:rPr>
                <w:rFonts w:eastAsia="Times New Roman" w:cs="Times New Roman"/>
                <w:bCs/>
                <w:noProof/>
                <w:szCs w:val="18"/>
              </w:rPr>
            </w:pPr>
            <w:r>
              <w:rPr>
                <w:noProof/>
              </w:rPr>
              <w:t>Situația de referință</w:t>
            </w:r>
          </w:p>
        </w:tc>
        <w:tc>
          <w:tcPr>
            <w:tcW w:w="587"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061F6373" w14:textId="77777777" w:rsidR="00C45D59" w:rsidRDefault="009B0962">
            <w:pPr>
              <w:pStyle w:val="P68B1DB1-Normal10"/>
              <w:spacing w:after="0" w:line="240" w:lineRule="auto"/>
              <w:jc w:val="center"/>
              <w:rPr>
                <w:rFonts w:eastAsia="Times New Roman" w:cs="Times New Roman"/>
                <w:bCs/>
                <w:noProof/>
                <w:szCs w:val="18"/>
              </w:rPr>
            </w:pPr>
            <w:r>
              <w:rPr>
                <w:noProof/>
              </w:rPr>
              <w:t>Obiectiv</w:t>
            </w:r>
          </w:p>
        </w:tc>
        <w:tc>
          <w:tcPr>
            <w:tcW w:w="846"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7D36E4D3" w14:textId="77777777" w:rsidR="00C45D59" w:rsidRDefault="009B0962">
            <w:pPr>
              <w:pStyle w:val="P68B1DB1-Normal10"/>
              <w:spacing w:after="0" w:line="240" w:lineRule="auto"/>
              <w:jc w:val="center"/>
              <w:rPr>
                <w:rFonts w:eastAsia="Times New Roman" w:cs="Times New Roman"/>
                <w:bCs/>
                <w:noProof/>
                <w:szCs w:val="18"/>
              </w:rPr>
            </w:pPr>
            <w:r>
              <w:rPr>
                <w:noProof/>
              </w:rPr>
              <w:t>Trimestru</w:t>
            </w:r>
          </w:p>
        </w:tc>
        <w:tc>
          <w:tcPr>
            <w:tcW w:w="62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3DF57FBE" w14:textId="77777777" w:rsidR="00C45D59" w:rsidRDefault="009B0962">
            <w:pPr>
              <w:pStyle w:val="P68B1DB1-Normal10"/>
              <w:spacing w:after="0" w:line="240" w:lineRule="auto"/>
              <w:jc w:val="center"/>
              <w:rPr>
                <w:rFonts w:eastAsia="Times New Roman" w:cs="Times New Roman"/>
                <w:bCs/>
                <w:noProof/>
                <w:szCs w:val="18"/>
              </w:rPr>
            </w:pPr>
            <w:r>
              <w:rPr>
                <w:noProof/>
              </w:rPr>
              <w:t>Anul</w:t>
            </w:r>
          </w:p>
        </w:tc>
        <w:tc>
          <w:tcPr>
            <w:tcW w:w="4885" w:type="dxa"/>
            <w:vMerge/>
            <w:tcBorders>
              <w:top w:val="single" w:sz="4" w:space="0" w:color="auto"/>
              <w:left w:val="single" w:sz="4" w:space="0" w:color="auto"/>
              <w:bottom w:val="single" w:sz="4" w:space="0" w:color="auto"/>
              <w:right w:val="single" w:sz="4" w:space="0" w:color="auto"/>
            </w:tcBorders>
            <w:hideMark/>
          </w:tcPr>
          <w:p w14:paraId="0E327711" w14:textId="77777777" w:rsidR="00C45D59" w:rsidRDefault="00C45D59">
            <w:pPr>
              <w:spacing w:after="0" w:line="240" w:lineRule="auto"/>
              <w:rPr>
                <w:rFonts w:ascii="Times New Roman" w:eastAsia="Times New Roman" w:hAnsi="Times New Roman" w:cs="Times New Roman"/>
                <w:b/>
                <w:bCs/>
                <w:noProof/>
                <w:sz w:val="18"/>
                <w:szCs w:val="18"/>
              </w:rPr>
            </w:pPr>
          </w:p>
        </w:tc>
      </w:tr>
      <w:tr w:rsidR="00C45D59" w14:paraId="12CC0C3F" w14:textId="77777777">
        <w:trPr>
          <w:trHeight w:val="309"/>
          <w:jc w:val="center"/>
        </w:trPr>
        <w:tc>
          <w:tcPr>
            <w:tcW w:w="592" w:type="dxa"/>
            <w:tcBorders>
              <w:top w:val="single" w:sz="4" w:space="0" w:color="auto"/>
              <w:left w:val="single" w:sz="4" w:space="0" w:color="auto"/>
              <w:bottom w:val="single" w:sz="4" w:space="0" w:color="auto"/>
              <w:right w:val="single" w:sz="4" w:space="0" w:color="auto"/>
            </w:tcBorders>
            <w:shd w:val="clear" w:color="auto" w:fill="C6EFCE"/>
            <w:noWrap/>
          </w:tcPr>
          <w:p w14:paraId="61C0DEA4" w14:textId="77777777" w:rsidR="00C45D59" w:rsidRDefault="009B0962">
            <w:pPr>
              <w:pStyle w:val="P68B1DB1-Normal12"/>
              <w:spacing w:after="0" w:line="240" w:lineRule="auto"/>
              <w:rPr>
                <w:rFonts w:eastAsia="Times New Roman"/>
                <w:noProof/>
              </w:rPr>
            </w:pPr>
            <w:r>
              <w:rPr>
                <w:noProof/>
              </w:rPr>
              <w:t>222</w:t>
            </w:r>
          </w:p>
        </w:tc>
        <w:tc>
          <w:tcPr>
            <w:tcW w:w="1976" w:type="dxa"/>
            <w:gridSpan w:val="2"/>
            <w:tcBorders>
              <w:top w:val="single" w:sz="4" w:space="0" w:color="auto"/>
              <w:left w:val="single" w:sz="4" w:space="0" w:color="auto"/>
              <w:bottom w:val="single" w:sz="4" w:space="0" w:color="auto"/>
              <w:right w:val="single" w:sz="4" w:space="0" w:color="auto"/>
            </w:tcBorders>
            <w:shd w:val="clear" w:color="auto" w:fill="C6EFCE"/>
            <w:noWrap/>
          </w:tcPr>
          <w:p w14:paraId="3F2A3429" w14:textId="77777777" w:rsidR="00C45D59" w:rsidRDefault="009B0962">
            <w:pPr>
              <w:pStyle w:val="P68B1DB1-Normal12"/>
              <w:spacing w:after="0" w:line="240" w:lineRule="auto"/>
              <w:rPr>
                <w:rFonts w:eastAsia="Times New Roman"/>
                <w:noProof/>
              </w:rPr>
            </w:pPr>
            <w:r>
              <w:rPr>
                <w:noProof/>
              </w:rPr>
              <w:t>14-4.3. Îmbunătățirea eficienței sistemului de justiție – 16292_Noi clădiri judiciare</w:t>
            </w:r>
          </w:p>
        </w:tc>
        <w:tc>
          <w:tcPr>
            <w:tcW w:w="1424" w:type="dxa"/>
            <w:tcBorders>
              <w:top w:val="single" w:sz="4" w:space="0" w:color="auto"/>
              <w:left w:val="single" w:sz="4" w:space="0" w:color="auto"/>
              <w:bottom w:val="single" w:sz="4" w:space="0" w:color="auto"/>
              <w:right w:val="single" w:sz="4" w:space="0" w:color="auto"/>
            </w:tcBorders>
            <w:shd w:val="clear" w:color="auto" w:fill="C6EFCE"/>
            <w:noWrap/>
          </w:tcPr>
          <w:p w14:paraId="511FE907" w14:textId="77777777" w:rsidR="00C45D59" w:rsidRDefault="009B0962">
            <w:pPr>
              <w:pStyle w:val="P68B1DB1-Normal12"/>
              <w:spacing w:after="0" w:line="240" w:lineRule="auto"/>
              <w:rPr>
                <w:rFonts w:eastAsia="Times New Roman"/>
                <w:noProof/>
              </w:rPr>
            </w:pPr>
            <w:r>
              <w:rPr>
                <w:noProof/>
              </w:rPr>
              <w:t>Etapă</w:t>
            </w:r>
          </w:p>
        </w:tc>
        <w:tc>
          <w:tcPr>
            <w:tcW w:w="1397" w:type="dxa"/>
            <w:tcBorders>
              <w:top w:val="single" w:sz="4" w:space="0" w:color="auto"/>
              <w:left w:val="single" w:sz="4" w:space="0" w:color="auto"/>
              <w:bottom w:val="single" w:sz="4" w:space="0" w:color="auto"/>
              <w:right w:val="single" w:sz="4" w:space="0" w:color="auto"/>
            </w:tcBorders>
            <w:shd w:val="clear" w:color="auto" w:fill="C6EFCE"/>
            <w:noWrap/>
          </w:tcPr>
          <w:p w14:paraId="503B8D1B" w14:textId="77777777" w:rsidR="00C45D59" w:rsidRDefault="009B0962">
            <w:pPr>
              <w:pStyle w:val="P68B1DB1-Normal12"/>
              <w:spacing w:after="0" w:line="240" w:lineRule="auto"/>
              <w:rPr>
                <w:rFonts w:eastAsia="Times New Roman"/>
                <w:noProof/>
              </w:rPr>
            </w:pPr>
            <w:r>
              <w:rPr>
                <w:noProof/>
              </w:rPr>
              <w:t>Identificare – Clădiri eligibile</w:t>
            </w:r>
          </w:p>
        </w:tc>
        <w:tc>
          <w:tcPr>
            <w:tcW w:w="1552" w:type="dxa"/>
            <w:tcBorders>
              <w:top w:val="single" w:sz="4" w:space="0" w:color="auto"/>
              <w:left w:val="single" w:sz="4" w:space="0" w:color="auto"/>
              <w:bottom w:val="single" w:sz="4" w:space="0" w:color="auto"/>
              <w:right w:val="single" w:sz="4" w:space="0" w:color="auto"/>
            </w:tcBorders>
            <w:shd w:val="clear" w:color="auto" w:fill="C6EFCE"/>
            <w:noWrap/>
          </w:tcPr>
          <w:p w14:paraId="17A11D4D" w14:textId="77777777" w:rsidR="00C45D59" w:rsidRDefault="009B0962">
            <w:pPr>
              <w:pStyle w:val="P68B1DB1-Normal12"/>
              <w:spacing w:after="0" w:line="240" w:lineRule="auto"/>
              <w:rPr>
                <w:rFonts w:eastAsia="Times New Roman"/>
                <w:noProof/>
              </w:rPr>
            </w:pPr>
            <w:r>
              <w:rPr>
                <w:noProof/>
              </w:rPr>
              <w:t xml:space="preserve">Completarea listei </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AEDDA4F"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57" w:type="dxa"/>
            <w:tcBorders>
              <w:top w:val="single" w:sz="4" w:space="0" w:color="auto"/>
              <w:left w:val="single" w:sz="4" w:space="0" w:color="auto"/>
              <w:bottom w:val="single" w:sz="4" w:space="0" w:color="auto"/>
              <w:right w:val="single" w:sz="4" w:space="0" w:color="auto"/>
            </w:tcBorders>
            <w:shd w:val="clear" w:color="auto" w:fill="C6EFCE"/>
            <w:noWrap/>
          </w:tcPr>
          <w:p w14:paraId="31DCB92E"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587" w:type="dxa"/>
            <w:tcBorders>
              <w:top w:val="single" w:sz="4" w:space="0" w:color="auto"/>
              <w:left w:val="single" w:sz="4" w:space="0" w:color="auto"/>
              <w:bottom w:val="single" w:sz="4" w:space="0" w:color="auto"/>
              <w:right w:val="single" w:sz="4" w:space="0" w:color="auto"/>
            </w:tcBorders>
            <w:shd w:val="clear" w:color="auto" w:fill="C6EFCE"/>
            <w:noWrap/>
          </w:tcPr>
          <w:p w14:paraId="7BB8E130"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7EA3F993" w14:textId="77777777" w:rsidR="00C45D59" w:rsidRDefault="009B0962">
            <w:pPr>
              <w:pStyle w:val="P68B1DB1-Normal12"/>
              <w:spacing w:after="0" w:line="240" w:lineRule="auto"/>
              <w:rPr>
                <w:rFonts w:eastAsia="Times New Roman"/>
                <w:noProof/>
              </w:rPr>
            </w:pPr>
            <w:r>
              <w:rPr>
                <w:noProof/>
              </w:rPr>
              <w:t>Î3</w:t>
            </w:r>
          </w:p>
        </w:tc>
        <w:tc>
          <w:tcPr>
            <w:tcW w:w="622" w:type="dxa"/>
            <w:tcBorders>
              <w:top w:val="single" w:sz="4" w:space="0" w:color="auto"/>
              <w:left w:val="single" w:sz="4" w:space="0" w:color="auto"/>
              <w:bottom w:val="single" w:sz="4" w:space="0" w:color="auto"/>
              <w:right w:val="single" w:sz="4" w:space="0" w:color="auto"/>
            </w:tcBorders>
            <w:shd w:val="clear" w:color="auto" w:fill="C6EFCE"/>
            <w:noWrap/>
          </w:tcPr>
          <w:p w14:paraId="73AA8871" w14:textId="77777777" w:rsidR="00C45D59" w:rsidRDefault="009B0962">
            <w:pPr>
              <w:pStyle w:val="P68B1DB1-Normal12"/>
              <w:spacing w:after="0" w:line="240" w:lineRule="auto"/>
              <w:rPr>
                <w:rFonts w:eastAsia="Times New Roman"/>
                <w:noProof/>
              </w:rPr>
            </w:pPr>
            <w:r>
              <w:rPr>
                <w:noProof/>
              </w:rPr>
              <w:t>2021</w:t>
            </w:r>
          </w:p>
        </w:tc>
        <w:tc>
          <w:tcPr>
            <w:tcW w:w="4885" w:type="dxa"/>
            <w:tcBorders>
              <w:top w:val="single" w:sz="4" w:space="0" w:color="auto"/>
              <w:left w:val="single" w:sz="4" w:space="0" w:color="auto"/>
              <w:bottom w:val="single" w:sz="4" w:space="0" w:color="auto"/>
              <w:right w:val="single" w:sz="4" w:space="0" w:color="auto"/>
            </w:tcBorders>
            <w:shd w:val="clear" w:color="auto" w:fill="C6EFCE"/>
            <w:noWrap/>
          </w:tcPr>
          <w:p w14:paraId="7041439F" w14:textId="77777777" w:rsidR="00C45D59" w:rsidRDefault="009B0962">
            <w:pPr>
              <w:pStyle w:val="P68B1DB1-Normal12"/>
              <w:spacing w:after="0" w:line="240" w:lineRule="auto"/>
              <w:rPr>
                <w:rFonts w:eastAsia="Times New Roman"/>
                <w:noProof/>
              </w:rPr>
            </w:pPr>
            <w:r>
              <w:rPr>
                <w:noProof/>
              </w:rPr>
              <w:t>Compilarea unei liste a clădirilor care nu sunt afectate de revizuirea hărții judiciare.</w:t>
            </w:r>
          </w:p>
        </w:tc>
      </w:tr>
      <w:tr w:rsidR="00C45D59" w14:paraId="20FDB882" w14:textId="77777777">
        <w:trPr>
          <w:trHeight w:val="309"/>
          <w:jc w:val="center"/>
        </w:trPr>
        <w:tc>
          <w:tcPr>
            <w:tcW w:w="592" w:type="dxa"/>
            <w:tcBorders>
              <w:top w:val="single" w:sz="4" w:space="0" w:color="auto"/>
              <w:left w:val="single" w:sz="4" w:space="0" w:color="auto"/>
              <w:bottom w:val="single" w:sz="4" w:space="0" w:color="auto"/>
              <w:right w:val="single" w:sz="4" w:space="0" w:color="auto"/>
            </w:tcBorders>
            <w:shd w:val="clear" w:color="auto" w:fill="C6EFCE"/>
            <w:noWrap/>
          </w:tcPr>
          <w:p w14:paraId="38FE8C80" w14:textId="77777777" w:rsidR="00C45D59" w:rsidRDefault="009B0962">
            <w:pPr>
              <w:pStyle w:val="P68B1DB1-Normal12"/>
              <w:spacing w:after="0" w:line="240" w:lineRule="auto"/>
              <w:rPr>
                <w:rFonts w:eastAsia="Times New Roman"/>
                <w:noProof/>
              </w:rPr>
            </w:pPr>
            <w:r>
              <w:rPr>
                <w:noProof/>
              </w:rPr>
              <w:t>223</w:t>
            </w:r>
          </w:p>
        </w:tc>
        <w:tc>
          <w:tcPr>
            <w:tcW w:w="1976" w:type="dxa"/>
            <w:gridSpan w:val="2"/>
            <w:tcBorders>
              <w:top w:val="single" w:sz="4" w:space="0" w:color="auto"/>
              <w:left w:val="nil"/>
              <w:bottom w:val="single" w:sz="4" w:space="0" w:color="auto"/>
              <w:right w:val="single" w:sz="4" w:space="0" w:color="auto"/>
            </w:tcBorders>
            <w:shd w:val="clear" w:color="auto" w:fill="C6EFCE"/>
            <w:noWrap/>
          </w:tcPr>
          <w:p w14:paraId="1860EC82" w14:textId="77777777" w:rsidR="00C45D59" w:rsidRDefault="009B0962">
            <w:pPr>
              <w:pStyle w:val="P68B1DB1-Normal12"/>
              <w:spacing w:after="0" w:line="240" w:lineRule="auto"/>
              <w:rPr>
                <w:rFonts w:eastAsia="Times New Roman"/>
                <w:noProof/>
              </w:rPr>
            </w:pPr>
            <w:r>
              <w:rPr>
                <w:noProof/>
              </w:rPr>
              <w:t xml:space="preserve">14-4.3. Îmbunătățirea eficienței sistemului judiciar — </w:t>
            </w:r>
          </w:p>
          <w:p w14:paraId="595E012E" w14:textId="77777777" w:rsidR="00C45D59" w:rsidRDefault="009B0962">
            <w:pPr>
              <w:pStyle w:val="P68B1DB1-Normal12"/>
              <w:spacing w:after="0" w:line="240" w:lineRule="auto"/>
              <w:rPr>
                <w:rFonts w:eastAsia="Times New Roman"/>
                <w:noProof/>
              </w:rPr>
            </w:pPr>
            <w:r>
              <w:rPr>
                <w:noProof/>
              </w:rPr>
              <w:t>16575 accelerarea administrării justiției</w:t>
            </w:r>
          </w:p>
        </w:tc>
        <w:tc>
          <w:tcPr>
            <w:tcW w:w="1424" w:type="dxa"/>
            <w:tcBorders>
              <w:top w:val="single" w:sz="4" w:space="0" w:color="auto"/>
              <w:left w:val="nil"/>
              <w:bottom w:val="single" w:sz="4" w:space="0" w:color="auto"/>
              <w:right w:val="single" w:sz="4" w:space="0" w:color="auto"/>
            </w:tcBorders>
            <w:shd w:val="clear" w:color="auto" w:fill="C6EFCE"/>
            <w:noWrap/>
          </w:tcPr>
          <w:p w14:paraId="06602645" w14:textId="77777777" w:rsidR="00C45D59" w:rsidRDefault="009B0962">
            <w:pPr>
              <w:pStyle w:val="P68B1DB1-Normal12"/>
              <w:spacing w:after="0" w:line="240" w:lineRule="auto"/>
              <w:rPr>
                <w:rFonts w:eastAsia="Times New Roman"/>
                <w:noProof/>
              </w:rPr>
            </w:pPr>
            <w:r>
              <w:rPr>
                <w:noProof/>
              </w:rPr>
              <w:t>Etapă</w:t>
            </w:r>
          </w:p>
        </w:tc>
        <w:tc>
          <w:tcPr>
            <w:tcW w:w="1397" w:type="dxa"/>
            <w:tcBorders>
              <w:top w:val="single" w:sz="4" w:space="0" w:color="auto"/>
              <w:left w:val="nil"/>
              <w:bottom w:val="single" w:sz="4" w:space="0" w:color="auto"/>
              <w:right w:val="single" w:sz="4" w:space="0" w:color="auto"/>
            </w:tcBorders>
            <w:shd w:val="clear" w:color="auto" w:fill="C6EFCE"/>
            <w:noWrap/>
          </w:tcPr>
          <w:p w14:paraId="31A8CF67" w14:textId="77777777" w:rsidR="00C45D59" w:rsidRDefault="009B0962">
            <w:pPr>
              <w:pStyle w:val="P68B1DB1-Normal12"/>
              <w:spacing w:after="0" w:line="240" w:lineRule="auto"/>
              <w:rPr>
                <w:rFonts w:eastAsia="Times New Roman"/>
                <w:noProof/>
              </w:rPr>
            </w:pPr>
            <w:r>
              <w:rPr>
                <w:noProof/>
              </w:rPr>
              <w:t>Asistență tehnică – Instrumentul de performanță judiciară</w:t>
            </w:r>
          </w:p>
        </w:tc>
        <w:tc>
          <w:tcPr>
            <w:tcW w:w="1552" w:type="dxa"/>
            <w:tcBorders>
              <w:top w:val="single" w:sz="4" w:space="0" w:color="auto"/>
              <w:left w:val="nil"/>
              <w:bottom w:val="single" w:sz="4" w:space="0" w:color="auto"/>
              <w:right w:val="single" w:sz="4" w:space="0" w:color="auto"/>
            </w:tcBorders>
            <w:shd w:val="clear" w:color="auto" w:fill="C6EFCE"/>
            <w:noWrap/>
          </w:tcPr>
          <w:p w14:paraId="34296DF2" w14:textId="77777777" w:rsidR="00C45D59" w:rsidRDefault="009B0962">
            <w:pPr>
              <w:pStyle w:val="P68B1DB1-Normal12"/>
              <w:spacing w:after="0" w:line="240" w:lineRule="auto"/>
              <w:rPr>
                <w:rFonts w:eastAsia="Times New Roman"/>
                <w:noProof/>
              </w:rPr>
            </w:pPr>
            <w:r>
              <w:rPr>
                <w:noProof/>
              </w:rPr>
              <w:t>Atribuirea licitației pentru asistență tehnică</w:t>
            </w:r>
          </w:p>
        </w:tc>
        <w:tc>
          <w:tcPr>
            <w:tcW w:w="992" w:type="dxa"/>
            <w:tcBorders>
              <w:top w:val="single" w:sz="4" w:space="0" w:color="auto"/>
              <w:left w:val="nil"/>
              <w:bottom w:val="single" w:sz="4" w:space="0" w:color="auto"/>
              <w:right w:val="single" w:sz="4" w:space="0" w:color="auto"/>
            </w:tcBorders>
            <w:shd w:val="clear" w:color="auto" w:fill="C6EFCE"/>
            <w:noWrap/>
          </w:tcPr>
          <w:p w14:paraId="346BBA5A"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57" w:type="dxa"/>
            <w:tcBorders>
              <w:top w:val="single" w:sz="4" w:space="0" w:color="auto"/>
              <w:left w:val="nil"/>
              <w:bottom w:val="single" w:sz="4" w:space="0" w:color="auto"/>
              <w:right w:val="single" w:sz="4" w:space="0" w:color="auto"/>
            </w:tcBorders>
            <w:shd w:val="clear" w:color="auto" w:fill="C6EFCE"/>
            <w:noWrap/>
          </w:tcPr>
          <w:p w14:paraId="23D8D594"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587" w:type="dxa"/>
            <w:tcBorders>
              <w:top w:val="single" w:sz="4" w:space="0" w:color="auto"/>
              <w:left w:val="nil"/>
              <w:bottom w:val="single" w:sz="4" w:space="0" w:color="auto"/>
              <w:right w:val="single" w:sz="4" w:space="0" w:color="auto"/>
            </w:tcBorders>
            <w:shd w:val="clear" w:color="auto" w:fill="C6EFCE"/>
            <w:noWrap/>
          </w:tcPr>
          <w:p w14:paraId="50866229"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46" w:type="dxa"/>
            <w:tcBorders>
              <w:top w:val="single" w:sz="4" w:space="0" w:color="auto"/>
              <w:left w:val="nil"/>
              <w:bottom w:val="single" w:sz="4" w:space="0" w:color="auto"/>
              <w:right w:val="single" w:sz="4" w:space="0" w:color="auto"/>
            </w:tcBorders>
            <w:shd w:val="clear" w:color="auto" w:fill="C6EFCE"/>
            <w:noWrap/>
          </w:tcPr>
          <w:p w14:paraId="4E709F1A" w14:textId="77777777" w:rsidR="00C45D59" w:rsidRDefault="009B0962">
            <w:pPr>
              <w:pStyle w:val="P68B1DB1-Normal12"/>
              <w:spacing w:after="0" w:line="240" w:lineRule="auto"/>
              <w:rPr>
                <w:rFonts w:eastAsia="Times New Roman"/>
                <w:noProof/>
              </w:rPr>
            </w:pPr>
            <w:r>
              <w:rPr>
                <w:noProof/>
              </w:rPr>
              <w:t>Î3</w:t>
            </w:r>
          </w:p>
        </w:tc>
        <w:tc>
          <w:tcPr>
            <w:tcW w:w="622" w:type="dxa"/>
            <w:tcBorders>
              <w:top w:val="single" w:sz="4" w:space="0" w:color="auto"/>
              <w:left w:val="nil"/>
              <w:bottom w:val="single" w:sz="4" w:space="0" w:color="auto"/>
              <w:right w:val="single" w:sz="4" w:space="0" w:color="auto"/>
            </w:tcBorders>
            <w:shd w:val="clear" w:color="auto" w:fill="C6EFCE"/>
            <w:noWrap/>
          </w:tcPr>
          <w:p w14:paraId="51948AFA" w14:textId="77777777" w:rsidR="00C45D59" w:rsidRDefault="009B0962">
            <w:pPr>
              <w:pStyle w:val="P68B1DB1-Normal12"/>
              <w:spacing w:after="0" w:line="240" w:lineRule="auto"/>
              <w:rPr>
                <w:rFonts w:eastAsia="Times New Roman"/>
                <w:noProof/>
              </w:rPr>
            </w:pPr>
            <w:r>
              <w:rPr>
                <w:noProof/>
              </w:rPr>
              <w:t>2022</w:t>
            </w:r>
          </w:p>
        </w:tc>
        <w:tc>
          <w:tcPr>
            <w:tcW w:w="4885" w:type="dxa"/>
            <w:tcBorders>
              <w:top w:val="single" w:sz="4" w:space="0" w:color="auto"/>
              <w:left w:val="nil"/>
              <w:bottom w:val="single" w:sz="4" w:space="0" w:color="auto"/>
              <w:right w:val="single" w:sz="4" w:space="0" w:color="auto"/>
            </w:tcBorders>
            <w:shd w:val="clear" w:color="auto" w:fill="C6EFCE"/>
            <w:noWrap/>
          </w:tcPr>
          <w:p w14:paraId="4AA46D30" w14:textId="77777777" w:rsidR="00C45D59" w:rsidRDefault="009B0962">
            <w:pPr>
              <w:pStyle w:val="P68B1DB1-Normal12"/>
              <w:spacing w:after="0" w:line="240" w:lineRule="auto"/>
              <w:rPr>
                <w:rFonts w:eastAsia="Times New Roman"/>
                <w:noProof/>
              </w:rPr>
            </w:pPr>
            <w:r>
              <w:rPr>
                <w:noProof/>
              </w:rPr>
              <w:t>Atribuirea licitației pentru asistență tehnică pentru dezvoltarea instrumentului de performanță judiciară pe baza unor obiective strategice, introducerea unor indicatori-cheie de performanță obiectivi (timpul necesar pentru îndeplinirea unei sarcini, performanța individuală în ceea ce privește timpul, comunicarea, motivația etc.) pentru fiecare departament și/sau categorie de funcționari și furnizarea de date exacte și obiective privind alocarea primelor; primele se plătesc în primul trimestru de după sfârșitul anului în cauză, pe baza performanțelor din anul respectiv. Instrumentul este temporar și în deplină concordanță cu grila salarială unificată (Legea nr. 4354/2015), fără a stabili nicio excepție pentru eliminarea întârzierilor în soluționarea cauzelor.</w:t>
            </w:r>
          </w:p>
        </w:tc>
      </w:tr>
      <w:tr w:rsidR="00C45D59" w14:paraId="5654155B" w14:textId="77777777">
        <w:tblPrEx>
          <w:tblLook w:val="0400" w:firstRow="0" w:lastRow="0" w:firstColumn="0" w:lastColumn="0" w:noHBand="0" w:noVBand="1"/>
        </w:tblPrEx>
        <w:trPr>
          <w:trHeight w:val="309"/>
          <w:jc w:val="center"/>
        </w:trPr>
        <w:tc>
          <w:tcPr>
            <w:tcW w:w="5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409C268C" w14:textId="77777777" w:rsidR="00C45D59" w:rsidRDefault="009B0962">
            <w:pPr>
              <w:pStyle w:val="P68B1DB1-Normal12"/>
              <w:spacing w:after="0" w:line="240" w:lineRule="auto"/>
              <w:rPr>
                <w:noProof/>
              </w:rPr>
            </w:pPr>
            <w:r>
              <w:rPr>
                <w:noProof/>
              </w:rPr>
              <w:t>224</w:t>
            </w:r>
          </w:p>
        </w:tc>
        <w:tc>
          <w:tcPr>
            <w:tcW w:w="1976" w:type="dxa"/>
            <w:gridSpan w:val="2"/>
            <w:tcBorders>
              <w:top w:val="single" w:sz="4" w:space="0" w:color="000000" w:themeColor="text1"/>
              <w:left w:val="nil"/>
              <w:bottom w:val="single" w:sz="4" w:space="0" w:color="000000" w:themeColor="text1"/>
              <w:right w:val="single" w:sz="4" w:space="0" w:color="000000" w:themeColor="text1"/>
            </w:tcBorders>
            <w:shd w:val="clear" w:color="auto" w:fill="C6EFCE"/>
          </w:tcPr>
          <w:p w14:paraId="417FA219" w14:textId="77777777" w:rsidR="00C45D59" w:rsidRDefault="009B0962">
            <w:pPr>
              <w:pStyle w:val="P68B1DB1-Normal12"/>
              <w:spacing w:after="0" w:line="240" w:lineRule="auto"/>
              <w:rPr>
                <w:noProof/>
              </w:rPr>
            </w:pPr>
            <w:r>
              <w:rPr>
                <w:noProof/>
              </w:rPr>
              <w:t>14-4.3. Îmbunătățirea eficienței sistemului de justiție – 16733_Competențe și competențe digitale pentru judecători și angajații din sistemul judiciar (personalul din justiție)</w:t>
            </w:r>
          </w:p>
        </w:tc>
        <w:tc>
          <w:tcPr>
            <w:tcW w:w="1424" w:type="dxa"/>
            <w:tcBorders>
              <w:top w:val="single" w:sz="4" w:space="0" w:color="000000" w:themeColor="text1"/>
              <w:left w:val="nil"/>
              <w:bottom w:val="single" w:sz="4" w:space="0" w:color="000000" w:themeColor="text1"/>
              <w:right w:val="single" w:sz="4" w:space="0" w:color="000000" w:themeColor="text1"/>
            </w:tcBorders>
            <w:shd w:val="clear" w:color="auto" w:fill="C6EFCE"/>
          </w:tcPr>
          <w:p w14:paraId="587A7FBC" w14:textId="77777777" w:rsidR="00C45D59" w:rsidRDefault="009B0962">
            <w:pPr>
              <w:pStyle w:val="P68B1DB1-Normal12"/>
              <w:spacing w:after="0" w:line="240" w:lineRule="auto"/>
              <w:rPr>
                <w:noProof/>
              </w:rPr>
            </w:pPr>
            <w:r>
              <w:rPr>
                <w:noProof/>
              </w:rPr>
              <w:t>Țintă</w:t>
            </w:r>
          </w:p>
        </w:tc>
        <w:tc>
          <w:tcPr>
            <w:tcW w:w="1397" w:type="dxa"/>
            <w:tcBorders>
              <w:top w:val="single" w:sz="4" w:space="0" w:color="000000" w:themeColor="text1"/>
              <w:left w:val="nil"/>
              <w:bottom w:val="single" w:sz="4" w:space="0" w:color="000000" w:themeColor="text1"/>
              <w:right w:val="single" w:sz="4" w:space="0" w:color="000000" w:themeColor="text1"/>
            </w:tcBorders>
            <w:shd w:val="clear" w:color="auto" w:fill="C6EFCE"/>
          </w:tcPr>
          <w:p w14:paraId="6E83234A" w14:textId="77777777" w:rsidR="00C45D59" w:rsidRDefault="009B0962">
            <w:pPr>
              <w:pStyle w:val="P68B1DB1-Normal12"/>
              <w:spacing w:after="0" w:line="240" w:lineRule="auto"/>
              <w:rPr>
                <w:noProof/>
              </w:rPr>
            </w:pPr>
            <w:r>
              <w:rPr>
                <w:noProof/>
              </w:rPr>
              <w:t>Formare – judecători și grefieri</w:t>
            </w:r>
          </w:p>
        </w:tc>
        <w:tc>
          <w:tcPr>
            <w:tcW w:w="1552" w:type="dxa"/>
            <w:tcBorders>
              <w:top w:val="single" w:sz="4" w:space="0" w:color="000000" w:themeColor="text1"/>
              <w:left w:val="nil"/>
              <w:bottom w:val="single" w:sz="4" w:space="0" w:color="000000" w:themeColor="text1"/>
              <w:right w:val="single" w:sz="4" w:space="0" w:color="000000" w:themeColor="text1"/>
            </w:tcBorders>
            <w:shd w:val="clear" w:color="auto" w:fill="C6EFCE"/>
          </w:tcPr>
          <w:p w14:paraId="37EDBF7A" w14:textId="77777777" w:rsidR="00C45D59" w:rsidRDefault="00C45D59">
            <w:pPr>
              <w:spacing w:after="0" w:line="240" w:lineRule="auto"/>
              <w:rPr>
                <w:rFonts w:ascii="Times New Roman" w:hAnsi="Times New Roman" w:cs="Times New Roman"/>
                <w:noProof/>
                <w:color w:val="006100"/>
                <w:sz w:val="18"/>
                <w:szCs w:val="18"/>
              </w:rPr>
            </w:pPr>
          </w:p>
        </w:tc>
        <w:tc>
          <w:tcPr>
            <w:tcW w:w="992" w:type="dxa"/>
            <w:tcBorders>
              <w:top w:val="single" w:sz="4" w:space="0" w:color="000000" w:themeColor="text1"/>
              <w:left w:val="nil"/>
              <w:bottom w:val="single" w:sz="4" w:space="0" w:color="000000" w:themeColor="text1"/>
              <w:right w:val="single" w:sz="4" w:space="0" w:color="000000" w:themeColor="text1"/>
            </w:tcBorders>
            <w:shd w:val="clear" w:color="auto" w:fill="C6EFCE"/>
          </w:tcPr>
          <w:p w14:paraId="36D76CE2" w14:textId="77777777" w:rsidR="00C45D59" w:rsidRDefault="009B0962">
            <w:pPr>
              <w:pStyle w:val="P68B1DB1-Normal12"/>
              <w:spacing w:after="0" w:line="240" w:lineRule="auto"/>
              <w:rPr>
                <w:noProof/>
              </w:rPr>
            </w:pPr>
            <w:r>
              <w:rPr>
                <w:noProof/>
              </w:rPr>
              <w:t>Numărul de judecători înscriși în școala națională de judecători</w:t>
            </w:r>
          </w:p>
        </w:tc>
        <w:tc>
          <w:tcPr>
            <w:tcW w:w="857" w:type="dxa"/>
            <w:tcBorders>
              <w:top w:val="single" w:sz="4" w:space="0" w:color="000000" w:themeColor="text1"/>
              <w:left w:val="nil"/>
              <w:bottom w:val="single" w:sz="4" w:space="0" w:color="000000" w:themeColor="text1"/>
              <w:right w:val="single" w:sz="4" w:space="0" w:color="000000" w:themeColor="text1"/>
            </w:tcBorders>
            <w:shd w:val="clear" w:color="auto" w:fill="C6EFCE"/>
          </w:tcPr>
          <w:p w14:paraId="0178F179" w14:textId="77777777" w:rsidR="00C45D59" w:rsidRDefault="009B0962">
            <w:pPr>
              <w:pStyle w:val="P68B1DB1-Normal12"/>
              <w:spacing w:after="0" w:line="240" w:lineRule="auto"/>
              <w:rPr>
                <w:noProof/>
              </w:rPr>
            </w:pPr>
            <w:r>
              <w:rPr>
                <w:noProof/>
              </w:rPr>
              <w:t>0</w:t>
            </w:r>
          </w:p>
        </w:tc>
        <w:tc>
          <w:tcPr>
            <w:tcW w:w="587" w:type="dxa"/>
            <w:tcBorders>
              <w:top w:val="single" w:sz="4" w:space="0" w:color="000000" w:themeColor="text1"/>
              <w:left w:val="nil"/>
              <w:bottom w:val="single" w:sz="4" w:space="0" w:color="000000" w:themeColor="text1"/>
              <w:right w:val="single" w:sz="4" w:space="0" w:color="000000" w:themeColor="text1"/>
            </w:tcBorders>
            <w:shd w:val="clear" w:color="auto" w:fill="C6EFCE"/>
          </w:tcPr>
          <w:p w14:paraId="17D45A7E" w14:textId="77777777" w:rsidR="00C45D59" w:rsidRDefault="009B0962">
            <w:pPr>
              <w:pStyle w:val="P68B1DB1-Normal12"/>
              <w:spacing w:after="0" w:line="240" w:lineRule="auto"/>
              <w:rPr>
                <w:noProof/>
              </w:rPr>
            </w:pPr>
            <w:r>
              <w:rPr>
                <w:noProof/>
              </w:rPr>
              <w:t>10</w:t>
            </w:r>
          </w:p>
        </w:tc>
        <w:tc>
          <w:tcPr>
            <w:tcW w:w="846" w:type="dxa"/>
            <w:tcBorders>
              <w:top w:val="single" w:sz="4" w:space="0" w:color="000000" w:themeColor="text1"/>
              <w:left w:val="nil"/>
              <w:bottom w:val="single" w:sz="4" w:space="0" w:color="000000" w:themeColor="text1"/>
              <w:right w:val="single" w:sz="4" w:space="0" w:color="000000" w:themeColor="text1"/>
            </w:tcBorders>
            <w:shd w:val="clear" w:color="auto" w:fill="C6EFCE"/>
          </w:tcPr>
          <w:p w14:paraId="48A05BB5" w14:textId="77777777" w:rsidR="00C45D59" w:rsidRDefault="009B0962">
            <w:pPr>
              <w:pStyle w:val="P68B1DB1-Normal12"/>
              <w:spacing w:after="0" w:line="240" w:lineRule="auto"/>
              <w:rPr>
                <w:noProof/>
              </w:rPr>
            </w:pPr>
            <w:r>
              <w:rPr>
                <w:noProof/>
              </w:rPr>
              <w:t>Î1</w:t>
            </w:r>
          </w:p>
        </w:tc>
        <w:tc>
          <w:tcPr>
            <w:tcW w:w="622" w:type="dxa"/>
            <w:tcBorders>
              <w:top w:val="single" w:sz="4" w:space="0" w:color="000000" w:themeColor="text1"/>
              <w:left w:val="nil"/>
              <w:bottom w:val="single" w:sz="4" w:space="0" w:color="000000" w:themeColor="text1"/>
              <w:right w:val="single" w:sz="4" w:space="0" w:color="000000" w:themeColor="text1"/>
            </w:tcBorders>
            <w:shd w:val="clear" w:color="auto" w:fill="C6EFCE"/>
          </w:tcPr>
          <w:p w14:paraId="4AEAFC1E" w14:textId="77777777" w:rsidR="00C45D59" w:rsidRDefault="009B0962">
            <w:pPr>
              <w:pStyle w:val="P68B1DB1-Normal12"/>
              <w:spacing w:after="0" w:line="240" w:lineRule="auto"/>
              <w:rPr>
                <w:noProof/>
              </w:rPr>
            </w:pPr>
            <w:r>
              <w:rPr>
                <w:noProof/>
              </w:rPr>
              <w:t>2022</w:t>
            </w:r>
          </w:p>
        </w:tc>
        <w:tc>
          <w:tcPr>
            <w:tcW w:w="4885" w:type="dxa"/>
            <w:tcBorders>
              <w:top w:val="single" w:sz="4" w:space="0" w:color="000000" w:themeColor="text1"/>
              <w:left w:val="nil"/>
              <w:bottom w:val="single" w:sz="4" w:space="0" w:color="000000" w:themeColor="text1"/>
              <w:right w:val="single" w:sz="4" w:space="0" w:color="000000" w:themeColor="text1"/>
            </w:tcBorders>
            <w:shd w:val="clear" w:color="auto" w:fill="C6EFCE"/>
          </w:tcPr>
          <w:p w14:paraId="33D6E676" w14:textId="77777777" w:rsidR="00C45D59" w:rsidRDefault="009B0962">
            <w:pPr>
              <w:pStyle w:val="P68B1DB1-Normal12"/>
              <w:spacing w:after="0" w:line="240" w:lineRule="auto"/>
              <w:rPr>
                <w:noProof/>
              </w:rPr>
            </w:pPr>
            <w:r>
              <w:rPr>
                <w:noProof/>
              </w:rPr>
              <w:t xml:space="preserve">10 magistrați înscriși la Școala Națională de Magistratură </w:t>
            </w:r>
          </w:p>
        </w:tc>
      </w:tr>
      <w:tr w:rsidR="00C45D59" w14:paraId="7A9A8A0C" w14:textId="77777777">
        <w:trPr>
          <w:trHeight w:val="309"/>
          <w:jc w:val="center"/>
        </w:trPr>
        <w:tc>
          <w:tcPr>
            <w:tcW w:w="592" w:type="dxa"/>
            <w:tcBorders>
              <w:top w:val="nil"/>
              <w:left w:val="single" w:sz="4" w:space="0" w:color="auto"/>
              <w:bottom w:val="single" w:sz="4" w:space="0" w:color="auto"/>
              <w:right w:val="single" w:sz="4" w:space="0" w:color="auto"/>
            </w:tcBorders>
            <w:shd w:val="clear" w:color="auto" w:fill="C6EFCE"/>
            <w:noWrap/>
          </w:tcPr>
          <w:p w14:paraId="72C431C0" w14:textId="77777777" w:rsidR="00C45D59" w:rsidRDefault="009B0962">
            <w:pPr>
              <w:pStyle w:val="P68B1DB1-Normal12"/>
              <w:spacing w:after="0" w:line="240" w:lineRule="auto"/>
              <w:rPr>
                <w:rFonts w:eastAsia="Times New Roman"/>
                <w:noProof/>
              </w:rPr>
            </w:pPr>
            <w:r>
              <w:rPr>
                <w:noProof/>
              </w:rPr>
              <w:t>225</w:t>
            </w:r>
          </w:p>
        </w:tc>
        <w:tc>
          <w:tcPr>
            <w:tcW w:w="1976" w:type="dxa"/>
            <w:gridSpan w:val="2"/>
            <w:tcBorders>
              <w:top w:val="nil"/>
              <w:left w:val="nil"/>
              <w:bottom w:val="single" w:sz="4" w:space="0" w:color="auto"/>
              <w:right w:val="single" w:sz="4" w:space="0" w:color="auto"/>
            </w:tcBorders>
            <w:shd w:val="clear" w:color="auto" w:fill="C6EFCE"/>
            <w:noWrap/>
          </w:tcPr>
          <w:p w14:paraId="6BB58FF4" w14:textId="77777777" w:rsidR="00C45D59" w:rsidRDefault="009B0962">
            <w:pPr>
              <w:pStyle w:val="P68B1DB1-Normal12"/>
              <w:spacing w:after="0" w:line="240" w:lineRule="auto"/>
              <w:rPr>
                <w:rFonts w:eastAsia="Times New Roman"/>
                <w:noProof/>
              </w:rPr>
            </w:pPr>
            <w:r>
              <w:rPr>
                <w:noProof/>
              </w:rPr>
              <w:t>14-4.3. Îmbunătățirea eficienței sistemului de justiție – 16575 Accelerarea administrării justiției</w:t>
            </w:r>
          </w:p>
        </w:tc>
        <w:tc>
          <w:tcPr>
            <w:tcW w:w="1424" w:type="dxa"/>
            <w:tcBorders>
              <w:top w:val="nil"/>
              <w:left w:val="nil"/>
              <w:bottom w:val="single" w:sz="4" w:space="0" w:color="auto"/>
              <w:right w:val="single" w:sz="4" w:space="0" w:color="auto"/>
            </w:tcBorders>
            <w:shd w:val="clear" w:color="auto" w:fill="C6EFCE"/>
            <w:noWrap/>
          </w:tcPr>
          <w:p w14:paraId="2F607190" w14:textId="77777777" w:rsidR="00C45D59" w:rsidRDefault="009B0962">
            <w:pPr>
              <w:pStyle w:val="P68B1DB1-Normal12"/>
              <w:spacing w:after="0" w:line="240" w:lineRule="auto"/>
              <w:rPr>
                <w:rFonts w:eastAsia="Times New Roman"/>
                <w:noProof/>
              </w:rPr>
            </w:pPr>
            <w:r>
              <w:rPr>
                <w:noProof/>
              </w:rPr>
              <w:t>Etapă</w:t>
            </w:r>
          </w:p>
        </w:tc>
        <w:tc>
          <w:tcPr>
            <w:tcW w:w="1397" w:type="dxa"/>
            <w:tcBorders>
              <w:top w:val="nil"/>
              <w:left w:val="nil"/>
              <w:bottom w:val="single" w:sz="4" w:space="0" w:color="auto"/>
              <w:right w:val="single" w:sz="4" w:space="0" w:color="auto"/>
            </w:tcBorders>
            <w:shd w:val="clear" w:color="auto" w:fill="C6EFCE"/>
            <w:noWrap/>
          </w:tcPr>
          <w:p w14:paraId="21F166C6" w14:textId="77777777" w:rsidR="00C45D59" w:rsidRDefault="009B0962">
            <w:pPr>
              <w:pStyle w:val="P68B1DB1-Normal12"/>
              <w:spacing w:after="0" w:line="240" w:lineRule="auto"/>
              <w:rPr>
                <w:rFonts w:eastAsia="Times New Roman"/>
                <w:noProof/>
              </w:rPr>
            </w:pPr>
            <w:r>
              <w:rPr>
                <w:noProof/>
              </w:rPr>
              <w:t xml:space="preserve">Poliția judiciară – legislație secundară </w:t>
            </w:r>
          </w:p>
        </w:tc>
        <w:tc>
          <w:tcPr>
            <w:tcW w:w="1552" w:type="dxa"/>
            <w:tcBorders>
              <w:top w:val="nil"/>
              <w:left w:val="nil"/>
              <w:bottom w:val="single" w:sz="4" w:space="0" w:color="auto"/>
              <w:right w:val="single" w:sz="4" w:space="0" w:color="auto"/>
            </w:tcBorders>
            <w:shd w:val="clear" w:color="auto" w:fill="C6EFCE"/>
            <w:noWrap/>
          </w:tcPr>
          <w:p w14:paraId="45007C04" w14:textId="77777777" w:rsidR="00C45D59" w:rsidRDefault="009B0962">
            <w:pPr>
              <w:pStyle w:val="P68B1DB1-Normal12"/>
              <w:spacing w:after="0" w:line="240" w:lineRule="auto"/>
              <w:rPr>
                <w:rFonts w:eastAsia="Times New Roman"/>
                <w:noProof/>
              </w:rPr>
            </w:pPr>
            <w:r>
              <w:rPr>
                <w:noProof/>
              </w:rPr>
              <w:t>Intrarea în vigoare a legislației</w:t>
            </w:r>
          </w:p>
        </w:tc>
        <w:tc>
          <w:tcPr>
            <w:tcW w:w="992" w:type="dxa"/>
            <w:tcBorders>
              <w:top w:val="nil"/>
              <w:left w:val="nil"/>
              <w:bottom w:val="single" w:sz="4" w:space="0" w:color="auto"/>
              <w:right w:val="single" w:sz="4" w:space="0" w:color="auto"/>
            </w:tcBorders>
            <w:shd w:val="clear" w:color="auto" w:fill="C6EFCE"/>
            <w:noWrap/>
          </w:tcPr>
          <w:p w14:paraId="3EA2873C"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57" w:type="dxa"/>
            <w:tcBorders>
              <w:top w:val="nil"/>
              <w:left w:val="nil"/>
              <w:bottom w:val="single" w:sz="4" w:space="0" w:color="auto"/>
              <w:right w:val="single" w:sz="4" w:space="0" w:color="auto"/>
            </w:tcBorders>
            <w:shd w:val="clear" w:color="auto" w:fill="C6EFCE"/>
            <w:noWrap/>
          </w:tcPr>
          <w:p w14:paraId="7C2AE435"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587" w:type="dxa"/>
            <w:tcBorders>
              <w:top w:val="nil"/>
              <w:left w:val="nil"/>
              <w:bottom w:val="single" w:sz="4" w:space="0" w:color="auto"/>
              <w:right w:val="single" w:sz="4" w:space="0" w:color="auto"/>
            </w:tcBorders>
            <w:shd w:val="clear" w:color="auto" w:fill="C6EFCE"/>
            <w:noWrap/>
          </w:tcPr>
          <w:p w14:paraId="1481B62C"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46" w:type="dxa"/>
            <w:tcBorders>
              <w:top w:val="nil"/>
              <w:left w:val="nil"/>
              <w:bottom w:val="single" w:sz="4" w:space="0" w:color="auto"/>
              <w:right w:val="single" w:sz="4" w:space="0" w:color="auto"/>
            </w:tcBorders>
            <w:shd w:val="clear" w:color="auto" w:fill="C6EFCE"/>
            <w:noWrap/>
          </w:tcPr>
          <w:p w14:paraId="4F3685A2" w14:textId="77777777" w:rsidR="00C45D59" w:rsidRDefault="009B0962">
            <w:pPr>
              <w:pStyle w:val="P68B1DB1-Normal12"/>
              <w:spacing w:after="0" w:line="240" w:lineRule="auto"/>
              <w:rPr>
                <w:rFonts w:eastAsia="Times New Roman"/>
                <w:noProof/>
              </w:rPr>
            </w:pPr>
            <w:r>
              <w:rPr>
                <w:noProof/>
              </w:rPr>
              <w:t>Î3</w:t>
            </w:r>
          </w:p>
        </w:tc>
        <w:tc>
          <w:tcPr>
            <w:tcW w:w="622" w:type="dxa"/>
            <w:tcBorders>
              <w:top w:val="nil"/>
              <w:left w:val="nil"/>
              <w:bottom w:val="single" w:sz="4" w:space="0" w:color="auto"/>
              <w:right w:val="single" w:sz="4" w:space="0" w:color="auto"/>
            </w:tcBorders>
            <w:shd w:val="clear" w:color="auto" w:fill="C6EFCE"/>
            <w:noWrap/>
          </w:tcPr>
          <w:p w14:paraId="79B174E9" w14:textId="77777777" w:rsidR="00C45D59" w:rsidRDefault="009B0962">
            <w:pPr>
              <w:pStyle w:val="P68B1DB1-Normal12"/>
              <w:spacing w:after="0" w:line="240" w:lineRule="auto"/>
              <w:rPr>
                <w:rFonts w:eastAsia="Times New Roman"/>
                <w:noProof/>
              </w:rPr>
            </w:pPr>
            <w:r>
              <w:rPr>
                <w:noProof/>
              </w:rPr>
              <w:t>2022</w:t>
            </w:r>
          </w:p>
        </w:tc>
        <w:tc>
          <w:tcPr>
            <w:tcW w:w="4885" w:type="dxa"/>
            <w:tcBorders>
              <w:top w:val="nil"/>
              <w:left w:val="nil"/>
              <w:bottom w:val="single" w:sz="4" w:space="0" w:color="auto"/>
              <w:right w:val="single" w:sz="4" w:space="0" w:color="auto"/>
            </w:tcBorders>
            <w:shd w:val="clear" w:color="auto" w:fill="C6EFCE"/>
            <w:noWrap/>
          </w:tcPr>
          <w:p w14:paraId="27DEFF6A" w14:textId="77777777" w:rsidR="00C45D59" w:rsidRDefault="009B0962">
            <w:pPr>
              <w:pStyle w:val="P68B1DB1-Normal12"/>
              <w:spacing w:before="120" w:after="120" w:line="240" w:lineRule="auto"/>
              <w:jc w:val="both"/>
              <w:rPr>
                <w:noProof/>
              </w:rPr>
            </w:pPr>
            <w:r>
              <w:rPr>
                <w:noProof/>
              </w:rPr>
              <w:t>Intrarea în vigoare a întregii legislații secundare (sub formă de decrete prezidențiale sau decizii ministeriale, după caz) necesare pentru punerea în aplicare deplină a Legii privind poliția judiciară pentru a sprijini activitatea autorităților judiciare și de urmărire penală în ceea ce privește:</w:t>
            </w:r>
          </w:p>
          <w:p w14:paraId="30F94739" w14:textId="77777777" w:rsidR="00C45D59" w:rsidRDefault="009B0962">
            <w:pPr>
              <w:pStyle w:val="P68B1DB1-Normal12"/>
              <w:numPr>
                <w:ilvl w:val="0"/>
                <w:numId w:val="65"/>
              </w:numPr>
              <w:spacing w:before="120" w:after="0" w:line="240" w:lineRule="auto"/>
              <w:ind w:left="231" w:hanging="219"/>
              <w:jc w:val="both"/>
              <w:rPr>
                <w:noProof/>
              </w:rPr>
            </w:pPr>
            <w:r>
              <w:rPr>
                <w:noProof/>
              </w:rPr>
              <w:t xml:space="preserve">furnizarea de asistență științifică și tehnică judecătorilor și procurorilor în chestiuni care necesită expertiză tehnică sau profesională; </w:t>
            </w:r>
          </w:p>
          <w:p w14:paraId="662E14A5" w14:textId="77777777" w:rsidR="00C45D59" w:rsidRDefault="009B0962">
            <w:pPr>
              <w:pStyle w:val="P68B1DB1-Normal12"/>
              <w:numPr>
                <w:ilvl w:val="0"/>
                <w:numId w:val="65"/>
              </w:numPr>
              <w:spacing w:before="120" w:after="0" w:line="240" w:lineRule="auto"/>
              <w:ind w:left="231" w:hanging="219"/>
              <w:jc w:val="both"/>
              <w:rPr>
                <w:noProof/>
              </w:rPr>
            </w:pPr>
            <w:r>
              <w:rPr>
                <w:noProof/>
              </w:rPr>
              <w:t>efectuarea examinărilor preliminare și a investigațiilor;</w:t>
            </w:r>
          </w:p>
          <w:p w14:paraId="10DAEDF6" w14:textId="77777777" w:rsidR="00C45D59" w:rsidRDefault="009B0962">
            <w:pPr>
              <w:pStyle w:val="P68B1DB1-Normal12"/>
              <w:numPr>
                <w:ilvl w:val="0"/>
                <w:numId w:val="65"/>
              </w:numPr>
              <w:spacing w:before="120" w:after="0" w:line="240" w:lineRule="auto"/>
              <w:ind w:left="231" w:hanging="219"/>
              <w:jc w:val="both"/>
              <w:rPr>
                <w:noProof/>
              </w:rPr>
            </w:pPr>
            <w:r>
              <w:rPr>
                <w:noProof/>
              </w:rPr>
              <w:t>executarea mandatelor;</w:t>
            </w:r>
          </w:p>
          <w:p w14:paraId="39E7BF0C" w14:textId="77777777" w:rsidR="00C45D59" w:rsidRDefault="009B0962">
            <w:pPr>
              <w:pStyle w:val="P68B1DB1-Normal12"/>
              <w:numPr>
                <w:ilvl w:val="0"/>
                <w:numId w:val="65"/>
              </w:numPr>
              <w:spacing w:before="120" w:after="0" w:line="240" w:lineRule="auto"/>
              <w:ind w:left="231" w:hanging="219"/>
              <w:jc w:val="both"/>
              <w:rPr>
                <w:noProof/>
              </w:rPr>
            </w:pPr>
            <w:r>
              <w:rPr>
                <w:noProof/>
              </w:rPr>
              <w:t>furnizarea de asistență pentru depunerea cererilor de asistență judiciară sau pentru răspunsul la acestea;</w:t>
            </w:r>
          </w:p>
          <w:p w14:paraId="0A99108C" w14:textId="77777777" w:rsidR="00C45D59" w:rsidRDefault="009B0962">
            <w:pPr>
              <w:pStyle w:val="P68B1DB1-Normal12"/>
              <w:numPr>
                <w:ilvl w:val="0"/>
                <w:numId w:val="65"/>
              </w:numPr>
              <w:spacing w:before="120" w:after="0" w:line="240" w:lineRule="auto"/>
              <w:ind w:left="231" w:hanging="219"/>
              <w:jc w:val="both"/>
              <w:rPr>
                <w:noProof/>
              </w:rPr>
            </w:pPr>
            <w:r>
              <w:rPr>
                <w:noProof/>
              </w:rPr>
              <w:t>notificarea sau comunicarea actelor și a actelor de procedură;</w:t>
            </w:r>
          </w:p>
          <w:p w14:paraId="2D1C6E87" w14:textId="77777777" w:rsidR="00C45D59" w:rsidRDefault="009B0962">
            <w:pPr>
              <w:pStyle w:val="P68B1DB1-Normal12"/>
              <w:numPr>
                <w:ilvl w:val="0"/>
                <w:numId w:val="65"/>
              </w:numPr>
              <w:spacing w:before="120" w:after="0" w:line="240" w:lineRule="auto"/>
              <w:ind w:left="231" w:hanging="219"/>
              <w:jc w:val="both"/>
              <w:rPr>
                <w:noProof/>
              </w:rPr>
            </w:pPr>
            <w:r>
              <w:rPr>
                <w:noProof/>
              </w:rPr>
              <w:t>executarea hotărârilor judecătorești;</w:t>
            </w:r>
          </w:p>
          <w:p w14:paraId="36C8F634" w14:textId="77777777" w:rsidR="00C45D59" w:rsidRDefault="009B0962">
            <w:pPr>
              <w:pStyle w:val="P68B1DB1-Normal12"/>
              <w:numPr>
                <w:ilvl w:val="0"/>
                <w:numId w:val="65"/>
              </w:numPr>
              <w:spacing w:before="120" w:after="0" w:line="240" w:lineRule="auto"/>
              <w:ind w:left="231" w:hanging="219"/>
              <w:jc w:val="both"/>
              <w:rPr>
                <w:noProof/>
              </w:rPr>
            </w:pPr>
            <w:r>
              <w:rPr>
                <w:noProof/>
              </w:rPr>
              <w:t>paza și menținerea ordinii în tribunale;</w:t>
            </w:r>
          </w:p>
          <w:p w14:paraId="6B6AC87E" w14:textId="6E90C812" w:rsidR="00C45D59" w:rsidRDefault="009B0962">
            <w:pPr>
              <w:pStyle w:val="P68B1DB1-Normal12"/>
              <w:numPr>
                <w:ilvl w:val="0"/>
                <w:numId w:val="65"/>
              </w:numPr>
              <w:spacing w:before="120" w:after="0" w:line="240" w:lineRule="auto"/>
              <w:ind w:left="231" w:hanging="219"/>
              <w:jc w:val="both"/>
              <w:rPr>
                <w:rFonts w:eastAsia="Times New Roman"/>
                <w:noProof/>
              </w:rPr>
            </w:pPr>
            <w:r>
              <w:rPr>
                <w:noProof/>
              </w:rPr>
              <w:t>alte acte de procedură care îi sunt încredințate de instanțele competente și de procurori</w:t>
            </w:r>
          </w:p>
        </w:tc>
      </w:tr>
      <w:tr w:rsidR="00C45D59" w14:paraId="4A7391FB" w14:textId="77777777">
        <w:trPr>
          <w:trHeight w:val="309"/>
          <w:jc w:val="center"/>
        </w:trPr>
        <w:tc>
          <w:tcPr>
            <w:tcW w:w="592" w:type="dxa"/>
            <w:tcBorders>
              <w:top w:val="nil"/>
              <w:left w:val="single" w:sz="4" w:space="0" w:color="auto"/>
              <w:bottom w:val="single" w:sz="4" w:space="0" w:color="auto"/>
              <w:right w:val="single" w:sz="4" w:space="0" w:color="auto"/>
            </w:tcBorders>
            <w:shd w:val="clear" w:color="auto" w:fill="C6EFCE"/>
            <w:noWrap/>
          </w:tcPr>
          <w:p w14:paraId="15AEED5E" w14:textId="77777777" w:rsidR="00C45D59" w:rsidRDefault="009B0962">
            <w:pPr>
              <w:pStyle w:val="P68B1DB1-Normal12"/>
              <w:spacing w:after="0" w:line="240" w:lineRule="auto"/>
              <w:rPr>
                <w:rFonts w:eastAsia="Times New Roman"/>
                <w:noProof/>
              </w:rPr>
            </w:pPr>
            <w:r>
              <w:rPr>
                <w:noProof/>
              </w:rPr>
              <w:t>226</w:t>
            </w:r>
          </w:p>
        </w:tc>
        <w:tc>
          <w:tcPr>
            <w:tcW w:w="1976" w:type="dxa"/>
            <w:gridSpan w:val="2"/>
            <w:tcBorders>
              <w:top w:val="nil"/>
              <w:left w:val="nil"/>
              <w:bottom w:val="single" w:sz="4" w:space="0" w:color="auto"/>
              <w:right w:val="single" w:sz="4" w:space="0" w:color="auto"/>
            </w:tcBorders>
            <w:shd w:val="clear" w:color="auto" w:fill="C6EFCE"/>
            <w:noWrap/>
          </w:tcPr>
          <w:p w14:paraId="72D4DE20" w14:textId="77777777" w:rsidR="00C45D59" w:rsidRDefault="009B0962">
            <w:pPr>
              <w:pStyle w:val="P68B1DB1-Normal12"/>
              <w:spacing w:after="0" w:line="240" w:lineRule="auto"/>
              <w:rPr>
                <w:rFonts w:eastAsia="Times New Roman"/>
                <w:noProof/>
              </w:rPr>
            </w:pPr>
            <w:r>
              <w:rPr>
                <w:noProof/>
              </w:rPr>
              <w:t>14-4.3. Îmbunătățirea eficienței sistemului de justiție – 16575 Accelerarea administrării justiției</w:t>
            </w:r>
          </w:p>
        </w:tc>
        <w:tc>
          <w:tcPr>
            <w:tcW w:w="1424" w:type="dxa"/>
            <w:tcBorders>
              <w:top w:val="nil"/>
              <w:left w:val="nil"/>
              <w:bottom w:val="single" w:sz="4" w:space="0" w:color="auto"/>
              <w:right w:val="single" w:sz="4" w:space="0" w:color="auto"/>
            </w:tcBorders>
            <w:shd w:val="clear" w:color="auto" w:fill="C6EFCE"/>
            <w:noWrap/>
          </w:tcPr>
          <w:p w14:paraId="6B5A6D8E" w14:textId="77777777" w:rsidR="00C45D59" w:rsidRDefault="009B0962">
            <w:pPr>
              <w:pStyle w:val="P68B1DB1-Normal12"/>
              <w:spacing w:after="0" w:line="240" w:lineRule="auto"/>
              <w:rPr>
                <w:rFonts w:eastAsia="Times New Roman"/>
                <w:noProof/>
              </w:rPr>
            </w:pPr>
            <w:r>
              <w:rPr>
                <w:noProof/>
              </w:rPr>
              <w:t>Etapă</w:t>
            </w:r>
          </w:p>
        </w:tc>
        <w:tc>
          <w:tcPr>
            <w:tcW w:w="1397" w:type="dxa"/>
            <w:tcBorders>
              <w:top w:val="nil"/>
              <w:left w:val="nil"/>
              <w:bottom w:val="single" w:sz="4" w:space="0" w:color="auto"/>
              <w:right w:val="single" w:sz="4" w:space="0" w:color="auto"/>
            </w:tcBorders>
            <w:shd w:val="clear" w:color="auto" w:fill="C6EFCE"/>
            <w:noWrap/>
          </w:tcPr>
          <w:p w14:paraId="0729CB36" w14:textId="77777777" w:rsidR="00C45D59" w:rsidRDefault="009B0962">
            <w:pPr>
              <w:pStyle w:val="P68B1DB1-Normal12"/>
              <w:spacing w:after="0" w:line="240" w:lineRule="auto"/>
              <w:rPr>
                <w:rFonts w:eastAsia="Times New Roman"/>
                <w:noProof/>
              </w:rPr>
            </w:pPr>
            <w:r>
              <w:rPr>
                <w:noProof/>
              </w:rPr>
              <w:t>Hartă judiciară – legislație primară – administrativă</w:t>
            </w:r>
          </w:p>
        </w:tc>
        <w:tc>
          <w:tcPr>
            <w:tcW w:w="1552" w:type="dxa"/>
            <w:tcBorders>
              <w:top w:val="nil"/>
              <w:left w:val="nil"/>
              <w:bottom w:val="single" w:sz="4" w:space="0" w:color="auto"/>
              <w:right w:val="single" w:sz="4" w:space="0" w:color="auto"/>
            </w:tcBorders>
            <w:shd w:val="clear" w:color="auto" w:fill="C6EFCE"/>
            <w:noWrap/>
          </w:tcPr>
          <w:p w14:paraId="69659C60" w14:textId="77777777" w:rsidR="00C45D59" w:rsidRDefault="009B0962">
            <w:pPr>
              <w:pStyle w:val="P68B1DB1-Normal12"/>
              <w:spacing w:after="0" w:line="240" w:lineRule="auto"/>
              <w:rPr>
                <w:rFonts w:eastAsia="Times New Roman"/>
                <w:noProof/>
              </w:rPr>
            </w:pPr>
            <w:r>
              <w:rPr>
                <w:noProof/>
              </w:rPr>
              <w:t>Intrarea în vigoare a legislației</w:t>
            </w:r>
          </w:p>
        </w:tc>
        <w:tc>
          <w:tcPr>
            <w:tcW w:w="992" w:type="dxa"/>
            <w:tcBorders>
              <w:top w:val="nil"/>
              <w:left w:val="nil"/>
              <w:bottom w:val="single" w:sz="4" w:space="0" w:color="auto"/>
              <w:right w:val="single" w:sz="4" w:space="0" w:color="auto"/>
            </w:tcBorders>
            <w:shd w:val="clear" w:color="auto" w:fill="C6EFCE"/>
            <w:noWrap/>
          </w:tcPr>
          <w:p w14:paraId="7A2CECD5"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57" w:type="dxa"/>
            <w:tcBorders>
              <w:top w:val="nil"/>
              <w:left w:val="nil"/>
              <w:bottom w:val="single" w:sz="4" w:space="0" w:color="auto"/>
              <w:right w:val="single" w:sz="4" w:space="0" w:color="auto"/>
            </w:tcBorders>
            <w:shd w:val="clear" w:color="auto" w:fill="C6EFCE"/>
            <w:noWrap/>
          </w:tcPr>
          <w:p w14:paraId="28869F0B"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587" w:type="dxa"/>
            <w:tcBorders>
              <w:top w:val="nil"/>
              <w:left w:val="nil"/>
              <w:bottom w:val="single" w:sz="4" w:space="0" w:color="auto"/>
              <w:right w:val="single" w:sz="4" w:space="0" w:color="auto"/>
            </w:tcBorders>
            <w:shd w:val="clear" w:color="auto" w:fill="C6EFCE"/>
            <w:noWrap/>
          </w:tcPr>
          <w:p w14:paraId="4F901F9E"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46" w:type="dxa"/>
            <w:tcBorders>
              <w:top w:val="nil"/>
              <w:left w:val="nil"/>
              <w:bottom w:val="single" w:sz="4" w:space="0" w:color="auto"/>
              <w:right w:val="single" w:sz="4" w:space="0" w:color="auto"/>
            </w:tcBorders>
            <w:shd w:val="clear" w:color="auto" w:fill="C6EFCE"/>
            <w:noWrap/>
          </w:tcPr>
          <w:p w14:paraId="6719DA32" w14:textId="77777777" w:rsidR="00C45D59" w:rsidRDefault="009B0962">
            <w:pPr>
              <w:pStyle w:val="P68B1DB1-Normal12"/>
              <w:spacing w:after="0" w:line="240" w:lineRule="auto"/>
              <w:rPr>
                <w:rFonts w:eastAsia="Times New Roman"/>
                <w:noProof/>
              </w:rPr>
            </w:pPr>
            <w:r>
              <w:rPr>
                <w:noProof/>
              </w:rPr>
              <w:t>Î4</w:t>
            </w:r>
          </w:p>
        </w:tc>
        <w:tc>
          <w:tcPr>
            <w:tcW w:w="622" w:type="dxa"/>
            <w:tcBorders>
              <w:top w:val="nil"/>
              <w:left w:val="nil"/>
              <w:bottom w:val="single" w:sz="4" w:space="0" w:color="auto"/>
              <w:right w:val="single" w:sz="4" w:space="0" w:color="auto"/>
            </w:tcBorders>
            <w:shd w:val="clear" w:color="auto" w:fill="C6EFCE"/>
            <w:noWrap/>
          </w:tcPr>
          <w:p w14:paraId="65D49C49" w14:textId="77777777" w:rsidR="00C45D59" w:rsidRDefault="009B0962">
            <w:pPr>
              <w:pStyle w:val="P68B1DB1-Normal12"/>
              <w:spacing w:after="0" w:line="240" w:lineRule="auto"/>
              <w:rPr>
                <w:rFonts w:eastAsia="Times New Roman"/>
                <w:noProof/>
              </w:rPr>
            </w:pPr>
            <w:r>
              <w:rPr>
                <w:noProof/>
              </w:rPr>
              <w:t>2022</w:t>
            </w:r>
          </w:p>
        </w:tc>
        <w:tc>
          <w:tcPr>
            <w:tcW w:w="4885" w:type="dxa"/>
            <w:tcBorders>
              <w:top w:val="nil"/>
              <w:left w:val="nil"/>
              <w:bottom w:val="single" w:sz="4" w:space="0" w:color="auto"/>
              <w:right w:val="single" w:sz="4" w:space="0" w:color="auto"/>
            </w:tcBorders>
            <w:shd w:val="clear" w:color="auto" w:fill="C6EFCE"/>
            <w:noWrap/>
          </w:tcPr>
          <w:p w14:paraId="287C7A7B" w14:textId="77777777" w:rsidR="00C45D59" w:rsidRDefault="009B0962">
            <w:pPr>
              <w:pStyle w:val="P68B1DB1-Normal12"/>
              <w:spacing w:after="0" w:line="240" w:lineRule="auto"/>
              <w:rPr>
                <w:noProof/>
              </w:rPr>
            </w:pPr>
            <w:r>
              <w:rPr>
                <w:noProof/>
              </w:rPr>
              <w:t xml:space="preserve">Intrarea în vigoare a legislației primare pentru revizuirea hărții judiciare pentru justiția administrativă. </w:t>
            </w:r>
          </w:p>
        </w:tc>
      </w:tr>
      <w:tr w:rsidR="00C45D59" w14:paraId="44D027AD" w14:textId="77777777">
        <w:trPr>
          <w:trHeight w:val="309"/>
          <w:jc w:val="center"/>
        </w:trPr>
        <w:tc>
          <w:tcPr>
            <w:tcW w:w="592" w:type="dxa"/>
            <w:tcBorders>
              <w:top w:val="nil"/>
              <w:left w:val="single" w:sz="4" w:space="0" w:color="auto"/>
              <w:bottom w:val="single" w:sz="4" w:space="0" w:color="auto"/>
              <w:right w:val="single" w:sz="4" w:space="0" w:color="auto"/>
            </w:tcBorders>
            <w:shd w:val="clear" w:color="auto" w:fill="C6EFCE"/>
            <w:noWrap/>
          </w:tcPr>
          <w:p w14:paraId="4EB42718" w14:textId="77777777" w:rsidR="00C45D59" w:rsidRDefault="009B0962">
            <w:pPr>
              <w:pStyle w:val="P68B1DB1-Normal12"/>
              <w:spacing w:after="0" w:line="240" w:lineRule="auto"/>
              <w:rPr>
                <w:rFonts w:eastAsia="Times New Roman"/>
                <w:noProof/>
              </w:rPr>
            </w:pPr>
            <w:r>
              <w:rPr>
                <w:noProof/>
              </w:rPr>
              <w:t>227</w:t>
            </w:r>
          </w:p>
        </w:tc>
        <w:tc>
          <w:tcPr>
            <w:tcW w:w="1976" w:type="dxa"/>
            <w:gridSpan w:val="2"/>
            <w:tcBorders>
              <w:top w:val="nil"/>
              <w:left w:val="nil"/>
              <w:bottom w:val="single" w:sz="4" w:space="0" w:color="auto"/>
              <w:right w:val="single" w:sz="4" w:space="0" w:color="auto"/>
            </w:tcBorders>
            <w:shd w:val="clear" w:color="auto" w:fill="C6EFCE"/>
            <w:noWrap/>
          </w:tcPr>
          <w:p w14:paraId="704CA68C" w14:textId="77777777" w:rsidR="00C45D59" w:rsidRDefault="009B0962">
            <w:pPr>
              <w:pStyle w:val="P68B1DB1-Normal12"/>
              <w:spacing w:after="0" w:line="240" w:lineRule="auto"/>
              <w:rPr>
                <w:rFonts w:eastAsia="Times New Roman"/>
                <w:noProof/>
              </w:rPr>
            </w:pPr>
            <w:r>
              <w:rPr>
                <w:noProof/>
              </w:rPr>
              <w:t>14-4.3. Îmbunătățirea eficienței sistemului de justiție – 16292_Noi clădiri judiciare</w:t>
            </w:r>
          </w:p>
        </w:tc>
        <w:tc>
          <w:tcPr>
            <w:tcW w:w="1424" w:type="dxa"/>
            <w:tcBorders>
              <w:top w:val="nil"/>
              <w:left w:val="nil"/>
              <w:bottom w:val="single" w:sz="4" w:space="0" w:color="auto"/>
              <w:right w:val="single" w:sz="4" w:space="0" w:color="auto"/>
            </w:tcBorders>
            <w:shd w:val="clear" w:color="auto" w:fill="C6EFCE"/>
            <w:noWrap/>
          </w:tcPr>
          <w:p w14:paraId="479E391A" w14:textId="77777777" w:rsidR="00C45D59" w:rsidRDefault="009B0962">
            <w:pPr>
              <w:pStyle w:val="P68B1DB1-Normal12"/>
              <w:spacing w:after="0" w:line="240" w:lineRule="auto"/>
              <w:rPr>
                <w:rFonts w:eastAsia="Times New Roman"/>
                <w:noProof/>
              </w:rPr>
            </w:pPr>
            <w:r>
              <w:rPr>
                <w:noProof/>
              </w:rPr>
              <w:t>Etapă</w:t>
            </w:r>
          </w:p>
        </w:tc>
        <w:tc>
          <w:tcPr>
            <w:tcW w:w="1397" w:type="dxa"/>
            <w:tcBorders>
              <w:top w:val="nil"/>
              <w:left w:val="nil"/>
              <w:bottom w:val="single" w:sz="4" w:space="0" w:color="auto"/>
              <w:right w:val="single" w:sz="4" w:space="0" w:color="auto"/>
            </w:tcBorders>
            <w:shd w:val="clear" w:color="auto" w:fill="C6EFCE"/>
            <w:noWrap/>
          </w:tcPr>
          <w:p w14:paraId="1C01782F" w14:textId="77777777" w:rsidR="00C45D59" w:rsidRDefault="009B0962">
            <w:pPr>
              <w:pStyle w:val="P68B1DB1-Normal12"/>
              <w:spacing w:after="0" w:line="240" w:lineRule="auto"/>
              <w:rPr>
                <w:rFonts w:eastAsia="Times New Roman"/>
                <w:noProof/>
              </w:rPr>
            </w:pPr>
            <w:r>
              <w:rPr>
                <w:noProof/>
              </w:rPr>
              <w:t>Construcția și renovarea clădirilor judiciare – Ajustarea listei – Lansarea licitațiilor</w:t>
            </w:r>
          </w:p>
        </w:tc>
        <w:tc>
          <w:tcPr>
            <w:tcW w:w="1552" w:type="dxa"/>
            <w:tcBorders>
              <w:top w:val="nil"/>
              <w:left w:val="nil"/>
              <w:bottom w:val="single" w:sz="4" w:space="0" w:color="auto"/>
              <w:right w:val="single" w:sz="4" w:space="0" w:color="auto"/>
            </w:tcBorders>
            <w:shd w:val="clear" w:color="auto" w:fill="C6EFCE"/>
            <w:noWrap/>
          </w:tcPr>
          <w:p w14:paraId="7F6C5F76" w14:textId="77777777" w:rsidR="00C45D59" w:rsidRDefault="009B0962">
            <w:pPr>
              <w:pStyle w:val="P68B1DB1-Normal12"/>
              <w:spacing w:after="0" w:line="240" w:lineRule="auto"/>
              <w:rPr>
                <w:rFonts w:eastAsia="Times New Roman"/>
                <w:noProof/>
              </w:rPr>
            </w:pPr>
            <w:r>
              <w:rPr>
                <w:noProof/>
              </w:rPr>
              <w:t>Lista proiectelor de renovare în conformitate cu legea relevantă privind revizuirea hărții judiciare, conform jalonului 14 4.3/Q4 2022; lansarea licitațiilor</w:t>
            </w:r>
          </w:p>
        </w:tc>
        <w:tc>
          <w:tcPr>
            <w:tcW w:w="992" w:type="dxa"/>
            <w:tcBorders>
              <w:top w:val="nil"/>
              <w:left w:val="nil"/>
              <w:bottom w:val="single" w:sz="4" w:space="0" w:color="auto"/>
              <w:right w:val="single" w:sz="4" w:space="0" w:color="auto"/>
            </w:tcBorders>
            <w:shd w:val="clear" w:color="auto" w:fill="C6EFCE"/>
            <w:noWrap/>
          </w:tcPr>
          <w:p w14:paraId="7B974180"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57" w:type="dxa"/>
            <w:tcBorders>
              <w:top w:val="nil"/>
              <w:left w:val="nil"/>
              <w:bottom w:val="single" w:sz="4" w:space="0" w:color="auto"/>
              <w:right w:val="single" w:sz="4" w:space="0" w:color="auto"/>
            </w:tcBorders>
            <w:shd w:val="clear" w:color="auto" w:fill="C6EFCE"/>
            <w:noWrap/>
          </w:tcPr>
          <w:p w14:paraId="74B8D3A4"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587" w:type="dxa"/>
            <w:tcBorders>
              <w:top w:val="nil"/>
              <w:left w:val="nil"/>
              <w:bottom w:val="single" w:sz="4" w:space="0" w:color="auto"/>
              <w:right w:val="single" w:sz="4" w:space="0" w:color="auto"/>
            </w:tcBorders>
            <w:shd w:val="clear" w:color="auto" w:fill="C6EFCE"/>
            <w:noWrap/>
          </w:tcPr>
          <w:p w14:paraId="719C3C6D"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46" w:type="dxa"/>
            <w:tcBorders>
              <w:top w:val="nil"/>
              <w:left w:val="nil"/>
              <w:bottom w:val="single" w:sz="4" w:space="0" w:color="auto"/>
              <w:right w:val="single" w:sz="4" w:space="0" w:color="auto"/>
            </w:tcBorders>
            <w:shd w:val="clear" w:color="auto" w:fill="C6EFCE"/>
            <w:noWrap/>
          </w:tcPr>
          <w:p w14:paraId="11C71990" w14:textId="77777777" w:rsidR="00C45D59" w:rsidRDefault="009B0962">
            <w:pPr>
              <w:pStyle w:val="P68B1DB1-Normal12"/>
              <w:spacing w:after="0" w:line="240" w:lineRule="auto"/>
              <w:rPr>
                <w:rFonts w:eastAsia="Times New Roman"/>
                <w:noProof/>
              </w:rPr>
            </w:pPr>
            <w:r>
              <w:rPr>
                <w:noProof/>
              </w:rPr>
              <w:t>Î4</w:t>
            </w:r>
          </w:p>
        </w:tc>
        <w:tc>
          <w:tcPr>
            <w:tcW w:w="622" w:type="dxa"/>
            <w:tcBorders>
              <w:top w:val="nil"/>
              <w:left w:val="nil"/>
              <w:bottom w:val="single" w:sz="4" w:space="0" w:color="auto"/>
              <w:right w:val="single" w:sz="4" w:space="0" w:color="auto"/>
            </w:tcBorders>
            <w:shd w:val="clear" w:color="auto" w:fill="C6EFCE"/>
            <w:noWrap/>
          </w:tcPr>
          <w:p w14:paraId="1E2C5573" w14:textId="77777777" w:rsidR="00C45D59" w:rsidRDefault="009B0962">
            <w:pPr>
              <w:pStyle w:val="P68B1DB1-Normal12"/>
              <w:spacing w:after="0" w:line="240" w:lineRule="auto"/>
              <w:rPr>
                <w:rFonts w:eastAsia="Times New Roman"/>
                <w:noProof/>
              </w:rPr>
            </w:pPr>
            <w:r>
              <w:rPr>
                <w:noProof/>
              </w:rPr>
              <w:t>2022</w:t>
            </w:r>
          </w:p>
        </w:tc>
        <w:tc>
          <w:tcPr>
            <w:tcW w:w="4885" w:type="dxa"/>
            <w:tcBorders>
              <w:top w:val="nil"/>
              <w:left w:val="nil"/>
              <w:bottom w:val="single" w:sz="4" w:space="0" w:color="auto"/>
              <w:right w:val="single" w:sz="4" w:space="0" w:color="auto"/>
            </w:tcBorders>
            <w:shd w:val="clear" w:color="auto" w:fill="C6EFCE"/>
            <w:noWrap/>
          </w:tcPr>
          <w:p w14:paraId="25D6CFBB" w14:textId="77777777" w:rsidR="00C45D59" w:rsidRDefault="009B0962">
            <w:pPr>
              <w:pStyle w:val="P68B1DB1-Normal12"/>
              <w:spacing w:after="0" w:line="240" w:lineRule="auto"/>
              <w:rPr>
                <w:noProof/>
              </w:rPr>
            </w:pPr>
            <w:r>
              <w:rPr>
                <w:noProof/>
              </w:rPr>
              <w:t>Ajustarea listei de proiecte în conformitate cu revizuirea hărții judiciare, astfel cum a fost adoptată în lege.</w:t>
            </w:r>
          </w:p>
          <w:p w14:paraId="3CEC0031" w14:textId="77777777" w:rsidR="00C45D59" w:rsidRDefault="009B0962">
            <w:pPr>
              <w:pStyle w:val="P68B1DB1-Normal12"/>
              <w:spacing w:after="0" w:line="240" w:lineRule="auto"/>
              <w:rPr>
                <w:rFonts w:eastAsia="Times New Roman"/>
                <w:noProof/>
              </w:rPr>
            </w:pPr>
            <w:r>
              <w:rPr>
                <w:noProof/>
              </w:rPr>
              <w:t>Lansarea licitațiilor privind instanțele administrative. Condițiile de licitație trebuie să prevadă că clădirile nou construite trebuie să atingă o cerere de energie primară (PED) cu cel puțin 20 % mai mică decât cerința privind clădirile al căror consum de energie este aproape egal cu zero (directive naționale).</w:t>
            </w:r>
          </w:p>
        </w:tc>
      </w:tr>
      <w:tr w:rsidR="00C45D59" w14:paraId="7A89D926" w14:textId="77777777">
        <w:trPr>
          <w:trHeight w:val="309"/>
          <w:jc w:val="center"/>
        </w:trPr>
        <w:tc>
          <w:tcPr>
            <w:tcW w:w="592" w:type="dxa"/>
            <w:tcBorders>
              <w:top w:val="nil"/>
              <w:left w:val="single" w:sz="4" w:space="0" w:color="auto"/>
              <w:bottom w:val="single" w:sz="4" w:space="0" w:color="auto"/>
              <w:right w:val="single" w:sz="4" w:space="0" w:color="auto"/>
            </w:tcBorders>
            <w:shd w:val="clear" w:color="auto" w:fill="C6EFCE"/>
            <w:noWrap/>
          </w:tcPr>
          <w:p w14:paraId="008EE374" w14:textId="77777777" w:rsidR="00C45D59" w:rsidRDefault="009B0962">
            <w:pPr>
              <w:pStyle w:val="P68B1DB1-Normal12"/>
              <w:spacing w:after="0" w:line="240" w:lineRule="auto"/>
              <w:rPr>
                <w:rFonts w:eastAsia="Times New Roman"/>
                <w:noProof/>
              </w:rPr>
            </w:pPr>
            <w:r>
              <w:rPr>
                <w:noProof/>
              </w:rPr>
              <w:t>228</w:t>
            </w:r>
          </w:p>
        </w:tc>
        <w:tc>
          <w:tcPr>
            <w:tcW w:w="1976" w:type="dxa"/>
            <w:gridSpan w:val="2"/>
            <w:tcBorders>
              <w:top w:val="nil"/>
              <w:left w:val="nil"/>
              <w:bottom w:val="single" w:sz="4" w:space="0" w:color="auto"/>
              <w:right w:val="single" w:sz="4" w:space="0" w:color="auto"/>
            </w:tcBorders>
            <w:shd w:val="clear" w:color="auto" w:fill="C6EFCE"/>
            <w:noWrap/>
          </w:tcPr>
          <w:p w14:paraId="04B8972F" w14:textId="77777777" w:rsidR="00C45D59" w:rsidRDefault="009B0962">
            <w:pPr>
              <w:pStyle w:val="P68B1DB1-Normal12"/>
              <w:spacing w:after="0" w:line="240" w:lineRule="auto"/>
              <w:rPr>
                <w:rFonts w:eastAsia="Times New Roman"/>
                <w:noProof/>
              </w:rPr>
            </w:pPr>
            <w:r>
              <w:rPr>
                <w:noProof/>
              </w:rPr>
              <w:t>14-4.3. Îmbunătățirea eficienței sistemului de justiție – 16733_Competențe și competențe digitale pentru judecători și angajații din sistemul judiciar (personalul din justiție)</w:t>
            </w:r>
          </w:p>
        </w:tc>
        <w:tc>
          <w:tcPr>
            <w:tcW w:w="1424" w:type="dxa"/>
            <w:tcBorders>
              <w:top w:val="nil"/>
              <w:left w:val="nil"/>
              <w:bottom w:val="single" w:sz="4" w:space="0" w:color="auto"/>
              <w:right w:val="single" w:sz="4" w:space="0" w:color="auto"/>
            </w:tcBorders>
            <w:shd w:val="clear" w:color="auto" w:fill="C6EFCE"/>
            <w:noWrap/>
          </w:tcPr>
          <w:p w14:paraId="388CA8D6" w14:textId="77777777" w:rsidR="00C45D59" w:rsidRDefault="009B0962">
            <w:pPr>
              <w:pStyle w:val="P68B1DB1-Normal12"/>
              <w:spacing w:after="0" w:line="240" w:lineRule="auto"/>
              <w:rPr>
                <w:rFonts w:eastAsia="Times New Roman"/>
                <w:noProof/>
              </w:rPr>
            </w:pPr>
            <w:r>
              <w:rPr>
                <w:noProof/>
              </w:rPr>
              <w:t>Țintă</w:t>
            </w:r>
          </w:p>
        </w:tc>
        <w:tc>
          <w:tcPr>
            <w:tcW w:w="1397" w:type="dxa"/>
            <w:tcBorders>
              <w:top w:val="nil"/>
              <w:left w:val="nil"/>
              <w:bottom w:val="single" w:sz="4" w:space="0" w:color="auto"/>
              <w:right w:val="single" w:sz="4" w:space="0" w:color="auto"/>
            </w:tcBorders>
            <w:shd w:val="clear" w:color="auto" w:fill="C6EFCE"/>
            <w:noWrap/>
          </w:tcPr>
          <w:p w14:paraId="0735F903" w14:textId="77777777" w:rsidR="00C45D59" w:rsidRDefault="009B0962">
            <w:pPr>
              <w:pStyle w:val="P68B1DB1-Normal12"/>
              <w:spacing w:after="0" w:line="240" w:lineRule="auto"/>
              <w:rPr>
                <w:rFonts w:eastAsia="Times New Roman"/>
                <w:noProof/>
              </w:rPr>
            </w:pPr>
            <w:r>
              <w:rPr>
                <w:noProof/>
              </w:rPr>
              <w:t>Formare – judecători și grefieri</w:t>
            </w:r>
          </w:p>
        </w:tc>
        <w:tc>
          <w:tcPr>
            <w:tcW w:w="1552" w:type="dxa"/>
            <w:tcBorders>
              <w:top w:val="nil"/>
              <w:left w:val="nil"/>
              <w:bottom w:val="single" w:sz="4" w:space="0" w:color="auto"/>
              <w:right w:val="single" w:sz="4" w:space="0" w:color="auto"/>
            </w:tcBorders>
            <w:shd w:val="clear" w:color="auto" w:fill="C6EFCE"/>
            <w:noWrap/>
          </w:tcPr>
          <w:p w14:paraId="3C9EA575"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992" w:type="dxa"/>
            <w:tcBorders>
              <w:top w:val="nil"/>
              <w:left w:val="nil"/>
              <w:bottom w:val="single" w:sz="4" w:space="0" w:color="auto"/>
              <w:right w:val="single" w:sz="4" w:space="0" w:color="auto"/>
            </w:tcBorders>
            <w:shd w:val="clear" w:color="auto" w:fill="C6EFCE"/>
            <w:noWrap/>
          </w:tcPr>
          <w:p w14:paraId="2D3E4A47" w14:textId="77777777" w:rsidR="00C45D59" w:rsidRDefault="009B0962">
            <w:pPr>
              <w:pStyle w:val="P68B1DB1-Normal12"/>
              <w:spacing w:after="0" w:line="240" w:lineRule="auto"/>
              <w:rPr>
                <w:rFonts w:eastAsia="Times New Roman"/>
                <w:noProof/>
              </w:rPr>
            </w:pPr>
            <w:r>
              <w:rPr>
                <w:noProof/>
              </w:rPr>
              <w:t>Numărul de judecători înscriși în școala națională de judecători</w:t>
            </w:r>
          </w:p>
        </w:tc>
        <w:tc>
          <w:tcPr>
            <w:tcW w:w="857" w:type="dxa"/>
            <w:tcBorders>
              <w:top w:val="nil"/>
              <w:left w:val="nil"/>
              <w:bottom w:val="single" w:sz="4" w:space="0" w:color="auto"/>
              <w:right w:val="single" w:sz="4" w:space="0" w:color="auto"/>
            </w:tcBorders>
            <w:shd w:val="clear" w:color="auto" w:fill="C6EFCE"/>
            <w:noWrap/>
          </w:tcPr>
          <w:p w14:paraId="49B4584A" w14:textId="77777777" w:rsidR="00C45D59" w:rsidRDefault="009B0962">
            <w:pPr>
              <w:pStyle w:val="P68B1DB1-Normal12"/>
              <w:spacing w:after="0" w:line="240" w:lineRule="auto"/>
              <w:rPr>
                <w:rFonts w:eastAsia="Times New Roman"/>
                <w:noProof/>
              </w:rPr>
            </w:pPr>
            <w:r>
              <w:rPr>
                <w:noProof/>
              </w:rPr>
              <w:t>10</w:t>
            </w:r>
          </w:p>
        </w:tc>
        <w:tc>
          <w:tcPr>
            <w:tcW w:w="587" w:type="dxa"/>
            <w:tcBorders>
              <w:top w:val="nil"/>
              <w:left w:val="nil"/>
              <w:bottom w:val="single" w:sz="4" w:space="0" w:color="auto"/>
              <w:right w:val="single" w:sz="4" w:space="0" w:color="auto"/>
            </w:tcBorders>
            <w:shd w:val="clear" w:color="auto" w:fill="C6EFCE"/>
            <w:noWrap/>
          </w:tcPr>
          <w:p w14:paraId="26ABE833" w14:textId="77777777" w:rsidR="00C45D59" w:rsidRDefault="009B0962">
            <w:pPr>
              <w:pStyle w:val="P68B1DB1-Normal12"/>
              <w:spacing w:after="0" w:line="240" w:lineRule="auto"/>
              <w:rPr>
                <w:rFonts w:eastAsia="Times New Roman"/>
                <w:noProof/>
              </w:rPr>
            </w:pPr>
            <w:r>
              <w:rPr>
                <w:noProof/>
              </w:rPr>
              <w:t>25</w:t>
            </w:r>
          </w:p>
        </w:tc>
        <w:tc>
          <w:tcPr>
            <w:tcW w:w="846" w:type="dxa"/>
            <w:tcBorders>
              <w:top w:val="nil"/>
              <w:left w:val="nil"/>
              <w:bottom w:val="single" w:sz="4" w:space="0" w:color="auto"/>
              <w:right w:val="single" w:sz="4" w:space="0" w:color="auto"/>
            </w:tcBorders>
            <w:shd w:val="clear" w:color="auto" w:fill="C6EFCE"/>
            <w:noWrap/>
          </w:tcPr>
          <w:p w14:paraId="2BF7B3C9" w14:textId="77777777" w:rsidR="00C45D59" w:rsidRDefault="009B0962">
            <w:pPr>
              <w:pStyle w:val="P68B1DB1-Normal12"/>
              <w:spacing w:after="0" w:line="240" w:lineRule="auto"/>
              <w:rPr>
                <w:rFonts w:eastAsia="Times New Roman"/>
                <w:noProof/>
              </w:rPr>
            </w:pPr>
            <w:r>
              <w:rPr>
                <w:noProof/>
              </w:rPr>
              <w:t>Î1</w:t>
            </w:r>
          </w:p>
        </w:tc>
        <w:tc>
          <w:tcPr>
            <w:tcW w:w="622" w:type="dxa"/>
            <w:tcBorders>
              <w:top w:val="nil"/>
              <w:left w:val="nil"/>
              <w:bottom w:val="single" w:sz="4" w:space="0" w:color="auto"/>
              <w:right w:val="single" w:sz="4" w:space="0" w:color="auto"/>
            </w:tcBorders>
            <w:shd w:val="clear" w:color="auto" w:fill="C6EFCE"/>
            <w:noWrap/>
          </w:tcPr>
          <w:p w14:paraId="58B8F5E4" w14:textId="77777777" w:rsidR="00C45D59" w:rsidRDefault="009B0962">
            <w:pPr>
              <w:pStyle w:val="P68B1DB1-Normal12"/>
              <w:spacing w:after="0" w:line="240" w:lineRule="auto"/>
              <w:rPr>
                <w:rFonts w:eastAsia="Times New Roman"/>
                <w:noProof/>
              </w:rPr>
            </w:pPr>
            <w:r>
              <w:rPr>
                <w:noProof/>
              </w:rPr>
              <w:t>2023</w:t>
            </w:r>
          </w:p>
        </w:tc>
        <w:tc>
          <w:tcPr>
            <w:tcW w:w="4885" w:type="dxa"/>
            <w:tcBorders>
              <w:top w:val="nil"/>
              <w:left w:val="nil"/>
              <w:bottom w:val="single" w:sz="4" w:space="0" w:color="auto"/>
              <w:right w:val="single" w:sz="4" w:space="0" w:color="auto"/>
            </w:tcBorders>
            <w:shd w:val="clear" w:color="auto" w:fill="C6EFCE"/>
            <w:noWrap/>
          </w:tcPr>
          <w:p w14:paraId="4ABE1DCB" w14:textId="77777777" w:rsidR="00C45D59" w:rsidRDefault="009B0962">
            <w:pPr>
              <w:pStyle w:val="P68B1DB1-Normal12"/>
              <w:spacing w:after="0" w:line="240" w:lineRule="auto"/>
              <w:rPr>
                <w:rFonts w:eastAsia="Times New Roman"/>
                <w:noProof/>
              </w:rPr>
            </w:pPr>
            <w:r>
              <w:rPr>
                <w:noProof/>
              </w:rPr>
              <w:t>14 judecători suplimentari ai instanțelor judecătorești înscriși la școala națională de judecători, 1 judecător al instanței de audit înscris la școala națională de judecători. Astfel, numărul total de judecători care participă la formare se ridică la 25.</w:t>
            </w:r>
          </w:p>
        </w:tc>
      </w:tr>
      <w:tr w:rsidR="00C45D59" w14:paraId="5D564F6B" w14:textId="77777777">
        <w:trPr>
          <w:trHeight w:val="309"/>
          <w:jc w:val="center"/>
        </w:trPr>
        <w:tc>
          <w:tcPr>
            <w:tcW w:w="592" w:type="dxa"/>
            <w:tcBorders>
              <w:top w:val="nil"/>
              <w:left w:val="single" w:sz="4" w:space="0" w:color="auto"/>
              <w:bottom w:val="single" w:sz="4" w:space="0" w:color="auto"/>
              <w:right w:val="single" w:sz="4" w:space="0" w:color="auto"/>
            </w:tcBorders>
            <w:shd w:val="clear" w:color="auto" w:fill="C6EFCE"/>
            <w:noWrap/>
          </w:tcPr>
          <w:p w14:paraId="155C6FEF" w14:textId="77777777" w:rsidR="00C45D59" w:rsidRDefault="009B0962">
            <w:pPr>
              <w:pStyle w:val="P68B1DB1-Normal12"/>
              <w:spacing w:after="0" w:line="240" w:lineRule="auto"/>
              <w:rPr>
                <w:rFonts w:eastAsia="Times New Roman"/>
                <w:noProof/>
              </w:rPr>
            </w:pPr>
            <w:r>
              <w:rPr>
                <w:noProof/>
              </w:rPr>
              <w:t>229</w:t>
            </w:r>
          </w:p>
        </w:tc>
        <w:tc>
          <w:tcPr>
            <w:tcW w:w="1976" w:type="dxa"/>
            <w:gridSpan w:val="2"/>
            <w:tcBorders>
              <w:top w:val="nil"/>
              <w:left w:val="nil"/>
              <w:bottom w:val="single" w:sz="4" w:space="0" w:color="auto"/>
              <w:right w:val="single" w:sz="4" w:space="0" w:color="auto"/>
            </w:tcBorders>
            <w:shd w:val="clear" w:color="auto" w:fill="C6EFCE"/>
            <w:noWrap/>
          </w:tcPr>
          <w:p w14:paraId="163ED14F" w14:textId="15C721DC" w:rsidR="00C45D59" w:rsidRDefault="009B0962">
            <w:pPr>
              <w:pStyle w:val="P68B1DB1-Normal12"/>
              <w:spacing w:after="0" w:line="240" w:lineRule="auto"/>
              <w:rPr>
                <w:rFonts w:eastAsia="Times New Roman"/>
                <w:noProof/>
              </w:rPr>
            </w:pPr>
            <w:r>
              <w:rPr>
                <w:noProof/>
              </w:rPr>
              <w:t>14-4.3. Îmbunătățirea eficienței sistemului de justiție – 16727 Transformarea digitală a justiției (e-justiție)</w:t>
            </w:r>
          </w:p>
        </w:tc>
        <w:tc>
          <w:tcPr>
            <w:tcW w:w="1424" w:type="dxa"/>
            <w:tcBorders>
              <w:top w:val="nil"/>
              <w:left w:val="nil"/>
              <w:bottom w:val="single" w:sz="4" w:space="0" w:color="auto"/>
              <w:right w:val="single" w:sz="4" w:space="0" w:color="auto"/>
            </w:tcBorders>
            <w:shd w:val="clear" w:color="auto" w:fill="C6EFCE"/>
            <w:noWrap/>
          </w:tcPr>
          <w:p w14:paraId="02F080FF" w14:textId="77777777" w:rsidR="00C45D59" w:rsidRDefault="009B0962">
            <w:pPr>
              <w:pStyle w:val="P68B1DB1-Normal12"/>
              <w:spacing w:after="0" w:line="240" w:lineRule="auto"/>
              <w:rPr>
                <w:rFonts w:eastAsia="Times New Roman"/>
                <w:noProof/>
              </w:rPr>
            </w:pPr>
            <w:r>
              <w:rPr>
                <w:noProof/>
              </w:rPr>
              <w:t>Etapă</w:t>
            </w:r>
          </w:p>
        </w:tc>
        <w:tc>
          <w:tcPr>
            <w:tcW w:w="1397" w:type="dxa"/>
            <w:tcBorders>
              <w:top w:val="nil"/>
              <w:left w:val="nil"/>
              <w:bottom w:val="single" w:sz="4" w:space="0" w:color="auto"/>
              <w:right w:val="single" w:sz="4" w:space="0" w:color="auto"/>
            </w:tcBorders>
            <w:shd w:val="clear" w:color="auto" w:fill="C6EFCE"/>
            <w:noWrap/>
          </w:tcPr>
          <w:p w14:paraId="5F915A14" w14:textId="77777777" w:rsidR="00C45D59" w:rsidRDefault="009B0962">
            <w:pPr>
              <w:pStyle w:val="P68B1DB1-Normal12"/>
              <w:spacing w:after="0" w:line="240" w:lineRule="auto"/>
              <w:rPr>
                <w:rFonts w:eastAsia="Times New Roman"/>
                <w:noProof/>
              </w:rPr>
            </w:pPr>
            <w:r>
              <w:rPr>
                <w:noProof/>
              </w:rPr>
              <w:t>Modernizarea sistemelor de înregistrare &amp; a sistemelor informatice din domeniul justiției</w:t>
            </w:r>
          </w:p>
        </w:tc>
        <w:tc>
          <w:tcPr>
            <w:tcW w:w="1552" w:type="dxa"/>
            <w:tcBorders>
              <w:top w:val="nil"/>
              <w:left w:val="nil"/>
              <w:bottom w:val="single" w:sz="4" w:space="0" w:color="auto"/>
              <w:right w:val="single" w:sz="4" w:space="0" w:color="auto"/>
            </w:tcBorders>
            <w:shd w:val="clear" w:color="auto" w:fill="C6EFCE"/>
            <w:noWrap/>
          </w:tcPr>
          <w:p w14:paraId="663987E2" w14:textId="77777777" w:rsidR="00C45D59" w:rsidRDefault="009B0962">
            <w:pPr>
              <w:pStyle w:val="P68B1DB1-Normal12"/>
              <w:spacing w:after="0" w:line="240" w:lineRule="auto"/>
              <w:rPr>
                <w:rFonts w:eastAsia="Times New Roman"/>
                <w:noProof/>
              </w:rPr>
            </w:pPr>
            <w:r>
              <w:rPr>
                <w:noProof/>
              </w:rPr>
              <w:t xml:space="preserve">Rapoarte de audit al proiectului pentru a confirma respectarea obligațiilor contractuale </w:t>
            </w:r>
          </w:p>
        </w:tc>
        <w:tc>
          <w:tcPr>
            <w:tcW w:w="992" w:type="dxa"/>
            <w:tcBorders>
              <w:top w:val="nil"/>
              <w:left w:val="nil"/>
              <w:bottom w:val="single" w:sz="4" w:space="0" w:color="auto"/>
              <w:right w:val="single" w:sz="4" w:space="0" w:color="auto"/>
            </w:tcBorders>
            <w:shd w:val="clear" w:color="auto" w:fill="C6EFCE"/>
            <w:noWrap/>
          </w:tcPr>
          <w:p w14:paraId="481ED90B"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57" w:type="dxa"/>
            <w:tcBorders>
              <w:top w:val="nil"/>
              <w:left w:val="nil"/>
              <w:bottom w:val="single" w:sz="4" w:space="0" w:color="auto"/>
              <w:right w:val="single" w:sz="4" w:space="0" w:color="auto"/>
            </w:tcBorders>
            <w:shd w:val="clear" w:color="auto" w:fill="C6EFCE"/>
            <w:noWrap/>
          </w:tcPr>
          <w:p w14:paraId="62796312"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587" w:type="dxa"/>
            <w:tcBorders>
              <w:top w:val="nil"/>
              <w:left w:val="nil"/>
              <w:bottom w:val="single" w:sz="4" w:space="0" w:color="auto"/>
              <w:right w:val="single" w:sz="4" w:space="0" w:color="auto"/>
            </w:tcBorders>
            <w:shd w:val="clear" w:color="auto" w:fill="C6EFCE"/>
            <w:noWrap/>
          </w:tcPr>
          <w:p w14:paraId="65DA8ED7"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46" w:type="dxa"/>
            <w:tcBorders>
              <w:top w:val="nil"/>
              <w:left w:val="nil"/>
              <w:bottom w:val="single" w:sz="4" w:space="0" w:color="auto"/>
              <w:right w:val="single" w:sz="4" w:space="0" w:color="auto"/>
            </w:tcBorders>
            <w:shd w:val="clear" w:color="auto" w:fill="C6EFCE"/>
            <w:noWrap/>
          </w:tcPr>
          <w:p w14:paraId="0CA6BE20" w14:textId="77777777" w:rsidR="00C45D59" w:rsidRDefault="009B0962">
            <w:pPr>
              <w:pStyle w:val="P68B1DB1-Normal12"/>
              <w:spacing w:after="0" w:line="240" w:lineRule="auto"/>
              <w:rPr>
                <w:rFonts w:eastAsia="Times New Roman"/>
                <w:noProof/>
              </w:rPr>
            </w:pPr>
            <w:r>
              <w:rPr>
                <w:noProof/>
              </w:rPr>
              <w:t>Î2</w:t>
            </w:r>
          </w:p>
        </w:tc>
        <w:tc>
          <w:tcPr>
            <w:tcW w:w="622" w:type="dxa"/>
            <w:tcBorders>
              <w:top w:val="nil"/>
              <w:left w:val="nil"/>
              <w:bottom w:val="single" w:sz="4" w:space="0" w:color="auto"/>
              <w:right w:val="single" w:sz="4" w:space="0" w:color="auto"/>
            </w:tcBorders>
            <w:shd w:val="clear" w:color="auto" w:fill="C6EFCE"/>
            <w:noWrap/>
          </w:tcPr>
          <w:p w14:paraId="73D89A4D" w14:textId="77777777" w:rsidR="00C45D59" w:rsidRDefault="009B0962">
            <w:pPr>
              <w:pStyle w:val="P68B1DB1-Normal12"/>
              <w:spacing w:after="0" w:line="240" w:lineRule="auto"/>
              <w:rPr>
                <w:rFonts w:eastAsia="Times New Roman"/>
                <w:noProof/>
              </w:rPr>
            </w:pPr>
            <w:r>
              <w:rPr>
                <w:noProof/>
              </w:rPr>
              <w:t>2023</w:t>
            </w:r>
          </w:p>
        </w:tc>
        <w:tc>
          <w:tcPr>
            <w:tcW w:w="4885" w:type="dxa"/>
            <w:tcBorders>
              <w:top w:val="nil"/>
              <w:left w:val="nil"/>
              <w:bottom w:val="single" w:sz="4" w:space="0" w:color="auto"/>
              <w:right w:val="single" w:sz="4" w:space="0" w:color="auto"/>
            </w:tcBorders>
            <w:shd w:val="clear" w:color="auto" w:fill="C6EFCE"/>
            <w:noWrap/>
          </w:tcPr>
          <w:p w14:paraId="57A48384" w14:textId="77777777" w:rsidR="00C45D59" w:rsidRDefault="009B0962">
            <w:pPr>
              <w:pStyle w:val="P68B1DB1-Normal12"/>
              <w:spacing w:after="0" w:line="240" w:lineRule="auto"/>
              <w:rPr>
                <w:rFonts w:eastAsia="Times New Roman"/>
                <w:noProof/>
              </w:rPr>
            </w:pPr>
            <w:r>
              <w:rPr>
                <w:noProof/>
              </w:rPr>
              <w:t>Primirea de dovezi oficiale, prin intermediul unor documente corespunzătoare (certificări de finalizare, protocoale de acceptare calitativă și cantitativă și facturi emise), cu privire la îndeplinirea corespunzătoare și punctuală a tuturor angajamentelor contractuale scadente până la data depunerii la auditorul extern, în conformitate cu calendarele proiectelor, care să acopere toate elementele celor două subproiecte [sisteme de înregistrare judiciară și actualizări ale sistemelor informatice de justiție (OSDDY-PP, Curtea de Conturi, cazierul judiciar național)], prin mijloace adecvate (cum ar fi rapoarte de audit al proiectelor, certificate de livrare calitativă/cantitativă și dovezi ale plății).</w:t>
            </w:r>
          </w:p>
        </w:tc>
      </w:tr>
      <w:tr w:rsidR="00C45D59" w14:paraId="0FB539E9" w14:textId="77777777">
        <w:trPr>
          <w:trHeight w:val="309"/>
          <w:jc w:val="center"/>
        </w:trPr>
        <w:tc>
          <w:tcPr>
            <w:tcW w:w="592" w:type="dxa"/>
            <w:tcBorders>
              <w:top w:val="nil"/>
              <w:left w:val="single" w:sz="4" w:space="0" w:color="auto"/>
              <w:bottom w:val="single" w:sz="4" w:space="0" w:color="auto"/>
              <w:right w:val="single" w:sz="4" w:space="0" w:color="auto"/>
            </w:tcBorders>
            <w:shd w:val="clear" w:color="auto" w:fill="C6EFCE"/>
            <w:noWrap/>
            <w:hideMark/>
          </w:tcPr>
          <w:p w14:paraId="5331AE5C" w14:textId="77777777" w:rsidR="00C45D59" w:rsidRDefault="009B0962">
            <w:pPr>
              <w:pStyle w:val="P68B1DB1-Normal12"/>
              <w:spacing w:after="0" w:line="240" w:lineRule="auto"/>
              <w:rPr>
                <w:rFonts w:eastAsia="Times New Roman"/>
                <w:noProof/>
              </w:rPr>
            </w:pPr>
            <w:r>
              <w:rPr>
                <w:noProof/>
              </w:rPr>
              <w:t>230</w:t>
            </w:r>
          </w:p>
        </w:tc>
        <w:tc>
          <w:tcPr>
            <w:tcW w:w="1976" w:type="dxa"/>
            <w:gridSpan w:val="2"/>
            <w:tcBorders>
              <w:top w:val="nil"/>
              <w:left w:val="nil"/>
              <w:bottom w:val="single" w:sz="4" w:space="0" w:color="auto"/>
              <w:right w:val="single" w:sz="4" w:space="0" w:color="auto"/>
            </w:tcBorders>
            <w:shd w:val="clear" w:color="auto" w:fill="C6EFCE"/>
            <w:noWrap/>
            <w:hideMark/>
          </w:tcPr>
          <w:p w14:paraId="33FAEE3E" w14:textId="136AC446" w:rsidR="00C45D59" w:rsidRDefault="009B0962">
            <w:pPr>
              <w:pStyle w:val="P68B1DB1-Normal12"/>
              <w:spacing w:after="0" w:line="240" w:lineRule="auto"/>
              <w:rPr>
                <w:rFonts w:eastAsia="Times New Roman"/>
                <w:noProof/>
              </w:rPr>
            </w:pPr>
            <w:r>
              <w:rPr>
                <w:noProof/>
              </w:rPr>
              <w:t>14-4.3. Îmbunătățirea eficienței sistemului de justiție – 16575 Accelerarea administrării justiției</w:t>
            </w:r>
          </w:p>
        </w:tc>
        <w:tc>
          <w:tcPr>
            <w:tcW w:w="1424" w:type="dxa"/>
            <w:tcBorders>
              <w:top w:val="nil"/>
              <w:left w:val="nil"/>
              <w:bottom w:val="single" w:sz="4" w:space="0" w:color="auto"/>
              <w:right w:val="single" w:sz="4" w:space="0" w:color="auto"/>
            </w:tcBorders>
            <w:shd w:val="clear" w:color="auto" w:fill="C6EFCE"/>
            <w:noWrap/>
            <w:hideMark/>
          </w:tcPr>
          <w:p w14:paraId="3C928CCD" w14:textId="77777777" w:rsidR="00C45D59" w:rsidRDefault="009B0962">
            <w:pPr>
              <w:pStyle w:val="P68B1DB1-Normal12"/>
              <w:spacing w:after="0" w:line="240" w:lineRule="auto"/>
              <w:rPr>
                <w:rFonts w:eastAsia="Times New Roman"/>
                <w:noProof/>
              </w:rPr>
            </w:pPr>
            <w:r>
              <w:rPr>
                <w:noProof/>
              </w:rPr>
              <w:t> Etapă</w:t>
            </w:r>
          </w:p>
        </w:tc>
        <w:tc>
          <w:tcPr>
            <w:tcW w:w="1397" w:type="dxa"/>
            <w:tcBorders>
              <w:top w:val="nil"/>
              <w:left w:val="nil"/>
              <w:bottom w:val="single" w:sz="4" w:space="0" w:color="auto"/>
              <w:right w:val="single" w:sz="4" w:space="0" w:color="auto"/>
            </w:tcBorders>
            <w:shd w:val="clear" w:color="auto" w:fill="C6EFCE"/>
            <w:noWrap/>
            <w:hideMark/>
          </w:tcPr>
          <w:p w14:paraId="5D306ADD" w14:textId="77777777" w:rsidR="00C45D59" w:rsidRDefault="009B0962">
            <w:pPr>
              <w:pStyle w:val="P68B1DB1-Normal12"/>
              <w:spacing w:after="0" w:line="240" w:lineRule="auto"/>
              <w:rPr>
                <w:rFonts w:eastAsia="Times New Roman"/>
                <w:noProof/>
              </w:rPr>
            </w:pPr>
            <w:r>
              <w:rPr>
                <w:noProof/>
              </w:rPr>
              <w:t>Intrare în vigoare – Instrumentul de performanță pentru funcționarii judiciari</w:t>
            </w:r>
          </w:p>
        </w:tc>
        <w:tc>
          <w:tcPr>
            <w:tcW w:w="1552" w:type="dxa"/>
            <w:tcBorders>
              <w:top w:val="nil"/>
              <w:left w:val="nil"/>
              <w:bottom w:val="single" w:sz="4" w:space="0" w:color="auto"/>
              <w:right w:val="single" w:sz="4" w:space="0" w:color="auto"/>
            </w:tcBorders>
            <w:shd w:val="clear" w:color="auto" w:fill="C6EFCE"/>
            <w:noWrap/>
            <w:hideMark/>
          </w:tcPr>
          <w:p w14:paraId="25808AAF" w14:textId="77777777" w:rsidR="00C45D59" w:rsidRDefault="009B0962">
            <w:pPr>
              <w:pStyle w:val="P68B1DB1-Normal12"/>
              <w:spacing w:after="0" w:line="240" w:lineRule="auto"/>
              <w:rPr>
                <w:rFonts w:eastAsia="Times New Roman"/>
                <w:noProof/>
              </w:rPr>
            </w:pPr>
            <w:r>
              <w:rPr>
                <w:noProof/>
              </w:rPr>
              <w:t>Intrarea în vigoare a legislației primare și secundare</w:t>
            </w:r>
          </w:p>
        </w:tc>
        <w:tc>
          <w:tcPr>
            <w:tcW w:w="992" w:type="dxa"/>
            <w:tcBorders>
              <w:top w:val="nil"/>
              <w:left w:val="nil"/>
              <w:bottom w:val="single" w:sz="4" w:space="0" w:color="auto"/>
              <w:right w:val="single" w:sz="4" w:space="0" w:color="auto"/>
            </w:tcBorders>
            <w:shd w:val="clear" w:color="auto" w:fill="C6EFCE"/>
            <w:noWrap/>
            <w:hideMark/>
          </w:tcPr>
          <w:p w14:paraId="4F5532B7" w14:textId="77777777" w:rsidR="00C45D59" w:rsidRDefault="009B0962">
            <w:pPr>
              <w:pStyle w:val="P68B1DB1-Normal12"/>
              <w:spacing w:after="0" w:line="240" w:lineRule="auto"/>
              <w:rPr>
                <w:rFonts w:eastAsia="Times New Roman"/>
                <w:noProof/>
              </w:rPr>
            </w:pPr>
            <w:r>
              <w:rPr>
                <w:noProof/>
              </w:rPr>
              <w:t xml:space="preserve"> </w:t>
            </w:r>
          </w:p>
        </w:tc>
        <w:tc>
          <w:tcPr>
            <w:tcW w:w="857" w:type="dxa"/>
            <w:tcBorders>
              <w:top w:val="nil"/>
              <w:left w:val="nil"/>
              <w:bottom w:val="single" w:sz="4" w:space="0" w:color="auto"/>
              <w:right w:val="single" w:sz="4" w:space="0" w:color="auto"/>
            </w:tcBorders>
            <w:shd w:val="clear" w:color="auto" w:fill="C6EFCE"/>
            <w:noWrap/>
            <w:hideMark/>
          </w:tcPr>
          <w:p w14:paraId="128779D7" w14:textId="77777777" w:rsidR="00C45D59" w:rsidRDefault="009B0962">
            <w:pPr>
              <w:pStyle w:val="P68B1DB1-Normal12"/>
              <w:spacing w:after="0" w:line="240" w:lineRule="auto"/>
              <w:rPr>
                <w:rFonts w:eastAsia="Times New Roman"/>
                <w:noProof/>
              </w:rPr>
            </w:pPr>
            <w:r>
              <w:rPr>
                <w:noProof/>
              </w:rPr>
              <w:t xml:space="preserve"> </w:t>
            </w:r>
          </w:p>
        </w:tc>
        <w:tc>
          <w:tcPr>
            <w:tcW w:w="587" w:type="dxa"/>
            <w:tcBorders>
              <w:top w:val="nil"/>
              <w:left w:val="nil"/>
              <w:bottom w:val="single" w:sz="4" w:space="0" w:color="auto"/>
              <w:right w:val="single" w:sz="4" w:space="0" w:color="auto"/>
            </w:tcBorders>
            <w:shd w:val="clear" w:color="auto" w:fill="C6EFCE"/>
            <w:noWrap/>
            <w:hideMark/>
          </w:tcPr>
          <w:p w14:paraId="7259DB09" w14:textId="77777777" w:rsidR="00C45D59" w:rsidRDefault="009B0962">
            <w:pPr>
              <w:pStyle w:val="P68B1DB1-Normal12"/>
              <w:spacing w:after="0" w:line="240" w:lineRule="auto"/>
              <w:rPr>
                <w:rFonts w:eastAsia="Times New Roman"/>
                <w:noProof/>
              </w:rPr>
            </w:pPr>
            <w:r>
              <w:rPr>
                <w:noProof/>
              </w:rPr>
              <w:t xml:space="preserve"> </w:t>
            </w:r>
          </w:p>
        </w:tc>
        <w:tc>
          <w:tcPr>
            <w:tcW w:w="846" w:type="dxa"/>
            <w:tcBorders>
              <w:top w:val="nil"/>
              <w:left w:val="nil"/>
              <w:bottom w:val="single" w:sz="4" w:space="0" w:color="auto"/>
              <w:right w:val="single" w:sz="4" w:space="0" w:color="auto"/>
            </w:tcBorders>
            <w:shd w:val="clear" w:color="auto" w:fill="C6EFCE"/>
            <w:noWrap/>
            <w:hideMark/>
          </w:tcPr>
          <w:p w14:paraId="7C34CF5E" w14:textId="77777777" w:rsidR="00C45D59" w:rsidRDefault="009B0962">
            <w:pPr>
              <w:pStyle w:val="P68B1DB1-Normal12"/>
              <w:spacing w:after="0" w:line="240" w:lineRule="auto"/>
              <w:rPr>
                <w:rFonts w:eastAsia="Times New Roman"/>
                <w:noProof/>
              </w:rPr>
            </w:pPr>
            <w:r>
              <w:rPr>
                <w:noProof/>
              </w:rPr>
              <w:t>Î2</w:t>
            </w:r>
          </w:p>
        </w:tc>
        <w:tc>
          <w:tcPr>
            <w:tcW w:w="622" w:type="dxa"/>
            <w:tcBorders>
              <w:top w:val="nil"/>
              <w:left w:val="nil"/>
              <w:bottom w:val="single" w:sz="4" w:space="0" w:color="auto"/>
              <w:right w:val="single" w:sz="4" w:space="0" w:color="auto"/>
            </w:tcBorders>
            <w:shd w:val="clear" w:color="auto" w:fill="C6EFCE"/>
            <w:noWrap/>
            <w:hideMark/>
          </w:tcPr>
          <w:p w14:paraId="110446F5" w14:textId="77777777" w:rsidR="00C45D59" w:rsidRDefault="009B0962">
            <w:pPr>
              <w:pStyle w:val="P68B1DB1-Normal12"/>
              <w:spacing w:after="0" w:line="240" w:lineRule="auto"/>
              <w:rPr>
                <w:rFonts w:eastAsia="Times New Roman"/>
                <w:noProof/>
              </w:rPr>
            </w:pPr>
            <w:r>
              <w:rPr>
                <w:noProof/>
              </w:rPr>
              <w:t>2023</w:t>
            </w:r>
          </w:p>
        </w:tc>
        <w:tc>
          <w:tcPr>
            <w:tcW w:w="4885" w:type="dxa"/>
            <w:tcBorders>
              <w:top w:val="nil"/>
              <w:left w:val="nil"/>
              <w:bottom w:val="single" w:sz="4" w:space="0" w:color="auto"/>
              <w:right w:val="single" w:sz="4" w:space="0" w:color="auto"/>
            </w:tcBorders>
            <w:shd w:val="clear" w:color="auto" w:fill="C6EFCE"/>
            <w:noWrap/>
            <w:hideMark/>
          </w:tcPr>
          <w:p w14:paraId="6C22D794" w14:textId="77777777" w:rsidR="00C45D59" w:rsidRDefault="009B0962">
            <w:pPr>
              <w:pStyle w:val="P68B1DB1-Normal12"/>
              <w:spacing w:after="0" w:line="240" w:lineRule="auto"/>
              <w:rPr>
                <w:rFonts w:eastAsia="Times New Roman"/>
                <w:noProof/>
              </w:rPr>
            </w:pPr>
            <w:r>
              <w:rPr>
                <w:noProof/>
              </w:rPr>
              <w:t>Intrarea în vigoare a legislației primare și secundare pentru a institui un sistem temporar de prime care să se bazeze pe dezvoltarea unui instrument de performanță a funcționarilor judiciari care să stabilească obiective strategice și să introducă indicatori-cheie de performanță obiectivi (cum ar fi timpul necesar pentru îndeplinirea unei sarcini, performanța individuală în ceea ce privește timpul, comunicarea și motivația) pentru fiecare departament și/sau categorie de funcționari și să furnizeze date exacte și obiective privind alocarea primelor; primele care urmează să fie plătite în primul trimestru după sfârșitul anului relevant, pe baza performanței din anul respectiv.</w:t>
            </w:r>
          </w:p>
        </w:tc>
      </w:tr>
      <w:tr w:rsidR="00C45D59" w14:paraId="3D8846B8" w14:textId="77777777">
        <w:trPr>
          <w:trHeight w:val="309"/>
          <w:jc w:val="center"/>
        </w:trPr>
        <w:tc>
          <w:tcPr>
            <w:tcW w:w="592" w:type="dxa"/>
            <w:tcBorders>
              <w:top w:val="nil"/>
              <w:left w:val="single" w:sz="4" w:space="0" w:color="auto"/>
              <w:bottom w:val="single" w:sz="4" w:space="0" w:color="auto"/>
              <w:right w:val="single" w:sz="4" w:space="0" w:color="auto"/>
            </w:tcBorders>
            <w:shd w:val="clear" w:color="auto" w:fill="C6EFCE"/>
            <w:noWrap/>
            <w:hideMark/>
          </w:tcPr>
          <w:p w14:paraId="367B5DE9" w14:textId="77777777" w:rsidR="00C45D59" w:rsidRDefault="009B0962">
            <w:pPr>
              <w:pStyle w:val="P68B1DB1-Normal12"/>
              <w:spacing w:after="0" w:line="240" w:lineRule="auto"/>
              <w:rPr>
                <w:rFonts w:eastAsia="Times New Roman"/>
                <w:noProof/>
              </w:rPr>
            </w:pPr>
            <w:r>
              <w:rPr>
                <w:noProof/>
              </w:rPr>
              <w:t>231</w:t>
            </w:r>
          </w:p>
        </w:tc>
        <w:tc>
          <w:tcPr>
            <w:tcW w:w="1976" w:type="dxa"/>
            <w:gridSpan w:val="2"/>
            <w:tcBorders>
              <w:top w:val="nil"/>
              <w:left w:val="nil"/>
              <w:bottom w:val="single" w:sz="4" w:space="0" w:color="auto"/>
              <w:right w:val="single" w:sz="4" w:space="0" w:color="auto"/>
            </w:tcBorders>
            <w:shd w:val="clear" w:color="auto" w:fill="C6EFCE"/>
            <w:noWrap/>
            <w:hideMark/>
          </w:tcPr>
          <w:p w14:paraId="35CE8B50" w14:textId="01F8729F" w:rsidR="00C45D59" w:rsidRDefault="009B0962">
            <w:pPr>
              <w:pStyle w:val="P68B1DB1-Normal12"/>
              <w:spacing w:after="0" w:line="240" w:lineRule="auto"/>
              <w:rPr>
                <w:rFonts w:eastAsia="Times New Roman"/>
                <w:noProof/>
              </w:rPr>
            </w:pPr>
            <w:r>
              <w:rPr>
                <w:noProof/>
              </w:rPr>
              <w:t>14-4.3. Îmbunătățirea eficienței sistemului de justiție – 16292_Noi clădiri judiciare</w:t>
            </w:r>
          </w:p>
        </w:tc>
        <w:tc>
          <w:tcPr>
            <w:tcW w:w="1424" w:type="dxa"/>
            <w:tcBorders>
              <w:top w:val="nil"/>
              <w:left w:val="nil"/>
              <w:bottom w:val="single" w:sz="4" w:space="0" w:color="auto"/>
              <w:right w:val="single" w:sz="4" w:space="0" w:color="auto"/>
            </w:tcBorders>
            <w:shd w:val="clear" w:color="auto" w:fill="C6EFCE"/>
            <w:noWrap/>
            <w:hideMark/>
          </w:tcPr>
          <w:p w14:paraId="4FC34378" w14:textId="77777777" w:rsidR="00C45D59" w:rsidRDefault="009B0962">
            <w:pPr>
              <w:pStyle w:val="P68B1DB1-Normal12"/>
              <w:spacing w:after="0" w:line="240" w:lineRule="auto"/>
              <w:rPr>
                <w:rFonts w:eastAsia="Times New Roman"/>
                <w:noProof/>
              </w:rPr>
            </w:pPr>
            <w:r>
              <w:rPr>
                <w:noProof/>
              </w:rPr>
              <w:t> Etapă</w:t>
            </w:r>
          </w:p>
        </w:tc>
        <w:tc>
          <w:tcPr>
            <w:tcW w:w="1397" w:type="dxa"/>
            <w:tcBorders>
              <w:top w:val="nil"/>
              <w:left w:val="nil"/>
              <w:bottom w:val="single" w:sz="4" w:space="0" w:color="auto"/>
              <w:right w:val="single" w:sz="4" w:space="0" w:color="auto"/>
            </w:tcBorders>
            <w:shd w:val="clear" w:color="auto" w:fill="C6EFCE"/>
            <w:noWrap/>
            <w:hideMark/>
          </w:tcPr>
          <w:p w14:paraId="11003068" w14:textId="77777777" w:rsidR="00C45D59" w:rsidRDefault="009B0962">
            <w:pPr>
              <w:pStyle w:val="P68B1DB1-Normal12"/>
              <w:spacing w:after="0" w:line="240" w:lineRule="auto"/>
              <w:rPr>
                <w:rFonts w:eastAsia="Times New Roman"/>
                <w:noProof/>
              </w:rPr>
            </w:pPr>
            <w:r>
              <w:rPr>
                <w:noProof/>
              </w:rPr>
              <w:t xml:space="preserve">Contracte </w:t>
            </w:r>
          </w:p>
        </w:tc>
        <w:tc>
          <w:tcPr>
            <w:tcW w:w="1552" w:type="dxa"/>
            <w:tcBorders>
              <w:top w:val="nil"/>
              <w:left w:val="nil"/>
              <w:bottom w:val="single" w:sz="4" w:space="0" w:color="auto"/>
              <w:right w:val="single" w:sz="4" w:space="0" w:color="auto"/>
            </w:tcBorders>
            <w:shd w:val="clear" w:color="auto" w:fill="C6EFCE"/>
            <w:noWrap/>
            <w:hideMark/>
          </w:tcPr>
          <w:p w14:paraId="4F4DC924" w14:textId="77777777" w:rsidR="00C45D59" w:rsidRDefault="009B0962">
            <w:pPr>
              <w:pStyle w:val="P68B1DB1-Normal12"/>
              <w:spacing w:after="0" w:line="240" w:lineRule="auto"/>
              <w:rPr>
                <w:rFonts w:eastAsia="Times New Roman"/>
                <w:noProof/>
              </w:rPr>
            </w:pPr>
            <w:r>
              <w:rPr>
                <w:noProof/>
              </w:rPr>
              <w:t>Atribuirea contractelor</w:t>
            </w:r>
          </w:p>
        </w:tc>
        <w:tc>
          <w:tcPr>
            <w:tcW w:w="992" w:type="dxa"/>
            <w:tcBorders>
              <w:top w:val="nil"/>
              <w:left w:val="nil"/>
              <w:bottom w:val="single" w:sz="4" w:space="0" w:color="auto"/>
              <w:right w:val="single" w:sz="4" w:space="0" w:color="auto"/>
            </w:tcBorders>
            <w:shd w:val="clear" w:color="auto" w:fill="C6EFCE"/>
            <w:noWrap/>
            <w:hideMark/>
          </w:tcPr>
          <w:p w14:paraId="762A4F3A" w14:textId="77777777" w:rsidR="00C45D59" w:rsidRDefault="009B0962">
            <w:pPr>
              <w:pStyle w:val="P68B1DB1-Normal12"/>
              <w:spacing w:after="0" w:line="240" w:lineRule="auto"/>
              <w:rPr>
                <w:rFonts w:eastAsia="Times New Roman"/>
                <w:noProof/>
              </w:rPr>
            </w:pPr>
            <w:r>
              <w:rPr>
                <w:noProof/>
              </w:rPr>
              <w:t xml:space="preserve"> </w:t>
            </w:r>
          </w:p>
        </w:tc>
        <w:tc>
          <w:tcPr>
            <w:tcW w:w="857" w:type="dxa"/>
            <w:tcBorders>
              <w:top w:val="nil"/>
              <w:left w:val="nil"/>
              <w:bottom w:val="single" w:sz="4" w:space="0" w:color="auto"/>
              <w:right w:val="single" w:sz="4" w:space="0" w:color="auto"/>
            </w:tcBorders>
            <w:shd w:val="clear" w:color="auto" w:fill="C6EFCE"/>
            <w:noWrap/>
            <w:hideMark/>
          </w:tcPr>
          <w:p w14:paraId="502E6C84" w14:textId="77777777" w:rsidR="00C45D59" w:rsidRDefault="009B0962">
            <w:pPr>
              <w:pStyle w:val="P68B1DB1-Normal12"/>
              <w:spacing w:after="0" w:line="240" w:lineRule="auto"/>
              <w:rPr>
                <w:rFonts w:eastAsia="Times New Roman"/>
                <w:noProof/>
              </w:rPr>
            </w:pPr>
            <w:r>
              <w:rPr>
                <w:noProof/>
              </w:rPr>
              <w:t xml:space="preserve"> </w:t>
            </w:r>
          </w:p>
        </w:tc>
        <w:tc>
          <w:tcPr>
            <w:tcW w:w="587" w:type="dxa"/>
            <w:tcBorders>
              <w:top w:val="nil"/>
              <w:left w:val="nil"/>
              <w:bottom w:val="single" w:sz="4" w:space="0" w:color="auto"/>
              <w:right w:val="single" w:sz="4" w:space="0" w:color="auto"/>
            </w:tcBorders>
            <w:shd w:val="clear" w:color="auto" w:fill="C6EFCE"/>
            <w:noWrap/>
            <w:hideMark/>
          </w:tcPr>
          <w:p w14:paraId="2005D4F4" w14:textId="77777777" w:rsidR="00C45D59" w:rsidRDefault="009B0962">
            <w:pPr>
              <w:pStyle w:val="P68B1DB1-Normal12"/>
              <w:spacing w:after="0" w:line="240" w:lineRule="auto"/>
              <w:rPr>
                <w:rFonts w:eastAsia="Times New Roman"/>
                <w:noProof/>
              </w:rPr>
            </w:pPr>
            <w:r>
              <w:rPr>
                <w:noProof/>
              </w:rPr>
              <w:t xml:space="preserve"> </w:t>
            </w:r>
          </w:p>
        </w:tc>
        <w:tc>
          <w:tcPr>
            <w:tcW w:w="846" w:type="dxa"/>
            <w:tcBorders>
              <w:top w:val="nil"/>
              <w:left w:val="nil"/>
              <w:bottom w:val="single" w:sz="4" w:space="0" w:color="auto"/>
              <w:right w:val="single" w:sz="4" w:space="0" w:color="auto"/>
            </w:tcBorders>
            <w:shd w:val="clear" w:color="auto" w:fill="C6EFCE"/>
            <w:noWrap/>
            <w:hideMark/>
          </w:tcPr>
          <w:p w14:paraId="1AC755AE" w14:textId="77777777" w:rsidR="00C45D59" w:rsidRDefault="009B0962">
            <w:pPr>
              <w:pStyle w:val="P68B1DB1-Normal12"/>
              <w:spacing w:after="0" w:line="240" w:lineRule="auto"/>
              <w:rPr>
                <w:rFonts w:eastAsia="Times New Roman"/>
                <w:noProof/>
              </w:rPr>
            </w:pPr>
            <w:r>
              <w:rPr>
                <w:noProof/>
              </w:rPr>
              <w:t>Î2</w:t>
            </w:r>
          </w:p>
        </w:tc>
        <w:tc>
          <w:tcPr>
            <w:tcW w:w="622" w:type="dxa"/>
            <w:tcBorders>
              <w:top w:val="nil"/>
              <w:left w:val="nil"/>
              <w:bottom w:val="single" w:sz="4" w:space="0" w:color="auto"/>
              <w:right w:val="single" w:sz="4" w:space="0" w:color="auto"/>
            </w:tcBorders>
            <w:shd w:val="clear" w:color="auto" w:fill="C6EFCE"/>
            <w:noWrap/>
            <w:hideMark/>
          </w:tcPr>
          <w:p w14:paraId="6C2EC129" w14:textId="77777777" w:rsidR="00C45D59" w:rsidRDefault="009B0962">
            <w:pPr>
              <w:pStyle w:val="P68B1DB1-Normal12"/>
              <w:spacing w:after="0" w:line="240" w:lineRule="auto"/>
              <w:rPr>
                <w:rFonts w:eastAsia="Times New Roman"/>
                <w:noProof/>
              </w:rPr>
            </w:pPr>
            <w:r>
              <w:rPr>
                <w:noProof/>
              </w:rPr>
              <w:t>2023</w:t>
            </w:r>
          </w:p>
        </w:tc>
        <w:tc>
          <w:tcPr>
            <w:tcW w:w="4885" w:type="dxa"/>
            <w:tcBorders>
              <w:top w:val="nil"/>
              <w:left w:val="nil"/>
              <w:bottom w:val="single" w:sz="4" w:space="0" w:color="auto"/>
              <w:right w:val="single" w:sz="4" w:space="0" w:color="auto"/>
            </w:tcBorders>
            <w:shd w:val="clear" w:color="auto" w:fill="C6EFCE"/>
            <w:noWrap/>
            <w:hideMark/>
          </w:tcPr>
          <w:p w14:paraId="58B530A3" w14:textId="77777777" w:rsidR="00C45D59" w:rsidRDefault="009B0962">
            <w:pPr>
              <w:pStyle w:val="P68B1DB1-Normal12"/>
              <w:spacing w:after="0" w:line="240" w:lineRule="auto"/>
              <w:jc w:val="both"/>
              <w:rPr>
                <w:noProof/>
              </w:rPr>
            </w:pPr>
            <w:r>
              <w:rPr>
                <w:noProof/>
              </w:rPr>
              <w:t>Atribuirea contractelor pentru proiecte de construcții care nu sunt afectate de revizuirea hărții judiciare.</w:t>
            </w:r>
          </w:p>
          <w:p w14:paraId="3A17C90A" w14:textId="77777777" w:rsidR="00C45D59" w:rsidRDefault="009B0962">
            <w:pPr>
              <w:pStyle w:val="P68B1DB1-Normal12"/>
              <w:spacing w:after="0" w:line="240" w:lineRule="auto"/>
              <w:rPr>
                <w:rFonts w:eastAsia="Times New Roman"/>
                <w:noProof/>
              </w:rPr>
            </w:pPr>
            <w:r>
              <w:rPr>
                <w:noProof/>
              </w:rPr>
              <w:t>Condițiile de atribuire prevăd că noile clădiri care urmează să fie construite trebuie să realizeze o cerere de energie primară (PED) cu cel puțin 20 % mai mică decât cerința privind clădirile al căror consum de energie este aproape egal cu zero (clădiri al căror consum de energie este aproape egal cu zero, directive naționale).</w:t>
            </w:r>
          </w:p>
        </w:tc>
      </w:tr>
      <w:tr w:rsidR="00C45D59" w14:paraId="5677A746" w14:textId="77777777">
        <w:trPr>
          <w:trHeight w:val="309"/>
          <w:jc w:val="center"/>
        </w:trPr>
        <w:tc>
          <w:tcPr>
            <w:tcW w:w="592" w:type="dxa"/>
            <w:tcBorders>
              <w:top w:val="single" w:sz="4" w:space="0" w:color="auto"/>
              <w:left w:val="single" w:sz="4" w:space="0" w:color="auto"/>
              <w:bottom w:val="single" w:sz="4" w:space="0" w:color="auto"/>
              <w:right w:val="single" w:sz="4" w:space="0" w:color="auto"/>
            </w:tcBorders>
            <w:shd w:val="clear" w:color="auto" w:fill="C6EFCE"/>
            <w:noWrap/>
          </w:tcPr>
          <w:p w14:paraId="300DE2A0" w14:textId="77777777" w:rsidR="00C45D59" w:rsidRDefault="009B0962">
            <w:pPr>
              <w:pStyle w:val="P68B1DB1-Normal12"/>
              <w:spacing w:after="0" w:line="240" w:lineRule="auto"/>
              <w:rPr>
                <w:rFonts w:eastAsia="Times New Roman"/>
                <w:noProof/>
              </w:rPr>
            </w:pPr>
            <w:r>
              <w:rPr>
                <w:noProof/>
              </w:rPr>
              <w:t>232</w:t>
            </w:r>
          </w:p>
        </w:tc>
        <w:tc>
          <w:tcPr>
            <w:tcW w:w="1976" w:type="dxa"/>
            <w:gridSpan w:val="2"/>
            <w:tcBorders>
              <w:top w:val="single" w:sz="4" w:space="0" w:color="auto"/>
              <w:left w:val="nil"/>
              <w:bottom w:val="single" w:sz="4" w:space="0" w:color="auto"/>
              <w:right w:val="single" w:sz="4" w:space="0" w:color="auto"/>
            </w:tcBorders>
            <w:shd w:val="clear" w:color="auto" w:fill="C6EFCE"/>
            <w:noWrap/>
          </w:tcPr>
          <w:p w14:paraId="1FBBEF8A" w14:textId="77777777" w:rsidR="00C45D59" w:rsidRDefault="009B0962">
            <w:pPr>
              <w:pStyle w:val="P68B1DB1-Normal12"/>
              <w:spacing w:after="0" w:line="240" w:lineRule="auto"/>
              <w:rPr>
                <w:rFonts w:eastAsia="Times New Roman"/>
                <w:noProof/>
              </w:rPr>
            </w:pPr>
            <w:r>
              <w:rPr>
                <w:noProof/>
              </w:rPr>
              <w:t>14-4.3. Îmbunătățirea eficienței sistemului de justiție – 16575 Accelerarea administrării justiției</w:t>
            </w:r>
          </w:p>
        </w:tc>
        <w:tc>
          <w:tcPr>
            <w:tcW w:w="1424" w:type="dxa"/>
            <w:tcBorders>
              <w:top w:val="single" w:sz="4" w:space="0" w:color="auto"/>
              <w:left w:val="nil"/>
              <w:bottom w:val="single" w:sz="4" w:space="0" w:color="auto"/>
              <w:right w:val="single" w:sz="4" w:space="0" w:color="auto"/>
            </w:tcBorders>
            <w:shd w:val="clear" w:color="auto" w:fill="C6EFCE"/>
            <w:noWrap/>
          </w:tcPr>
          <w:p w14:paraId="07E14BB1" w14:textId="77777777" w:rsidR="00C45D59" w:rsidRDefault="009B0962">
            <w:pPr>
              <w:pStyle w:val="P68B1DB1-Normal12"/>
              <w:spacing w:after="0" w:line="240" w:lineRule="auto"/>
              <w:rPr>
                <w:rFonts w:eastAsia="Times New Roman"/>
                <w:noProof/>
              </w:rPr>
            </w:pPr>
            <w:r>
              <w:rPr>
                <w:noProof/>
              </w:rPr>
              <w:t>Etapă</w:t>
            </w:r>
          </w:p>
        </w:tc>
        <w:tc>
          <w:tcPr>
            <w:tcW w:w="1397" w:type="dxa"/>
            <w:tcBorders>
              <w:top w:val="single" w:sz="4" w:space="0" w:color="auto"/>
              <w:left w:val="nil"/>
              <w:bottom w:val="single" w:sz="4" w:space="0" w:color="auto"/>
              <w:right w:val="single" w:sz="4" w:space="0" w:color="auto"/>
            </w:tcBorders>
            <w:shd w:val="clear" w:color="auto" w:fill="C6EFCE"/>
            <w:noWrap/>
          </w:tcPr>
          <w:p w14:paraId="69216E82" w14:textId="77777777" w:rsidR="00C45D59" w:rsidRDefault="009B0962">
            <w:pPr>
              <w:pStyle w:val="P68B1DB1-Normal12"/>
              <w:spacing w:after="0" w:line="240" w:lineRule="auto"/>
              <w:rPr>
                <w:rFonts w:eastAsia="Times New Roman"/>
                <w:noProof/>
              </w:rPr>
            </w:pPr>
            <w:r>
              <w:rPr>
                <w:noProof/>
              </w:rPr>
              <w:t>Revizuirea hărții judiciare – legislație primară – civilă și penală</w:t>
            </w:r>
          </w:p>
        </w:tc>
        <w:tc>
          <w:tcPr>
            <w:tcW w:w="1552" w:type="dxa"/>
            <w:tcBorders>
              <w:top w:val="single" w:sz="4" w:space="0" w:color="auto"/>
              <w:left w:val="nil"/>
              <w:bottom w:val="single" w:sz="4" w:space="0" w:color="auto"/>
              <w:right w:val="single" w:sz="4" w:space="0" w:color="auto"/>
            </w:tcBorders>
            <w:shd w:val="clear" w:color="auto" w:fill="C6EFCE"/>
            <w:noWrap/>
          </w:tcPr>
          <w:p w14:paraId="42996DAF" w14:textId="77777777" w:rsidR="00C45D59" w:rsidRDefault="009B0962">
            <w:pPr>
              <w:pStyle w:val="P68B1DB1-Normal12"/>
              <w:spacing w:after="0" w:line="240" w:lineRule="auto"/>
              <w:rPr>
                <w:rFonts w:eastAsia="Times New Roman"/>
                <w:noProof/>
              </w:rPr>
            </w:pPr>
            <w:r>
              <w:rPr>
                <w:noProof/>
              </w:rPr>
              <w:t>Intrarea în vigoare a legislației</w:t>
            </w:r>
          </w:p>
        </w:tc>
        <w:tc>
          <w:tcPr>
            <w:tcW w:w="992" w:type="dxa"/>
            <w:tcBorders>
              <w:top w:val="single" w:sz="4" w:space="0" w:color="auto"/>
              <w:left w:val="nil"/>
              <w:bottom w:val="single" w:sz="4" w:space="0" w:color="auto"/>
              <w:right w:val="single" w:sz="4" w:space="0" w:color="auto"/>
            </w:tcBorders>
            <w:shd w:val="clear" w:color="auto" w:fill="C6EFCE"/>
            <w:noWrap/>
          </w:tcPr>
          <w:p w14:paraId="1311A11A"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57" w:type="dxa"/>
            <w:tcBorders>
              <w:top w:val="single" w:sz="4" w:space="0" w:color="auto"/>
              <w:left w:val="nil"/>
              <w:bottom w:val="single" w:sz="4" w:space="0" w:color="auto"/>
              <w:right w:val="single" w:sz="4" w:space="0" w:color="auto"/>
            </w:tcBorders>
            <w:shd w:val="clear" w:color="auto" w:fill="C6EFCE"/>
            <w:noWrap/>
          </w:tcPr>
          <w:p w14:paraId="265E23B6"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587" w:type="dxa"/>
            <w:tcBorders>
              <w:top w:val="single" w:sz="4" w:space="0" w:color="auto"/>
              <w:left w:val="nil"/>
              <w:bottom w:val="single" w:sz="4" w:space="0" w:color="auto"/>
              <w:right w:val="single" w:sz="4" w:space="0" w:color="auto"/>
            </w:tcBorders>
            <w:shd w:val="clear" w:color="auto" w:fill="C6EFCE"/>
            <w:noWrap/>
          </w:tcPr>
          <w:p w14:paraId="048CB89D"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46" w:type="dxa"/>
            <w:tcBorders>
              <w:top w:val="single" w:sz="4" w:space="0" w:color="auto"/>
              <w:left w:val="nil"/>
              <w:bottom w:val="single" w:sz="4" w:space="0" w:color="auto"/>
              <w:right w:val="single" w:sz="4" w:space="0" w:color="auto"/>
            </w:tcBorders>
            <w:shd w:val="clear" w:color="auto" w:fill="C6EFCE"/>
            <w:noWrap/>
          </w:tcPr>
          <w:p w14:paraId="25931B0E" w14:textId="77777777" w:rsidR="00C45D59" w:rsidRDefault="009B0962">
            <w:pPr>
              <w:pStyle w:val="P68B1DB1-Normal12"/>
              <w:spacing w:after="0" w:line="240" w:lineRule="auto"/>
              <w:rPr>
                <w:rFonts w:eastAsia="Times New Roman"/>
                <w:noProof/>
              </w:rPr>
            </w:pPr>
            <w:r>
              <w:rPr>
                <w:noProof/>
              </w:rPr>
              <w:t>Î4</w:t>
            </w:r>
          </w:p>
        </w:tc>
        <w:tc>
          <w:tcPr>
            <w:tcW w:w="622" w:type="dxa"/>
            <w:tcBorders>
              <w:top w:val="single" w:sz="4" w:space="0" w:color="auto"/>
              <w:left w:val="nil"/>
              <w:bottom w:val="single" w:sz="4" w:space="0" w:color="auto"/>
              <w:right w:val="single" w:sz="4" w:space="0" w:color="auto"/>
            </w:tcBorders>
            <w:shd w:val="clear" w:color="auto" w:fill="C6EFCE"/>
            <w:noWrap/>
          </w:tcPr>
          <w:p w14:paraId="1781AE85" w14:textId="77777777" w:rsidR="00C45D59" w:rsidRDefault="009B0962">
            <w:pPr>
              <w:pStyle w:val="P68B1DB1-Normal12"/>
              <w:spacing w:after="0" w:line="240" w:lineRule="auto"/>
              <w:rPr>
                <w:rFonts w:eastAsia="Times New Roman"/>
                <w:noProof/>
              </w:rPr>
            </w:pPr>
            <w:r>
              <w:rPr>
                <w:noProof/>
              </w:rPr>
              <w:t>2023</w:t>
            </w:r>
          </w:p>
        </w:tc>
        <w:tc>
          <w:tcPr>
            <w:tcW w:w="4885" w:type="dxa"/>
            <w:tcBorders>
              <w:top w:val="single" w:sz="4" w:space="0" w:color="auto"/>
              <w:left w:val="nil"/>
              <w:bottom w:val="single" w:sz="4" w:space="0" w:color="auto"/>
              <w:right w:val="single" w:sz="4" w:space="0" w:color="auto"/>
            </w:tcBorders>
            <w:shd w:val="clear" w:color="auto" w:fill="C6EFCE"/>
            <w:noWrap/>
          </w:tcPr>
          <w:p w14:paraId="6510F443" w14:textId="77777777" w:rsidR="00C45D59" w:rsidRDefault="009B0962">
            <w:pPr>
              <w:pStyle w:val="P68B1DB1-Normal12"/>
              <w:spacing w:after="0" w:line="240" w:lineRule="auto"/>
              <w:rPr>
                <w:noProof/>
              </w:rPr>
            </w:pPr>
            <w:r>
              <w:rPr>
                <w:noProof/>
              </w:rPr>
              <w:t>Intrarea în vigoare a legislației primare pentru revizuirea hărții judiciare pentru justiția civilă și penală.</w:t>
            </w:r>
          </w:p>
        </w:tc>
      </w:tr>
      <w:tr w:rsidR="00C45D59" w14:paraId="2B0749A3" w14:textId="77777777">
        <w:trPr>
          <w:trHeight w:val="309"/>
          <w:jc w:val="center"/>
        </w:trPr>
        <w:tc>
          <w:tcPr>
            <w:tcW w:w="592" w:type="dxa"/>
            <w:tcBorders>
              <w:top w:val="single" w:sz="4" w:space="0" w:color="auto"/>
              <w:left w:val="single" w:sz="4" w:space="0" w:color="auto"/>
              <w:bottom w:val="single" w:sz="4" w:space="0" w:color="auto"/>
              <w:right w:val="single" w:sz="4" w:space="0" w:color="auto"/>
            </w:tcBorders>
            <w:shd w:val="clear" w:color="auto" w:fill="C6EFCE"/>
            <w:noWrap/>
          </w:tcPr>
          <w:p w14:paraId="475908B6" w14:textId="77777777" w:rsidR="00C45D59" w:rsidRDefault="009B0962">
            <w:pPr>
              <w:pStyle w:val="P68B1DB1-Normal12"/>
              <w:spacing w:after="0" w:line="240" w:lineRule="auto"/>
              <w:rPr>
                <w:rFonts w:eastAsia="Times New Roman"/>
                <w:noProof/>
              </w:rPr>
            </w:pPr>
            <w:r>
              <w:rPr>
                <w:noProof/>
              </w:rPr>
              <w:t>233</w:t>
            </w:r>
          </w:p>
        </w:tc>
        <w:tc>
          <w:tcPr>
            <w:tcW w:w="1976" w:type="dxa"/>
            <w:gridSpan w:val="2"/>
            <w:tcBorders>
              <w:top w:val="single" w:sz="4" w:space="0" w:color="auto"/>
              <w:left w:val="nil"/>
              <w:bottom w:val="single" w:sz="4" w:space="0" w:color="auto"/>
              <w:right w:val="single" w:sz="4" w:space="0" w:color="auto"/>
            </w:tcBorders>
            <w:shd w:val="clear" w:color="auto" w:fill="C6EFCE"/>
            <w:noWrap/>
          </w:tcPr>
          <w:p w14:paraId="3DB0179E" w14:textId="77777777" w:rsidR="00C45D59" w:rsidRDefault="009B0962">
            <w:pPr>
              <w:pStyle w:val="P68B1DB1-Normal12"/>
              <w:spacing w:after="0" w:line="240" w:lineRule="auto"/>
              <w:rPr>
                <w:rFonts w:eastAsia="Times New Roman"/>
                <w:noProof/>
              </w:rPr>
            </w:pPr>
            <w:r>
              <w:rPr>
                <w:noProof/>
              </w:rPr>
              <w:t>14-4.3. Îmbunătățirea eficienței sistemului de justiție – 16292_Noi clădiri judiciare</w:t>
            </w:r>
          </w:p>
        </w:tc>
        <w:tc>
          <w:tcPr>
            <w:tcW w:w="1424" w:type="dxa"/>
            <w:tcBorders>
              <w:top w:val="single" w:sz="4" w:space="0" w:color="auto"/>
              <w:left w:val="nil"/>
              <w:bottom w:val="single" w:sz="4" w:space="0" w:color="auto"/>
              <w:right w:val="single" w:sz="4" w:space="0" w:color="auto"/>
            </w:tcBorders>
            <w:shd w:val="clear" w:color="auto" w:fill="C6EFCE"/>
            <w:noWrap/>
          </w:tcPr>
          <w:p w14:paraId="2786D8A6" w14:textId="77777777" w:rsidR="00C45D59" w:rsidRDefault="009B0962">
            <w:pPr>
              <w:pStyle w:val="P68B1DB1-Normal12"/>
              <w:spacing w:after="0" w:line="240" w:lineRule="auto"/>
              <w:rPr>
                <w:rFonts w:eastAsia="Times New Roman"/>
                <w:noProof/>
              </w:rPr>
            </w:pPr>
            <w:r>
              <w:rPr>
                <w:noProof/>
              </w:rPr>
              <w:t>Etapă</w:t>
            </w:r>
          </w:p>
        </w:tc>
        <w:tc>
          <w:tcPr>
            <w:tcW w:w="1397" w:type="dxa"/>
            <w:tcBorders>
              <w:top w:val="single" w:sz="4" w:space="0" w:color="auto"/>
              <w:left w:val="nil"/>
              <w:bottom w:val="single" w:sz="4" w:space="0" w:color="auto"/>
              <w:right w:val="single" w:sz="4" w:space="0" w:color="auto"/>
            </w:tcBorders>
            <w:shd w:val="clear" w:color="auto" w:fill="C6EFCE"/>
            <w:noWrap/>
          </w:tcPr>
          <w:p w14:paraId="7B322062" w14:textId="77777777" w:rsidR="00C45D59" w:rsidRDefault="009B0962">
            <w:pPr>
              <w:pStyle w:val="P68B1DB1-Normal12"/>
              <w:spacing w:after="0" w:line="240" w:lineRule="auto"/>
              <w:rPr>
                <w:rFonts w:eastAsia="Times New Roman"/>
                <w:noProof/>
              </w:rPr>
            </w:pPr>
            <w:r>
              <w:rPr>
                <w:noProof/>
              </w:rPr>
              <w:t>Construcția și renovarea clădirilor judiciare – lansarea licitațiilor</w:t>
            </w:r>
          </w:p>
        </w:tc>
        <w:tc>
          <w:tcPr>
            <w:tcW w:w="1552" w:type="dxa"/>
            <w:tcBorders>
              <w:top w:val="single" w:sz="4" w:space="0" w:color="auto"/>
              <w:left w:val="nil"/>
              <w:bottom w:val="single" w:sz="4" w:space="0" w:color="auto"/>
              <w:right w:val="single" w:sz="4" w:space="0" w:color="auto"/>
            </w:tcBorders>
            <w:shd w:val="clear" w:color="auto" w:fill="C6EFCE"/>
            <w:noWrap/>
          </w:tcPr>
          <w:p w14:paraId="4D1145C3" w14:textId="77777777" w:rsidR="00C45D59" w:rsidRDefault="009B0962">
            <w:pPr>
              <w:pStyle w:val="P68B1DB1-Normal12"/>
              <w:spacing w:after="0" w:line="240" w:lineRule="auto"/>
              <w:rPr>
                <w:rFonts w:eastAsia="Times New Roman"/>
                <w:noProof/>
              </w:rPr>
            </w:pPr>
            <w:r>
              <w:rPr>
                <w:noProof/>
              </w:rPr>
              <w:t>Lansarea licitațiilor</w:t>
            </w:r>
          </w:p>
        </w:tc>
        <w:tc>
          <w:tcPr>
            <w:tcW w:w="992" w:type="dxa"/>
            <w:tcBorders>
              <w:top w:val="single" w:sz="4" w:space="0" w:color="auto"/>
              <w:left w:val="nil"/>
              <w:bottom w:val="single" w:sz="4" w:space="0" w:color="auto"/>
              <w:right w:val="single" w:sz="4" w:space="0" w:color="auto"/>
            </w:tcBorders>
            <w:shd w:val="clear" w:color="auto" w:fill="C6EFCE"/>
            <w:noWrap/>
          </w:tcPr>
          <w:p w14:paraId="2AAE34EA"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57" w:type="dxa"/>
            <w:tcBorders>
              <w:top w:val="single" w:sz="4" w:space="0" w:color="auto"/>
              <w:left w:val="nil"/>
              <w:bottom w:val="single" w:sz="4" w:space="0" w:color="auto"/>
              <w:right w:val="single" w:sz="4" w:space="0" w:color="auto"/>
            </w:tcBorders>
            <w:shd w:val="clear" w:color="auto" w:fill="C6EFCE"/>
            <w:noWrap/>
          </w:tcPr>
          <w:p w14:paraId="7830BE22"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587" w:type="dxa"/>
            <w:tcBorders>
              <w:top w:val="single" w:sz="4" w:space="0" w:color="auto"/>
              <w:left w:val="nil"/>
              <w:bottom w:val="single" w:sz="4" w:space="0" w:color="auto"/>
              <w:right w:val="single" w:sz="4" w:space="0" w:color="auto"/>
            </w:tcBorders>
            <w:shd w:val="clear" w:color="auto" w:fill="C6EFCE"/>
            <w:noWrap/>
          </w:tcPr>
          <w:p w14:paraId="00FB2959"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46" w:type="dxa"/>
            <w:tcBorders>
              <w:top w:val="single" w:sz="4" w:space="0" w:color="auto"/>
              <w:left w:val="nil"/>
              <w:bottom w:val="single" w:sz="4" w:space="0" w:color="auto"/>
              <w:right w:val="single" w:sz="4" w:space="0" w:color="auto"/>
            </w:tcBorders>
            <w:shd w:val="clear" w:color="auto" w:fill="C6EFCE"/>
            <w:noWrap/>
          </w:tcPr>
          <w:p w14:paraId="3E6DECB6" w14:textId="77777777" w:rsidR="00C45D59" w:rsidRDefault="009B0962">
            <w:pPr>
              <w:pStyle w:val="P68B1DB1-Normal12"/>
              <w:spacing w:after="0" w:line="240" w:lineRule="auto"/>
              <w:rPr>
                <w:rFonts w:eastAsia="Times New Roman"/>
                <w:noProof/>
              </w:rPr>
            </w:pPr>
            <w:r>
              <w:rPr>
                <w:noProof/>
              </w:rPr>
              <w:t>Î4</w:t>
            </w:r>
          </w:p>
        </w:tc>
        <w:tc>
          <w:tcPr>
            <w:tcW w:w="622" w:type="dxa"/>
            <w:tcBorders>
              <w:top w:val="single" w:sz="4" w:space="0" w:color="auto"/>
              <w:left w:val="nil"/>
              <w:bottom w:val="single" w:sz="4" w:space="0" w:color="auto"/>
              <w:right w:val="single" w:sz="4" w:space="0" w:color="auto"/>
            </w:tcBorders>
            <w:shd w:val="clear" w:color="auto" w:fill="C6EFCE"/>
            <w:noWrap/>
          </w:tcPr>
          <w:p w14:paraId="1A1ED07F" w14:textId="77777777" w:rsidR="00C45D59" w:rsidRDefault="009B0962">
            <w:pPr>
              <w:pStyle w:val="P68B1DB1-Normal12"/>
              <w:spacing w:after="0" w:line="240" w:lineRule="auto"/>
              <w:rPr>
                <w:rFonts w:eastAsia="Times New Roman"/>
                <w:noProof/>
              </w:rPr>
            </w:pPr>
            <w:r>
              <w:rPr>
                <w:noProof/>
              </w:rPr>
              <w:t>2023</w:t>
            </w:r>
          </w:p>
        </w:tc>
        <w:tc>
          <w:tcPr>
            <w:tcW w:w="4885" w:type="dxa"/>
            <w:tcBorders>
              <w:top w:val="single" w:sz="4" w:space="0" w:color="auto"/>
              <w:left w:val="nil"/>
              <w:bottom w:val="single" w:sz="4" w:space="0" w:color="auto"/>
              <w:right w:val="single" w:sz="4" w:space="0" w:color="auto"/>
            </w:tcBorders>
            <w:shd w:val="clear" w:color="auto" w:fill="C6EFCE"/>
            <w:noWrap/>
          </w:tcPr>
          <w:p w14:paraId="2B3156EE" w14:textId="77777777" w:rsidR="00C45D59" w:rsidRDefault="009B0962">
            <w:pPr>
              <w:pStyle w:val="P68B1DB1-Normal12"/>
              <w:spacing w:after="0" w:line="240" w:lineRule="auto"/>
              <w:rPr>
                <w:noProof/>
              </w:rPr>
            </w:pPr>
            <w:r>
              <w:rPr>
                <w:noProof/>
              </w:rPr>
              <w:t>Adaptarea listei de proiecte în conformitate cu legea privind revizuirea hărții judiciare.</w:t>
            </w:r>
          </w:p>
          <w:p w14:paraId="1EE0A42E" w14:textId="77777777" w:rsidR="00C45D59" w:rsidRDefault="009B0962">
            <w:pPr>
              <w:pStyle w:val="P68B1DB1-Normal12"/>
              <w:spacing w:after="0" w:line="240" w:lineRule="auto"/>
              <w:rPr>
                <w:noProof/>
              </w:rPr>
            </w:pPr>
            <w:r>
              <w:rPr>
                <w:noProof/>
              </w:rPr>
              <w:t>Lansarea licitației pentru proiectele privind tribunalele civile și penale incluse în lista revizuită a renovărilor. Condițiile de licitație trebuie să prevadă că noile clădiri care urmează să fie construite trebuie să realizeze o cerere de energie primară (PED) cu cel puțin 20 % mai mică decât cerința privind clădirile al căror consum de energie este aproape egal cu zero (clădiri al căror consum de energie este aproape egal cu zero, directive naționale).</w:t>
            </w:r>
          </w:p>
        </w:tc>
      </w:tr>
      <w:tr w:rsidR="00C45D59" w14:paraId="4FF48D02" w14:textId="77777777">
        <w:trPr>
          <w:trHeight w:val="309"/>
          <w:jc w:val="center"/>
        </w:trPr>
        <w:tc>
          <w:tcPr>
            <w:tcW w:w="592" w:type="dxa"/>
            <w:tcBorders>
              <w:top w:val="single" w:sz="4" w:space="0" w:color="auto"/>
              <w:left w:val="single" w:sz="4" w:space="0" w:color="auto"/>
              <w:bottom w:val="single" w:sz="4" w:space="0" w:color="auto"/>
              <w:right w:val="single" w:sz="4" w:space="0" w:color="auto"/>
            </w:tcBorders>
            <w:shd w:val="clear" w:color="auto" w:fill="C6EFCE"/>
            <w:noWrap/>
          </w:tcPr>
          <w:p w14:paraId="51A0AC49" w14:textId="77777777" w:rsidR="00C45D59" w:rsidRDefault="009B0962">
            <w:pPr>
              <w:pStyle w:val="P68B1DB1-Normal12"/>
              <w:spacing w:after="0" w:line="240" w:lineRule="auto"/>
              <w:rPr>
                <w:rFonts w:eastAsia="Times New Roman"/>
                <w:noProof/>
              </w:rPr>
            </w:pPr>
            <w:r>
              <w:rPr>
                <w:noProof/>
              </w:rPr>
              <w:t>234</w:t>
            </w:r>
          </w:p>
        </w:tc>
        <w:tc>
          <w:tcPr>
            <w:tcW w:w="1976" w:type="dxa"/>
            <w:gridSpan w:val="2"/>
            <w:tcBorders>
              <w:top w:val="single" w:sz="4" w:space="0" w:color="auto"/>
              <w:left w:val="nil"/>
              <w:bottom w:val="single" w:sz="4" w:space="0" w:color="auto"/>
              <w:right w:val="single" w:sz="4" w:space="0" w:color="auto"/>
            </w:tcBorders>
            <w:shd w:val="clear" w:color="auto" w:fill="C6EFCE"/>
            <w:noWrap/>
          </w:tcPr>
          <w:p w14:paraId="1BFE3D98" w14:textId="77777777" w:rsidR="00C45D59" w:rsidRDefault="009B0962">
            <w:pPr>
              <w:pStyle w:val="P68B1DB1-Normal12"/>
              <w:spacing w:after="0" w:line="240" w:lineRule="auto"/>
              <w:rPr>
                <w:rFonts w:eastAsia="Times New Roman"/>
                <w:noProof/>
              </w:rPr>
            </w:pPr>
            <w:r>
              <w:rPr>
                <w:noProof/>
              </w:rPr>
              <w:t>14-4.3. Îmbunătățirea eficienței sistemului de justiție – 16575 Accelerarea administrării justiției</w:t>
            </w:r>
          </w:p>
        </w:tc>
        <w:tc>
          <w:tcPr>
            <w:tcW w:w="1424" w:type="dxa"/>
            <w:tcBorders>
              <w:top w:val="single" w:sz="4" w:space="0" w:color="auto"/>
              <w:left w:val="nil"/>
              <w:bottom w:val="single" w:sz="4" w:space="0" w:color="auto"/>
              <w:right w:val="single" w:sz="4" w:space="0" w:color="auto"/>
            </w:tcBorders>
            <w:shd w:val="clear" w:color="auto" w:fill="C6EFCE"/>
            <w:noWrap/>
          </w:tcPr>
          <w:p w14:paraId="038DB83B" w14:textId="77777777" w:rsidR="00C45D59" w:rsidRDefault="009B0962">
            <w:pPr>
              <w:pStyle w:val="P68B1DB1-Normal12"/>
              <w:spacing w:after="0" w:line="240" w:lineRule="auto"/>
              <w:rPr>
                <w:rFonts w:eastAsia="Times New Roman"/>
                <w:noProof/>
              </w:rPr>
            </w:pPr>
            <w:r>
              <w:rPr>
                <w:noProof/>
              </w:rPr>
              <w:t>Etapă</w:t>
            </w:r>
          </w:p>
        </w:tc>
        <w:tc>
          <w:tcPr>
            <w:tcW w:w="1397" w:type="dxa"/>
            <w:tcBorders>
              <w:top w:val="single" w:sz="4" w:space="0" w:color="auto"/>
              <w:left w:val="nil"/>
              <w:bottom w:val="single" w:sz="4" w:space="0" w:color="auto"/>
              <w:right w:val="single" w:sz="4" w:space="0" w:color="auto"/>
            </w:tcBorders>
            <w:shd w:val="clear" w:color="auto" w:fill="C6EFCE"/>
            <w:noWrap/>
          </w:tcPr>
          <w:p w14:paraId="6EE151E6" w14:textId="77777777" w:rsidR="00C45D59" w:rsidRDefault="009B0962">
            <w:pPr>
              <w:pStyle w:val="P68B1DB1-Normal12"/>
              <w:spacing w:after="0" w:line="240" w:lineRule="auto"/>
              <w:rPr>
                <w:rFonts w:eastAsia="Times New Roman"/>
                <w:noProof/>
              </w:rPr>
            </w:pPr>
            <w:r>
              <w:rPr>
                <w:noProof/>
              </w:rPr>
              <w:t>Poliția judiciară operațională</w:t>
            </w:r>
          </w:p>
        </w:tc>
        <w:tc>
          <w:tcPr>
            <w:tcW w:w="1552" w:type="dxa"/>
            <w:tcBorders>
              <w:top w:val="single" w:sz="4" w:space="0" w:color="auto"/>
              <w:left w:val="nil"/>
              <w:bottom w:val="single" w:sz="4" w:space="0" w:color="auto"/>
              <w:right w:val="single" w:sz="4" w:space="0" w:color="auto"/>
            </w:tcBorders>
            <w:shd w:val="clear" w:color="auto" w:fill="C6EFCE"/>
            <w:noWrap/>
          </w:tcPr>
          <w:p w14:paraId="550FD3AC" w14:textId="77777777" w:rsidR="00C45D59" w:rsidRDefault="009B0962">
            <w:pPr>
              <w:pStyle w:val="P68B1DB1-Normal12"/>
              <w:spacing w:after="0" w:line="240" w:lineRule="auto"/>
              <w:rPr>
                <w:rFonts w:eastAsia="Times New Roman"/>
                <w:noProof/>
              </w:rPr>
            </w:pPr>
            <w:r>
              <w:rPr>
                <w:noProof/>
              </w:rPr>
              <w:t>Poliția judiciară este pe deplin operațională și funcțională atât la nivel central, cât și la nivel regional</w:t>
            </w:r>
          </w:p>
        </w:tc>
        <w:tc>
          <w:tcPr>
            <w:tcW w:w="992" w:type="dxa"/>
            <w:tcBorders>
              <w:top w:val="single" w:sz="4" w:space="0" w:color="auto"/>
              <w:left w:val="nil"/>
              <w:bottom w:val="single" w:sz="4" w:space="0" w:color="auto"/>
              <w:right w:val="single" w:sz="4" w:space="0" w:color="auto"/>
            </w:tcBorders>
            <w:shd w:val="clear" w:color="auto" w:fill="C6EFCE"/>
            <w:noWrap/>
          </w:tcPr>
          <w:p w14:paraId="5B3855B5"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57" w:type="dxa"/>
            <w:tcBorders>
              <w:top w:val="single" w:sz="4" w:space="0" w:color="auto"/>
              <w:left w:val="nil"/>
              <w:bottom w:val="single" w:sz="4" w:space="0" w:color="auto"/>
              <w:right w:val="single" w:sz="4" w:space="0" w:color="auto"/>
            </w:tcBorders>
            <w:shd w:val="clear" w:color="auto" w:fill="C6EFCE"/>
            <w:noWrap/>
          </w:tcPr>
          <w:p w14:paraId="1B3CF3FF"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587" w:type="dxa"/>
            <w:tcBorders>
              <w:top w:val="single" w:sz="4" w:space="0" w:color="auto"/>
              <w:left w:val="nil"/>
              <w:bottom w:val="single" w:sz="4" w:space="0" w:color="auto"/>
              <w:right w:val="single" w:sz="4" w:space="0" w:color="auto"/>
            </w:tcBorders>
            <w:shd w:val="clear" w:color="auto" w:fill="C6EFCE"/>
            <w:noWrap/>
          </w:tcPr>
          <w:p w14:paraId="0C693F0D"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46" w:type="dxa"/>
            <w:tcBorders>
              <w:top w:val="single" w:sz="4" w:space="0" w:color="auto"/>
              <w:left w:val="nil"/>
              <w:bottom w:val="single" w:sz="4" w:space="0" w:color="auto"/>
              <w:right w:val="single" w:sz="4" w:space="0" w:color="auto"/>
            </w:tcBorders>
            <w:shd w:val="clear" w:color="auto" w:fill="C6EFCE"/>
            <w:noWrap/>
          </w:tcPr>
          <w:p w14:paraId="3CA49F27" w14:textId="77777777" w:rsidR="00C45D59" w:rsidRDefault="009B0962">
            <w:pPr>
              <w:pStyle w:val="P68B1DB1-Normal12"/>
              <w:spacing w:after="0" w:line="240" w:lineRule="auto"/>
              <w:rPr>
                <w:rFonts w:eastAsia="Times New Roman"/>
                <w:noProof/>
              </w:rPr>
            </w:pPr>
            <w:r>
              <w:rPr>
                <w:noProof/>
              </w:rPr>
              <w:t>Î2</w:t>
            </w:r>
          </w:p>
        </w:tc>
        <w:tc>
          <w:tcPr>
            <w:tcW w:w="622" w:type="dxa"/>
            <w:tcBorders>
              <w:top w:val="single" w:sz="4" w:space="0" w:color="auto"/>
              <w:left w:val="nil"/>
              <w:bottom w:val="single" w:sz="4" w:space="0" w:color="auto"/>
              <w:right w:val="single" w:sz="4" w:space="0" w:color="auto"/>
            </w:tcBorders>
            <w:shd w:val="clear" w:color="auto" w:fill="C6EFCE"/>
            <w:noWrap/>
          </w:tcPr>
          <w:p w14:paraId="127A754F" w14:textId="77777777" w:rsidR="00C45D59" w:rsidRDefault="009B0962">
            <w:pPr>
              <w:pStyle w:val="P68B1DB1-Normal12"/>
              <w:spacing w:after="0" w:line="240" w:lineRule="auto"/>
              <w:rPr>
                <w:rFonts w:eastAsia="Times New Roman"/>
                <w:noProof/>
              </w:rPr>
            </w:pPr>
            <w:r>
              <w:rPr>
                <w:noProof/>
              </w:rPr>
              <w:t>2024</w:t>
            </w:r>
          </w:p>
        </w:tc>
        <w:tc>
          <w:tcPr>
            <w:tcW w:w="4885" w:type="dxa"/>
            <w:tcBorders>
              <w:top w:val="single" w:sz="4" w:space="0" w:color="auto"/>
              <w:left w:val="nil"/>
              <w:bottom w:val="single" w:sz="4" w:space="0" w:color="auto"/>
              <w:right w:val="single" w:sz="4" w:space="0" w:color="auto"/>
            </w:tcBorders>
            <w:shd w:val="clear" w:color="auto" w:fill="C6EFCE"/>
            <w:noWrap/>
          </w:tcPr>
          <w:p w14:paraId="7EF31EE1" w14:textId="77777777" w:rsidR="00C45D59" w:rsidRDefault="009B0962">
            <w:pPr>
              <w:pStyle w:val="P68B1DB1-Normal12"/>
              <w:spacing w:before="120" w:after="0" w:line="240" w:lineRule="auto"/>
              <w:jc w:val="both"/>
              <w:rPr>
                <w:rFonts w:eastAsia="Times New Roman"/>
                <w:noProof/>
              </w:rPr>
            </w:pPr>
            <w:r>
              <w:rPr>
                <w:noProof/>
              </w:rPr>
              <w:t>Operaționalizarea poliției judiciare în toate competențele sale, atât la nivelul administrației centrale, cât și la nivel regional în cadrul instanțelor</w:t>
            </w:r>
          </w:p>
        </w:tc>
      </w:tr>
      <w:tr w:rsidR="00C45D59" w14:paraId="27779C2A" w14:textId="77777777">
        <w:trPr>
          <w:trHeight w:val="309"/>
          <w:jc w:val="center"/>
        </w:trPr>
        <w:tc>
          <w:tcPr>
            <w:tcW w:w="592" w:type="dxa"/>
            <w:tcBorders>
              <w:top w:val="single" w:sz="4" w:space="0" w:color="auto"/>
              <w:left w:val="single" w:sz="4" w:space="0" w:color="auto"/>
              <w:bottom w:val="single" w:sz="4" w:space="0" w:color="auto"/>
              <w:right w:val="single" w:sz="4" w:space="0" w:color="auto"/>
            </w:tcBorders>
            <w:shd w:val="clear" w:color="auto" w:fill="C6EFCE"/>
            <w:noWrap/>
          </w:tcPr>
          <w:p w14:paraId="73D25586" w14:textId="77777777" w:rsidR="00C45D59" w:rsidRDefault="009B0962">
            <w:pPr>
              <w:pStyle w:val="P68B1DB1-Normal12"/>
              <w:spacing w:after="0" w:line="240" w:lineRule="auto"/>
              <w:rPr>
                <w:rFonts w:eastAsia="Times New Roman"/>
                <w:noProof/>
              </w:rPr>
            </w:pPr>
            <w:r>
              <w:rPr>
                <w:noProof/>
              </w:rPr>
              <w:t>235</w:t>
            </w:r>
          </w:p>
        </w:tc>
        <w:tc>
          <w:tcPr>
            <w:tcW w:w="1976" w:type="dxa"/>
            <w:gridSpan w:val="2"/>
            <w:tcBorders>
              <w:top w:val="single" w:sz="4" w:space="0" w:color="auto"/>
              <w:left w:val="nil"/>
              <w:bottom w:val="single" w:sz="4" w:space="0" w:color="auto"/>
              <w:right w:val="single" w:sz="4" w:space="0" w:color="auto"/>
            </w:tcBorders>
            <w:shd w:val="clear" w:color="auto" w:fill="C6EFCE"/>
            <w:noWrap/>
          </w:tcPr>
          <w:p w14:paraId="6727E0AD" w14:textId="77777777" w:rsidR="00C45D59" w:rsidRDefault="009B0962">
            <w:pPr>
              <w:pStyle w:val="P68B1DB1-Normal12"/>
              <w:spacing w:after="0" w:line="240" w:lineRule="auto"/>
              <w:rPr>
                <w:rFonts w:eastAsia="Times New Roman"/>
                <w:noProof/>
              </w:rPr>
            </w:pPr>
            <w:r>
              <w:rPr>
                <w:noProof/>
              </w:rPr>
              <w:t>14-4.3. Îmbunătățirea eficienței sistemului de justiție – 16733_Competențe și competențe digitale pentru judecători și angajații din sistemul judiciar (personalul din justiție)</w:t>
            </w:r>
          </w:p>
        </w:tc>
        <w:tc>
          <w:tcPr>
            <w:tcW w:w="1424" w:type="dxa"/>
            <w:tcBorders>
              <w:top w:val="single" w:sz="4" w:space="0" w:color="auto"/>
              <w:left w:val="nil"/>
              <w:bottom w:val="single" w:sz="4" w:space="0" w:color="auto"/>
              <w:right w:val="single" w:sz="4" w:space="0" w:color="auto"/>
            </w:tcBorders>
            <w:shd w:val="clear" w:color="auto" w:fill="C6EFCE"/>
            <w:noWrap/>
          </w:tcPr>
          <w:p w14:paraId="7FE3355E" w14:textId="77777777" w:rsidR="00C45D59" w:rsidRDefault="009B0962">
            <w:pPr>
              <w:pStyle w:val="P68B1DB1-Normal12"/>
              <w:spacing w:after="0" w:line="240" w:lineRule="auto"/>
              <w:rPr>
                <w:rFonts w:eastAsia="Times New Roman"/>
                <w:noProof/>
              </w:rPr>
            </w:pPr>
            <w:r>
              <w:rPr>
                <w:noProof/>
              </w:rPr>
              <w:t>Etapă</w:t>
            </w:r>
          </w:p>
        </w:tc>
        <w:tc>
          <w:tcPr>
            <w:tcW w:w="1397" w:type="dxa"/>
            <w:tcBorders>
              <w:top w:val="single" w:sz="4" w:space="0" w:color="auto"/>
              <w:left w:val="nil"/>
              <w:bottom w:val="single" w:sz="4" w:space="0" w:color="auto"/>
              <w:right w:val="single" w:sz="4" w:space="0" w:color="auto"/>
            </w:tcBorders>
            <w:shd w:val="clear" w:color="auto" w:fill="C6EFCE"/>
            <w:noWrap/>
          </w:tcPr>
          <w:p w14:paraId="4A836643" w14:textId="77777777" w:rsidR="00C45D59" w:rsidRDefault="009B0962">
            <w:pPr>
              <w:pStyle w:val="P68B1DB1-Normal12"/>
              <w:spacing w:after="0" w:line="240" w:lineRule="auto"/>
              <w:rPr>
                <w:rFonts w:eastAsia="Times New Roman"/>
                <w:noProof/>
              </w:rPr>
            </w:pPr>
            <w:r>
              <w:rPr>
                <w:noProof/>
              </w:rPr>
              <w:t>Formare – judecători și grefieri</w:t>
            </w:r>
          </w:p>
        </w:tc>
        <w:tc>
          <w:tcPr>
            <w:tcW w:w="1552" w:type="dxa"/>
            <w:tcBorders>
              <w:top w:val="single" w:sz="4" w:space="0" w:color="auto"/>
              <w:left w:val="nil"/>
              <w:bottom w:val="single" w:sz="4" w:space="0" w:color="auto"/>
              <w:right w:val="single" w:sz="4" w:space="0" w:color="auto"/>
            </w:tcBorders>
            <w:shd w:val="clear" w:color="auto" w:fill="C6EFCE"/>
            <w:noWrap/>
          </w:tcPr>
          <w:p w14:paraId="2DF6EFC8" w14:textId="77777777" w:rsidR="00C45D59" w:rsidRDefault="009B0962">
            <w:pPr>
              <w:pStyle w:val="P68B1DB1-Normal12"/>
              <w:spacing w:after="0" w:line="240" w:lineRule="auto"/>
              <w:rPr>
                <w:noProof/>
              </w:rPr>
            </w:pPr>
            <w:r>
              <w:rPr>
                <w:noProof/>
              </w:rPr>
              <w:t>Raport de certificare a punerii în aplicare a modificărilor programului educațional al Școlii Naționale de Judecători și a înscrierii judecătorilor și grefierilor la cursuri de formare pe tot parcursul vieții</w:t>
            </w:r>
          </w:p>
        </w:tc>
        <w:tc>
          <w:tcPr>
            <w:tcW w:w="992" w:type="dxa"/>
            <w:tcBorders>
              <w:top w:val="single" w:sz="4" w:space="0" w:color="auto"/>
              <w:left w:val="nil"/>
              <w:bottom w:val="single" w:sz="4" w:space="0" w:color="auto"/>
              <w:right w:val="single" w:sz="4" w:space="0" w:color="auto"/>
            </w:tcBorders>
            <w:shd w:val="clear" w:color="auto" w:fill="C6EFCE"/>
            <w:noWrap/>
          </w:tcPr>
          <w:p w14:paraId="7559A485"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57" w:type="dxa"/>
            <w:tcBorders>
              <w:top w:val="single" w:sz="4" w:space="0" w:color="auto"/>
              <w:left w:val="nil"/>
              <w:bottom w:val="single" w:sz="4" w:space="0" w:color="auto"/>
              <w:right w:val="single" w:sz="4" w:space="0" w:color="auto"/>
            </w:tcBorders>
            <w:shd w:val="clear" w:color="auto" w:fill="C6EFCE"/>
            <w:noWrap/>
          </w:tcPr>
          <w:p w14:paraId="0B096C7E"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587" w:type="dxa"/>
            <w:tcBorders>
              <w:top w:val="single" w:sz="4" w:space="0" w:color="auto"/>
              <w:left w:val="nil"/>
              <w:bottom w:val="single" w:sz="4" w:space="0" w:color="auto"/>
              <w:right w:val="single" w:sz="4" w:space="0" w:color="auto"/>
            </w:tcBorders>
            <w:shd w:val="clear" w:color="auto" w:fill="C6EFCE"/>
            <w:noWrap/>
          </w:tcPr>
          <w:p w14:paraId="0393E017"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46" w:type="dxa"/>
            <w:tcBorders>
              <w:top w:val="single" w:sz="4" w:space="0" w:color="auto"/>
              <w:left w:val="nil"/>
              <w:bottom w:val="single" w:sz="4" w:space="0" w:color="auto"/>
              <w:right w:val="single" w:sz="4" w:space="0" w:color="auto"/>
            </w:tcBorders>
            <w:shd w:val="clear" w:color="auto" w:fill="C6EFCE"/>
            <w:noWrap/>
          </w:tcPr>
          <w:p w14:paraId="5B087C50" w14:textId="77777777" w:rsidR="00C45D59" w:rsidRDefault="009B0962">
            <w:pPr>
              <w:pStyle w:val="P68B1DB1-Normal12"/>
              <w:spacing w:after="0" w:line="240" w:lineRule="auto"/>
              <w:rPr>
                <w:rFonts w:eastAsia="Times New Roman"/>
                <w:noProof/>
              </w:rPr>
            </w:pPr>
            <w:r>
              <w:rPr>
                <w:noProof/>
              </w:rPr>
              <w:t>Î2</w:t>
            </w:r>
          </w:p>
        </w:tc>
        <w:tc>
          <w:tcPr>
            <w:tcW w:w="622" w:type="dxa"/>
            <w:tcBorders>
              <w:top w:val="single" w:sz="4" w:space="0" w:color="auto"/>
              <w:left w:val="nil"/>
              <w:bottom w:val="single" w:sz="4" w:space="0" w:color="auto"/>
              <w:right w:val="single" w:sz="4" w:space="0" w:color="auto"/>
            </w:tcBorders>
            <w:shd w:val="clear" w:color="auto" w:fill="C6EFCE"/>
            <w:noWrap/>
          </w:tcPr>
          <w:p w14:paraId="6F95FE79" w14:textId="77777777" w:rsidR="00C45D59" w:rsidRDefault="009B0962">
            <w:pPr>
              <w:pStyle w:val="P68B1DB1-Normal12"/>
              <w:spacing w:after="0" w:line="240" w:lineRule="auto"/>
              <w:rPr>
                <w:rFonts w:eastAsia="Times New Roman"/>
                <w:noProof/>
              </w:rPr>
            </w:pPr>
            <w:r>
              <w:rPr>
                <w:noProof/>
              </w:rPr>
              <w:t>2024</w:t>
            </w:r>
          </w:p>
        </w:tc>
        <w:tc>
          <w:tcPr>
            <w:tcW w:w="4885" w:type="dxa"/>
            <w:tcBorders>
              <w:top w:val="single" w:sz="4" w:space="0" w:color="auto"/>
              <w:left w:val="nil"/>
              <w:bottom w:val="single" w:sz="4" w:space="0" w:color="auto"/>
              <w:right w:val="single" w:sz="4" w:space="0" w:color="auto"/>
            </w:tcBorders>
            <w:shd w:val="clear" w:color="auto" w:fill="C6EFCE"/>
            <w:noWrap/>
          </w:tcPr>
          <w:p w14:paraId="685059FF" w14:textId="77777777" w:rsidR="00C45D59" w:rsidRDefault="009B0962">
            <w:pPr>
              <w:pStyle w:val="P68B1DB1-Normal12"/>
              <w:spacing w:after="0" w:line="240" w:lineRule="auto"/>
              <w:rPr>
                <w:noProof/>
              </w:rPr>
            </w:pPr>
            <w:r>
              <w:rPr>
                <w:noProof/>
              </w:rPr>
              <w:t>Finalizarea proiectelor incluse în reforma privind competențele și competențele digitale pentru judecători și angajații din sistemul judiciar, cu: </w:t>
            </w:r>
          </w:p>
          <w:p w14:paraId="6D997728" w14:textId="77777777" w:rsidR="00C45D59" w:rsidRDefault="009B0962">
            <w:pPr>
              <w:pStyle w:val="P68B1DB1-Normal12"/>
              <w:numPr>
                <w:ilvl w:val="0"/>
                <w:numId w:val="66"/>
              </w:numPr>
              <w:spacing w:before="120" w:after="0" w:line="240" w:lineRule="auto"/>
              <w:jc w:val="both"/>
              <w:rPr>
                <w:noProof/>
              </w:rPr>
            </w:pPr>
            <w:r>
              <w:rPr>
                <w:noProof/>
              </w:rPr>
              <w:t>7 029 de judecători și grefieri s-au înscris la cursuri de formare pe tot parcursul vieții și au participat la cel puțin o sesiune de formare (seminar).</w:t>
            </w:r>
          </w:p>
          <w:p w14:paraId="337D2C79" w14:textId="77777777" w:rsidR="00C45D59" w:rsidRDefault="009B0962">
            <w:pPr>
              <w:pStyle w:val="P68B1DB1-Normal12"/>
              <w:spacing w:before="120" w:after="0" w:line="240" w:lineRule="auto"/>
              <w:ind w:left="360"/>
              <w:jc w:val="both"/>
              <w:rPr>
                <w:noProof/>
              </w:rPr>
            </w:pPr>
            <w:r>
              <w:rPr>
                <w:noProof/>
              </w:rPr>
              <w:t>2. Programul educațional pentru grefierii din cadrul Școlii Naționale a Judecătorilor în funcțiune</w:t>
            </w:r>
          </w:p>
          <w:p w14:paraId="641FEA02" w14:textId="77777777" w:rsidR="00C45D59" w:rsidRDefault="009B0962">
            <w:pPr>
              <w:pStyle w:val="P68B1DB1-Normal12"/>
              <w:numPr>
                <w:ilvl w:val="0"/>
                <w:numId w:val="67"/>
              </w:numPr>
              <w:spacing w:before="120" w:after="0" w:line="240" w:lineRule="auto"/>
              <w:jc w:val="both"/>
              <w:rPr>
                <w:noProof/>
              </w:rPr>
            </w:pPr>
            <w:r>
              <w:rPr>
                <w:noProof/>
              </w:rPr>
              <w:t xml:space="preserve">Modificări ale criteriilor de selecție în </w:t>
            </w:r>
            <w:r>
              <w:rPr>
                <w:noProof/>
                <w:u w:val="single"/>
              </w:rPr>
              <w:t>conformitate</w:t>
            </w:r>
            <w:r>
              <w:rPr>
                <w:noProof/>
              </w:rPr>
              <w:t xml:space="preserve"> cu Legea nr. 4871/2021 și cu programul educațional pus în aplicare</w:t>
            </w:r>
          </w:p>
          <w:p w14:paraId="37613694" w14:textId="77777777" w:rsidR="00C45D59" w:rsidRDefault="009B0962">
            <w:pPr>
              <w:pStyle w:val="P68B1DB1-Normal16"/>
              <w:spacing w:before="120" w:after="0" w:line="240" w:lineRule="auto"/>
              <w:rPr>
                <w:b/>
                <w:noProof/>
                <w:color w:val="006100"/>
              </w:rPr>
            </w:pPr>
            <w:r>
              <w:rPr>
                <w:noProof/>
                <w:color w:val="006100"/>
              </w:rPr>
              <w:t>Modificări ale programului educațional al Școlii Naționale de Judecători, care vizează în special îmbunătățirea formării practice și oferirea de cursuri în conformitate cu legea menționată mai sus. Furnizarea de formare pe tot parcursul vieții pentru judecători și grefieri, care se extinde la diferite domenii, în conformitate cu legea menționată mai sus; pentru judecători, o astfel de formare este o condiție prealabilă pentru avansarea în carieră.</w:t>
            </w:r>
            <w:r>
              <w:rPr>
                <w:noProof/>
              </w:rPr>
              <w:t xml:space="preserve"> </w:t>
            </w:r>
          </w:p>
        </w:tc>
      </w:tr>
      <w:tr w:rsidR="00C45D59" w14:paraId="692A2F60" w14:textId="77777777">
        <w:trPr>
          <w:trHeight w:val="309"/>
          <w:jc w:val="center"/>
        </w:trPr>
        <w:tc>
          <w:tcPr>
            <w:tcW w:w="592" w:type="dxa"/>
            <w:tcBorders>
              <w:top w:val="single" w:sz="4" w:space="0" w:color="auto"/>
              <w:left w:val="single" w:sz="4" w:space="0" w:color="auto"/>
              <w:bottom w:val="single" w:sz="4" w:space="0" w:color="auto"/>
              <w:right w:val="single" w:sz="4" w:space="0" w:color="auto"/>
            </w:tcBorders>
            <w:shd w:val="clear" w:color="auto" w:fill="C6EFCE"/>
            <w:noWrap/>
          </w:tcPr>
          <w:p w14:paraId="32AECD47" w14:textId="77777777" w:rsidR="00C45D59" w:rsidRDefault="009B0962">
            <w:pPr>
              <w:pStyle w:val="P68B1DB1-Normal12"/>
              <w:spacing w:after="0" w:line="240" w:lineRule="auto"/>
              <w:rPr>
                <w:rFonts w:eastAsia="Times New Roman"/>
                <w:noProof/>
              </w:rPr>
            </w:pPr>
            <w:r>
              <w:rPr>
                <w:noProof/>
              </w:rPr>
              <w:t>236</w:t>
            </w:r>
          </w:p>
        </w:tc>
        <w:tc>
          <w:tcPr>
            <w:tcW w:w="1976" w:type="dxa"/>
            <w:gridSpan w:val="2"/>
            <w:tcBorders>
              <w:top w:val="single" w:sz="4" w:space="0" w:color="auto"/>
              <w:left w:val="nil"/>
              <w:bottom w:val="single" w:sz="4" w:space="0" w:color="auto"/>
              <w:right w:val="single" w:sz="4" w:space="0" w:color="auto"/>
            </w:tcBorders>
            <w:shd w:val="clear" w:color="auto" w:fill="C6EFCE"/>
            <w:noWrap/>
          </w:tcPr>
          <w:p w14:paraId="7705E459" w14:textId="77777777" w:rsidR="00C45D59" w:rsidRDefault="009B0962">
            <w:pPr>
              <w:pStyle w:val="P68B1DB1-Normal12"/>
              <w:spacing w:after="0" w:line="240" w:lineRule="auto"/>
              <w:rPr>
                <w:rFonts w:eastAsia="Times New Roman"/>
                <w:noProof/>
              </w:rPr>
            </w:pPr>
            <w:r>
              <w:rPr>
                <w:noProof/>
              </w:rPr>
              <w:t>14-4.3. Îmbunătățirea eficienței sistemului de justiție – 16575 Accelerarea administrării justiției</w:t>
            </w:r>
          </w:p>
        </w:tc>
        <w:tc>
          <w:tcPr>
            <w:tcW w:w="1424" w:type="dxa"/>
            <w:tcBorders>
              <w:top w:val="single" w:sz="4" w:space="0" w:color="auto"/>
              <w:left w:val="nil"/>
              <w:bottom w:val="single" w:sz="4" w:space="0" w:color="auto"/>
              <w:right w:val="single" w:sz="4" w:space="0" w:color="auto"/>
            </w:tcBorders>
            <w:shd w:val="clear" w:color="auto" w:fill="C6EFCE"/>
            <w:noWrap/>
          </w:tcPr>
          <w:p w14:paraId="38161614" w14:textId="77777777" w:rsidR="00C45D59" w:rsidRDefault="009B0962">
            <w:pPr>
              <w:pStyle w:val="P68B1DB1-Normal12"/>
              <w:spacing w:after="0" w:line="240" w:lineRule="auto"/>
              <w:rPr>
                <w:rFonts w:eastAsia="Times New Roman"/>
                <w:noProof/>
              </w:rPr>
            </w:pPr>
            <w:r>
              <w:rPr>
                <w:noProof/>
              </w:rPr>
              <w:t>Etapă</w:t>
            </w:r>
          </w:p>
        </w:tc>
        <w:tc>
          <w:tcPr>
            <w:tcW w:w="1397" w:type="dxa"/>
            <w:tcBorders>
              <w:top w:val="single" w:sz="4" w:space="0" w:color="auto"/>
              <w:left w:val="nil"/>
              <w:bottom w:val="single" w:sz="4" w:space="0" w:color="auto"/>
              <w:right w:val="single" w:sz="4" w:space="0" w:color="auto"/>
            </w:tcBorders>
            <w:shd w:val="clear" w:color="auto" w:fill="C6EFCE"/>
            <w:noWrap/>
          </w:tcPr>
          <w:p w14:paraId="4259DEE6" w14:textId="77777777" w:rsidR="00C45D59" w:rsidRDefault="009B0962">
            <w:pPr>
              <w:pStyle w:val="P68B1DB1-Normal12"/>
              <w:spacing w:after="0" w:line="240" w:lineRule="auto"/>
              <w:rPr>
                <w:rFonts w:eastAsia="Times New Roman"/>
                <w:noProof/>
              </w:rPr>
            </w:pPr>
            <w:r>
              <w:rPr>
                <w:noProof/>
              </w:rPr>
              <w:t>Revizuirea hărții judiciare —</w:t>
            </w:r>
          </w:p>
        </w:tc>
        <w:tc>
          <w:tcPr>
            <w:tcW w:w="1552" w:type="dxa"/>
            <w:tcBorders>
              <w:top w:val="single" w:sz="4" w:space="0" w:color="auto"/>
              <w:left w:val="nil"/>
              <w:bottom w:val="single" w:sz="4" w:space="0" w:color="auto"/>
              <w:right w:val="single" w:sz="4" w:space="0" w:color="auto"/>
            </w:tcBorders>
            <w:shd w:val="clear" w:color="auto" w:fill="C6EFCE"/>
            <w:noWrap/>
          </w:tcPr>
          <w:p w14:paraId="0CC8EB09" w14:textId="77777777" w:rsidR="00C45D59" w:rsidRDefault="009B0962">
            <w:pPr>
              <w:pStyle w:val="P68B1DB1-Normal12"/>
              <w:spacing w:after="0" w:line="240" w:lineRule="auto"/>
              <w:rPr>
                <w:noProof/>
              </w:rPr>
            </w:pPr>
            <w:r>
              <w:rPr>
                <w:noProof/>
              </w:rPr>
              <w:t xml:space="preserve">Certificate care confirmă funcția tuturor instanțelor afectate </w:t>
            </w:r>
          </w:p>
        </w:tc>
        <w:tc>
          <w:tcPr>
            <w:tcW w:w="992" w:type="dxa"/>
            <w:tcBorders>
              <w:top w:val="single" w:sz="4" w:space="0" w:color="auto"/>
              <w:left w:val="nil"/>
              <w:bottom w:val="single" w:sz="4" w:space="0" w:color="auto"/>
              <w:right w:val="single" w:sz="4" w:space="0" w:color="auto"/>
            </w:tcBorders>
            <w:shd w:val="clear" w:color="auto" w:fill="C6EFCE"/>
            <w:noWrap/>
          </w:tcPr>
          <w:p w14:paraId="12ED64B5"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57" w:type="dxa"/>
            <w:tcBorders>
              <w:top w:val="single" w:sz="4" w:space="0" w:color="auto"/>
              <w:left w:val="nil"/>
              <w:bottom w:val="single" w:sz="4" w:space="0" w:color="auto"/>
              <w:right w:val="single" w:sz="4" w:space="0" w:color="auto"/>
            </w:tcBorders>
            <w:shd w:val="clear" w:color="auto" w:fill="C6EFCE"/>
            <w:noWrap/>
          </w:tcPr>
          <w:p w14:paraId="383D1C37"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587" w:type="dxa"/>
            <w:tcBorders>
              <w:top w:val="single" w:sz="4" w:space="0" w:color="auto"/>
              <w:left w:val="nil"/>
              <w:bottom w:val="single" w:sz="4" w:space="0" w:color="auto"/>
              <w:right w:val="single" w:sz="4" w:space="0" w:color="auto"/>
            </w:tcBorders>
            <w:shd w:val="clear" w:color="auto" w:fill="C6EFCE"/>
            <w:noWrap/>
          </w:tcPr>
          <w:p w14:paraId="1B70471E"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46" w:type="dxa"/>
            <w:tcBorders>
              <w:top w:val="single" w:sz="4" w:space="0" w:color="auto"/>
              <w:left w:val="nil"/>
              <w:bottom w:val="single" w:sz="4" w:space="0" w:color="auto"/>
              <w:right w:val="single" w:sz="4" w:space="0" w:color="auto"/>
            </w:tcBorders>
            <w:shd w:val="clear" w:color="auto" w:fill="C6EFCE"/>
            <w:noWrap/>
          </w:tcPr>
          <w:p w14:paraId="3D651B45" w14:textId="77777777" w:rsidR="00C45D59" w:rsidRDefault="009B0962">
            <w:pPr>
              <w:pStyle w:val="P68B1DB1-Normal12"/>
              <w:spacing w:after="0" w:line="240" w:lineRule="auto"/>
              <w:rPr>
                <w:rFonts w:eastAsia="Times New Roman"/>
                <w:noProof/>
              </w:rPr>
            </w:pPr>
            <w:r>
              <w:rPr>
                <w:noProof/>
              </w:rPr>
              <w:t>Î4</w:t>
            </w:r>
          </w:p>
        </w:tc>
        <w:tc>
          <w:tcPr>
            <w:tcW w:w="622" w:type="dxa"/>
            <w:tcBorders>
              <w:top w:val="single" w:sz="4" w:space="0" w:color="auto"/>
              <w:left w:val="nil"/>
              <w:bottom w:val="single" w:sz="4" w:space="0" w:color="auto"/>
              <w:right w:val="single" w:sz="4" w:space="0" w:color="auto"/>
            </w:tcBorders>
            <w:shd w:val="clear" w:color="auto" w:fill="C6EFCE"/>
            <w:noWrap/>
          </w:tcPr>
          <w:p w14:paraId="6AD409F2" w14:textId="77777777" w:rsidR="00C45D59" w:rsidRDefault="009B0962">
            <w:pPr>
              <w:pStyle w:val="P68B1DB1-Normal12"/>
              <w:spacing w:after="0" w:line="240" w:lineRule="auto"/>
              <w:rPr>
                <w:rFonts w:eastAsia="Times New Roman"/>
                <w:noProof/>
              </w:rPr>
            </w:pPr>
            <w:r>
              <w:rPr>
                <w:noProof/>
              </w:rPr>
              <w:t>2024</w:t>
            </w:r>
          </w:p>
        </w:tc>
        <w:tc>
          <w:tcPr>
            <w:tcW w:w="4885" w:type="dxa"/>
            <w:tcBorders>
              <w:top w:val="single" w:sz="4" w:space="0" w:color="auto"/>
              <w:left w:val="nil"/>
              <w:bottom w:val="single" w:sz="4" w:space="0" w:color="auto"/>
              <w:right w:val="single" w:sz="4" w:space="0" w:color="auto"/>
            </w:tcBorders>
            <w:shd w:val="clear" w:color="auto" w:fill="C6EFCE"/>
            <w:noWrap/>
          </w:tcPr>
          <w:p w14:paraId="638E679F" w14:textId="77777777" w:rsidR="00C45D59" w:rsidRDefault="009B0962">
            <w:pPr>
              <w:pStyle w:val="P68B1DB1-Normal12"/>
              <w:rPr>
                <w:noProof/>
              </w:rPr>
            </w:pPr>
            <w:r>
              <w:rPr>
                <w:noProof/>
              </w:rPr>
              <w:t xml:space="preserve">Eliberarea de certificate de către administrațiile instanțelor afectate de revizuirea hărților judiciare administrative și civile/penale care să confirme că acestea funcționează, astfel cum se prevede în lege. </w:t>
            </w:r>
          </w:p>
        </w:tc>
      </w:tr>
      <w:tr w:rsidR="00C45D59" w14:paraId="06CC0682" w14:textId="77777777">
        <w:trPr>
          <w:trHeight w:val="309"/>
          <w:jc w:val="center"/>
        </w:trPr>
        <w:tc>
          <w:tcPr>
            <w:tcW w:w="592" w:type="dxa"/>
            <w:tcBorders>
              <w:top w:val="single" w:sz="4" w:space="0" w:color="auto"/>
              <w:left w:val="single" w:sz="4" w:space="0" w:color="auto"/>
              <w:bottom w:val="single" w:sz="4" w:space="0" w:color="auto"/>
              <w:right w:val="single" w:sz="4" w:space="0" w:color="auto"/>
            </w:tcBorders>
            <w:shd w:val="clear" w:color="auto" w:fill="C6EFCE"/>
            <w:noWrap/>
          </w:tcPr>
          <w:p w14:paraId="1268764E" w14:textId="77777777" w:rsidR="00C45D59" w:rsidRDefault="009B0962">
            <w:pPr>
              <w:pStyle w:val="P68B1DB1-Normal12"/>
              <w:spacing w:after="0" w:line="240" w:lineRule="auto"/>
              <w:rPr>
                <w:rFonts w:eastAsia="Times New Roman"/>
                <w:noProof/>
              </w:rPr>
            </w:pPr>
            <w:r>
              <w:rPr>
                <w:noProof/>
              </w:rPr>
              <w:t>237</w:t>
            </w:r>
          </w:p>
        </w:tc>
        <w:tc>
          <w:tcPr>
            <w:tcW w:w="1976" w:type="dxa"/>
            <w:gridSpan w:val="2"/>
            <w:tcBorders>
              <w:top w:val="single" w:sz="4" w:space="0" w:color="auto"/>
              <w:left w:val="nil"/>
              <w:bottom w:val="single" w:sz="4" w:space="0" w:color="auto"/>
              <w:right w:val="single" w:sz="4" w:space="0" w:color="auto"/>
            </w:tcBorders>
            <w:shd w:val="clear" w:color="auto" w:fill="C6EFCE"/>
            <w:noWrap/>
          </w:tcPr>
          <w:p w14:paraId="4C8F4E8D" w14:textId="2EA3A354" w:rsidR="00C45D59" w:rsidRDefault="009B0962">
            <w:pPr>
              <w:pStyle w:val="P68B1DB1-Normal12"/>
              <w:spacing w:after="0" w:line="240" w:lineRule="auto"/>
              <w:rPr>
                <w:rFonts w:eastAsia="Times New Roman"/>
                <w:noProof/>
              </w:rPr>
            </w:pPr>
            <w:r>
              <w:rPr>
                <w:noProof/>
              </w:rPr>
              <w:t>14-4.3. Îmbunătățirea eficienței sistemului judiciar – 16292_Clădiri și renovări judiciare noi</w:t>
            </w:r>
          </w:p>
        </w:tc>
        <w:tc>
          <w:tcPr>
            <w:tcW w:w="1424" w:type="dxa"/>
            <w:tcBorders>
              <w:top w:val="single" w:sz="4" w:space="0" w:color="auto"/>
              <w:left w:val="nil"/>
              <w:bottom w:val="single" w:sz="4" w:space="0" w:color="auto"/>
              <w:right w:val="single" w:sz="4" w:space="0" w:color="auto"/>
            </w:tcBorders>
            <w:shd w:val="clear" w:color="auto" w:fill="C6EFCE"/>
            <w:noWrap/>
          </w:tcPr>
          <w:p w14:paraId="30C54440" w14:textId="77777777" w:rsidR="00C45D59" w:rsidRDefault="009B0962">
            <w:pPr>
              <w:pStyle w:val="P68B1DB1-Normal12"/>
              <w:spacing w:after="0" w:line="240" w:lineRule="auto"/>
              <w:rPr>
                <w:rFonts w:eastAsia="Times New Roman"/>
                <w:noProof/>
              </w:rPr>
            </w:pPr>
            <w:r>
              <w:rPr>
                <w:noProof/>
              </w:rPr>
              <w:t>Etapă</w:t>
            </w:r>
          </w:p>
        </w:tc>
        <w:tc>
          <w:tcPr>
            <w:tcW w:w="1397" w:type="dxa"/>
            <w:tcBorders>
              <w:top w:val="single" w:sz="4" w:space="0" w:color="auto"/>
              <w:left w:val="nil"/>
              <w:bottom w:val="single" w:sz="4" w:space="0" w:color="auto"/>
              <w:right w:val="single" w:sz="4" w:space="0" w:color="auto"/>
            </w:tcBorders>
            <w:shd w:val="clear" w:color="auto" w:fill="C6EFCE"/>
            <w:noWrap/>
          </w:tcPr>
          <w:p w14:paraId="1AD81A9A" w14:textId="67F920E1" w:rsidR="00C45D59" w:rsidRDefault="009B0962">
            <w:pPr>
              <w:pStyle w:val="P68B1DB1-Normal12"/>
              <w:spacing w:after="0" w:line="240" w:lineRule="auto"/>
              <w:rPr>
                <w:rFonts w:eastAsia="Times New Roman"/>
                <w:noProof/>
              </w:rPr>
            </w:pPr>
            <w:r>
              <w:rPr>
                <w:noProof/>
              </w:rPr>
              <w:t xml:space="preserve">Finalizarea lucrărilor de construcție și renovare – eliberarea de extrase de identitate electronică </w:t>
            </w:r>
          </w:p>
        </w:tc>
        <w:tc>
          <w:tcPr>
            <w:tcW w:w="1552" w:type="dxa"/>
            <w:tcBorders>
              <w:top w:val="single" w:sz="4" w:space="0" w:color="auto"/>
              <w:left w:val="nil"/>
              <w:bottom w:val="single" w:sz="4" w:space="0" w:color="auto"/>
              <w:right w:val="single" w:sz="4" w:space="0" w:color="auto"/>
            </w:tcBorders>
            <w:shd w:val="clear" w:color="auto" w:fill="C6EFCE"/>
            <w:noWrap/>
          </w:tcPr>
          <w:p w14:paraId="6F814721" w14:textId="5B6F34BA" w:rsidR="00C45D59" w:rsidRDefault="009B0962">
            <w:pPr>
              <w:pStyle w:val="P68B1DB1-Normal12"/>
              <w:spacing w:after="0" w:line="240" w:lineRule="auto"/>
              <w:rPr>
                <w:noProof/>
              </w:rPr>
            </w:pPr>
            <w:r>
              <w:rPr>
                <w:noProof/>
              </w:rPr>
              <w:t xml:space="preserve">Toate lucrările de construcție și renovare finanțate în cadrul MRR finalizate; eliberarea extraselor de identitate electronică pentru clădirile judiciare </w:t>
            </w:r>
          </w:p>
        </w:tc>
        <w:tc>
          <w:tcPr>
            <w:tcW w:w="992" w:type="dxa"/>
            <w:tcBorders>
              <w:top w:val="single" w:sz="4" w:space="0" w:color="auto"/>
              <w:left w:val="nil"/>
              <w:bottom w:val="single" w:sz="4" w:space="0" w:color="auto"/>
              <w:right w:val="single" w:sz="4" w:space="0" w:color="auto"/>
            </w:tcBorders>
            <w:shd w:val="clear" w:color="auto" w:fill="C6EFCE"/>
            <w:noWrap/>
          </w:tcPr>
          <w:p w14:paraId="4D92BE3D"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57" w:type="dxa"/>
            <w:tcBorders>
              <w:top w:val="single" w:sz="4" w:space="0" w:color="auto"/>
              <w:left w:val="nil"/>
              <w:bottom w:val="single" w:sz="4" w:space="0" w:color="auto"/>
              <w:right w:val="single" w:sz="4" w:space="0" w:color="auto"/>
            </w:tcBorders>
            <w:shd w:val="clear" w:color="auto" w:fill="C6EFCE"/>
            <w:noWrap/>
          </w:tcPr>
          <w:p w14:paraId="119910BD"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587" w:type="dxa"/>
            <w:tcBorders>
              <w:top w:val="single" w:sz="4" w:space="0" w:color="auto"/>
              <w:left w:val="nil"/>
              <w:bottom w:val="single" w:sz="4" w:space="0" w:color="auto"/>
              <w:right w:val="single" w:sz="4" w:space="0" w:color="auto"/>
            </w:tcBorders>
            <w:shd w:val="clear" w:color="auto" w:fill="C6EFCE"/>
            <w:noWrap/>
          </w:tcPr>
          <w:p w14:paraId="3823EFB0"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46" w:type="dxa"/>
            <w:tcBorders>
              <w:top w:val="single" w:sz="4" w:space="0" w:color="auto"/>
              <w:left w:val="nil"/>
              <w:bottom w:val="single" w:sz="4" w:space="0" w:color="auto"/>
              <w:right w:val="single" w:sz="4" w:space="0" w:color="auto"/>
            </w:tcBorders>
            <w:shd w:val="clear" w:color="auto" w:fill="C6EFCE"/>
            <w:noWrap/>
          </w:tcPr>
          <w:p w14:paraId="55AF0249" w14:textId="77777777" w:rsidR="00C45D59" w:rsidRDefault="009B0962">
            <w:pPr>
              <w:pStyle w:val="P68B1DB1-Normal12"/>
              <w:spacing w:after="0" w:line="240" w:lineRule="auto"/>
              <w:rPr>
                <w:rFonts w:eastAsia="Times New Roman"/>
                <w:noProof/>
              </w:rPr>
            </w:pPr>
            <w:r>
              <w:rPr>
                <w:noProof/>
              </w:rPr>
              <w:t>Î4</w:t>
            </w:r>
          </w:p>
        </w:tc>
        <w:tc>
          <w:tcPr>
            <w:tcW w:w="622" w:type="dxa"/>
            <w:tcBorders>
              <w:top w:val="single" w:sz="4" w:space="0" w:color="auto"/>
              <w:left w:val="nil"/>
              <w:bottom w:val="single" w:sz="4" w:space="0" w:color="auto"/>
              <w:right w:val="single" w:sz="4" w:space="0" w:color="auto"/>
            </w:tcBorders>
            <w:shd w:val="clear" w:color="auto" w:fill="C6EFCE"/>
            <w:noWrap/>
          </w:tcPr>
          <w:p w14:paraId="35F79212" w14:textId="77777777" w:rsidR="00C45D59" w:rsidRDefault="009B0962">
            <w:pPr>
              <w:pStyle w:val="P68B1DB1-Normal12"/>
              <w:spacing w:after="0" w:line="240" w:lineRule="auto"/>
              <w:rPr>
                <w:rFonts w:eastAsia="Times New Roman"/>
                <w:noProof/>
              </w:rPr>
            </w:pPr>
            <w:r>
              <w:rPr>
                <w:noProof/>
              </w:rPr>
              <w:t>2025</w:t>
            </w:r>
          </w:p>
        </w:tc>
        <w:tc>
          <w:tcPr>
            <w:tcW w:w="4885" w:type="dxa"/>
            <w:tcBorders>
              <w:top w:val="single" w:sz="4" w:space="0" w:color="auto"/>
              <w:left w:val="nil"/>
              <w:bottom w:val="single" w:sz="4" w:space="0" w:color="auto"/>
              <w:right w:val="single" w:sz="4" w:space="0" w:color="auto"/>
            </w:tcBorders>
            <w:shd w:val="clear" w:color="auto" w:fill="C6EFCE"/>
            <w:noWrap/>
          </w:tcPr>
          <w:p w14:paraId="75AB976D" w14:textId="77777777" w:rsidR="00C45D59" w:rsidRDefault="009B0962">
            <w:pPr>
              <w:pStyle w:val="P68B1DB1-ListParagraph34"/>
              <w:numPr>
                <w:ilvl w:val="0"/>
                <w:numId w:val="68"/>
              </w:numPr>
              <w:spacing w:before="120" w:after="0" w:line="240" w:lineRule="auto"/>
              <w:ind w:left="273" w:hanging="295"/>
              <w:jc w:val="both"/>
              <w:rPr>
                <w:noProof/>
              </w:rPr>
            </w:pPr>
            <w:r>
              <w:rPr>
                <w:noProof/>
              </w:rPr>
              <w:t>Finalizarea lucrărilor de construcție și renovare finanțate în cadrul MRR.</w:t>
            </w:r>
          </w:p>
          <w:p w14:paraId="52DD1719" w14:textId="7480EA71" w:rsidR="00C45D59" w:rsidRDefault="009B0962">
            <w:pPr>
              <w:pStyle w:val="P68B1DB1-ListParagraph34"/>
              <w:numPr>
                <w:ilvl w:val="0"/>
                <w:numId w:val="68"/>
              </w:numPr>
              <w:spacing w:before="120" w:after="0" w:line="240" w:lineRule="auto"/>
              <w:ind w:left="273" w:hanging="295"/>
              <w:jc w:val="both"/>
              <w:rPr>
                <w:noProof/>
              </w:rPr>
            </w:pPr>
            <w:r>
              <w:rPr>
                <w:noProof/>
              </w:rPr>
              <w:t xml:space="preserve">Eliberarea de extrase de identitate electronică pentru 100 de clădiri deținute de sistemul judiciar sau acordate acestuia prin intermediul platformei de identitate electronică. </w:t>
            </w:r>
          </w:p>
        </w:tc>
      </w:tr>
      <w:tr w:rsidR="00C45D59" w14:paraId="3684C47E" w14:textId="77777777">
        <w:trPr>
          <w:trHeight w:val="309"/>
          <w:jc w:val="center"/>
        </w:trPr>
        <w:tc>
          <w:tcPr>
            <w:tcW w:w="592" w:type="dxa"/>
            <w:tcBorders>
              <w:top w:val="single" w:sz="4" w:space="0" w:color="auto"/>
              <w:left w:val="single" w:sz="4" w:space="0" w:color="auto"/>
              <w:bottom w:val="single" w:sz="4" w:space="0" w:color="auto"/>
              <w:right w:val="single" w:sz="4" w:space="0" w:color="auto"/>
            </w:tcBorders>
            <w:shd w:val="clear" w:color="auto" w:fill="C6EFCE"/>
            <w:noWrap/>
          </w:tcPr>
          <w:p w14:paraId="5C225655" w14:textId="77777777" w:rsidR="00C45D59" w:rsidRDefault="009B0962">
            <w:pPr>
              <w:pStyle w:val="P68B1DB1-Normal12"/>
              <w:spacing w:after="0" w:line="240" w:lineRule="auto"/>
              <w:rPr>
                <w:rFonts w:eastAsia="Times New Roman"/>
                <w:noProof/>
              </w:rPr>
            </w:pPr>
            <w:r>
              <w:rPr>
                <w:noProof/>
              </w:rPr>
              <w:t>238</w:t>
            </w:r>
          </w:p>
        </w:tc>
        <w:tc>
          <w:tcPr>
            <w:tcW w:w="1976" w:type="dxa"/>
            <w:gridSpan w:val="2"/>
            <w:tcBorders>
              <w:top w:val="single" w:sz="4" w:space="0" w:color="auto"/>
              <w:left w:val="nil"/>
              <w:bottom w:val="single" w:sz="4" w:space="0" w:color="auto"/>
              <w:right w:val="single" w:sz="4" w:space="0" w:color="auto"/>
            </w:tcBorders>
            <w:shd w:val="clear" w:color="auto" w:fill="C6EFCE"/>
            <w:noWrap/>
          </w:tcPr>
          <w:p w14:paraId="2C56E20F" w14:textId="77777777" w:rsidR="00C45D59" w:rsidRDefault="009B0962">
            <w:pPr>
              <w:pStyle w:val="P68B1DB1-Normal12"/>
              <w:spacing w:after="0" w:line="240" w:lineRule="auto"/>
              <w:rPr>
                <w:rFonts w:eastAsia="Times New Roman"/>
                <w:noProof/>
              </w:rPr>
            </w:pPr>
            <w:r>
              <w:rPr>
                <w:noProof/>
              </w:rPr>
              <w:t>14-4.3. Îmbunătățirea eficienței sistemului de justiție – 16575 Accelerarea administrării justiției</w:t>
            </w:r>
          </w:p>
        </w:tc>
        <w:tc>
          <w:tcPr>
            <w:tcW w:w="1424" w:type="dxa"/>
            <w:tcBorders>
              <w:top w:val="single" w:sz="4" w:space="0" w:color="auto"/>
              <w:left w:val="nil"/>
              <w:bottom w:val="single" w:sz="4" w:space="0" w:color="auto"/>
              <w:right w:val="single" w:sz="4" w:space="0" w:color="auto"/>
            </w:tcBorders>
            <w:shd w:val="clear" w:color="auto" w:fill="C6EFCE"/>
            <w:noWrap/>
          </w:tcPr>
          <w:p w14:paraId="1C2B1180" w14:textId="77777777" w:rsidR="00C45D59" w:rsidRDefault="009B0962">
            <w:pPr>
              <w:pStyle w:val="P68B1DB1-Normal12"/>
              <w:spacing w:after="0" w:line="240" w:lineRule="auto"/>
              <w:rPr>
                <w:rFonts w:eastAsia="Times New Roman"/>
                <w:noProof/>
              </w:rPr>
            </w:pPr>
            <w:r>
              <w:rPr>
                <w:noProof/>
              </w:rPr>
              <w:t>Etapă</w:t>
            </w:r>
          </w:p>
        </w:tc>
        <w:tc>
          <w:tcPr>
            <w:tcW w:w="1397" w:type="dxa"/>
            <w:tcBorders>
              <w:top w:val="single" w:sz="4" w:space="0" w:color="auto"/>
              <w:left w:val="nil"/>
              <w:bottom w:val="single" w:sz="4" w:space="0" w:color="auto"/>
              <w:right w:val="single" w:sz="4" w:space="0" w:color="auto"/>
            </w:tcBorders>
            <w:shd w:val="clear" w:color="auto" w:fill="C6EFCE"/>
            <w:noWrap/>
          </w:tcPr>
          <w:p w14:paraId="3B4B09E2" w14:textId="77777777" w:rsidR="00C45D59" w:rsidRDefault="009B0962">
            <w:pPr>
              <w:pStyle w:val="P68B1DB1-Normal12"/>
              <w:spacing w:after="0" w:line="240" w:lineRule="auto"/>
              <w:rPr>
                <w:rFonts w:eastAsia="Times New Roman"/>
                <w:noProof/>
              </w:rPr>
            </w:pPr>
            <w:r>
              <w:rPr>
                <w:noProof/>
              </w:rPr>
              <w:t xml:space="preserve">Formare privind medierea și sistemul digital unificat pentru centrele de mediere </w:t>
            </w:r>
          </w:p>
        </w:tc>
        <w:tc>
          <w:tcPr>
            <w:tcW w:w="1552" w:type="dxa"/>
            <w:tcBorders>
              <w:top w:val="single" w:sz="4" w:space="0" w:color="auto"/>
              <w:left w:val="nil"/>
              <w:bottom w:val="single" w:sz="4" w:space="0" w:color="auto"/>
              <w:right w:val="single" w:sz="4" w:space="0" w:color="auto"/>
            </w:tcBorders>
            <w:shd w:val="clear" w:color="auto" w:fill="C6EFCE"/>
            <w:noWrap/>
          </w:tcPr>
          <w:p w14:paraId="48C6E749" w14:textId="77777777" w:rsidR="00C45D59" w:rsidRDefault="009B0962">
            <w:pPr>
              <w:pStyle w:val="P68B1DB1-Normal12"/>
              <w:spacing w:after="0" w:line="240" w:lineRule="auto"/>
              <w:rPr>
                <w:noProof/>
              </w:rPr>
            </w:pPr>
            <w:r>
              <w:rPr>
                <w:noProof/>
              </w:rPr>
              <w:t xml:space="preserve">Furnizarea de cursuri de formare privind medierea; un sistem digital unificat pentru centrele de mediere online și accesibil </w:t>
            </w:r>
          </w:p>
        </w:tc>
        <w:tc>
          <w:tcPr>
            <w:tcW w:w="992" w:type="dxa"/>
            <w:tcBorders>
              <w:top w:val="single" w:sz="4" w:space="0" w:color="auto"/>
              <w:left w:val="nil"/>
              <w:bottom w:val="single" w:sz="4" w:space="0" w:color="auto"/>
              <w:right w:val="single" w:sz="4" w:space="0" w:color="auto"/>
            </w:tcBorders>
            <w:shd w:val="clear" w:color="auto" w:fill="C6EFCE"/>
            <w:noWrap/>
          </w:tcPr>
          <w:p w14:paraId="11A3C09A"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57" w:type="dxa"/>
            <w:tcBorders>
              <w:top w:val="single" w:sz="4" w:space="0" w:color="auto"/>
              <w:left w:val="nil"/>
              <w:bottom w:val="single" w:sz="4" w:space="0" w:color="auto"/>
              <w:right w:val="single" w:sz="4" w:space="0" w:color="auto"/>
            </w:tcBorders>
            <w:shd w:val="clear" w:color="auto" w:fill="C6EFCE"/>
            <w:noWrap/>
          </w:tcPr>
          <w:p w14:paraId="522088B2"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587" w:type="dxa"/>
            <w:tcBorders>
              <w:top w:val="single" w:sz="4" w:space="0" w:color="auto"/>
              <w:left w:val="nil"/>
              <w:bottom w:val="single" w:sz="4" w:space="0" w:color="auto"/>
              <w:right w:val="single" w:sz="4" w:space="0" w:color="auto"/>
            </w:tcBorders>
            <w:shd w:val="clear" w:color="auto" w:fill="C6EFCE"/>
            <w:noWrap/>
          </w:tcPr>
          <w:p w14:paraId="4528E9B5"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46" w:type="dxa"/>
            <w:tcBorders>
              <w:top w:val="single" w:sz="4" w:space="0" w:color="auto"/>
              <w:left w:val="nil"/>
              <w:bottom w:val="single" w:sz="4" w:space="0" w:color="auto"/>
              <w:right w:val="single" w:sz="4" w:space="0" w:color="auto"/>
            </w:tcBorders>
            <w:shd w:val="clear" w:color="auto" w:fill="C6EFCE"/>
            <w:noWrap/>
          </w:tcPr>
          <w:p w14:paraId="4D9AA4D0" w14:textId="77777777" w:rsidR="00C45D59" w:rsidRDefault="009B0962">
            <w:pPr>
              <w:pStyle w:val="P68B1DB1-Normal12"/>
              <w:spacing w:after="0" w:line="240" w:lineRule="auto"/>
              <w:rPr>
                <w:rFonts w:eastAsia="Times New Roman"/>
                <w:noProof/>
              </w:rPr>
            </w:pPr>
            <w:r>
              <w:rPr>
                <w:noProof/>
              </w:rPr>
              <w:t>Î4</w:t>
            </w:r>
          </w:p>
        </w:tc>
        <w:tc>
          <w:tcPr>
            <w:tcW w:w="622" w:type="dxa"/>
            <w:tcBorders>
              <w:top w:val="single" w:sz="4" w:space="0" w:color="auto"/>
              <w:left w:val="nil"/>
              <w:bottom w:val="single" w:sz="4" w:space="0" w:color="auto"/>
              <w:right w:val="single" w:sz="4" w:space="0" w:color="auto"/>
            </w:tcBorders>
            <w:shd w:val="clear" w:color="auto" w:fill="C6EFCE"/>
            <w:noWrap/>
          </w:tcPr>
          <w:p w14:paraId="40B19428" w14:textId="77777777" w:rsidR="00C45D59" w:rsidRDefault="009B0962">
            <w:pPr>
              <w:pStyle w:val="P68B1DB1-Normal12"/>
              <w:spacing w:after="0" w:line="240" w:lineRule="auto"/>
              <w:rPr>
                <w:rFonts w:eastAsia="Times New Roman"/>
                <w:noProof/>
              </w:rPr>
            </w:pPr>
            <w:r>
              <w:rPr>
                <w:noProof/>
              </w:rPr>
              <w:t>2025</w:t>
            </w:r>
          </w:p>
        </w:tc>
        <w:tc>
          <w:tcPr>
            <w:tcW w:w="4885" w:type="dxa"/>
            <w:tcBorders>
              <w:top w:val="single" w:sz="4" w:space="0" w:color="auto"/>
              <w:left w:val="nil"/>
              <w:bottom w:val="single" w:sz="4" w:space="0" w:color="auto"/>
              <w:right w:val="single" w:sz="4" w:space="0" w:color="auto"/>
            </w:tcBorders>
            <w:shd w:val="clear" w:color="auto" w:fill="C6EFCE"/>
            <w:noWrap/>
          </w:tcPr>
          <w:p w14:paraId="778D9F24" w14:textId="27E4E277" w:rsidR="00C45D59" w:rsidRDefault="009B0962">
            <w:pPr>
              <w:pStyle w:val="P68B1DB1-ListParagraph34"/>
              <w:numPr>
                <w:ilvl w:val="0"/>
                <w:numId w:val="69"/>
              </w:numPr>
              <w:spacing w:after="0" w:line="240" w:lineRule="auto"/>
              <w:ind w:left="262" w:hanging="327"/>
              <w:rPr>
                <w:noProof/>
              </w:rPr>
            </w:pPr>
            <w:r>
              <w:rPr>
                <w:noProof/>
              </w:rPr>
              <w:t xml:space="preserve">Organizarea de sesiuni de formare privind medierea de către entitățile acreditate pentru 9298 de practicieni în domeniul dreptului și/sau mediatori </w:t>
            </w:r>
          </w:p>
          <w:p w14:paraId="0F1F1567" w14:textId="09F3BAEA" w:rsidR="00C45D59" w:rsidRDefault="009B0962">
            <w:pPr>
              <w:pStyle w:val="P68B1DB1-ListParagraph34"/>
              <w:numPr>
                <w:ilvl w:val="0"/>
                <w:numId w:val="69"/>
              </w:numPr>
              <w:spacing w:after="0" w:line="240" w:lineRule="auto"/>
              <w:ind w:left="262" w:hanging="327"/>
              <w:rPr>
                <w:noProof/>
              </w:rPr>
            </w:pPr>
            <w:r>
              <w:rPr>
                <w:noProof/>
              </w:rPr>
              <w:t>Sistemul digital unificat pentru centrele de mediere este online și accesibil utilizatorilor finali.</w:t>
            </w:r>
          </w:p>
        </w:tc>
      </w:tr>
      <w:tr w:rsidR="00C45D59" w14:paraId="473E406D" w14:textId="77777777">
        <w:trPr>
          <w:trHeight w:val="309"/>
          <w:jc w:val="center"/>
        </w:trPr>
        <w:tc>
          <w:tcPr>
            <w:tcW w:w="592" w:type="dxa"/>
            <w:tcBorders>
              <w:top w:val="single" w:sz="4" w:space="0" w:color="auto"/>
              <w:left w:val="single" w:sz="4" w:space="0" w:color="auto"/>
              <w:bottom w:val="single" w:sz="4" w:space="0" w:color="auto"/>
              <w:right w:val="single" w:sz="4" w:space="0" w:color="auto"/>
            </w:tcBorders>
            <w:shd w:val="clear" w:color="auto" w:fill="C6EFCE"/>
            <w:noWrap/>
          </w:tcPr>
          <w:p w14:paraId="1E72F8D5" w14:textId="77777777" w:rsidR="00C45D59" w:rsidRDefault="009B0962">
            <w:pPr>
              <w:pStyle w:val="P68B1DB1-Normal12"/>
              <w:spacing w:after="0" w:line="240" w:lineRule="auto"/>
              <w:rPr>
                <w:rFonts w:eastAsia="Times New Roman"/>
                <w:noProof/>
              </w:rPr>
            </w:pPr>
            <w:r>
              <w:rPr>
                <w:noProof/>
              </w:rPr>
              <w:t>239</w:t>
            </w:r>
          </w:p>
        </w:tc>
        <w:tc>
          <w:tcPr>
            <w:tcW w:w="1976" w:type="dxa"/>
            <w:gridSpan w:val="2"/>
            <w:tcBorders>
              <w:top w:val="single" w:sz="4" w:space="0" w:color="auto"/>
              <w:left w:val="nil"/>
              <w:bottom w:val="single" w:sz="4" w:space="0" w:color="auto"/>
              <w:right w:val="single" w:sz="4" w:space="0" w:color="auto"/>
            </w:tcBorders>
            <w:shd w:val="clear" w:color="auto" w:fill="C6EFCE"/>
            <w:noWrap/>
          </w:tcPr>
          <w:p w14:paraId="3BC0BBCD" w14:textId="77777777" w:rsidR="00C45D59" w:rsidRDefault="009B0962">
            <w:pPr>
              <w:pStyle w:val="P68B1DB1-Normal12"/>
              <w:spacing w:after="0" w:line="240" w:lineRule="auto"/>
              <w:rPr>
                <w:rFonts w:eastAsia="Times New Roman"/>
                <w:noProof/>
              </w:rPr>
            </w:pPr>
            <w:r>
              <w:rPr>
                <w:noProof/>
              </w:rPr>
              <w:t>14-4.3. Îmbunătățirea eficienței sistemului de justiție – 16727_Transformarea digitală a justiției (e-justiție)</w:t>
            </w:r>
          </w:p>
        </w:tc>
        <w:tc>
          <w:tcPr>
            <w:tcW w:w="1424" w:type="dxa"/>
            <w:tcBorders>
              <w:top w:val="single" w:sz="4" w:space="0" w:color="auto"/>
              <w:left w:val="nil"/>
              <w:bottom w:val="single" w:sz="4" w:space="0" w:color="auto"/>
              <w:right w:val="single" w:sz="4" w:space="0" w:color="auto"/>
            </w:tcBorders>
            <w:shd w:val="clear" w:color="auto" w:fill="C6EFCE"/>
            <w:noWrap/>
          </w:tcPr>
          <w:p w14:paraId="6BF178B1" w14:textId="77777777" w:rsidR="00C45D59" w:rsidRDefault="009B0962">
            <w:pPr>
              <w:pStyle w:val="P68B1DB1-Normal12"/>
              <w:spacing w:after="0" w:line="240" w:lineRule="auto"/>
              <w:rPr>
                <w:rFonts w:eastAsia="Times New Roman"/>
                <w:noProof/>
              </w:rPr>
            </w:pPr>
            <w:r>
              <w:rPr>
                <w:noProof/>
              </w:rPr>
              <w:t>Etapă</w:t>
            </w:r>
          </w:p>
        </w:tc>
        <w:tc>
          <w:tcPr>
            <w:tcW w:w="1397" w:type="dxa"/>
            <w:tcBorders>
              <w:top w:val="single" w:sz="4" w:space="0" w:color="auto"/>
              <w:left w:val="nil"/>
              <w:bottom w:val="single" w:sz="4" w:space="0" w:color="auto"/>
              <w:right w:val="single" w:sz="4" w:space="0" w:color="auto"/>
            </w:tcBorders>
            <w:shd w:val="clear" w:color="auto" w:fill="C6EFCE"/>
            <w:noWrap/>
          </w:tcPr>
          <w:p w14:paraId="29B01A9C" w14:textId="77777777" w:rsidR="00C45D59" w:rsidRDefault="009B0962">
            <w:pPr>
              <w:pStyle w:val="P68B1DB1-Normal12"/>
              <w:spacing w:after="0" w:line="240" w:lineRule="auto"/>
              <w:rPr>
                <w:rFonts w:eastAsia="Times New Roman"/>
                <w:noProof/>
              </w:rPr>
            </w:pPr>
            <w:r>
              <w:rPr>
                <w:noProof/>
              </w:rPr>
              <w:t>Păstrarea evidențelor și actualizări informatice</w:t>
            </w:r>
          </w:p>
        </w:tc>
        <w:tc>
          <w:tcPr>
            <w:tcW w:w="1552" w:type="dxa"/>
            <w:tcBorders>
              <w:top w:val="single" w:sz="4" w:space="0" w:color="auto"/>
              <w:left w:val="nil"/>
              <w:bottom w:val="single" w:sz="4" w:space="0" w:color="auto"/>
              <w:right w:val="single" w:sz="4" w:space="0" w:color="auto"/>
            </w:tcBorders>
            <w:shd w:val="clear" w:color="auto" w:fill="C6EFCE"/>
            <w:noWrap/>
          </w:tcPr>
          <w:p w14:paraId="63F99355" w14:textId="12D0B8BD" w:rsidR="00C45D59" w:rsidRDefault="009B0962">
            <w:pPr>
              <w:pStyle w:val="P68B1DB1-Normal12"/>
              <w:spacing w:after="0" w:line="240" w:lineRule="auto"/>
              <w:rPr>
                <w:noProof/>
              </w:rPr>
            </w:pPr>
            <w:r>
              <w:rPr>
                <w:noProof/>
              </w:rPr>
              <w:t>Furnizarea ținerii evidenței instanțelor și a actualizărilor informatice, acoperind toate elementele contractuale finanțate prin MRR, astfel cum a fost modificat</w:t>
            </w:r>
          </w:p>
        </w:tc>
        <w:tc>
          <w:tcPr>
            <w:tcW w:w="992" w:type="dxa"/>
            <w:tcBorders>
              <w:top w:val="single" w:sz="4" w:space="0" w:color="auto"/>
              <w:left w:val="nil"/>
              <w:bottom w:val="single" w:sz="4" w:space="0" w:color="auto"/>
              <w:right w:val="single" w:sz="4" w:space="0" w:color="auto"/>
            </w:tcBorders>
            <w:shd w:val="clear" w:color="auto" w:fill="C6EFCE"/>
            <w:noWrap/>
          </w:tcPr>
          <w:p w14:paraId="78961AB6"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57" w:type="dxa"/>
            <w:tcBorders>
              <w:top w:val="single" w:sz="4" w:space="0" w:color="auto"/>
              <w:left w:val="nil"/>
              <w:bottom w:val="single" w:sz="4" w:space="0" w:color="auto"/>
              <w:right w:val="single" w:sz="4" w:space="0" w:color="auto"/>
            </w:tcBorders>
            <w:shd w:val="clear" w:color="auto" w:fill="C6EFCE"/>
            <w:noWrap/>
          </w:tcPr>
          <w:p w14:paraId="318BBB78"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587" w:type="dxa"/>
            <w:tcBorders>
              <w:top w:val="single" w:sz="4" w:space="0" w:color="auto"/>
              <w:left w:val="nil"/>
              <w:bottom w:val="single" w:sz="4" w:space="0" w:color="auto"/>
              <w:right w:val="single" w:sz="4" w:space="0" w:color="auto"/>
            </w:tcBorders>
            <w:shd w:val="clear" w:color="auto" w:fill="C6EFCE"/>
            <w:noWrap/>
          </w:tcPr>
          <w:p w14:paraId="58A3AE1A"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46" w:type="dxa"/>
            <w:tcBorders>
              <w:top w:val="single" w:sz="4" w:space="0" w:color="auto"/>
              <w:left w:val="nil"/>
              <w:bottom w:val="single" w:sz="4" w:space="0" w:color="auto"/>
              <w:right w:val="single" w:sz="4" w:space="0" w:color="auto"/>
            </w:tcBorders>
            <w:shd w:val="clear" w:color="auto" w:fill="C6EFCE"/>
            <w:noWrap/>
          </w:tcPr>
          <w:p w14:paraId="1A5B0E8A" w14:textId="6C4BE567" w:rsidR="00C45D59" w:rsidRDefault="009B0962">
            <w:pPr>
              <w:pStyle w:val="P68B1DB1-Normal12"/>
              <w:spacing w:after="0" w:line="240" w:lineRule="auto"/>
              <w:rPr>
                <w:rFonts w:eastAsia="Times New Roman"/>
                <w:noProof/>
              </w:rPr>
            </w:pPr>
            <w:r>
              <w:rPr>
                <w:noProof/>
              </w:rPr>
              <w:t>Î2</w:t>
            </w:r>
          </w:p>
        </w:tc>
        <w:tc>
          <w:tcPr>
            <w:tcW w:w="622" w:type="dxa"/>
            <w:tcBorders>
              <w:top w:val="single" w:sz="4" w:space="0" w:color="auto"/>
              <w:left w:val="nil"/>
              <w:bottom w:val="single" w:sz="4" w:space="0" w:color="auto"/>
              <w:right w:val="single" w:sz="4" w:space="0" w:color="auto"/>
            </w:tcBorders>
            <w:shd w:val="clear" w:color="auto" w:fill="C6EFCE"/>
            <w:noWrap/>
          </w:tcPr>
          <w:p w14:paraId="3249779C" w14:textId="36AC89D8" w:rsidR="00C45D59" w:rsidRDefault="009B0962">
            <w:pPr>
              <w:pStyle w:val="P68B1DB1-Normal12"/>
              <w:spacing w:after="0" w:line="240" w:lineRule="auto"/>
              <w:rPr>
                <w:rFonts w:eastAsia="Times New Roman"/>
                <w:noProof/>
              </w:rPr>
            </w:pPr>
            <w:r>
              <w:rPr>
                <w:noProof/>
              </w:rPr>
              <w:t>2026</w:t>
            </w:r>
          </w:p>
        </w:tc>
        <w:tc>
          <w:tcPr>
            <w:tcW w:w="4885" w:type="dxa"/>
            <w:tcBorders>
              <w:top w:val="single" w:sz="4" w:space="0" w:color="auto"/>
              <w:left w:val="nil"/>
              <w:bottom w:val="single" w:sz="4" w:space="0" w:color="auto"/>
              <w:right w:val="single" w:sz="4" w:space="0" w:color="auto"/>
            </w:tcBorders>
            <w:shd w:val="clear" w:color="auto" w:fill="C6EFCE"/>
            <w:noWrap/>
          </w:tcPr>
          <w:p w14:paraId="477E6D58" w14:textId="1735FF1C" w:rsidR="00C45D59" w:rsidRDefault="009B0962">
            <w:pPr>
              <w:pStyle w:val="P68B1DB1-Normal12"/>
              <w:spacing w:after="0" w:line="240" w:lineRule="auto"/>
              <w:rPr>
                <w:noProof/>
              </w:rPr>
            </w:pPr>
            <w:r>
              <w:rPr>
                <w:noProof/>
              </w:rPr>
              <w:t xml:space="preserve">Furnizarea tuturor elementelor contractuale finanțate prin MRR, astfel cum a fost modificat, în ceea ce privește: </w:t>
            </w:r>
          </w:p>
          <w:p w14:paraId="5835A25B" w14:textId="77777777" w:rsidR="00C45D59" w:rsidRDefault="009B0962">
            <w:pPr>
              <w:pStyle w:val="P68B1DB1-Normal12"/>
              <w:spacing w:before="120" w:after="0" w:line="240" w:lineRule="auto"/>
              <w:ind w:left="360"/>
              <w:jc w:val="both"/>
              <w:rPr>
                <w:noProof/>
              </w:rPr>
            </w:pPr>
            <w:r>
              <w:rPr>
                <w:noProof/>
              </w:rPr>
              <w:t>(I) Sistemul de ținere a evidențelor al instanțelor</w:t>
            </w:r>
          </w:p>
          <w:p w14:paraId="1EEEB90F" w14:textId="78741DF1" w:rsidR="00C45D59" w:rsidRDefault="009B0962">
            <w:pPr>
              <w:pStyle w:val="P68B1DB1-Normal12"/>
              <w:spacing w:before="120" w:after="0" w:line="259" w:lineRule="auto"/>
              <w:ind w:left="314"/>
              <w:contextualSpacing/>
              <w:jc w:val="both"/>
              <w:rPr>
                <w:rFonts w:eastAsia="Times New Roman"/>
                <w:noProof/>
              </w:rPr>
            </w:pPr>
            <w:r>
              <w:rPr>
                <w:noProof/>
              </w:rPr>
              <w:t xml:space="preserve">(II) Sistemele informatice din sectorul justiției pentru instanțele civile și penale, Curtea de Conturi și cazierul judiciar național. </w:t>
            </w:r>
          </w:p>
        </w:tc>
      </w:tr>
    </w:tbl>
    <w:p w14:paraId="3A3A767B" w14:textId="77777777" w:rsidR="00C45D59" w:rsidRDefault="00C45D59">
      <w:pPr>
        <w:spacing w:before="120" w:after="120" w:line="240" w:lineRule="auto"/>
        <w:jc w:val="both"/>
        <w:rPr>
          <w:rFonts w:ascii="Times New Roman" w:hAnsi="Times New Roman" w:cs="Times New Roman"/>
          <w:noProof/>
          <w:sz w:val="24"/>
        </w:rPr>
        <w:sectPr w:rsidR="00C45D59">
          <w:headerReference w:type="even" r:id="rId300"/>
          <w:headerReference w:type="default" r:id="rId301"/>
          <w:footerReference w:type="even" r:id="rId302"/>
          <w:footerReference w:type="default" r:id="rId303"/>
          <w:headerReference w:type="first" r:id="rId304"/>
          <w:footerReference w:type="first" r:id="rId305"/>
          <w:pgSz w:w="16839" w:h="11907" w:orient="landscape"/>
          <w:pgMar w:top="1134" w:right="1134" w:bottom="1134" w:left="1134" w:header="567" w:footer="567" w:gutter="0"/>
          <w:cols w:space="720"/>
          <w:docGrid w:linePitch="360"/>
        </w:sectPr>
      </w:pPr>
    </w:p>
    <w:p w14:paraId="6FE02133" w14:textId="77777777" w:rsidR="00C45D59" w:rsidRDefault="009B0962">
      <w:pPr>
        <w:pStyle w:val="P68B1DB1-Normal17"/>
        <w:spacing w:before="120" w:after="120" w:line="240" w:lineRule="auto"/>
        <w:ind w:firstLine="6"/>
        <w:jc w:val="both"/>
        <w:outlineLvl w:val="3"/>
        <w:rPr>
          <w:rFonts w:cs="Times New Roman"/>
          <w:bCs/>
          <w:noProof/>
        </w:rPr>
      </w:pPr>
      <w:r>
        <w:rPr>
          <w:noProof/>
        </w:rPr>
        <w:t>O. COMPONENTA 4.4: CONSOLIDAREA SECTORULUI FINANCIAR ȘI A PIEȚELOR DE CAPITAL</w:t>
      </w:r>
    </w:p>
    <w:p w14:paraId="04669D8A" w14:textId="77777777" w:rsidR="00C45D59" w:rsidRDefault="009B0962">
      <w:pPr>
        <w:pStyle w:val="P68B1DB1-Normal5"/>
        <w:spacing w:before="120" w:after="120" w:line="240" w:lineRule="auto"/>
        <w:jc w:val="both"/>
        <w:rPr>
          <w:rFonts w:cs="Times New Roman"/>
          <w:noProof/>
        </w:rPr>
      </w:pPr>
      <w:r>
        <w:rPr>
          <w:noProof/>
        </w:rPr>
        <w:t>Această componentă a planului de redresare și reziliență al Greciei vizează consolidarea capacității sistemului financiar de a sprijini dezvoltarea economiei, prin furnizarea de finanțare întreprinderilor și persoanelor fizice pentru dezvoltarea de noi activități. Acesta sprijină abordarea expunerilor neperformante (NPE) ridicate și a creditelor neperformante (NPL) din sectorul bancar elen, îmbunătățind în același timp accesul la informații privind profilurile de credit ale întreprinderilor și ale persoanelor fizice de pe piață. </w:t>
      </w:r>
    </w:p>
    <w:p w14:paraId="6FB65BEC" w14:textId="77777777" w:rsidR="00C45D59" w:rsidRDefault="009B0962">
      <w:pPr>
        <w:pStyle w:val="P68B1DB1-Normal5"/>
        <w:spacing w:before="120" w:after="120" w:line="240" w:lineRule="auto"/>
        <w:jc w:val="both"/>
        <w:rPr>
          <w:rFonts w:cs="Times New Roman"/>
          <w:noProof/>
        </w:rPr>
      </w:pPr>
      <w:r>
        <w:rPr>
          <w:noProof/>
        </w:rPr>
        <w:t>Componenta sprijină, de asemenea, abordarea îndatorării private și consolidarea piețelor de capital. Schimbările structurale din aceste două domenii contribuie la creștere și sporesc reziliența economică a Greciei în perspectiva unor șocuri viitoare. </w:t>
      </w:r>
    </w:p>
    <w:p w14:paraId="41F14DB1" w14:textId="77777777" w:rsidR="00C45D59" w:rsidRDefault="009B0962">
      <w:pPr>
        <w:pStyle w:val="P68B1DB1-Normal5"/>
        <w:spacing w:before="120" w:after="120" w:line="240" w:lineRule="auto"/>
        <w:jc w:val="both"/>
        <w:rPr>
          <w:rFonts w:cs="Times New Roman"/>
          <w:noProof/>
        </w:rPr>
      </w:pPr>
      <w:r>
        <w:rPr>
          <w:noProof/>
        </w:rPr>
        <w:t>Reformele din cadrul acestei componente constau în: </w:t>
      </w:r>
    </w:p>
    <w:p w14:paraId="613E5AF0" w14:textId="77777777" w:rsidR="00C45D59" w:rsidRDefault="009B0962">
      <w:pPr>
        <w:pStyle w:val="P68B1DB1-Normal5"/>
        <w:numPr>
          <w:ilvl w:val="0"/>
          <w:numId w:val="70"/>
        </w:numPr>
        <w:spacing w:before="120" w:after="120" w:line="240" w:lineRule="auto"/>
        <w:ind w:left="360"/>
        <w:jc w:val="both"/>
        <w:rPr>
          <w:rFonts w:cs="Times New Roman"/>
          <w:noProof/>
        </w:rPr>
      </w:pPr>
      <w:r>
        <w:rPr>
          <w:noProof/>
        </w:rPr>
        <w:t>Consolidarea supravegherii pieței de capital și a credibilității </w:t>
      </w:r>
    </w:p>
    <w:p w14:paraId="303388A6" w14:textId="77777777" w:rsidR="00C45D59" w:rsidRDefault="009B0962">
      <w:pPr>
        <w:pStyle w:val="P68B1DB1-Normal5"/>
        <w:numPr>
          <w:ilvl w:val="0"/>
          <w:numId w:val="70"/>
        </w:numPr>
        <w:spacing w:before="120" w:after="120" w:line="240" w:lineRule="auto"/>
        <w:ind w:left="360"/>
        <w:jc w:val="both"/>
        <w:rPr>
          <w:rFonts w:cs="Times New Roman"/>
          <w:noProof/>
        </w:rPr>
      </w:pPr>
      <w:r>
        <w:rPr>
          <w:noProof/>
        </w:rPr>
        <w:t xml:space="preserve">Consolidarea capacității sistemului financiar de a depăși provocările moștenite și de a finanța economia reală </w:t>
      </w:r>
    </w:p>
    <w:p w14:paraId="440E0B84" w14:textId="77777777" w:rsidR="00C45D59" w:rsidRDefault="009B0962">
      <w:pPr>
        <w:pStyle w:val="P68B1DB1-Normal7"/>
        <w:numPr>
          <w:ilvl w:val="0"/>
          <w:numId w:val="70"/>
        </w:numPr>
        <w:spacing w:before="120" w:after="120" w:line="240" w:lineRule="auto"/>
        <w:ind w:left="360"/>
        <w:jc w:val="both"/>
        <w:rPr>
          <w:rFonts w:cs="Times New Roman"/>
          <w:noProof/>
        </w:rPr>
      </w:pPr>
      <w:r>
        <w:rPr>
          <w:noProof/>
        </w:rPr>
        <w:t xml:space="preserve">Modernizarea infrastructurii digitale necesare pentru punerea în aplicare a noului cadru unificat în materie de insolvență pentru restructurarea datoriei și a 2-a șansă </w:t>
      </w:r>
    </w:p>
    <w:p w14:paraId="69DC9E2B" w14:textId="77777777" w:rsidR="00C45D59" w:rsidRDefault="009B0962">
      <w:pPr>
        <w:pStyle w:val="P68B1DB1-Normal8"/>
        <w:spacing w:before="120" w:after="120" w:line="240" w:lineRule="auto"/>
        <w:jc w:val="both"/>
        <w:rPr>
          <w:rFonts w:ascii="Times New Roman" w:hAnsi="Times New Roman" w:cs="Times New Roman"/>
          <w:noProof/>
        </w:rPr>
      </w:pPr>
      <w:r>
        <w:rPr>
          <w:rFonts w:ascii="Times New Roman" w:hAnsi="Times New Roman"/>
          <w:noProof/>
        </w:rPr>
        <w:t>Unele dintre aceste reforme includ acțiuni care abordează lacunele informaționale care împiedică succesul fluxului de credite și monitorizarea eficientă a riscurilor. Acestea constau în dezvoltarea</w:t>
      </w:r>
      <w:r>
        <w:rPr>
          <w:rFonts w:asciiTheme="minorHAnsi" w:eastAsiaTheme="minorEastAsia" w:hAnsiTheme="minorHAnsi" w:cstheme="minorBidi"/>
          <w:noProof/>
        </w:rPr>
        <w:t xml:space="preserve"> unui registru de monitorizare a datoriei private</w:t>
      </w:r>
      <w:r>
        <w:rPr>
          <w:rFonts w:ascii="Times New Roman" w:hAnsi="Times New Roman"/>
          <w:noProof/>
        </w:rPr>
        <w:t xml:space="preserve">, dezvoltarea unui sistem public de informații privind ratingul de credit și a unui registru central al creditelor. În plus, Registrul central al creditelor, prin colectarea de date relevante, contribuie, de asemenea, la monitorizarea evoluției expansiunii creditelor de către Observatorul extinderii creditelor. Aceste acțiuni contribuie, de asemenea, la tranziția digitală a economiei elene, deoarece se bazează pe tehnologia informației. </w:t>
      </w:r>
    </w:p>
    <w:p w14:paraId="4FACC1F2" w14:textId="77777777" w:rsidR="00C45D59" w:rsidRDefault="009B0962">
      <w:pPr>
        <w:pStyle w:val="P68B1DB1-Normal5"/>
        <w:spacing w:before="120" w:after="120" w:line="240" w:lineRule="auto"/>
        <w:jc w:val="both"/>
        <w:rPr>
          <w:rFonts w:cs="Times New Roman"/>
          <w:noProof/>
        </w:rPr>
      </w:pPr>
      <w:r>
        <w:rPr>
          <w:noProof/>
        </w:rPr>
        <w:t>Măsurile din cadrul acestei componente promovează reziliența economică și instituțională, consolidează pregătirea pentru situații de criză și capacitatea instituțională și, prin urmare, sprijină punerea în aplicare a recomandării specifice fiecărei țări privind „Reformele structurale pentru îmbunătățirea funcționării economiei” (Recomandarea specifică fiecărei țări 1 2019 și Recomandarea specifică fiecărei țări 4 2020). Se preconizează că nicio măsură din cadrul acestei componente nu prejudiciază în mod semnificativ obiectivele de mediu în sensul articolului 17 din Regulamentul (UE) 2020/852, ținând seama de descrierea măsurilor și a etapelor de atenuare prevăzute în planul de redresare și reziliență în conformitate cu Orientările tehnice privind aplicarea principiului de „a nu prejudicia în mod semnificativ” (2021/C58/01).</w:t>
      </w:r>
    </w:p>
    <w:p w14:paraId="31993117" w14:textId="77777777" w:rsidR="00C45D59" w:rsidRDefault="009B0962">
      <w:pPr>
        <w:pStyle w:val="P68B1DB1-Normal6"/>
        <w:spacing w:before="120" w:after="120" w:line="240" w:lineRule="auto"/>
        <w:jc w:val="both"/>
        <w:rPr>
          <w:rFonts w:cs="Times New Roman"/>
          <w:bCs/>
          <w:i/>
          <w:iCs/>
          <w:noProof/>
          <w:color w:val="4F81BD"/>
        </w:rPr>
      </w:pPr>
      <w:r>
        <w:rPr>
          <w:noProof/>
        </w:rPr>
        <w:t>O.1. Descrierea reformelor și a investițiilor pentru sprijinul financiar nerambursabil</w:t>
      </w:r>
    </w:p>
    <w:p w14:paraId="5CFD0077" w14:textId="77777777" w:rsidR="00C45D59" w:rsidRDefault="009B0962">
      <w:pPr>
        <w:pStyle w:val="P68B1DB1-Normal5"/>
        <w:spacing w:before="120" w:after="120" w:line="240" w:lineRule="auto"/>
        <w:jc w:val="both"/>
        <w:rPr>
          <w:rFonts w:cs="Times New Roman"/>
          <w:noProof/>
        </w:rPr>
      </w:pPr>
      <w:r>
        <w:rPr>
          <w:b/>
          <w:noProof/>
        </w:rPr>
        <w:t>Reformă:</w:t>
      </w:r>
      <w:r>
        <w:rPr>
          <w:noProof/>
        </w:rPr>
        <w:t xml:space="preserve"> Consolidarea supravegherii pieței de capital și a credibilității (măsura ID 16581)</w:t>
      </w:r>
    </w:p>
    <w:p w14:paraId="7107CF83" w14:textId="077B227A" w:rsidR="00C45D59" w:rsidRDefault="009B0962">
      <w:pPr>
        <w:pStyle w:val="P68B1DB1-Normal7"/>
        <w:spacing w:before="120" w:after="120" w:line="240" w:lineRule="auto"/>
        <w:jc w:val="both"/>
        <w:rPr>
          <w:rFonts w:cs="Times New Roman"/>
          <w:noProof/>
        </w:rPr>
      </w:pPr>
      <w:r>
        <w:rPr>
          <w:noProof/>
        </w:rPr>
        <w:t>Obiectivul măsurii este de a consolida supravegherea piețelor de capital. Măsura constă în modernizarea sistemelor informatice și furnizarea de servicii de securitate cibernetică Comisiei elene a pieței de capital (HCMC) și în publicarea codificării administrative pentru piețele de capital.</w:t>
      </w:r>
    </w:p>
    <w:p w14:paraId="53B0BF36" w14:textId="77777777" w:rsidR="00C45D59" w:rsidRDefault="009B0962">
      <w:pPr>
        <w:pStyle w:val="P68B1DB1-Normal5"/>
        <w:spacing w:before="120" w:after="120" w:line="240" w:lineRule="auto"/>
        <w:jc w:val="both"/>
        <w:rPr>
          <w:rFonts w:cs="Times New Roman"/>
          <w:noProof/>
        </w:rPr>
      </w:pPr>
      <w:r>
        <w:rPr>
          <w:b/>
          <w:noProof/>
        </w:rPr>
        <w:t>Reformă:</w:t>
      </w:r>
      <w:r>
        <w:rPr>
          <w:noProof/>
        </w:rPr>
        <w:t xml:space="preserve"> Consolidarea capacității sistemului financiar de a depăși provocările moștenite și de a finanța economia reală (măsura ID 16957)</w:t>
      </w:r>
    </w:p>
    <w:p w14:paraId="3EA466BD" w14:textId="42FC7F02" w:rsidR="00C45D59" w:rsidRDefault="009B0962">
      <w:pPr>
        <w:pStyle w:val="P68B1DB1-Normal7"/>
        <w:spacing w:before="120" w:after="120" w:line="240" w:lineRule="auto"/>
        <w:jc w:val="both"/>
        <w:rPr>
          <w:noProof/>
          <w:color w:val="000000" w:themeColor="text1"/>
        </w:rPr>
      </w:pPr>
      <w:r>
        <w:rPr>
          <w:noProof/>
        </w:rPr>
        <w:t>Acest obiectiv al acestei reforme este de a reduce stocul datoriei private prin îmbunătățirea procesului de insolvență și prin capacitarea pieței creditelor neperformante. Reforma constă în furnizarea de sisteme informatice care monitorizează bonitatea debitorilor, modele de date pentru examinarea portofoliului, modificări ale Codului de procedură civilă (CPC) și dispoziții pentru crearea unui mecanism de obținere mai devreme a datelor de audiere pentru cazurile de lichidare pendinte.</w:t>
      </w:r>
    </w:p>
    <w:p w14:paraId="44063E9F" w14:textId="0B453139" w:rsidR="00C45D59" w:rsidRDefault="009B0962">
      <w:pPr>
        <w:pStyle w:val="P68B1DB1-Normal7"/>
        <w:spacing w:before="120" w:after="120" w:line="240" w:lineRule="auto"/>
        <w:jc w:val="both"/>
        <w:rPr>
          <w:rFonts w:cs="Times New Roman"/>
          <w:noProof/>
        </w:rPr>
      </w:pPr>
      <w:r>
        <w:rPr>
          <w:b/>
          <w:noProof/>
        </w:rPr>
        <w:t>Reformă:</w:t>
      </w:r>
      <w:r>
        <w:rPr>
          <w:noProof/>
        </w:rPr>
        <w:t xml:space="preserve"> Punerea în aplicare a noului cadru unificat în materie de insolvență pentru restructurarea datoriilor și a doua șansă (măsura ID 16580)</w:t>
      </w:r>
    </w:p>
    <w:p w14:paraId="3E9D2B0F" w14:textId="5964D003" w:rsidR="00C45D59" w:rsidRDefault="009B0962">
      <w:pPr>
        <w:pStyle w:val="P68B1DB1-Normal7"/>
        <w:spacing w:before="120" w:after="120" w:line="240" w:lineRule="auto"/>
        <w:jc w:val="both"/>
        <w:rPr>
          <w:rFonts w:cs="Times New Roman"/>
          <w:b/>
          <w:bCs/>
          <w:noProof/>
          <w:u w:val="single"/>
        </w:rPr>
      </w:pPr>
      <w:r>
        <w:rPr>
          <w:noProof/>
        </w:rPr>
        <w:t>Obiectivul reformei este de a sprijini procedurile de alertă timpurie și de restructurare preventivă a datoriilor. Reforma constă în modernizarea sistemelor informatice de alertă timpurie și de restructurare a datoriilor.</w:t>
      </w:r>
    </w:p>
    <w:p w14:paraId="2E89BB5D" w14:textId="77777777" w:rsidR="00C45D59" w:rsidRDefault="00C45D59">
      <w:pPr>
        <w:spacing w:before="120" w:after="120" w:line="240" w:lineRule="auto"/>
        <w:ind w:left="709"/>
        <w:jc w:val="both"/>
        <w:rPr>
          <w:rFonts w:ascii="Times New Roman" w:hAnsi="Times New Roman" w:cs="Times New Roman"/>
          <w:noProof/>
          <w:sz w:val="24"/>
        </w:rPr>
        <w:sectPr w:rsidR="00C45D59">
          <w:headerReference w:type="even" r:id="rId306"/>
          <w:headerReference w:type="default" r:id="rId307"/>
          <w:footerReference w:type="even" r:id="rId308"/>
          <w:footerReference w:type="default" r:id="rId309"/>
          <w:headerReference w:type="first" r:id="rId310"/>
          <w:footerReference w:type="first" r:id="rId311"/>
          <w:pgSz w:w="11906" w:h="16838"/>
          <w:pgMar w:top="1134" w:right="1134" w:bottom="1134" w:left="1134" w:header="567" w:footer="567" w:gutter="0"/>
          <w:cols w:space="708"/>
          <w:docGrid w:linePitch="360"/>
        </w:sectPr>
      </w:pPr>
    </w:p>
    <w:p w14:paraId="74E59B40" w14:textId="77777777" w:rsidR="00C45D59" w:rsidRDefault="009B0962">
      <w:pPr>
        <w:pStyle w:val="P68B1DB1-Normal6"/>
        <w:spacing w:before="120" w:after="120" w:line="240" w:lineRule="auto"/>
        <w:jc w:val="both"/>
        <w:rPr>
          <w:rFonts w:cs="Times New Roman"/>
          <w:bCs/>
          <w:noProof/>
        </w:rPr>
      </w:pPr>
      <w:r>
        <w:rPr>
          <w:noProof/>
        </w:rPr>
        <w:t>O.2. Jaloane, ținte, indicatori și calendarul de monitorizare și implementare aplicabile sprijinului financiar nerambursabil</w:t>
      </w:r>
    </w:p>
    <w:p w14:paraId="2781D67F" w14:textId="77777777" w:rsidR="00C45D59" w:rsidRDefault="009B0962">
      <w:pPr>
        <w:pStyle w:val="P68B1DB1-Normal9"/>
        <w:keepNext/>
        <w:keepLines/>
        <w:spacing w:before="40" w:after="0" w:line="240" w:lineRule="auto"/>
        <w:jc w:val="both"/>
        <w:outlineLvl w:val="4"/>
        <w:rPr>
          <w:rFonts w:eastAsia="Times New Roman"/>
          <w:noProof/>
        </w:rPr>
      </w:pPr>
      <w:r>
        <w:rPr>
          <w:noProof/>
        </w:rPr>
        <w:t>Grupul 22: Consolidarea sectorului financiar și a piețelor de capital</w:t>
      </w:r>
    </w:p>
    <w:p w14:paraId="3B0E7D82" w14:textId="77777777" w:rsidR="00C45D59" w:rsidRDefault="009B0962">
      <w:pPr>
        <w:pStyle w:val="P68B1DB1-Normal5"/>
        <w:numPr>
          <w:ilvl w:val="0"/>
          <w:numId w:val="71"/>
        </w:numPr>
        <w:spacing w:before="120" w:after="0" w:line="240" w:lineRule="auto"/>
        <w:jc w:val="both"/>
        <w:rPr>
          <w:rFonts w:cs="Times New Roman"/>
          <w:noProof/>
        </w:rPr>
      </w:pPr>
      <w:r>
        <w:rPr>
          <w:noProof/>
        </w:rPr>
        <w:t>Consolidarea supravegherii pieței de capital și a credibilității (ID: 16581)</w:t>
      </w:r>
    </w:p>
    <w:p w14:paraId="35F1C6FC" w14:textId="77777777" w:rsidR="00C45D59" w:rsidRDefault="009B0962">
      <w:pPr>
        <w:pStyle w:val="P68B1DB1-Normal5"/>
        <w:numPr>
          <w:ilvl w:val="0"/>
          <w:numId w:val="71"/>
        </w:numPr>
        <w:spacing w:before="120" w:after="0" w:line="240" w:lineRule="auto"/>
        <w:jc w:val="both"/>
        <w:rPr>
          <w:rFonts w:cs="Times New Roman"/>
          <w:noProof/>
        </w:rPr>
      </w:pPr>
      <w:r>
        <w:rPr>
          <w:noProof/>
        </w:rPr>
        <w:t>Consolidarea capacității sistemului financiar de a depăși provocările moștenite și de a finanța economia reală (ID: 16957)</w:t>
      </w:r>
    </w:p>
    <w:p w14:paraId="176B7476" w14:textId="77777777" w:rsidR="00C45D59" w:rsidRDefault="009B0962">
      <w:pPr>
        <w:pStyle w:val="P68B1DB1-Normal7"/>
        <w:numPr>
          <w:ilvl w:val="0"/>
          <w:numId w:val="71"/>
        </w:numPr>
        <w:spacing w:before="120" w:after="0" w:line="240" w:lineRule="auto"/>
        <w:jc w:val="both"/>
        <w:rPr>
          <w:rFonts w:cs="Times New Roman"/>
          <w:noProof/>
        </w:rPr>
      </w:pPr>
      <w:r>
        <w:rPr>
          <w:noProof/>
        </w:rPr>
        <w:t>Punerea în aplicare a noului cadru unificat în materie de insolvență pentru restructurarea datoriilor și a celei de a 2-a șanse (ID: 16580)</w:t>
      </w:r>
    </w:p>
    <w:tbl>
      <w:tblPr>
        <w:tblW w:w="15936" w:type="dxa"/>
        <w:jc w:val="center"/>
        <w:tblLook w:val="04A0" w:firstRow="1" w:lastRow="0" w:firstColumn="1" w:lastColumn="0" w:noHBand="0" w:noVBand="1"/>
      </w:tblPr>
      <w:tblGrid>
        <w:gridCol w:w="576"/>
        <w:gridCol w:w="2213"/>
        <w:gridCol w:w="1376"/>
        <w:gridCol w:w="1301"/>
        <w:gridCol w:w="1576"/>
        <w:gridCol w:w="968"/>
        <w:gridCol w:w="896"/>
        <w:gridCol w:w="866"/>
        <w:gridCol w:w="1006"/>
        <w:gridCol w:w="673"/>
        <w:gridCol w:w="5194"/>
      </w:tblGrid>
      <w:tr w:rsidR="00C45D59" w14:paraId="2E2AC28B" w14:textId="77777777">
        <w:trPr>
          <w:trHeight w:val="695"/>
          <w:tblHeader/>
          <w:jc w:val="center"/>
        </w:trPr>
        <w:tc>
          <w:tcPr>
            <w:tcW w:w="57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05F8E37" w14:textId="0E002950" w:rsidR="00C45D59" w:rsidRDefault="009B0962">
            <w:pPr>
              <w:pStyle w:val="P68B1DB1-Normal15"/>
              <w:spacing w:after="0" w:line="240" w:lineRule="auto"/>
              <w:jc w:val="center"/>
              <w:rPr>
                <w:rFonts w:eastAsia="Times New Roman"/>
                <w:bCs/>
                <w:noProof/>
              </w:rPr>
            </w:pPr>
            <w:r>
              <w:rPr>
                <w:noProof/>
              </w:rPr>
              <w:t>N</w:t>
            </w:r>
            <w:r w:rsidR="00892E7E">
              <w:rPr>
                <w:noProof/>
              </w:rPr>
              <w:t>r. crt</w:t>
            </w:r>
            <w:r>
              <w:rPr>
                <w:noProof/>
              </w:rPr>
              <w:t>.</w:t>
            </w:r>
          </w:p>
        </w:tc>
        <w:tc>
          <w:tcPr>
            <w:tcW w:w="221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CDF8210" w14:textId="77777777" w:rsidR="00C45D59" w:rsidRDefault="009B0962">
            <w:pPr>
              <w:pStyle w:val="P68B1DB1-Normal10"/>
              <w:spacing w:after="0" w:line="240" w:lineRule="auto"/>
              <w:jc w:val="center"/>
              <w:rPr>
                <w:rFonts w:eastAsia="Times New Roman" w:cs="Times New Roman"/>
                <w:bCs/>
                <w:noProof/>
                <w:szCs w:val="18"/>
              </w:rPr>
            </w:pPr>
            <w:r>
              <w:rPr>
                <w:noProof/>
              </w:rPr>
              <w:t>Măsură conexă (reformă sau investiții)</w:t>
            </w:r>
          </w:p>
        </w:tc>
        <w:tc>
          <w:tcPr>
            <w:tcW w:w="119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58D6E7C" w14:textId="77777777" w:rsidR="00C45D59" w:rsidRDefault="009B0962">
            <w:pPr>
              <w:pStyle w:val="P68B1DB1-Normal10"/>
              <w:spacing w:after="0" w:line="240" w:lineRule="auto"/>
              <w:jc w:val="center"/>
              <w:rPr>
                <w:rFonts w:eastAsia="Times New Roman" w:cs="Times New Roman"/>
                <w:bCs/>
                <w:noProof/>
                <w:szCs w:val="18"/>
              </w:rPr>
            </w:pPr>
            <w:r>
              <w:rPr>
                <w:noProof/>
              </w:rPr>
              <w:t>Etapă/Obiectiv</w:t>
            </w:r>
          </w:p>
        </w:tc>
        <w:tc>
          <w:tcPr>
            <w:tcW w:w="125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DD4809B" w14:textId="1BB59FC6" w:rsidR="00C45D59" w:rsidRDefault="00892E7E">
            <w:pPr>
              <w:pStyle w:val="P68B1DB1-Normal10"/>
              <w:spacing w:after="0" w:line="240" w:lineRule="auto"/>
              <w:jc w:val="center"/>
              <w:rPr>
                <w:rFonts w:eastAsia="Times New Roman" w:cs="Times New Roman"/>
                <w:bCs/>
                <w:noProof/>
                <w:szCs w:val="18"/>
              </w:rPr>
            </w:pPr>
            <w:r>
              <w:rPr>
                <w:noProof/>
              </w:rPr>
              <w:t>Denumire</w:t>
            </w:r>
          </w:p>
        </w:tc>
        <w:tc>
          <w:tcPr>
            <w:tcW w:w="157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C56BA49" w14:textId="77777777" w:rsidR="00C45D59" w:rsidRDefault="009B0962">
            <w:pPr>
              <w:pStyle w:val="P68B1DB1-Normal10"/>
              <w:spacing w:after="0" w:line="240" w:lineRule="auto"/>
              <w:jc w:val="center"/>
              <w:rPr>
                <w:rFonts w:eastAsia="Times New Roman" w:cs="Times New Roman"/>
                <w:bCs/>
                <w:noProof/>
                <w:szCs w:val="18"/>
              </w:rPr>
            </w:pPr>
            <w:r>
              <w:rPr>
                <w:noProof/>
              </w:rPr>
              <w:t>Indicatori calitativi (pentru obiectivele de etapă)</w:t>
            </w:r>
          </w:p>
        </w:tc>
        <w:tc>
          <w:tcPr>
            <w:tcW w:w="2412"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063565A7" w14:textId="77777777" w:rsidR="00C45D59" w:rsidRDefault="009B0962">
            <w:pPr>
              <w:pStyle w:val="P68B1DB1-Normal10"/>
              <w:spacing w:after="0" w:line="240" w:lineRule="auto"/>
              <w:jc w:val="center"/>
              <w:rPr>
                <w:rFonts w:eastAsia="Times New Roman" w:cs="Times New Roman"/>
                <w:bCs/>
                <w:noProof/>
                <w:szCs w:val="18"/>
              </w:rPr>
            </w:pPr>
            <w:r>
              <w:rPr>
                <w:noProof/>
              </w:rPr>
              <w:t>Indicatori cantitativi (pentru ținte)</w:t>
            </w:r>
          </w:p>
        </w:tc>
        <w:tc>
          <w:tcPr>
            <w:tcW w:w="1519"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4989770F" w14:textId="77777777" w:rsidR="00C45D59" w:rsidRDefault="009B0962">
            <w:pPr>
              <w:pStyle w:val="P68B1DB1-Normal10"/>
              <w:spacing w:after="0" w:line="240" w:lineRule="auto"/>
              <w:jc w:val="center"/>
              <w:rPr>
                <w:rFonts w:eastAsia="Times New Roman" w:cs="Times New Roman"/>
                <w:bCs/>
                <w:noProof/>
                <w:szCs w:val="18"/>
              </w:rPr>
            </w:pPr>
            <w:r>
              <w:rPr>
                <w:noProof/>
              </w:rPr>
              <w:t xml:space="preserve">Calendar orientativ pentru finalizare </w:t>
            </w:r>
          </w:p>
        </w:tc>
        <w:tc>
          <w:tcPr>
            <w:tcW w:w="519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9A9478D" w14:textId="77777777" w:rsidR="00C45D59" w:rsidRDefault="009B0962">
            <w:pPr>
              <w:pStyle w:val="P68B1DB1-Normal10"/>
              <w:spacing w:after="0" w:line="240" w:lineRule="auto"/>
              <w:jc w:val="center"/>
              <w:rPr>
                <w:rFonts w:eastAsia="Times New Roman" w:cs="Times New Roman"/>
                <w:bCs/>
                <w:noProof/>
                <w:szCs w:val="18"/>
              </w:rPr>
            </w:pPr>
            <w:r>
              <w:rPr>
                <w:noProof/>
              </w:rPr>
              <w:t>Descrierea fiecărui jalon și a fiecărei ținte</w:t>
            </w:r>
          </w:p>
        </w:tc>
      </w:tr>
      <w:tr w:rsidR="00C45D59" w14:paraId="5E6E6CEE" w14:textId="77777777">
        <w:trPr>
          <w:trHeight w:val="610"/>
          <w:tblHeader/>
          <w:jc w:val="center"/>
        </w:trPr>
        <w:tc>
          <w:tcPr>
            <w:tcW w:w="576" w:type="dxa"/>
            <w:vMerge/>
            <w:tcBorders>
              <w:top w:val="single" w:sz="4" w:space="0" w:color="auto"/>
              <w:left w:val="single" w:sz="4" w:space="0" w:color="auto"/>
              <w:bottom w:val="single" w:sz="4" w:space="0" w:color="auto"/>
              <w:right w:val="single" w:sz="4" w:space="0" w:color="auto"/>
            </w:tcBorders>
            <w:vAlign w:val="center"/>
            <w:hideMark/>
          </w:tcPr>
          <w:p w14:paraId="39760B90" w14:textId="77777777" w:rsidR="00C45D59" w:rsidRDefault="00C45D59">
            <w:pPr>
              <w:spacing w:after="0" w:line="240" w:lineRule="auto"/>
              <w:rPr>
                <w:rFonts w:ascii="Times New Roman" w:eastAsia="Times New Roman" w:hAnsi="Times New Roman" w:cs="Times New Roman"/>
                <w:b/>
                <w:bCs/>
                <w:noProof/>
                <w:sz w:val="18"/>
                <w:szCs w:val="18"/>
              </w:rPr>
            </w:pPr>
          </w:p>
        </w:tc>
        <w:tc>
          <w:tcPr>
            <w:tcW w:w="2213" w:type="dxa"/>
            <w:vMerge/>
            <w:tcBorders>
              <w:top w:val="single" w:sz="4" w:space="0" w:color="auto"/>
              <w:left w:val="single" w:sz="4" w:space="0" w:color="auto"/>
              <w:bottom w:val="single" w:sz="4" w:space="0" w:color="auto"/>
              <w:right w:val="single" w:sz="4" w:space="0" w:color="auto"/>
            </w:tcBorders>
            <w:vAlign w:val="center"/>
            <w:hideMark/>
          </w:tcPr>
          <w:p w14:paraId="00A66E94" w14:textId="77777777" w:rsidR="00C45D59" w:rsidRDefault="00C45D59">
            <w:pPr>
              <w:spacing w:after="0" w:line="240" w:lineRule="auto"/>
              <w:rPr>
                <w:rFonts w:ascii="Times New Roman" w:eastAsia="Times New Roman" w:hAnsi="Times New Roman" w:cs="Times New Roman"/>
                <w:b/>
                <w:bCs/>
                <w:noProof/>
                <w:sz w:val="18"/>
                <w:szCs w:val="18"/>
              </w:rPr>
            </w:pPr>
          </w:p>
        </w:tc>
        <w:tc>
          <w:tcPr>
            <w:tcW w:w="1193" w:type="dxa"/>
            <w:vMerge/>
            <w:tcBorders>
              <w:top w:val="single" w:sz="4" w:space="0" w:color="auto"/>
              <w:left w:val="single" w:sz="4" w:space="0" w:color="auto"/>
              <w:bottom w:val="single" w:sz="4" w:space="0" w:color="auto"/>
              <w:right w:val="single" w:sz="4" w:space="0" w:color="auto"/>
            </w:tcBorders>
            <w:vAlign w:val="center"/>
            <w:hideMark/>
          </w:tcPr>
          <w:p w14:paraId="0BECE063" w14:textId="77777777" w:rsidR="00C45D59" w:rsidRDefault="00C45D59">
            <w:pPr>
              <w:spacing w:after="0" w:line="240" w:lineRule="auto"/>
              <w:rPr>
                <w:rFonts w:ascii="Times New Roman" w:eastAsia="Times New Roman" w:hAnsi="Times New Roman" w:cs="Times New Roman"/>
                <w:b/>
                <w:bCs/>
                <w:noProof/>
                <w:sz w:val="18"/>
                <w:szCs w:val="18"/>
              </w:rPr>
            </w:pPr>
          </w:p>
        </w:tc>
        <w:tc>
          <w:tcPr>
            <w:tcW w:w="1253" w:type="dxa"/>
            <w:vMerge/>
            <w:tcBorders>
              <w:top w:val="single" w:sz="4" w:space="0" w:color="auto"/>
              <w:left w:val="single" w:sz="4" w:space="0" w:color="auto"/>
              <w:bottom w:val="single" w:sz="4" w:space="0" w:color="auto"/>
              <w:right w:val="single" w:sz="4" w:space="0" w:color="auto"/>
            </w:tcBorders>
            <w:vAlign w:val="center"/>
            <w:hideMark/>
          </w:tcPr>
          <w:p w14:paraId="1968E76C" w14:textId="77777777" w:rsidR="00C45D59" w:rsidRDefault="00C45D59">
            <w:pPr>
              <w:spacing w:after="0" w:line="240" w:lineRule="auto"/>
              <w:rPr>
                <w:rFonts w:ascii="Times New Roman" w:eastAsia="Times New Roman" w:hAnsi="Times New Roman" w:cs="Times New Roman"/>
                <w:b/>
                <w:bCs/>
                <w:noProof/>
                <w:sz w:val="18"/>
                <w:szCs w:val="18"/>
              </w:rPr>
            </w:pPr>
          </w:p>
        </w:tc>
        <w:tc>
          <w:tcPr>
            <w:tcW w:w="1576" w:type="dxa"/>
            <w:vMerge/>
            <w:tcBorders>
              <w:top w:val="single" w:sz="4" w:space="0" w:color="auto"/>
              <w:left w:val="single" w:sz="4" w:space="0" w:color="auto"/>
              <w:bottom w:val="single" w:sz="4" w:space="0" w:color="auto"/>
              <w:right w:val="single" w:sz="4" w:space="0" w:color="auto"/>
            </w:tcBorders>
            <w:vAlign w:val="center"/>
            <w:hideMark/>
          </w:tcPr>
          <w:p w14:paraId="6882D4B7" w14:textId="77777777" w:rsidR="00C45D59" w:rsidRDefault="00C45D59">
            <w:pPr>
              <w:spacing w:after="0" w:line="240" w:lineRule="auto"/>
              <w:rPr>
                <w:rFonts w:ascii="Times New Roman" w:eastAsia="Times New Roman" w:hAnsi="Times New Roman" w:cs="Times New Roman"/>
                <w:b/>
                <w:bCs/>
                <w:noProof/>
                <w:sz w:val="18"/>
                <w:szCs w:val="18"/>
              </w:rPr>
            </w:pPr>
          </w:p>
        </w:tc>
        <w:tc>
          <w:tcPr>
            <w:tcW w:w="968"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7E2754B2" w14:textId="77777777" w:rsidR="00C45D59" w:rsidRDefault="009B0962">
            <w:pPr>
              <w:pStyle w:val="P68B1DB1-Normal10"/>
              <w:spacing w:after="0" w:line="240" w:lineRule="auto"/>
              <w:jc w:val="center"/>
              <w:rPr>
                <w:rFonts w:eastAsia="Times New Roman" w:cs="Times New Roman"/>
                <w:bCs/>
                <w:noProof/>
                <w:szCs w:val="18"/>
              </w:rPr>
            </w:pPr>
            <w:r>
              <w:rPr>
                <w:noProof/>
              </w:rPr>
              <w:t>Unitatea de măsură</w:t>
            </w:r>
          </w:p>
        </w:tc>
        <w:tc>
          <w:tcPr>
            <w:tcW w:w="857"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45E91B83" w14:textId="77777777" w:rsidR="00C45D59" w:rsidRDefault="009B0962">
            <w:pPr>
              <w:pStyle w:val="P68B1DB1-Normal10"/>
              <w:spacing w:after="0" w:line="240" w:lineRule="auto"/>
              <w:jc w:val="center"/>
              <w:rPr>
                <w:rFonts w:eastAsia="Times New Roman" w:cs="Times New Roman"/>
                <w:bCs/>
                <w:noProof/>
                <w:szCs w:val="18"/>
              </w:rPr>
            </w:pPr>
            <w:r>
              <w:rPr>
                <w:noProof/>
              </w:rPr>
              <w:t xml:space="preserve">Situația de referință </w:t>
            </w:r>
          </w:p>
        </w:tc>
        <w:tc>
          <w:tcPr>
            <w:tcW w:w="587"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AD14B55" w14:textId="77777777" w:rsidR="00C45D59" w:rsidRDefault="009B0962">
            <w:pPr>
              <w:pStyle w:val="P68B1DB1-Normal10"/>
              <w:spacing w:after="0" w:line="240" w:lineRule="auto"/>
              <w:jc w:val="center"/>
              <w:rPr>
                <w:rFonts w:eastAsia="Times New Roman" w:cs="Times New Roman"/>
                <w:bCs/>
                <w:noProof/>
                <w:szCs w:val="18"/>
              </w:rPr>
            </w:pPr>
            <w:r>
              <w:rPr>
                <w:noProof/>
              </w:rPr>
              <w:t xml:space="preserve">Obiectiv </w:t>
            </w:r>
          </w:p>
        </w:tc>
        <w:tc>
          <w:tcPr>
            <w:tcW w:w="846"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6A43AE14" w14:textId="77777777" w:rsidR="00C45D59" w:rsidRDefault="009B0962">
            <w:pPr>
              <w:pStyle w:val="P68B1DB1-Normal10"/>
              <w:spacing w:after="0" w:line="240" w:lineRule="auto"/>
              <w:jc w:val="center"/>
              <w:rPr>
                <w:rFonts w:eastAsia="Times New Roman" w:cs="Times New Roman"/>
                <w:bCs/>
                <w:noProof/>
                <w:szCs w:val="18"/>
              </w:rPr>
            </w:pPr>
            <w:r>
              <w:rPr>
                <w:noProof/>
              </w:rPr>
              <w:t>Trimestru</w:t>
            </w:r>
          </w:p>
        </w:tc>
        <w:tc>
          <w:tcPr>
            <w:tcW w:w="673"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417A29EE" w14:textId="77777777" w:rsidR="00C45D59" w:rsidRDefault="009B0962">
            <w:pPr>
              <w:pStyle w:val="P68B1DB1-Normal10"/>
              <w:spacing w:after="0" w:line="240" w:lineRule="auto"/>
              <w:jc w:val="center"/>
              <w:rPr>
                <w:rFonts w:eastAsia="Times New Roman" w:cs="Times New Roman"/>
                <w:bCs/>
                <w:noProof/>
                <w:szCs w:val="18"/>
              </w:rPr>
            </w:pPr>
            <w:r>
              <w:rPr>
                <w:noProof/>
              </w:rPr>
              <w:t>Anul</w:t>
            </w:r>
          </w:p>
        </w:tc>
        <w:tc>
          <w:tcPr>
            <w:tcW w:w="5194" w:type="dxa"/>
            <w:vMerge/>
            <w:tcBorders>
              <w:top w:val="single" w:sz="4" w:space="0" w:color="auto"/>
              <w:left w:val="single" w:sz="4" w:space="0" w:color="auto"/>
              <w:bottom w:val="single" w:sz="4" w:space="0" w:color="auto"/>
              <w:right w:val="single" w:sz="4" w:space="0" w:color="auto"/>
            </w:tcBorders>
            <w:vAlign w:val="center"/>
            <w:hideMark/>
          </w:tcPr>
          <w:p w14:paraId="06A76230" w14:textId="77777777" w:rsidR="00C45D59" w:rsidRDefault="00C45D59">
            <w:pPr>
              <w:spacing w:after="0" w:line="240" w:lineRule="auto"/>
              <w:rPr>
                <w:rFonts w:ascii="Times New Roman" w:eastAsia="Times New Roman" w:hAnsi="Times New Roman" w:cs="Times New Roman"/>
                <w:b/>
                <w:bCs/>
                <w:noProof/>
                <w:sz w:val="18"/>
                <w:szCs w:val="18"/>
              </w:rPr>
            </w:pPr>
          </w:p>
        </w:tc>
      </w:tr>
      <w:tr w:rsidR="00C45D59" w14:paraId="466964D0" w14:textId="77777777">
        <w:trPr>
          <w:trHeight w:val="309"/>
          <w:jc w:val="center"/>
        </w:trPr>
        <w:tc>
          <w:tcPr>
            <w:tcW w:w="576" w:type="dxa"/>
            <w:tcBorders>
              <w:top w:val="single" w:sz="4" w:space="0" w:color="auto"/>
              <w:left w:val="single" w:sz="4" w:space="0" w:color="auto"/>
              <w:bottom w:val="single" w:sz="4" w:space="0" w:color="auto"/>
              <w:right w:val="single" w:sz="4" w:space="0" w:color="auto"/>
            </w:tcBorders>
            <w:shd w:val="clear" w:color="auto" w:fill="C6EFCE"/>
            <w:noWrap/>
          </w:tcPr>
          <w:p w14:paraId="4D55C7B8" w14:textId="77777777" w:rsidR="00C45D59" w:rsidRDefault="009B0962">
            <w:pPr>
              <w:pStyle w:val="P68B1DB1-Normal12"/>
              <w:spacing w:after="0" w:line="240" w:lineRule="auto"/>
              <w:rPr>
                <w:rFonts w:eastAsia="Times New Roman"/>
                <w:noProof/>
              </w:rPr>
            </w:pPr>
            <w:r>
              <w:rPr>
                <w:noProof/>
              </w:rPr>
              <w:t>240</w:t>
            </w:r>
          </w:p>
        </w:tc>
        <w:tc>
          <w:tcPr>
            <w:tcW w:w="2213" w:type="dxa"/>
            <w:tcBorders>
              <w:top w:val="single" w:sz="4" w:space="0" w:color="auto"/>
              <w:left w:val="single" w:sz="4" w:space="0" w:color="auto"/>
              <w:bottom w:val="single" w:sz="4" w:space="0" w:color="auto"/>
              <w:right w:val="single" w:sz="4" w:space="0" w:color="auto"/>
            </w:tcBorders>
            <w:shd w:val="clear" w:color="auto" w:fill="C6EFCE"/>
            <w:noWrap/>
          </w:tcPr>
          <w:p w14:paraId="6EDBAED7" w14:textId="77777777" w:rsidR="00C45D59" w:rsidRDefault="009B0962">
            <w:pPr>
              <w:pStyle w:val="P68B1DB1-Normal12"/>
              <w:spacing w:after="0" w:line="240" w:lineRule="auto"/>
              <w:rPr>
                <w:rFonts w:eastAsia="Times New Roman"/>
                <w:noProof/>
              </w:rPr>
            </w:pPr>
            <w:r>
              <w:rPr>
                <w:noProof/>
              </w:rPr>
              <w:t>15-4.4. Consolidarea sectorului financiar și a piețelor de capital – 16581_Consolidarea supravegherii și a credibilității pieței de capital</w:t>
            </w:r>
          </w:p>
        </w:tc>
        <w:tc>
          <w:tcPr>
            <w:tcW w:w="1193" w:type="dxa"/>
            <w:tcBorders>
              <w:top w:val="single" w:sz="4" w:space="0" w:color="auto"/>
              <w:left w:val="single" w:sz="4" w:space="0" w:color="auto"/>
              <w:bottom w:val="single" w:sz="4" w:space="0" w:color="auto"/>
              <w:right w:val="single" w:sz="4" w:space="0" w:color="auto"/>
            </w:tcBorders>
            <w:shd w:val="clear" w:color="auto" w:fill="C6EFCE"/>
            <w:noWrap/>
          </w:tcPr>
          <w:p w14:paraId="7CCF5581" w14:textId="77777777" w:rsidR="00C45D59" w:rsidRDefault="009B0962">
            <w:pPr>
              <w:pStyle w:val="P68B1DB1-Normal12"/>
              <w:spacing w:after="0" w:line="240" w:lineRule="auto"/>
              <w:rPr>
                <w:rFonts w:eastAsia="Times New Roman"/>
                <w:noProof/>
              </w:rPr>
            </w:pPr>
            <w:r>
              <w:rPr>
                <w:noProof/>
              </w:rPr>
              <w:t>Etapă</w:t>
            </w:r>
          </w:p>
        </w:tc>
        <w:tc>
          <w:tcPr>
            <w:tcW w:w="1253" w:type="dxa"/>
            <w:tcBorders>
              <w:top w:val="single" w:sz="4" w:space="0" w:color="auto"/>
              <w:left w:val="single" w:sz="4" w:space="0" w:color="auto"/>
              <w:bottom w:val="single" w:sz="4" w:space="0" w:color="auto"/>
              <w:right w:val="single" w:sz="4" w:space="0" w:color="auto"/>
            </w:tcBorders>
            <w:shd w:val="clear" w:color="auto" w:fill="C6EFCE"/>
            <w:noWrap/>
          </w:tcPr>
          <w:p w14:paraId="3910292E" w14:textId="77777777" w:rsidR="00C45D59" w:rsidRDefault="009B0962">
            <w:pPr>
              <w:pStyle w:val="P68B1DB1-Normal12"/>
              <w:spacing w:after="0" w:line="240" w:lineRule="auto"/>
              <w:rPr>
                <w:rFonts w:eastAsia="Times New Roman"/>
                <w:noProof/>
              </w:rPr>
            </w:pPr>
            <w:r>
              <w:rPr>
                <w:noProof/>
              </w:rPr>
              <w:t>Piețele de capital, supravegherea, digitalizarea proceselor de supraveghere, uniunea piețelor de capital (UPC)</w:t>
            </w:r>
          </w:p>
        </w:tc>
        <w:tc>
          <w:tcPr>
            <w:tcW w:w="1576" w:type="dxa"/>
            <w:tcBorders>
              <w:top w:val="single" w:sz="4" w:space="0" w:color="auto"/>
              <w:left w:val="single" w:sz="4" w:space="0" w:color="auto"/>
              <w:bottom w:val="single" w:sz="4" w:space="0" w:color="auto"/>
              <w:right w:val="single" w:sz="4" w:space="0" w:color="auto"/>
            </w:tcBorders>
            <w:shd w:val="clear" w:color="auto" w:fill="C6EFCE"/>
            <w:noWrap/>
          </w:tcPr>
          <w:p w14:paraId="3C08922B" w14:textId="77777777" w:rsidR="00C45D59" w:rsidRDefault="009B0962">
            <w:pPr>
              <w:pStyle w:val="P68B1DB1-Normal12"/>
              <w:spacing w:after="0" w:line="240" w:lineRule="auto"/>
              <w:rPr>
                <w:rFonts w:eastAsia="Times New Roman"/>
                <w:noProof/>
              </w:rPr>
            </w:pPr>
            <w:r>
              <w:rPr>
                <w:noProof/>
              </w:rPr>
              <w:t xml:space="preserve">Intrarea în vigoare a legislației </w:t>
            </w:r>
          </w:p>
        </w:tc>
        <w:tc>
          <w:tcPr>
            <w:tcW w:w="968" w:type="dxa"/>
            <w:tcBorders>
              <w:top w:val="single" w:sz="4" w:space="0" w:color="auto"/>
              <w:left w:val="single" w:sz="4" w:space="0" w:color="auto"/>
              <w:bottom w:val="single" w:sz="4" w:space="0" w:color="auto"/>
              <w:right w:val="single" w:sz="4" w:space="0" w:color="auto"/>
            </w:tcBorders>
            <w:shd w:val="clear" w:color="auto" w:fill="C6EFCE"/>
            <w:noWrap/>
          </w:tcPr>
          <w:p w14:paraId="2FDC47E6"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57" w:type="dxa"/>
            <w:tcBorders>
              <w:top w:val="single" w:sz="4" w:space="0" w:color="auto"/>
              <w:left w:val="single" w:sz="4" w:space="0" w:color="auto"/>
              <w:bottom w:val="single" w:sz="4" w:space="0" w:color="auto"/>
              <w:right w:val="single" w:sz="4" w:space="0" w:color="auto"/>
            </w:tcBorders>
            <w:shd w:val="clear" w:color="auto" w:fill="C6EFCE"/>
            <w:noWrap/>
          </w:tcPr>
          <w:p w14:paraId="30BF18F3"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587" w:type="dxa"/>
            <w:tcBorders>
              <w:top w:val="single" w:sz="4" w:space="0" w:color="auto"/>
              <w:left w:val="single" w:sz="4" w:space="0" w:color="auto"/>
              <w:bottom w:val="single" w:sz="4" w:space="0" w:color="auto"/>
              <w:right w:val="single" w:sz="4" w:space="0" w:color="auto"/>
            </w:tcBorders>
            <w:shd w:val="clear" w:color="auto" w:fill="C6EFCE"/>
            <w:noWrap/>
          </w:tcPr>
          <w:p w14:paraId="2E2CE650"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0B8C6235" w14:textId="77777777" w:rsidR="00C45D59" w:rsidRDefault="009B0962">
            <w:pPr>
              <w:pStyle w:val="P68B1DB1-Normal12"/>
              <w:spacing w:after="0" w:line="240" w:lineRule="auto"/>
              <w:rPr>
                <w:rFonts w:eastAsia="Times New Roman"/>
                <w:noProof/>
              </w:rPr>
            </w:pPr>
            <w:r>
              <w:rPr>
                <w:noProof/>
              </w:rPr>
              <w:t>Î4</w:t>
            </w:r>
          </w:p>
        </w:tc>
        <w:tc>
          <w:tcPr>
            <w:tcW w:w="673" w:type="dxa"/>
            <w:tcBorders>
              <w:top w:val="single" w:sz="4" w:space="0" w:color="auto"/>
              <w:left w:val="single" w:sz="4" w:space="0" w:color="auto"/>
              <w:bottom w:val="single" w:sz="4" w:space="0" w:color="auto"/>
              <w:right w:val="single" w:sz="4" w:space="0" w:color="auto"/>
            </w:tcBorders>
            <w:shd w:val="clear" w:color="auto" w:fill="C6EFCE"/>
            <w:noWrap/>
          </w:tcPr>
          <w:p w14:paraId="23A0483F" w14:textId="77777777" w:rsidR="00C45D59" w:rsidRDefault="009B0962">
            <w:pPr>
              <w:pStyle w:val="P68B1DB1-Normal12"/>
              <w:spacing w:after="0" w:line="240" w:lineRule="auto"/>
              <w:rPr>
                <w:rFonts w:eastAsia="Times New Roman"/>
                <w:noProof/>
              </w:rPr>
            </w:pPr>
            <w:r>
              <w:rPr>
                <w:noProof/>
              </w:rPr>
              <w:t>2021</w:t>
            </w:r>
          </w:p>
        </w:tc>
        <w:tc>
          <w:tcPr>
            <w:tcW w:w="5194" w:type="dxa"/>
            <w:tcBorders>
              <w:top w:val="single" w:sz="4" w:space="0" w:color="auto"/>
              <w:left w:val="single" w:sz="4" w:space="0" w:color="auto"/>
              <w:bottom w:val="single" w:sz="4" w:space="0" w:color="auto"/>
              <w:right w:val="single" w:sz="4" w:space="0" w:color="auto"/>
            </w:tcBorders>
            <w:shd w:val="clear" w:color="auto" w:fill="C6EFCE"/>
            <w:noWrap/>
          </w:tcPr>
          <w:p w14:paraId="57006D2E" w14:textId="77777777" w:rsidR="00C45D59" w:rsidRDefault="009B0962">
            <w:pPr>
              <w:pStyle w:val="P68B1DB1-Normal12"/>
              <w:spacing w:after="0" w:line="240" w:lineRule="auto"/>
              <w:rPr>
                <w:noProof/>
              </w:rPr>
            </w:pPr>
            <w:r>
              <w:rPr>
                <w:noProof/>
              </w:rPr>
              <w:t xml:space="preserve">Intrarea în vigoare a unei noi legi privind Comisia elenă pentru piața de capital, care va modifica procesele interne și organizarea acesteia. </w:t>
            </w:r>
          </w:p>
        </w:tc>
      </w:tr>
      <w:tr w:rsidR="00C45D59" w14:paraId="1CE733FA" w14:textId="77777777">
        <w:trPr>
          <w:trHeight w:val="309"/>
          <w:jc w:val="center"/>
        </w:trPr>
        <w:tc>
          <w:tcPr>
            <w:tcW w:w="576" w:type="dxa"/>
            <w:tcBorders>
              <w:top w:val="single" w:sz="4" w:space="0" w:color="auto"/>
              <w:left w:val="single" w:sz="4" w:space="0" w:color="auto"/>
              <w:bottom w:val="single" w:sz="4" w:space="0" w:color="auto"/>
              <w:right w:val="single" w:sz="4" w:space="0" w:color="auto"/>
            </w:tcBorders>
            <w:shd w:val="clear" w:color="auto" w:fill="C6EFCE"/>
            <w:noWrap/>
          </w:tcPr>
          <w:p w14:paraId="544D5701" w14:textId="77777777" w:rsidR="00C45D59" w:rsidRDefault="009B0962">
            <w:pPr>
              <w:pStyle w:val="P68B1DB1-Normal12"/>
              <w:spacing w:after="0" w:line="240" w:lineRule="auto"/>
              <w:rPr>
                <w:rFonts w:eastAsia="Times New Roman"/>
                <w:noProof/>
              </w:rPr>
            </w:pPr>
            <w:r>
              <w:rPr>
                <w:noProof/>
              </w:rPr>
              <w:t>241</w:t>
            </w:r>
          </w:p>
        </w:tc>
        <w:tc>
          <w:tcPr>
            <w:tcW w:w="2213" w:type="dxa"/>
            <w:tcBorders>
              <w:top w:val="single" w:sz="4" w:space="0" w:color="auto"/>
              <w:left w:val="nil"/>
              <w:bottom w:val="single" w:sz="4" w:space="0" w:color="auto"/>
              <w:right w:val="single" w:sz="4" w:space="0" w:color="auto"/>
            </w:tcBorders>
            <w:shd w:val="clear" w:color="auto" w:fill="C6EFCE"/>
            <w:noWrap/>
          </w:tcPr>
          <w:p w14:paraId="360F9A3B" w14:textId="77777777" w:rsidR="00C45D59" w:rsidRDefault="009B0962">
            <w:pPr>
              <w:pStyle w:val="P68B1DB1-Normal12"/>
              <w:spacing w:after="0" w:line="240" w:lineRule="auto"/>
              <w:rPr>
                <w:rFonts w:eastAsia="Times New Roman"/>
                <w:noProof/>
              </w:rPr>
            </w:pPr>
            <w:r>
              <w:rPr>
                <w:noProof/>
              </w:rPr>
              <w:t>15-4.4. Consolidarea sectorului financiar și a piețelor de capital – 16580_Punerea în aplicare a noului cadru unificat în materie de insolvență pentru restructurarea datoriei și a 2-a șansă</w:t>
            </w:r>
          </w:p>
        </w:tc>
        <w:tc>
          <w:tcPr>
            <w:tcW w:w="1193" w:type="dxa"/>
            <w:tcBorders>
              <w:top w:val="single" w:sz="4" w:space="0" w:color="auto"/>
              <w:left w:val="nil"/>
              <w:bottom w:val="single" w:sz="4" w:space="0" w:color="auto"/>
              <w:right w:val="single" w:sz="4" w:space="0" w:color="auto"/>
            </w:tcBorders>
            <w:shd w:val="clear" w:color="auto" w:fill="C6EFCE"/>
            <w:noWrap/>
          </w:tcPr>
          <w:p w14:paraId="0F9C8D3F" w14:textId="77777777" w:rsidR="00C45D59" w:rsidRDefault="009B0962">
            <w:pPr>
              <w:pStyle w:val="P68B1DB1-Normal12"/>
              <w:spacing w:after="0" w:line="240" w:lineRule="auto"/>
              <w:rPr>
                <w:rFonts w:eastAsia="Times New Roman"/>
                <w:noProof/>
              </w:rPr>
            </w:pPr>
            <w:r>
              <w:rPr>
                <w:noProof/>
              </w:rPr>
              <w:t>Etapă</w:t>
            </w:r>
          </w:p>
        </w:tc>
        <w:tc>
          <w:tcPr>
            <w:tcW w:w="1253" w:type="dxa"/>
            <w:tcBorders>
              <w:top w:val="single" w:sz="4" w:space="0" w:color="auto"/>
              <w:left w:val="nil"/>
              <w:bottom w:val="single" w:sz="4" w:space="0" w:color="auto"/>
              <w:right w:val="single" w:sz="4" w:space="0" w:color="auto"/>
            </w:tcBorders>
            <w:shd w:val="clear" w:color="auto" w:fill="C6EFCE"/>
            <w:noWrap/>
          </w:tcPr>
          <w:p w14:paraId="03E36C21" w14:textId="77777777" w:rsidR="00C45D59" w:rsidRDefault="009B0962">
            <w:pPr>
              <w:pStyle w:val="P68B1DB1-Normal27"/>
              <w:spacing w:after="0" w:line="240" w:lineRule="auto"/>
              <w:rPr>
                <w:noProof/>
              </w:rPr>
            </w:pPr>
            <w:r>
              <w:rPr>
                <w:noProof/>
              </w:rPr>
              <w:t>Modernizarea sistemelor informatice de alertă timpurie și de restructurare a datoriilor</w:t>
            </w:r>
          </w:p>
        </w:tc>
        <w:tc>
          <w:tcPr>
            <w:tcW w:w="1576" w:type="dxa"/>
            <w:tcBorders>
              <w:top w:val="single" w:sz="4" w:space="0" w:color="auto"/>
              <w:left w:val="nil"/>
              <w:bottom w:val="single" w:sz="4" w:space="0" w:color="auto"/>
              <w:right w:val="single" w:sz="4" w:space="0" w:color="auto"/>
            </w:tcBorders>
            <w:shd w:val="clear" w:color="auto" w:fill="C6EFCE"/>
            <w:noWrap/>
          </w:tcPr>
          <w:p w14:paraId="46B7D0FB" w14:textId="3AA1D2FB" w:rsidR="00C45D59" w:rsidRDefault="009B0962">
            <w:pPr>
              <w:pStyle w:val="P68B1DB1-Normal12"/>
              <w:spacing w:after="0" w:line="240" w:lineRule="auto"/>
              <w:rPr>
                <w:rFonts w:eastAsiaTheme="minorEastAsia"/>
                <w:noProof/>
              </w:rPr>
            </w:pPr>
            <w:r>
              <w:rPr>
                <w:noProof/>
              </w:rPr>
              <w:t>Sistemele informatice de alertă timpurie și de restructurare a datoriilor sunt modernizate</w:t>
            </w:r>
          </w:p>
        </w:tc>
        <w:tc>
          <w:tcPr>
            <w:tcW w:w="968" w:type="dxa"/>
            <w:tcBorders>
              <w:top w:val="single" w:sz="4" w:space="0" w:color="auto"/>
              <w:left w:val="nil"/>
              <w:bottom w:val="single" w:sz="4" w:space="0" w:color="auto"/>
              <w:right w:val="single" w:sz="4" w:space="0" w:color="auto"/>
            </w:tcBorders>
            <w:shd w:val="clear" w:color="auto" w:fill="C6EFCE"/>
            <w:noWrap/>
          </w:tcPr>
          <w:p w14:paraId="14D9005B"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57" w:type="dxa"/>
            <w:tcBorders>
              <w:top w:val="single" w:sz="4" w:space="0" w:color="auto"/>
              <w:left w:val="nil"/>
              <w:bottom w:val="single" w:sz="4" w:space="0" w:color="auto"/>
              <w:right w:val="single" w:sz="4" w:space="0" w:color="auto"/>
            </w:tcBorders>
            <w:shd w:val="clear" w:color="auto" w:fill="C6EFCE"/>
            <w:noWrap/>
          </w:tcPr>
          <w:p w14:paraId="63EF6E5C"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587" w:type="dxa"/>
            <w:tcBorders>
              <w:top w:val="single" w:sz="4" w:space="0" w:color="auto"/>
              <w:left w:val="nil"/>
              <w:bottom w:val="single" w:sz="4" w:space="0" w:color="auto"/>
              <w:right w:val="single" w:sz="4" w:space="0" w:color="auto"/>
            </w:tcBorders>
            <w:shd w:val="clear" w:color="auto" w:fill="C6EFCE"/>
            <w:noWrap/>
          </w:tcPr>
          <w:p w14:paraId="7369AE50"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46" w:type="dxa"/>
            <w:tcBorders>
              <w:top w:val="single" w:sz="4" w:space="0" w:color="auto"/>
              <w:left w:val="nil"/>
              <w:bottom w:val="single" w:sz="4" w:space="0" w:color="auto"/>
              <w:right w:val="single" w:sz="4" w:space="0" w:color="auto"/>
            </w:tcBorders>
            <w:shd w:val="clear" w:color="auto" w:fill="C6EFCE"/>
            <w:noWrap/>
          </w:tcPr>
          <w:p w14:paraId="38512CAC" w14:textId="77777777" w:rsidR="00C45D59" w:rsidRDefault="009B0962">
            <w:pPr>
              <w:pStyle w:val="P68B1DB1-Normal12"/>
              <w:spacing w:after="0" w:line="240" w:lineRule="auto"/>
              <w:rPr>
                <w:rFonts w:eastAsia="Times New Roman"/>
                <w:noProof/>
              </w:rPr>
            </w:pPr>
            <w:r>
              <w:rPr>
                <w:noProof/>
              </w:rPr>
              <w:t>Î4</w:t>
            </w:r>
          </w:p>
        </w:tc>
        <w:tc>
          <w:tcPr>
            <w:tcW w:w="673" w:type="dxa"/>
            <w:tcBorders>
              <w:top w:val="single" w:sz="4" w:space="0" w:color="auto"/>
              <w:left w:val="nil"/>
              <w:bottom w:val="single" w:sz="4" w:space="0" w:color="auto"/>
              <w:right w:val="single" w:sz="4" w:space="0" w:color="auto"/>
            </w:tcBorders>
            <w:shd w:val="clear" w:color="auto" w:fill="C6EFCE"/>
            <w:noWrap/>
          </w:tcPr>
          <w:p w14:paraId="1D2B94D5" w14:textId="77777777" w:rsidR="00C45D59" w:rsidRDefault="009B0962">
            <w:pPr>
              <w:pStyle w:val="P68B1DB1-Normal12"/>
              <w:spacing w:after="0" w:line="240" w:lineRule="auto"/>
              <w:rPr>
                <w:rFonts w:eastAsia="Times New Roman"/>
                <w:noProof/>
              </w:rPr>
            </w:pPr>
            <w:r>
              <w:rPr>
                <w:noProof/>
              </w:rPr>
              <w:t>2025</w:t>
            </w:r>
          </w:p>
        </w:tc>
        <w:tc>
          <w:tcPr>
            <w:tcW w:w="5194" w:type="dxa"/>
            <w:tcBorders>
              <w:top w:val="single" w:sz="4" w:space="0" w:color="auto"/>
              <w:left w:val="nil"/>
              <w:bottom w:val="single" w:sz="4" w:space="0" w:color="auto"/>
              <w:right w:val="single" w:sz="4" w:space="0" w:color="auto"/>
            </w:tcBorders>
            <w:shd w:val="clear" w:color="auto" w:fill="C6EFCE"/>
            <w:noWrap/>
          </w:tcPr>
          <w:p w14:paraId="2BF97AC2" w14:textId="28363F96" w:rsidR="00C45D59" w:rsidRDefault="009B0962">
            <w:pPr>
              <w:pStyle w:val="P68B1DB1-Normal12"/>
              <w:spacing w:after="0" w:line="240" w:lineRule="auto"/>
              <w:rPr>
                <w:rFonts w:eastAsia="Times New Roman"/>
                <w:noProof/>
              </w:rPr>
            </w:pPr>
            <w:r>
              <w:rPr>
                <w:noProof/>
              </w:rPr>
              <w:t>Modernizarea sistemelor informatice de alertă timpurie și de restructurare a datoriilor</w:t>
            </w:r>
          </w:p>
        </w:tc>
      </w:tr>
      <w:tr w:rsidR="00C45D59" w14:paraId="20FF585F" w14:textId="77777777">
        <w:trPr>
          <w:trHeight w:val="309"/>
          <w:jc w:val="center"/>
        </w:trPr>
        <w:tc>
          <w:tcPr>
            <w:tcW w:w="576" w:type="dxa"/>
            <w:tcBorders>
              <w:top w:val="single" w:sz="4" w:space="0" w:color="auto"/>
              <w:left w:val="single" w:sz="4" w:space="0" w:color="auto"/>
              <w:bottom w:val="single" w:sz="4" w:space="0" w:color="auto"/>
              <w:right w:val="single" w:sz="4" w:space="0" w:color="auto"/>
            </w:tcBorders>
            <w:shd w:val="clear" w:color="auto" w:fill="C6EFCE"/>
            <w:noWrap/>
          </w:tcPr>
          <w:p w14:paraId="6CC1CCF1" w14:textId="77777777" w:rsidR="00C45D59" w:rsidRDefault="009B0962">
            <w:pPr>
              <w:pStyle w:val="P68B1DB1-Normal12"/>
              <w:spacing w:after="0" w:line="240" w:lineRule="auto"/>
              <w:rPr>
                <w:rFonts w:eastAsia="Times New Roman"/>
                <w:noProof/>
              </w:rPr>
            </w:pPr>
            <w:r>
              <w:rPr>
                <w:noProof/>
              </w:rPr>
              <w:t>243</w:t>
            </w:r>
          </w:p>
        </w:tc>
        <w:tc>
          <w:tcPr>
            <w:tcW w:w="2213" w:type="dxa"/>
            <w:tcBorders>
              <w:top w:val="single" w:sz="4" w:space="0" w:color="auto"/>
              <w:left w:val="nil"/>
              <w:bottom w:val="single" w:sz="4" w:space="0" w:color="auto"/>
              <w:right w:val="single" w:sz="4" w:space="0" w:color="auto"/>
            </w:tcBorders>
            <w:shd w:val="clear" w:color="auto" w:fill="C6EFCE"/>
            <w:noWrap/>
          </w:tcPr>
          <w:p w14:paraId="61E0328F" w14:textId="77777777" w:rsidR="00C45D59" w:rsidRDefault="009B0962">
            <w:pPr>
              <w:pStyle w:val="P68B1DB1-Normal12"/>
              <w:spacing w:after="0" w:line="240" w:lineRule="auto"/>
              <w:rPr>
                <w:rFonts w:eastAsia="Times New Roman"/>
                <w:noProof/>
              </w:rPr>
            </w:pPr>
            <w:r>
              <w:rPr>
                <w:noProof/>
              </w:rPr>
              <w:t>15-4.4. Consolidarea sectorului financiar și a piețelor de capital – 16581_Consolidarea supravegherii și a credibilității pieței de capital</w:t>
            </w:r>
          </w:p>
        </w:tc>
        <w:tc>
          <w:tcPr>
            <w:tcW w:w="1193" w:type="dxa"/>
            <w:tcBorders>
              <w:top w:val="single" w:sz="4" w:space="0" w:color="auto"/>
              <w:left w:val="nil"/>
              <w:bottom w:val="single" w:sz="4" w:space="0" w:color="auto"/>
              <w:right w:val="single" w:sz="4" w:space="0" w:color="auto"/>
            </w:tcBorders>
            <w:shd w:val="clear" w:color="auto" w:fill="C6EFCE"/>
            <w:noWrap/>
          </w:tcPr>
          <w:p w14:paraId="71007F46" w14:textId="77777777" w:rsidR="00C45D59" w:rsidRDefault="009B0962">
            <w:pPr>
              <w:pStyle w:val="P68B1DB1-Normal12"/>
              <w:spacing w:after="0" w:line="240" w:lineRule="auto"/>
              <w:rPr>
                <w:rFonts w:eastAsia="Times New Roman"/>
                <w:noProof/>
              </w:rPr>
            </w:pPr>
            <w:r>
              <w:rPr>
                <w:noProof/>
              </w:rPr>
              <w:t>Etapă</w:t>
            </w:r>
          </w:p>
        </w:tc>
        <w:tc>
          <w:tcPr>
            <w:tcW w:w="1253" w:type="dxa"/>
            <w:tcBorders>
              <w:top w:val="single" w:sz="4" w:space="0" w:color="auto"/>
              <w:left w:val="nil"/>
              <w:bottom w:val="single" w:sz="4" w:space="0" w:color="auto"/>
              <w:right w:val="single" w:sz="4" w:space="0" w:color="auto"/>
            </w:tcBorders>
            <w:shd w:val="clear" w:color="auto" w:fill="C6EFCE"/>
            <w:noWrap/>
          </w:tcPr>
          <w:p w14:paraId="3B1F8CC7" w14:textId="77777777" w:rsidR="00C45D59" w:rsidRDefault="009B0962">
            <w:pPr>
              <w:pStyle w:val="P68B1DB1-Normal12"/>
              <w:spacing w:after="0" w:line="240" w:lineRule="auto"/>
              <w:rPr>
                <w:rFonts w:eastAsia="Times New Roman"/>
                <w:noProof/>
              </w:rPr>
            </w:pPr>
            <w:r>
              <w:rPr>
                <w:noProof/>
              </w:rPr>
              <w:t>Digitalizarea procesului de supraveghere al Comisiei elene pentru piața de capital</w:t>
            </w:r>
          </w:p>
        </w:tc>
        <w:tc>
          <w:tcPr>
            <w:tcW w:w="1576" w:type="dxa"/>
            <w:tcBorders>
              <w:top w:val="single" w:sz="4" w:space="0" w:color="auto"/>
              <w:left w:val="nil"/>
              <w:bottom w:val="single" w:sz="4" w:space="0" w:color="auto"/>
              <w:right w:val="single" w:sz="4" w:space="0" w:color="auto"/>
            </w:tcBorders>
            <w:shd w:val="clear" w:color="auto" w:fill="C6EFCE"/>
            <w:noWrap/>
          </w:tcPr>
          <w:p w14:paraId="44687AF2" w14:textId="275C5BA3" w:rsidR="00C45D59" w:rsidRDefault="009B0962">
            <w:pPr>
              <w:pStyle w:val="P68B1DB1-Normal12"/>
              <w:spacing w:after="0" w:line="240" w:lineRule="auto"/>
              <w:rPr>
                <w:noProof/>
              </w:rPr>
            </w:pPr>
            <w:r>
              <w:rPr>
                <w:noProof/>
              </w:rPr>
              <w:t>Modernizarea sistemelor informatice și furnizarea de servicii de securitate cibernetică Comisiei elene a pieței de capital, se publică codificarea administrativă a cadrului legislativ și de reglementare pentru supravegherea piețelor de capital</w:t>
            </w:r>
          </w:p>
        </w:tc>
        <w:tc>
          <w:tcPr>
            <w:tcW w:w="968" w:type="dxa"/>
            <w:tcBorders>
              <w:top w:val="single" w:sz="4" w:space="0" w:color="auto"/>
              <w:left w:val="nil"/>
              <w:bottom w:val="single" w:sz="4" w:space="0" w:color="auto"/>
              <w:right w:val="single" w:sz="4" w:space="0" w:color="auto"/>
            </w:tcBorders>
            <w:shd w:val="clear" w:color="auto" w:fill="C6EFCE"/>
            <w:noWrap/>
          </w:tcPr>
          <w:p w14:paraId="774168C8"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57" w:type="dxa"/>
            <w:tcBorders>
              <w:top w:val="single" w:sz="4" w:space="0" w:color="auto"/>
              <w:left w:val="nil"/>
              <w:bottom w:val="single" w:sz="4" w:space="0" w:color="auto"/>
              <w:right w:val="single" w:sz="4" w:space="0" w:color="auto"/>
            </w:tcBorders>
            <w:shd w:val="clear" w:color="auto" w:fill="C6EFCE"/>
            <w:noWrap/>
          </w:tcPr>
          <w:p w14:paraId="235DBCD1"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587" w:type="dxa"/>
            <w:tcBorders>
              <w:top w:val="single" w:sz="4" w:space="0" w:color="auto"/>
              <w:left w:val="nil"/>
              <w:bottom w:val="single" w:sz="4" w:space="0" w:color="auto"/>
              <w:right w:val="single" w:sz="4" w:space="0" w:color="auto"/>
            </w:tcBorders>
            <w:shd w:val="clear" w:color="auto" w:fill="C6EFCE"/>
            <w:noWrap/>
          </w:tcPr>
          <w:p w14:paraId="5E2150A7"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46" w:type="dxa"/>
            <w:tcBorders>
              <w:top w:val="single" w:sz="4" w:space="0" w:color="auto"/>
              <w:left w:val="nil"/>
              <w:bottom w:val="single" w:sz="4" w:space="0" w:color="auto"/>
              <w:right w:val="single" w:sz="4" w:space="0" w:color="auto"/>
            </w:tcBorders>
            <w:shd w:val="clear" w:color="auto" w:fill="C6EFCE"/>
            <w:noWrap/>
          </w:tcPr>
          <w:p w14:paraId="3F1FEF62" w14:textId="77777777" w:rsidR="00C45D59" w:rsidRDefault="009B0962">
            <w:pPr>
              <w:pStyle w:val="P68B1DB1-Normal12"/>
              <w:spacing w:after="0" w:line="240" w:lineRule="auto"/>
              <w:rPr>
                <w:rFonts w:eastAsia="Times New Roman"/>
                <w:noProof/>
              </w:rPr>
            </w:pPr>
            <w:r>
              <w:rPr>
                <w:noProof/>
              </w:rPr>
              <w:t>Î4</w:t>
            </w:r>
          </w:p>
        </w:tc>
        <w:tc>
          <w:tcPr>
            <w:tcW w:w="673" w:type="dxa"/>
            <w:tcBorders>
              <w:top w:val="single" w:sz="4" w:space="0" w:color="auto"/>
              <w:left w:val="nil"/>
              <w:bottom w:val="single" w:sz="4" w:space="0" w:color="auto"/>
              <w:right w:val="single" w:sz="4" w:space="0" w:color="auto"/>
            </w:tcBorders>
            <w:shd w:val="clear" w:color="auto" w:fill="C6EFCE"/>
            <w:noWrap/>
          </w:tcPr>
          <w:p w14:paraId="472F5ED7" w14:textId="77777777" w:rsidR="00C45D59" w:rsidRDefault="009B0962">
            <w:pPr>
              <w:pStyle w:val="P68B1DB1-Normal12"/>
              <w:spacing w:after="0" w:line="240" w:lineRule="auto"/>
              <w:rPr>
                <w:rFonts w:eastAsia="Times New Roman"/>
                <w:noProof/>
              </w:rPr>
            </w:pPr>
            <w:r>
              <w:rPr>
                <w:noProof/>
              </w:rPr>
              <w:t>2025</w:t>
            </w:r>
          </w:p>
        </w:tc>
        <w:tc>
          <w:tcPr>
            <w:tcW w:w="5194" w:type="dxa"/>
            <w:tcBorders>
              <w:top w:val="single" w:sz="4" w:space="0" w:color="auto"/>
              <w:left w:val="nil"/>
              <w:bottom w:val="single" w:sz="4" w:space="0" w:color="auto"/>
              <w:right w:val="single" w:sz="4" w:space="0" w:color="auto"/>
            </w:tcBorders>
            <w:shd w:val="clear" w:color="auto" w:fill="C6EFCE"/>
            <w:noWrap/>
          </w:tcPr>
          <w:p w14:paraId="7F562895" w14:textId="4DF4E440" w:rsidR="00C45D59" w:rsidRDefault="009B0962">
            <w:pPr>
              <w:pStyle w:val="P68B1DB1-Normal49"/>
              <w:spacing w:after="0" w:line="240" w:lineRule="auto"/>
              <w:rPr>
                <w:rFonts w:ascii="Times New Roman" w:hAnsi="Times New Roman" w:cs="Times New Roman"/>
                <w:noProof/>
                <w:color w:val="006100"/>
              </w:rPr>
            </w:pPr>
            <w:r>
              <w:rPr>
                <w:rFonts w:ascii="Times New Roman" w:hAnsi="Times New Roman" w:cs="Times New Roman"/>
                <w:noProof/>
                <w:color w:val="006100"/>
              </w:rPr>
              <w:t>1. Modernizarea sistemelor de informații (Sistemul de informații pentru supravegherea pieței &amp; Sistemul de informații pentru colectarea, prelucrarea, analiza și monitorizarea datelor) ale Comisiei elene a pieței de capital (etapa A)</w:t>
            </w:r>
            <w:r>
              <w:rPr>
                <w:rFonts w:ascii="Times New Roman" w:eastAsia="Times New Roman" w:hAnsi="Times New Roman" w:cs="Times New Roman"/>
                <w:noProof/>
              </w:rPr>
              <w:t xml:space="preserve"> </w:t>
            </w:r>
            <w:r>
              <w:rPr>
                <w:rFonts w:ascii="Times New Roman" w:hAnsi="Times New Roman" w:cs="Times New Roman"/>
                <w:noProof/>
                <w:color w:val="006100"/>
              </w:rPr>
              <w:t>și furnizarea de servicii de securitate cibernetică Comisiei elene a pieței de capital.</w:t>
            </w:r>
          </w:p>
          <w:p w14:paraId="275FCB19" w14:textId="77777777" w:rsidR="00C45D59" w:rsidRDefault="009B0962">
            <w:pPr>
              <w:pStyle w:val="P68B1DB1-Normal12"/>
              <w:spacing w:after="0" w:line="240" w:lineRule="auto"/>
              <w:rPr>
                <w:noProof/>
              </w:rPr>
            </w:pPr>
            <w:r>
              <w:rPr>
                <w:noProof/>
              </w:rPr>
              <w:t>2. Publicarea codificării administrative a cadrului legislativ și de reglementare pentru supravegherea piețelor de capital.</w:t>
            </w:r>
          </w:p>
        </w:tc>
      </w:tr>
      <w:tr w:rsidR="00C45D59" w14:paraId="1939CFB6" w14:textId="77777777">
        <w:trPr>
          <w:trHeight w:val="309"/>
          <w:jc w:val="center"/>
        </w:trPr>
        <w:tc>
          <w:tcPr>
            <w:tcW w:w="576" w:type="dxa"/>
            <w:tcBorders>
              <w:top w:val="single" w:sz="4" w:space="0" w:color="auto"/>
              <w:left w:val="single" w:sz="4" w:space="0" w:color="auto"/>
              <w:bottom w:val="single" w:sz="4" w:space="0" w:color="auto"/>
              <w:right w:val="single" w:sz="4" w:space="0" w:color="auto"/>
            </w:tcBorders>
            <w:shd w:val="clear" w:color="auto" w:fill="C6EFCE"/>
            <w:noWrap/>
          </w:tcPr>
          <w:p w14:paraId="7EEE09A0" w14:textId="77777777" w:rsidR="00C45D59" w:rsidRDefault="009B0962">
            <w:pPr>
              <w:pStyle w:val="P68B1DB1-Normal12"/>
              <w:spacing w:after="0" w:line="240" w:lineRule="auto"/>
              <w:rPr>
                <w:noProof/>
              </w:rPr>
            </w:pPr>
            <w:r>
              <w:rPr>
                <w:noProof/>
              </w:rPr>
              <w:t>244a</w:t>
            </w:r>
          </w:p>
        </w:tc>
        <w:tc>
          <w:tcPr>
            <w:tcW w:w="2213" w:type="dxa"/>
            <w:tcBorders>
              <w:top w:val="single" w:sz="4" w:space="0" w:color="auto"/>
              <w:left w:val="nil"/>
              <w:bottom w:val="single" w:sz="4" w:space="0" w:color="auto"/>
              <w:right w:val="single" w:sz="4" w:space="0" w:color="auto"/>
            </w:tcBorders>
            <w:shd w:val="clear" w:color="auto" w:fill="C6EFCE"/>
            <w:noWrap/>
          </w:tcPr>
          <w:p w14:paraId="0CF44C85" w14:textId="77777777" w:rsidR="00C45D59" w:rsidRDefault="009B0962">
            <w:pPr>
              <w:pStyle w:val="P68B1DB1-Normal12"/>
              <w:spacing w:after="0" w:line="240" w:lineRule="auto"/>
              <w:rPr>
                <w:noProof/>
              </w:rPr>
            </w:pPr>
            <w:r>
              <w:rPr>
                <w:noProof/>
              </w:rPr>
              <w:t>15-4.4. Consolidarea sectorului financiar și a piețelor de capital – 16957_Consolidarea capacității sistemului financiar de a depăși provocările moștenite și de a finanța economia reală</w:t>
            </w:r>
          </w:p>
        </w:tc>
        <w:tc>
          <w:tcPr>
            <w:tcW w:w="1193" w:type="dxa"/>
            <w:tcBorders>
              <w:top w:val="single" w:sz="4" w:space="0" w:color="auto"/>
              <w:left w:val="nil"/>
              <w:bottom w:val="single" w:sz="4" w:space="0" w:color="auto"/>
              <w:right w:val="single" w:sz="4" w:space="0" w:color="auto"/>
            </w:tcBorders>
            <w:shd w:val="clear" w:color="auto" w:fill="C6EFCE"/>
            <w:noWrap/>
          </w:tcPr>
          <w:p w14:paraId="13283481" w14:textId="77777777" w:rsidR="00C45D59" w:rsidRDefault="009B0962">
            <w:pPr>
              <w:pStyle w:val="P68B1DB1-Normal12"/>
              <w:spacing w:after="0" w:line="240" w:lineRule="auto"/>
              <w:rPr>
                <w:noProof/>
              </w:rPr>
            </w:pPr>
            <w:r>
              <w:rPr>
                <w:noProof/>
              </w:rPr>
              <w:t>Etapă</w:t>
            </w:r>
          </w:p>
        </w:tc>
        <w:tc>
          <w:tcPr>
            <w:tcW w:w="1253" w:type="dxa"/>
            <w:tcBorders>
              <w:top w:val="single" w:sz="4" w:space="0" w:color="auto"/>
              <w:left w:val="nil"/>
              <w:bottom w:val="single" w:sz="4" w:space="0" w:color="auto"/>
              <w:right w:val="single" w:sz="4" w:space="0" w:color="auto"/>
            </w:tcBorders>
            <w:shd w:val="clear" w:color="auto" w:fill="C6EFCE"/>
            <w:noWrap/>
          </w:tcPr>
          <w:p w14:paraId="0872F675" w14:textId="77777777" w:rsidR="00C45D59" w:rsidRDefault="009B0962">
            <w:pPr>
              <w:pStyle w:val="P68B1DB1-Normal12"/>
              <w:spacing w:after="0" w:line="240" w:lineRule="auto"/>
              <w:rPr>
                <w:noProof/>
              </w:rPr>
            </w:pPr>
            <w:r>
              <w:rPr>
                <w:noProof/>
              </w:rPr>
              <w:t>Licitații electronice pentru executarea silită a datoriilor</w:t>
            </w:r>
          </w:p>
        </w:tc>
        <w:tc>
          <w:tcPr>
            <w:tcW w:w="1576" w:type="dxa"/>
            <w:tcBorders>
              <w:top w:val="single" w:sz="4" w:space="0" w:color="auto"/>
              <w:left w:val="nil"/>
              <w:bottom w:val="single" w:sz="4" w:space="0" w:color="auto"/>
              <w:right w:val="single" w:sz="4" w:space="0" w:color="auto"/>
            </w:tcBorders>
            <w:shd w:val="clear" w:color="auto" w:fill="C6EFCE"/>
            <w:noWrap/>
          </w:tcPr>
          <w:p w14:paraId="3D65A5D2" w14:textId="77777777" w:rsidR="00C45D59" w:rsidRDefault="009B0962">
            <w:pPr>
              <w:pStyle w:val="P68B1DB1-Normal12"/>
              <w:spacing w:after="0" w:line="240" w:lineRule="auto"/>
              <w:rPr>
                <w:noProof/>
              </w:rPr>
            </w:pPr>
            <w:r>
              <w:rPr>
                <w:noProof/>
              </w:rPr>
              <w:t xml:space="preserve">Intrarea în vigoare a legislației </w:t>
            </w:r>
          </w:p>
        </w:tc>
        <w:tc>
          <w:tcPr>
            <w:tcW w:w="968" w:type="dxa"/>
            <w:tcBorders>
              <w:top w:val="single" w:sz="4" w:space="0" w:color="auto"/>
              <w:left w:val="nil"/>
              <w:bottom w:val="single" w:sz="4" w:space="0" w:color="auto"/>
              <w:right w:val="single" w:sz="4" w:space="0" w:color="auto"/>
            </w:tcBorders>
            <w:shd w:val="clear" w:color="auto" w:fill="C6EFCE"/>
            <w:noWrap/>
          </w:tcPr>
          <w:p w14:paraId="7F972F6B" w14:textId="77777777" w:rsidR="00C45D59" w:rsidRDefault="00C45D59">
            <w:pPr>
              <w:spacing w:after="0" w:line="240" w:lineRule="auto"/>
              <w:rPr>
                <w:rFonts w:ascii="Times New Roman" w:hAnsi="Times New Roman" w:cs="Times New Roman"/>
                <w:noProof/>
                <w:color w:val="006100"/>
                <w:sz w:val="18"/>
                <w:szCs w:val="18"/>
              </w:rPr>
            </w:pPr>
          </w:p>
        </w:tc>
        <w:tc>
          <w:tcPr>
            <w:tcW w:w="857" w:type="dxa"/>
            <w:tcBorders>
              <w:top w:val="single" w:sz="4" w:space="0" w:color="auto"/>
              <w:left w:val="nil"/>
              <w:bottom w:val="single" w:sz="4" w:space="0" w:color="auto"/>
              <w:right w:val="single" w:sz="4" w:space="0" w:color="auto"/>
            </w:tcBorders>
            <w:shd w:val="clear" w:color="auto" w:fill="C6EFCE"/>
            <w:noWrap/>
          </w:tcPr>
          <w:p w14:paraId="66031CAC" w14:textId="77777777" w:rsidR="00C45D59" w:rsidRDefault="00C45D59">
            <w:pPr>
              <w:spacing w:after="0" w:line="240" w:lineRule="auto"/>
              <w:rPr>
                <w:rFonts w:ascii="Times New Roman" w:hAnsi="Times New Roman" w:cs="Times New Roman"/>
                <w:noProof/>
                <w:color w:val="006100"/>
                <w:sz w:val="18"/>
                <w:szCs w:val="18"/>
              </w:rPr>
            </w:pPr>
          </w:p>
        </w:tc>
        <w:tc>
          <w:tcPr>
            <w:tcW w:w="587" w:type="dxa"/>
            <w:tcBorders>
              <w:top w:val="single" w:sz="4" w:space="0" w:color="auto"/>
              <w:left w:val="nil"/>
              <w:bottom w:val="single" w:sz="4" w:space="0" w:color="auto"/>
              <w:right w:val="single" w:sz="4" w:space="0" w:color="auto"/>
            </w:tcBorders>
            <w:shd w:val="clear" w:color="auto" w:fill="C6EFCE"/>
            <w:noWrap/>
          </w:tcPr>
          <w:p w14:paraId="206FD59E" w14:textId="77777777" w:rsidR="00C45D59" w:rsidRDefault="00C45D59">
            <w:pPr>
              <w:spacing w:after="0" w:line="240" w:lineRule="auto"/>
              <w:rPr>
                <w:rFonts w:ascii="Times New Roman" w:hAnsi="Times New Roman" w:cs="Times New Roman"/>
                <w:noProof/>
                <w:color w:val="006100"/>
                <w:sz w:val="18"/>
                <w:szCs w:val="18"/>
              </w:rPr>
            </w:pPr>
          </w:p>
        </w:tc>
        <w:tc>
          <w:tcPr>
            <w:tcW w:w="846" w:type="dxa"/>
            <w:tcBorders>
              <w:top w:val="single" w:sz="4" w:space="0" w:color="auto"/>
              <w:left w:val="nil"/>
              <w:bottom w:val="single" w:sz="4" w:space="0" w:color="auto"/>
              <w:right w:val="single" w:sz="4" w:space="0" w:color="auto"/>
            </w:tcBorders>
            <w:shd w:val="clear" w:color="auto" w:fill="C6EFCE"/>
            <w:noWrap/>
          </w:tcPr>
          <w:p w14:paraId="7D62CDC9" w14:textId="77777777" w:rsidR="00C45D59" w:rsidRDefault="009B0962">
            <w:pPr>
              <w:pStyle w:val="P68B1DB1-Normal12"/>
              <w:spacing w:after="0" w:line="240" w:lineRule="auto"/>
              <w:rPr>
                <w:noProof/>
              </w:rPr>
            </w:pPr>
            <w:r>
              <w:rPr>
                <w:noProof/>
              </w:rPr>
              <w:t>Î2</w:t>
            </w:r>
          </w:p>
        </w:tc>
        <w:tc>
          <w:tcPr>
            <w:tcW w:w="673" w:type="dxa"/>
            <w:tcBorders>
              <w:top w:val="single" w:sz="4" w:space="0" w:color="auto"/>
              <w:left w:val="nil"/>
              <w:bottom w:val="single" w:sz="4" w:space="0" w:color="auto"/>
              <w:right w:val="single" w:sz="4" w:space="0" w:color="auto"/>
            </w:tcBorders>
            <w:shd w:val="clear" w:color="auto" w:fill="C6EFCE"/>
            <w:noWrap/>
          </w:tcPr>
          <w:p w14:paraId="527D8B7C" w14:textId="77777777" w:rsidR="00C45D59" w:rsidRDefault="009B0962">
            <w:pPr>
              <w:pStyle w:val="P68B1DB1-Normal12"/>
              <w:spacing w:after="0" w:line="240" w:lineRule="auto"/>
              <w:rPr>
                <w:noProof/>
              </w:rPr>
            </w:pPr>
            <w:r>
              <w:rPr>
                <w:noProof/>
              </w:rPr>
              <w:t>2024</w:t>
            </w:r>
          </w:p>
        </w:tc>
        <w:tc>
          <w:tcPr>
            <w:tcW w:w="5194" w:type="dxa"/>
            <w:tcBorders>
              <w:top w:val="single" w:sz="4" w:space="0" w:color="auto"/>
              <w:left w:val="nil"/>
              <w:bottom w:val="single" w:sz="4" w:space="0" w:color="auto"/>
              <w:right w:val="single" w:sz="4" w:space="0" w:color="auto"/>
            </w:tcBorders>
            <w:shd w:val="clear" w:color="auto" w:fill="C6EFCE"/>
            <w:noWrap/>
          </w:tcPr>
          <w:p w14:paraId="355CEA71" w14:textId="77777777" w:rsidR="00C45D59" w:rsidRDefault="009B0962">
            <w:pPr>
              <w:pStyle w:val="P68B1DB1-Normal12"/>
              <w:spacing w:after="0" w:line="240" w:lineRule="auto"/>
              <w:rPr>
                <w:noProof/>
              </w:rPr>
            </w:pPr>
            <w:r>
              <w:rPr>
                <w:noProof/>
              </w:rPr>
              <w:t>Adoptarea și intrarea în vigoare a legislației pentru:</w:t>
            </w:r>
          </w:p>
          <w:p w14:paraId="489AB516" w14:textId="77777777" w:rsidR="00C45D59" w:rsidRDefault="009B0962">
            <w:pPr>
              <w:pStyle w:val="P68B1DB1-ListParagraph34"/>
              <w:numPr>
                <w:ilvl w:val="0"/>
                <w:numId w:val="72"/>
              </w:numPr>
              <w:spacing w:after="0" w:line="240" w:lineRule="auto"/>
              <w:ind w:left="670" w:hanging="310"/>
              <w:rPr>
                <w:noProof/>
              </w:rPr>
            </w:pPr>
            <w:r>
              <w:rPr>
                <w:noProof/>
              </w:rPr>
              <w:t>Să extindă informațiile disponibile cu privire la activele scoase la licitație pe platforma de licitații electronice, inclusiv informațiile relevante disponibile în arhivele publice ale notarilor;</w:t>
            </w:r>
          </w:p>
          <w:p w14:paraId="7221E422" w14:textId="77777777" w:rsidR="00C45D59" w:rsidRDefault="009B0962">
            <w:pPr>
              <w:pStyle w:val="P68B1DB1-ListParagraph34"/>
              <w:numPr>
                <w:ilvl w:val="0"/>
                <w:numId w:val="72"/>
              </w:numPr>
              <w:spacing w:after="0" w:line="240" w:lineRule="auto"/>
              <w:ind w:left="670" w:hanging="310"/>
              <w:rPr>
                <w:noProof/>
              </w:rPr>
            </w:pPr>
            <w:r>
              <w:rPr>
                <w:noProof/>
              </w:rPr>
              <w:t>Eliminarea factorilor de descurajare ocazionați de datoriile restante legate de proprietate (de exemplu, facturile la utilități publice).</w:t>
            </w:r>
          </w:p>
        </w:tc>
      </w:tr>
      <w:tr w:rsidR="00C45D59" w14:paraId="1BB9879B" w14:textId="77777777">
        <w:trPr>
          <w:trHeight w:val="309"/>
          <w:jc w:val="center"/>
        </w:trPr>
        <w:tc>
          <w:tcPr>
            <w:tcW w:w="576" w:type="dxa"/>
            <w:tcBorders>
              <w:top w:val="single" w:sz="4" w:space="0" w:color="auto"/>
              <w:left w:val="single" w:sz="4" w:space="0" w:color="auto"/>
              <w:bottom w:val="single" w:sz="4" w:space="0" w:color="auto"/>
              <w:right w:val="single" w:sz="4" w:space="0" w:color="auto"/>
            </w:tcBorders>
            <w:shd w:val="clear" w:color="auto" w:fill="C6EFCE"/>
            <w:noWrap/>
          </w:tcPr>
          <w:p w14:paraId="59E22732" w14:textId="77777777" w:rsidR="00C45D59" w:rsidRDefault="009B0962">
            <w:pPr>
              <w:pStyle w:val="P68B1DB1-Normal12"/>
              <w:spacing w:after="0" w:line="240" w:lineRule="auto"/>
              <w:rPr>
                <w:noProof/>
              </w:rPr>
            </w:pPr>
            <w:r>
              <w:rPr>
                <w:noProof/>
              </w:rPr>
              <w:t>244b</w:t>
            </w:r>
          </w:p>
        </w:tc>
        <w:tc>
          <w:tcPr>
            <w:tcW w:w="2213" w:type="dxa"/>
            <w:tcBorders>
              <w:top w:val="single" w:sz="4" w:space="0" w:color="auto"/>
              <w:left w:val="nil"/>
              <w:bottom w:val="single" w:sz="4" w:space="0" w:color="auto"/>
              <w:right w:val="single" w:sz="4" w:space="0" w:color="auto"/>
            </w:tcBorders>
            <w:shd w:val="clear" w:color="auto" w:fill="C6EFCE"/>
            <w:noWrap/>
          </w:tcPr>
          <w:p w14:paraId="54069E33" w14:textId="77777777" w:rsidR="00C45D59" w:rsidRDefault="009B0962">
            <w:pPr>
              <w:pStyle w:val="P68B1DB1-Normal12"/>
              <w:spacing w:after="0" w:line="240" w:lineRule="auto"/>
              <w:rPr>
                <w:noProof/>
              </w:rPr>
            </w:pPr>
            <w:r>
              <w:rPr>
                <w:noProof/>
              </w:rPr>
              <w:t>15-4.4. Consolidarea sectorului financiar și a piețelor de capital – 16957_Consolidarea capacității sistemului financiar de a depăși provocările moștenite și de a finanța economia reală</w:t>
            </w:r>
          </w:p>
        </w:tc>
        <w:tc>
          <w:tcPr>
            <w:tcW w:w="1193" w:type="dxa"/>
            <w:tcBorders>
              <w:top w:val="single" w:sz="4" w:space="0" w:color="auto"/>
              <w:left w:val="nil"/>
              <w:bottom w:val="single" w:sz="4" w:space="0" w:color="auto"/>
              <w:right w:val="single" w:sz="4" w:space="0" w:color="auto"/>
            </w:tcBorders>
            <w:shd w:val="clear" w:color="auto" w:fill="C6EFCE"/>
            <w:noWrap/>
          </w:tcPr>
          <w:p w14:paraId="1CF00018" w14:textId="77777777" w:rsidR="00C45D59" w:rsidRDefault="009B0962">
            <w:pPr>
              <w:pStyle w:val="P68B1DB1-Normal12"/>
              <w:spacing w:after="0" w:line="240" w:lineRule="auto"/>
              <w:rPr>
                <w:noProof/>
              </w:rPr>
            </w:pPr>
            <w:r>
              <w:rPr>
                <w:noProof/>
              </w:rPr>
              <w:t>Etapă</w:t>
            </w:r>
          </w:p>
        </w:tc>
        <w:tc>
          <w:tcPr>
            <w:tcW w:w="1253" w:type="dxa"/>
            <w:tcBorders>
              <w:top w:val="single" w:sz="4" w:space="0" w:color="auto"/>
              <w:left w:val="nil"/>
              <w:bottom w:val="single" w:sz="4" w:space="0" w:color="auto"/>
              <w:right w:val="single" w:sz="4" w:space="0" w:color="auto"/>
            </w:tcBorders>
            <w:shd w:val="clear" w:color="auto" w:fill="C6EFCE"/>
            <w:noWrap/>
          </w:tcPr>
          <w:p w14:paraId="3E404BF8" w14:textId="77777777" w:rsidR="00C45D59" w:rsidRDefault="009B0962">
            <w:pPr>
              <w:pStyle w:val="P68B1DB1-Normal12"/>
              <w:spacing w:after="0" w:line="240" w:lineRule="auto"/>
              <w:rPr>
                <w:noProof/>
              </w:rPr>
            </w:pPr>
            <w:r>
              <w:rPr>
                <w:noProof/>
              </w:rPr>
              <w:t xml:space="preserve">Atribuirea contractelor pentru măsurile din sectorul financiar </w:t>
            </w:r>
          </w:p>
        </w:tc>
        <w:tc>
          <w:tcPr>
            <w:tcW w:w="1576" w:type="dxa"/>
            <w:tcBorders>
              <w:top w:val="single" w:sz="4" w:space="0" w:color="auto"/>
              <w:left w:val="nil"/>
              <w:bottom w:val="single" w:sz="4" w:space="0" w:color="auto"/>
              <w:right w:val="single" w:sz="4" w:space="0" w:color="auto"/>
            </w:tcBorders>
            <w:shd w:val="clear" w:color="auto" w:fill="C6EFCE"/>
            <w:noWrap/>
          </w:tcPr>
          <w:p w14:paraId="43AF4C39" w14:textId="77777777" w:rsidR="00C45D59" w:rsidRDefault="009B0962">
            <w:pPr>
              <w:pStyle w:val="P68B1DB1-Normal12"/>
              <w:spacing w:after="0" w:line="240" w:lineRule="auto"/>
              <w:rPr>
                <w:noProof/>
              </w:rPr>
            </w:pPr>
            <w:r>
              <w:rPr>
                <w:noProof/>
              </w:rPr>
              <w:t>Notificarea atribuirii contractelor</w:t>
            </w:r>
          </w:p>
        </w:tc>
        <w:tc>
          <w:tcPr>
            <w:tcW w:w="968" w:type="dxa"/>
            <w:tcBorders>
              <w:top w:val="single" w:sz="4" w:space="0" w:color="auto"/>
              <w:left w:val="nil"/>
              <w:bottom w:val="single" w:sz="4" w:space="0" w:color="auto"/>
              <w:right w:val="single" w:sz="4" w:space="0" w:color="auto"/>
            </w:tcBorders>
            <w:shd w:val="clear" w:color="auto" w:fill="C6EFCE"/>
            <w:noWrap/>
          </w:tcPr>
          <w:p w14:paraId="370C0C76" w14:textId="77777777" w:rsidR="00C45D59" w:rsidRDefault="00C45D59">
            <w:pPr>
              <w:spacing w:after="0" w:line="240" w:lineRule="auto"/>
              <w:rPr>
                <w:rFonts w:ascii="Times New Roman" w:hAnsi="Times New Roman" w:cs="Times New Roman"/>
                <w:noProof/>
                <w:color w:val="006100"/>
                <w:sz w:val="18"/>
                <w:szCs w:val="18"/>
              </w:rPr>
            </w:pPr>
          </w:p>
        </w:tc>
        <w:tc>
          <w:tcPr>
            <w:tcW w:w="857" w:type="dxa"/>
            <w:tcBorders>
              <w:top w:val="single" w:sz="4" w:space="0" w:color="auto"/>
              <w:left w:val="nil"/>
              <w:bottom w:val="single" w:sz="4" w:space="0" w:color="auto"/>
              <w:right w:val="single" w:sz="4" w:space="0" w:color="auto"/>
            </w:tcBorders>
            <w:shd w:val="clear" w:color="auto" w:fill="C6EFCE"/>
            <w:noWrap/>
          </w:tcPr>
          <w:p w14:paraId="6446D7F7" w14:textId="77777777" w:rsidR="00C45D59" w:rsidRDefault="00C45D59">
            <w:pPr>
              <w:spacing w:after="0" w:line="240" w:lineRule="auto"/>
              <w:rPr>
                <w:rFonts w:ascii="Times New Roman" w:hAnsi="Times New Roman" w:cs="Times New Roman"/>
                <w:noProof/>
                <w:color w:val="006100"/>
                <w:sz w:val="18"/>
                <w:szCs w:val="18"/>
              </w:rPr>
            </w:pPr>
          </w:p>
        </w:tc>
        <w:tc>
          <w:tcPr>
            <w:tcW w:w="587" w:type="dxa"/>
            <w:tcBorders>
              <w:top w:val="single" w:sz="4" w:space="0" w:color="auto"/>
              <w:left w:val="nil"/>
              <w:bottom w:val="single" w:sz="4" w:space="0" w:color="auto"/>
              <w:right w:val="single" w:sz="4" w:space="0" w:color="auto"/>
            </w:tcBorders>
            <w:shd w:val="clear" w:color="auto" w:fill="C6EFCE"/>
            <w:noWrap/>
          </w:tcPr>
          <w:p w14:paraId="0CD81B6A" w14:textId="77777777" w:rsidR="00C45D59" w:rsidRDefault="00C45D59">
            <w:pPr>
              <w:spacing w:after="0" w:line="240" w:lineRule="auto"/>
              <w:rPr>
                <w:rFonts w:ascii="Times New Roman" w:hAnsi="Times New Roman" w:cs="Times New Roman"/>
                <w:noProof/>
                <w:color w:val="006100"/>
                <w:sz w:val="18"/>
                <w:szCs w:val="18"/>
              </w:rPr>
            </w:pPr>
          </w:p>
        </w:tc>
        <w:tc>
          <w:tcPr>
            <w:tcW w:w="846" w:type="dxa"/>
            <w:tcBorders>
              <w:top w:val="single" w:sz="4" w:space="0" w:color="auto"/>
              <w:left w:val="nil"/>
              <w:bottom w:val="single" w:sz="4" w:space="0" w:color="auto"/>
              <w:right w:val="single" w:sz="4" w:space="0" w:color="auto"/>
            </w:tcBorders>
            <w:shd w:val="clear" w:color="auto" w:fill="C6EFCE"/>
            <w:noWrap/>
          </w:tcPr>
          <w:p w14:paraId="59A06E93" w14:textId="77777777" w:rsidR="00C45D59" w:rsidRDefault="009B0962">
            <w:pPr>
              <w:pStyle w:val="P68B1DB1-Normal12"/>
              <w:spacing w:after="0" w:line="240" w:lineRule="auto"/>
              <w:rPr>
                <w:noProof/>
              </w:rPr>
            </w:pPr>
            <w:r>
              <w:rPr>
                <w:noProof/>
              </w:rPr>
              <w:t>Î2</w:t>
            </w:r>
          </w:p>
        </w:tc>
        <w:tc>
          <w:tcPr>
            <w:tcW w:w="673" w:type="dxa"/>
            <w:tcBorders>
              <w:top w:val="single" w:sz="4" w:space="0" w:color="auto"/>
              <w:left w:val="nil"/>
              <w:bottom w:val="single" w:sz="4" w:space="0" w:color="auto"/>
              <w:right w:val="single" w:sz="4" w:space="0" w:color="auto"/>
            </w:tcBorders>
            <w:shd w:val="clear" w:color="auto" w:fill="C6EFCE"/>
            <w:noWrap/>
          </w:tcPr>
          <w:p w14:paraId="7ABED8A9" w14:textId="77777777" w:rsidR="00C45D59" w:rsidRDefault="009B0962">
            <w:pPr>
              <w:pStyle w:val="P68B1DB1-Normal12"/>
              <w:spacing w:after="0" w:line="240" w:lineRule="auto"/>
              <w:rPr>
                <w:noProof/>
              </w:rPr>
            </w:pPr>
            <w:r>
              <w:rPr>
                <w:noProof/>
              </w:rPr>
              <w:t>2024</w:t>
            </w:r>
          </w:p>
        </w:tc>
        <w:tc>
          <w:tcPr>
            <w:tcW w:w="5194" w:type="dxa"/>
            <w:tcBorders>
              <w:top w:val="single" w:sz="4" w:space="0" w:color="auto"/>
              <w:left w:val="nil"/>
              <w:bottom w:val="single" w:sz="4" w:space="0" w:color="auto"/>
              <w:right w:val="single" w:sz="4" w:space="0" w:color="auto"/>
            </w:tcBorders>
            <w:shd w:val="clear" w:color="auto" w:fill="C6EFCE"/>
            <w:noWrap/>
          </w:tcPr>
          <w:p w14:paraId="068AD4BE" w14:textId="77777777" w:rsidR="00C45D59" w:rsidRDefault="009B0962">
            <w:pPr>
              <w:pStyle w:val="P68B1DB1-Normal12"/>
              <w:spacing w:after="0" w:line="240" w:lineRule="auto"/>
              <w:rPr>
                <w:noProof/>
              </w:rPr>
            </w:pPr>
            <w:r>
              <w:rPr>
                <w:noProof/>
              </w:rPr>
              <w:t>Atribuirea contractului pentru:</w:t>
            </w:r>
          </w:p>
          <w:p w14:paraId="17102E8E" w14:textId="77777777" w:rsidR="00C45D59" w:rsidRDefault="009B0962">
            <w:pPr>
              <w:pStyle w:val="P68B1DB1-ListParagraph34"/>
              <w:numPr>
                <w:ilvl w:val="0"/>
                <w:numId w:val="73"/>
              </w:numPr>
              <w:spacing w:after="0" w:line="240" w:lineRule="auto"/>
              <w:rPr>
                <w:rFonts w:eastAsiaTheme="minorEastAsia"/>
                <w:noProof/>
              </w:rPr>
            </w:pPr>
            <w:r>
              <w:rPr>
                <w:noProof/>
              </w:rPr>
              <w:t>Dezvoltarea sistemului public de informații privind ratingurile de credit;</w:t>
            </w:r>
          </w:p>
          <w:p w14:paraId="62D6B388" w14:textId="77777777" w:rsidR="00C45D59" w:rsidRDefault="009B0962">
            <w:pPr>
              <w:pStyle w:val="P68B1DB1-ListParagraph34"/>
              <w:numPr>
                <w:ilvl w:val="0"/>
                <w:numId w:val="73"/>
              </w:numPr>
              <w:spacing w:after="0" w:line="240" w:lineRule="auto"/>
              <w:rPr>
                <w:noProof/>
              </w:rPr>
            </w:pPr>
            <w:r>
              <w:rPr>
                <w:noProof/>
              </w:rPr>
              <w:t>Dezvoltarea Registrului de monitorizare a datoriei private;</w:t>
            </w:r>
          </w:p>
          <w:p w14:paraId="132208D5" w14:textId="2FC91AE8" w:rsidR="00C45D59" w:rsidRDefault="009B0962">
            <w:pPr>
              <w:pStyle w:val="P68B1DB1-ListParagraph34"/>
              <w:numPr>
                <w:ilvl w:val="0"/>
                <w:numId w:val="73"/>
              </w:numPr>
              <w:spacing w:after="0" w:line="240" w:lineRule="auto"/>
              <w:rPr>
                <w:noProof/>
              </w:rPr>
            </w:pPr>
            <w:r>
              <w:rPr>
                <w:noProof/>
              </w:rPr>
              <w:t>Dezvoltarea Registrului central al creditelor.</w:t>
            </w:r>
          </w:p>
        </w:tc>
      </w:tr>
      <w:tr w:rsidR="00C45D59" w14:paraId="6DDF2CFE" w14:textId="77777777">
        <w:trPr>
          <w:trHeight w:val="309"/>
          <w:jc w:val="center"/>
        </w:trPr>
        <w:tc>
          <w:tcPr>
            <w:tcW w:w="576" w:type="dxa"/>
            <w:tcBorders>
              <w:top w:val="single" w:sz="4" w:space="0" w:color="auto"/>
              <w:left w:val="single" w:sz="4" w:space="0" w:color="auto"/>
              <w:bottom w:val="single" w:sz="4" w:space="0" w:color="auto"/>
              <w:right w:val="single" w:sz="4" w:space="0" w:color="auto"/>
            </w:tcBorders>
            <w:shd w:val="clear" w:color="auto" w:fill="C6EFCE"/>
            <w:noWrap/>
          </w:tcPr>
          <w:p w14:paraId="37940FF0" w14:textId="77777777" w:rsidR="00C45D59" w:rsidRDefault="009B0962">
            <w:pPr>
              <w:pStyle w:val="P68B1DB1-Normal12"/>
              <w:spacing w:after="0" w:line="240" w:lineRule="auto"/>
              <w:rPr>
                <w:noProof/>
              </w:rPr>
            </w:pPr>
            <w:r>
              <w:rPr>
                <w:noProof/>
              </w:rPr>
              <w:t>244c</w:t>
            </w:r>
          </w:p>
        </w:tc>
        <w:tc>
          <w:tcPr>
            <w:tcW w:w="2213" w:type="dxa"/>
            <w:tcBorders>
              <w:top w:val="single" w:sz="4" w:space="0" w:color="auto"/>
              <w:left w:val="single" w:sz="4" w:space="0" w:color="auto"/>
              <w:bottom w:val="single" w:sz="4" w:space="0" w:color="auto"/>
              <w:right w:val="single" w:sz="4" w:space="0" w:color="auto"/>
            </w:tcBorders>
            <w:shd w:val="clear" w:color="auto" w:fill="C6EFCE"/>
            <w:noWrap/>
          </w:tcPr>
          <w:p w14:paraId="463440BB" w14:textId="77777777" w:rsidR="00C45D59" w:rsidRDefault="009B0962">
            <w:pPr>
              <w:pStyle w:val="P68B1DB1-Normal12"/>
              <w:spacing w:after="0" w:line="240" w:lineRule="auto"/>
              <w:rPr>
                <w:noProof/>
              </w:rPr>
            </w:pPr>
            <w:r>
              <w:rPr>
                <w:noProof/>
              </w:rPr>
              <w:t>15-4.4. Consolidarea sectorului financiar și a piețelor de capital – 16957_Consolidarea capacității sistemului financiar de a depăși provocările moștenite și de a finanța economia reală</w:t>
            </w:r>
          </w:p>
        </w:tc>
        <w:tc>
          <w:tcPr>
            <w:tcW w:w="1193" w:type="dxa"/>
            <w:tcBorders>
              <w:top w:val="single" w:sz="4" w:space="0" w:color="auto"/>
              <w:left w:val="single" w:sz="4" w:space="0" w:color="auto"/>
              <w:bottom w:val="single" w:sz="4" w:space="0" w:color="auto"/>
              <w:right w:val="single" w:sz="4" w:space="0" w:color="auto"/>
            </w:tcBorders>
            <w:shd w:val="clear" w:color="auto" w:fill="C6EFCE"/>
            <w:noWrap/>
          </w:tcPr>
          <w:p w14:paraId="5DA417E7" w14:textId="77777777" w:rsidR="00C45D59" w:rsidRDefault="009B0962">
            <w:pPr>
              <w:pStyle w:val="P68B1DB1-Normal12"/>
              <w:spacing w:after="0" w:line="240" w:lineRule="auto"/>
              <w:rPr>
                <w:noProof/>
              </w:rPr>
            </w:pPr>
            <w:r>
              <w:rPr>
                <w:noProof/>
              </w:rPr>
              <w:t>Etapă</w:t>
            </w:r>
          </w:p>
        </w:tc>
        <w:tc>
          <w:tcPr>
            <w:tcW w:w="1253" w:type="dxa"/>
            <w:tcBorders>
              <w:top w:val="single" w:sz="4" w:space="0" w:color="auto"/>
              <w:left w:val="single" w:sz="4" w:space="0" w:color="auto"/>
              <w:bottom w:val="single" w:sz="4" w:space="0" w:color="auto"/>
              <w:right w:val="single" w:sz="4" w:space="0" w:color="auto"/>
            </w:tcBorders>
            <w:shd w:val="clear" w:color="auto" w:fill="C6EFCE"/>
            <w:noWrap/>
          </w:tcPr>
          <w:p w14:paraId="7B35EE2D" w14:textId="57572894" w:rsidR="00C45D59" w:rsidRDefault="009B0962">
            <w:pPr>
              <w:pStyle w:val="P68B1DB1-Normal12"/>
              <w:spacing w:after="0" w:line="240" w:lineRule="auto"/>
              <w:rPr>
                <w:noProof/>
              </w:rPr>
            </w:pPr>
            <w:r>
              <w:rPr>
                <w:noProof/>
              </w:rPr>
              <w:t>Furnizarea de sisteme informatice și modele de date, intrarea în vigoare a actelor juridice privind gestionarea cazurilor și reducerea întârzierilor în procedurile de asigurare a respectării legii</w:t>
            </w:r>
          </w:p>
        </w:tc>
        <w:tc>
          <w:tcPr>
            <w:tcW w:w="1576" w:type="dxa"/>
            <w:tcBorders>
              <w:top w:val="single" w:sz="4" w:space="0" w:color="auto"/>
              <w:left w:val="single" w:sz="4" w:space="0" w:color="auto"/>
              <w:bottom w:val="single" w:sz="4" w:space="0" w:color="auto"/>
              <w:right w:val="single" w:sz="4" w:space="0" w:color="auto"/>
            </w:tcBorders>
            <w:shd w:val="clear" w:color="auto" w:fill="C6EFCE"/>
            <w:noWrap/>
          </w:tcPr>
          <w:p w14:paraId="5EFF3ED0" w14:textId="04718963" w:rsidR="00C45D59" w:rsidRDefault="009B0962">
            <w:pPr>
              <w:pStyle w:val="P68B1DB1-Normal12"/>
              <w:spacing w:after="0" w:line="240" w:lineRule="auto"/>
              <w:rPr>
                <w:noProof/>
              </w:rPr>
            </w:pPr>
            <w:r>
              <w:rPr>
                <w:noProof/>
              </w:rPr>
              <w:t xml:space="preserve">Sunt furnizate sistemele informatice și modelele de date, intrarea în vigoare a actelor juridice, după caz </w:t>
            </w:r>
          </w:p>
        </w:tc>
        <w:tc>
          <w:tcPr>
            <w:tcW w:w="968" w:type="dxa"/>
            <w:tcBorders>
              <w:top w:val="single" w:sz="4" w:space="0" w:color="auto"/>
              <w:left w:val="single" w:sz="4" w:space="0" w:color="auto"/>
              <w:bottom w:val="single" w:sz="4" w:space="0" w:color="auto"/>
              <w:right w:val="single" w:sz="4" w:space="0" w:color="auto"/>
            </w:tcBorders>
            <w:shd w:val="clear" w:color="auto" w:fill="C6EFCE"/>
            <w:noWrap/>
          </w:tcPr>
          <w:p w14:paraId="0119A52E" w14:textId="77777777" w:rsidR="00C45D59" w:rsidRDefault="00C45D59">
            <w:pPr>
              <w:spacing w:after="0" w:line="240" w:lineRule="auto"/>
              <w:rPr>
                <w:rFonts w:ascii="Times New Roman" w:hAnsi="Times New Roman" w:cs="Times New Roman"/>
                <w:noProof/>
                <w:color w:val="006100"/>
                <w:sz w:val="18"/>
                <w:szCs w:val="18"/>
              </w:rPr>
            </w:pPr>
          </w:p>
        </w:tc>
        <w:tc>
          <w:tcPr>
            <w:tcW w:w="857" w:type="dxa"/>
            <w:tcBorders>
              <w:top w:val="single" w:sz="4" w:space="0" w:color="auto"/>
              <w:left w:val="single" w:sz="4" w:space="0" w:color="auto"/>
              <w:bottom w:val="single" w:sz="4" w:space="0" w:color="auto"/>
              <w:right w:val="single" w:sz="4" w:space="0" w:color="auto"/>
            </w:tcBorders>
            <w:shd w:val="clear" w:color="auto" w:fill="C6EFCE"/>
            <w:noWrap/>
          </w:tcPr>
          <w:p w14:paraId="4FE2939A" w14:textId="77777777" w:rsidR="00C45D59" w:rsidRDefault="00C45D59">
            <w:pPr>
              <w:spacing w:after="0" w:line="240" w:lineRule="auto"/>
              <w:rPr>
                <w:rFonts w:ascii="Times New Roman" w:hAnsi="Times New Roman" w:cs="Times New Roman"/>
                <w:noProof/>
                <w:color w:val="006100"/>
                <w:sz w:val="18"/>
                <w:szCs w:val="18"/>
              </w:rPr>
            </w:pPr>
          </w:p>
        </w:tc>
        <w:tc>
          <w:tcPr>
            <w:tcW w:w="587" w:type="dxa"/>
            <w:tcBorders>
              <w:top w:val="single" w:sz="4" w:space="0" w:color="auto"/>
              <w:left w:val="single" w:sz="4" w:space="0" w:color="auto"/>
              <w:bottom w:val="single" w:sz="4" w:space="0" w:color="auto"/>
              <w:right w:val="single" w:sz="4" w:space="0" w:color="auto"/>
            </w:tcBorders>
            <w:shd w:val="clear" w:color="auto" w:fill="C6EFCE"/>
            <w:noWrap/>
          </w:tcPr>
          <w:p w14:paraId="42455622" w14:textId="77777777" w:rsidR="00C45D59" w:rsidRDefault="00C45D59">
            <w:pPr>
              <w:spacing w:after="0" w:line="240" w:lineRule="auto"/>
              <w:rPr>
                <w:rFonts w:ascii="Times New Roman" w:hAnsi="Times New Roman" w:cs="Times New Roman"/>
                <w:noProof/>
                <w:color w:val="006100"/>
                <w:sz w:val="18"/>
                <w:szCs w:val="18"/>
              </w:rPr>
            </w:pPr>
          </w:p>
        </w:tc>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79063DD3" w14:textId="77777777" w:rsidR="00C45D59" w:rsidRDefault="009B0962">
            <w:pPr>
              <w:pStyle w:val="P68B1DB1-Normal12"/>
              <w:spacing w:after="0" w:line="240" w:lineRule="auto"/>
              <w:rPr>
                <w:noProof/>
              </w:rPr>
            </w:pPr>
            <w:r>
              <w:rPr>
                <w:noProof/>
              </w:rPr>
              <w:t>Î4</w:t>
            </w:r>
          </w:p>
        </w:tc>
        <w:tc>
          <w:tcPr>
            <w:tcW w:w="673" w:type="dxa"/>
            <w:tcBorders>
              <w:top w:val="single" w:sz="4" w:space="0" w:color="auto"/>
              <w:left w:val="single" w:sz="4" w:space="0" w:color="auto"/>
              <w:bottom w:val="single" w:sz="4" w:space="0" w:color="auto"/>
              <w:right w:val="single" w:sz="4" w:space="0" w:color="auto"/>
            </w:tcBorders>
            <w:shd w:val="clear" w:color="auto" w:fill="C6EFCE"/>
            <w:noWrap/>
          </w:tcPr>
          <w:p w14:paraId="7F7EC1EF" w14:textId="77777777" w:rsidR="00C45D59" w:rsidRDefault="009B0962">
            <w:pPr>
              <w:pStyle w:val="P68B1DB1-Normal12"/>
              <w:spacing w:after="0" w:line="240" w:lineRule="auto"/>
              <w:rPr>
                <w:noProof/>
              </w:rPr>
            </w:pPr>
            <w:r>
              <w:rPr>
                <w:noProof/>
              </w:rPr>
              <w:t>2025</w:t>
            </w:r>
          </w:p>
        </w:tc>
        <w:tc>
          <w:tcPr>
            <w:tcW w:w="5194" w:type="dxa"/>
            <w:tcBorders>
              <w:top w:val="single" w:sz="4" w:space="0" w:color="auto"/>
              <w:left w:val="single" w:sz="4" w:space="0" w:color="auto"/>
              <w:bottom w:val="single" w:sz="4" w:space="0" w:color="auto"/>
              <w:right w:val="single" w:sz="4" w:space="0" w:color="auto"/>
            </w:tcBorders>
            <w:shd w:val="clear" w:color="auto" w:fill="C6EFCE"/>
            <w:noWrap/>
          </w:tcPr>
          <w:p w14:paraId="3CE2D873" w14:textId="257E8631" w:rsidR="00C45D59" w:rsidRDefault="009B0962">
            <w:pPr>
              <w:pStyle w:val="P68B1DB1-ListParagraph34"/>
              <w:spacing w:after="0" w:line="240" w:lineRule="auto"/>
              <w:ind w:left="-29"/>
              <w:rPr>
                <w:noProof/>
              </w:rPr>
            </w:pPr>
            <w:r>
              <w:rPr>
                <w:noProof/>
              </w:rPr>
              <w:t xml:space="preserve">1. Prezentarea următoarelor documente: </w:t>
            </w:r>
          </w:p>
          <w:p w14:paraId="65967989" w14:textId="458C3E04" w:rsidR="00C45D59" w:rsidRDefault="009B0962">
            <w:pPr>
              <w:pStyle w:val="P68B1DB1-ListParagraph34"/>
              <w:spacing w:after="0" w:line="240" w:lineRule="auto"/>
              <w:ind w:left="-29"/>
              <w:rPr>
                <w:noProof/>
              </w:rPr>
            </w:pPr>
            <w:r>
              <w:rPr>
                <w:noProof/>
              </w:rPr>
              <w:t>a. Sistemul public de informații privind ratingul de credit (PCRIS)</w:t>
            </w:r>
          </w:p>
          <w:p w14:paraId="58C15ABA" w14:textId="77777777" w:rsidR="00C45D59" w:rsidRDefault="009B0962">
            <w:pPr>
              <w:pStyle w:val="P68B1DB1-ListParagraph34"/>
              <w:spacing w:after="0" w:line="240" w:lineRule="auto"/>
              <w:ind w:left="-29"/>
              <w:rPr>
                <w:noProof/>
              </w:rPr>
            </w:pPr>
            <w:r>
              <w:rPr>
                <w:noProof/>
              </w:rPr>
              <w:t xml:space="preserve">b. Sistemul informatic al Registrului de monitorizare a datoriei private. </w:t>
            </w:r>
          </w:p>
          <w:p w14:paraId="0CC2893C" w14:textId="77777777" w:rsidR="00C45D59" w:rsidRDefault="009B0962">
            <w:pPr>
              <w:pStyle w:val="P68B1DB1-ListParagraph34"/>
              <w:spacing w:after="0" w:line="240" w:lineRule="auto"/>
              <w:ind w:left="-29"/>
              <w:rPr>
                <w:noProof/>
              </w:rPr>
            </w:pPr>
            <w:r>
              <w:rPr>
                <w:noProof/>
              </w:rPr>
              <w:t xml:space="preserve">c. Acțiuni relevante pentru tranzacțiile cu credite neperformante: </w:t>
            </w:r>
          </w:p>
          <w:p w14:paraId="1E177959" w14:textId="77777777" w:rsidR="00C45D59" w:rsidRDefault="009B0962">
            <w:pPr>
              <w:pStyle w:val="P68B1DB1-ListParagraph34"/>
              <w:numPr>
                <w:ilvl w:val="0"/>
                <w:numId w:val="74"/>
              </w:numPr>
              <w:spacing w:after="0" w:line="240" w:lineRule="auto"/>
              <w:ind w:left="851" w:hanging="567"/>
              <w:rPr>
                <w:noProof/>
              </w:rPr>
            </w:pPr>
            <w:r>
              <w:rPr>
                <w:noProof/>
              </w:rPr>
              <w:t>un model comun de date pentru tranzacțiile cu credite neperformante;</w:t>
            </w:r>
          </w:p>
          <w:p w14:paraId="059707CE" w14:textId="77777777" w:rsidR="00C45D59" w:rsidRDefault="009B0962">
            <w:pPr>
              <w:pStyle w:val="P68B1DB1-ListParagraph34"/>
              <w:numPr>
                <w:ilvl w:val="0"/>
                <w:numId w:val="74"/>
              </w:numPr>
              <w:spacing w:after="0" w:line="240" w:lineRule="auto"/>
              <w:ind w:left="851" w:hanging="567"/>
              <w:rPr>
                <w:noProof/>
              </w:rPr>
            </w:pPr>
            <w:r>
              <w:rPr>
                <w:noProof/>
              </w:rPr>
              <w:t>un model comun pentru examinarea și evaluarea portofoliului;</w:t>
            </w:r>
          </w:p>
          <w:p w14:paraId="0E130D5B" w14:textId="124AC4E1" w:rsidR="00C45D59" w:rsidRDefault="009B0962">
            <w:pPr>
              <w:pStyle w:val="P68B1DB1-ListParagraph34"/>
              <w:numPr>
                <w:ilvl w:val="0"/>
                <w:numId w:val="74"/>
              </w:numPr>
              <w:spacing w:after="0" w:line="240" w:lineRule="auto"/>
              <w:ind w:left="851" w:hanging="567"/>
              <w:rPr>
                <w:noProof/>
              </w:rPr>
            </w:pPr>
            <w:r>
              <w:rPr>
                <w:noProof/>
              </w:rPr>
              <w:t xml:space="preserve"> un sistem informatic de tranzacționare pentru portofoliile de credite neperformante pentru vânzători și cumpărători.</w:t>
            </w:r>
          </w:p>
          <w:p w14:paraId="0BF41349" w14:textId="0966CBFA" w:rsidR="00C45D59" w:rsidRDefault="009B0962">
            <w:pPr>
              <w:pStyle w:val="P68B1DB1-ListParagraph34"/>
              <w:spacing w:after="0" w:line="240" w:lineRule="auto"/>
              <w:ind w:left="-29"/>
              <w:rPr>
                <w:noProof/>
              </w:rPr>
            </w:pPr>
            <w:r>
              <w:rPr>
                <w:noProof/>
              </w:rPr>
              <w:t xml:space="preserve">2. Furnizarea sistemului informatic al Registrului Central al Creditelor (CCR) </w:t>
            </w:r>
          </w:p>
          <w:p w14:paraId="2D9485FA" w14:textId="77777777" w:rsidR="00C45D59" w:rsidRDefault="00C45D59">
            <w:pPr>
              <w:pStyle w:val="ListParagraph"/>
              <w:spacing w:after="0" w:line="240" w:lineRule="auto"/>
              <w:ind w:left="113" w:hanging="142"/>
              <w:rPr>
                <w:rFonts w:ascii="Times New Roman" w:hAnsi="Times New Roman" w:cs="Times New Roman"/>
                <w:noProof/>
                <w:color w:val="006100"/>
                <w:sz w:val="18"/>
                <w:szCs w:val="18"/>
              </w:rPr>
            </w:pPr>
          </w:p>
          <w:p w14:paraId="1CE73B6B" w14:textId="511A0627" w:rsidR="00C45D59" w:rsidRDefault="009B0962">
            <w:pPr>
              <w:pStyle w:val="P68B1DB1-ListParagraph34"/>
              <w:spacing w:after="0" w:line="240" w:lineRule="auto"/>
              <w:ind w:left="-29"/>
              <w:rPr>
                <w:noProof/>
              </w:rPr>
            </w:pPr>
            <w:r>
              <w:rPr>
                <w:noProof/>
              </w:rPr>
              <w:t xml:space="preserve">3. Intrarea în vigoare a actelor juridice privind soluționarea cauzelor și reducerea întârzierilor în procedurile de executare, prin modificarea Codului de procedură civilă: a) adaptarea normelor privind măsurile provizorii la procedurile de executare, b) separarea opozițiilor pe fond anterioare licitației de opozițiile procedurale, c) modificarea competenței teritoriale a instanțelor prin eliminarea prorogării de competență în fața Tribunalului de Primă Instanță din Atena și dispoziții de creare a unui mecanism de reprogramare a datelor ședințelor de judecată atât pentru opozițiile „anterioare licitației”, cât și pentru cele „ulterioare licitației” într-un interval de timp mai scurt. </w:t>
            </w:r>
          </w:p>
        </w:tc>
      </w:tr>
    </w:tbl>
    <w:p w14:paraId="25CE0429" w14:textId="77777777" w:rsidR="00C45D59" w:rsidRDefault="00C45D59">
      <w:pPr>
        <w:spacing w:before="120" w:after="120" w:line="240" w:lineRule="auto"/>
        <w:ind w:left="709"/>
        <w:jc w:val="both"/>
        <w:rPr>
          <w:rFonts w:ascii="Times New Roman" w:hAnsi="Times New Roman" w:cs="Times New Roman"/>
          <w:noProof/>
          <w:sz w:val="24"/>
          <w:szCs w:val="24"/>
        </w:rPr>
      </w:pPr>
    </w:p>
    <w:p w14:paraId="6B826458" w14:textId="77777777" w:rsidR="00C45D59" w:rsidRDefault="00C45D59">
      <w:pPr>
        <w:spacing w:before="120" w:after="120" w:line="240" w:lineRule="auto"/>
        <w:ind w:left="709"/>
        <w:jc w:val="both"/>
        <w:rPr>
          <w:rFonts w:ascii="Times New Roman" w:hAnsi="Times New Roman" w:cs="Times New Roman"/>
          <w:noProof/>
          <w:sz w:val="24"/>
          <w:szCs w:val="24"/>
        </w:rPr>
      </w:pPr>
    </w:p>
    <w:p w14:paraId="045080CE" w14:textId="77777777" w:rsidR="00C45D59" w:rsidRDefault="00C45D59">
      <w:pPr>
        <w:spacing w:before="120" w:after="120" w:line="240" w:lineRule="auto"/>
        <w:ind w:left="709"/>
        <w:jc w:val="both"/>
        <w:rPr>
          <w:rFonts w:ascii="Times New Roman" w:hAnsi="Times New Roman" w:cs="Times New Roman"/>
          <w:noProof/>
          <w:sz w:val="24"/>
        </w:rPr>
        <w:sectPr w:rsidR="00C45D59">
          <w:headerReference w:type="even" r:id="rId312"/>
          <w:headerReference w:type="default" r:id="rId313"/>
          <w:footerReference w:type="even" r:id="rId314"/>
          <w:footerReference w:type="default" r:id="rId315"/>
          <w:headerReference w:type="first" r:id="rId316"/>
          <w:footerReference w:type="first" r:id="rId317"/>
          <w:pgSz w:w="16839" w:h="11907" w:orient="landscape"/>
          <w:pgMar w:top="1134" w:right="1134" w:bottom="1134" w:left="1134" w:header="567" w:footer="567" w:gutter="0"/>
          <w:cols w:space="720"/>
          <w:docGrid w:linePitch="360"/>
        </w:sectPr>
      </w:pPr>
    </w:p>
    <w:p w14:paraId="1F6A03A1" w14:textId="77777777" w:rsidR="00C45D59" w:rsidRDefault="009B0962">
      <w:pPr>
        <w:pStyle w:val="P68B1DB1-Normal17"/>
        <w:spacing w:before="120" w:after="120" w:line="240" w:lineRule="auto"/>
        <w:ind w:firstLine="6"/>
        <w:jc w:val="both"/>
        <w:outlineLvl w:val="3"/>
        <w:rPr>
          <w:rFonts w:cs="Times New Roman"/>
          <w:bCs/>
          <w:noProof/>
        </w:rPr>
      </w:pPr>
      <w:r>
        <w:rPr>
          <w:noProof/>
        </w:rPr>
        <w:t>P. COMPONENTA 4.5: PROMOVAREA CERCETĂRII ȘI A INOVĂRII</w:t>
      </w:r>
    </w:p>
    <w:p w14:paraId="4119F215" w14:textId="07925230" w:rsidR="00C45D59" w:rsidRDefault="009B0962">
      <w:pPr>
        <w:pStyle w:val="P68B1DB1-Normal5"/>
        <w:spacing w:before="120" w:after="120" w:line="240" w:lineRule="auto"/>
        <w:jc w:val="both"/>
        <w:rPr>
          <w:rFonts w:cs="Times New Roman"/>
          <w:noProof/>
        </w:rPr>
      </w:pPr>
      <w:r>
        <w:rPr>
          <w:noProof/>
        </w:rPr>
        <w:t>Obiectivele-cheie ale acestei componente a planului de redresare și reziliență al Greciei sunt creșterea investițiilor publice și private în cercetare și dezvoltare (C &amp; D), consolidarea legăturilor dintre știință și întreprinderi și dezvoltarea unei infrastructuri de C &amp; D de pionierat, în vederea îmbunătățirii performanței Greciei în materie de cercetare și inovare. Se preconizează că acest lucru va fi realizat prin reforme și investiții specifice menite să sporească cheltuielile publice și private pentru C &amp; D, să modernizeze infrastructurile de cercetare ale țării, să promoveze finanțarea cercetării și să dezvolte colaborări în domeniul cercetării. Componenta include, de asemenea, dezvoltarea unui sistem de informații pentru protecția civilă, care informează autoritățile competente în timp real cu privire la fenomenele fizice și dezastrele naturale, sprijinind în același timp cooperarea acestora. Această investiție facilitează, de asemenea, transformarea digitală, prin dezvoltarea de tehnologii digitale avansate și digitalizarea metodelor de protecție civilă, precum și pentru a promova tranziția verde, prin atenuarea impactului schimbărilor climatice, pentru a asigura protecția civilă. Componenta sprijină abordarea recomandărilor specifice fiecărei țări privind investițiile publice și private (Recomandarea specifică fiecărei țări 2 2019 și Recomandarea specifică fiecărei țări 3 2020). Se preconizează că nicio măsură din cadrul acestei componente nu prejudiciază în mod semnificativ obiectivele de mediu în sensul articolului 17 din Regulamentul (UE) 2020/852, ținând seama de descrierea măsurilor și a etapelor de atenuare prevăzute în planul de redresare și reziliență în conformitate cu Orientările tehnice privind aplicarea principiului de „a nu prejudicia în mod semnificativ” (2021/C58/01).</w:t>
      </w:r>
    </w:p>
    <w:p w14:paraId="1B68EB1E" w14:textId="77777777" w:rsidR="00C45D59" w:rsidRDefault="009B0962">
      <w:pPr>
        <w:pStyle w:val="P68B1DB1-Normal6"/>
        <w:spacing w:before="120" w:after="120" w:line="240" w:lineRule="auto"/>
        <w:jc w:val="both"/>
        <w:rPr>
          <w:rFonts w:cs="Times New Roman"/>
          <w:i/>
          <w:noProof/>
          <w:color w:val="4F81BD"/>
        </w:rPr>
      </w:pPr>
      <w:r>
        <w:rPr>
          <w:noProof/>
        </w:rPr>
        <w:t>P.1. Descrierea reformelor și a investițiilor pentru sprijinul financiar nerambursabil</w:t>
      </w:r>
    </w:p>
    <w:p w14:paraId="2310AF6C" w14:textId="77777777" w:rsidR="00C45D59" w:rsidRDefault="009B0962">
      <w:pPr>
        <w:pStyle w:val="P68B1DB1-Normal5"/>
        <w:spacing w:before="120" w:after="120" w:line="240" w:lineRule="auto"/>
        <w:jc w:val="both"/>
        <w:rPr>
          <w:rFonts w:cs="Times New Roman"/>
          <w:noProof/>
        </w:rPr>
      </w:pPr>
      <w:r>
        <w:rPr>
          <w:b/>
          <w:noProof/>
        </w:rPr>
        <w:t>Investiții:</w:t>
      </w:r>
      <w:r>
        <w:rPr>
          <w:noProof/>
        </w:rPr>
        <w:t xml:space="preserve"> Creare – Extindere – Actualizarea infrastructurilor centrelor de cercetare supravegheate de Secretariatul General pentru Cercetare și Inovare (GSRI) (măsura ID 16624)</w:t>
      </w:r>
    </w:p>
    <w:p w14:paraId="52268DB0" w14:textId="5B25B02D" w:rsidR="00C45D59" w:rsidRDefault="009B0962">
      <w:pPr>
        <w:pStyle w:val="P68B1DB1-Normal7"/>
        <w:spacing w:before="120" w:after="120" w:line="240" w:lineRule="auto"/>
        <w:jc w:val="both"/>
        <w:rPr>
          <w:rFonts w:cs="Times New Roman"/>
          <w:noProof/>
        </w:rPr>
      </w:pPr>
      <w:r>
        <w:rPr>
          <w:noProof/>
        </w:rPr>
        <w:t xml:space="preserve">Obiectivul acestei investiții este de a consolida capacitatea centrelor de cercetare. Investiția constă în proiecte care vizează 11 centre de cercetare. </w:t>
      </w:r>
    </w:p>
    <w:p w14:paraId="2C166F68" w14:textId="77777777" w:rsidR="00C45D59" w:rsidRDefault="009B0962">
      <w:pPr>
        <w:pStyle w:val="P68B1DB1-Normal5"/>
        <w:spacing w:before="120" w:after="120" w:line="240" w:lineRule="auto"/>
        <w:jc w:val="both"/>
        <w:rPr>
          <w:rFonts w:cs="Times New Roman"/>
          <w:noProof/>
        </w:rPr>
      </w:pPr>
      <w:r>
        <w:rPr>
          <w:b/>
          <w:noProof/>
        </w:rPr>
        <w:t>Investiții:</w:t>
      </w:r>
      <w:r>
        <w:rPr>
          <w:noProof/>
        </w:rPr>
        <w:t xml:space="preserve"> Cercetare de bază &amp; aplicată (măsura ID 16618)</w:t>
      </w:r>
    </w:p>
    <w:p w14:paraId="73BCB3C8" w14:textId="77777777" w:rsidR="00C45D59" w:rsidRDefault="009B0962">
      <w:pPr>
        <w:pStyle w:val="P68B1DB1-Normal7"/>
        <w:spacing w:before="120" w:after="120" w:line="240" w:lineRule="auto"/>
        <w:jc w:val="both"/>
        <w:rPr>
          <w:rFonts w:cs="Times New Roman"/>
          <w:noProof/>
        </w:rPr>
      </w:pPr>
      <w:r>
        <w:rPr>
          <w:noProof/>
        </w:rPr>
        <w:t>Obiectivul acestei investiții este de a facilita cercetarea de bază și aplicată în Grecia. Investiția constă în proiecte de cercetare de bază și aplicate.</w:t>
      </w:r>
    </w:p>
    <w:p w14:paraId="2949F90B" w14:textId="77777777" w:rsidR="00C45D59" w:rsidRDefault="009B0962">
      <w:pPr>
        <w:pStyle w:val="P68B1DB1-Normal7"/>
        <w:spacing w:before="120" w:after="120" w:line="240" w:lineRule="auto"/>
        <w:jc w:val="both"/>
        <w:rPr>
          <w:rFonts w:cs="Times New Roman"/>
          <w:noProof/>
        </w:rPr>
      </w:pPr>
      <w:r>
        <w:rPr>
          <w:b/>
          <w:noProof/>
        </w:rPr>
        <w:t>Investiții:</w:t>
      </w:r>
      <w:r>
        <w:rPr>
          <w:noProof/>
        </w:rPr>
        <w:t xml:space="preserve"> EDIȚIA A</w:t>
      </w:r>
      <w:r>
        <w:rPr>
          <w:noProof/>
          <w:vertAlign w:val="superscript"/>
        </w:rPr>
        <w:t xml:space="preserve"> 2-A</w:t>
      </w:r>
      <w:r>
        <w:rPr>
          <w:noProof/>
        </w:rPr>
        <w:t xml:space="preserve"> ORAX: Sistemul de eXemplare Autonomă Ruggedizată operațională pe spaliere Holistic &amp; Hybrid (măsura ID 16654)</w:t>
      </w:r>
    </w:p>
    <w:p w14:paraId="15E3D85E" w14:textId="0DDAD202" w:rsidR="00C45D59" w:rsidRDefault="009B0962">
      <w:pPr>
        <w:pStyle w:val="P68B1DB1-Normal7"/>
        <w:spacing w:before="120" w:after="120" w:line="240" w:lineRule="auto"/>
        <w:jc w:val="both"/>
        <w:rPr>
          <w:rFonts w:cs="Times New Roman"/>
          <w:noProof/>
        </w:rPr>
      </w:pPr>
      <w:r>
        <w:rPr>
          <w:noProof/>
          <w:color w:val="000000" w:themeColor="text1"/>
        </w:rPr>
        <w:t>Obiectivul acestei investiții este un sistem informatic de „generație următoare”, care combină diferite infrastructuri de colaborare pentru a îmbunătăți procesul decizional al instituțiilor în timp real. Investiția constă</w:t>
      </w:r>
      <w:r w:rsidR="00CD2DBD">
        <w:rPr>
          <w:noProof/>
          <w:color w:val="000000" w:themeColor="text1"/>
        </w:rPr>
        <w:t xml:space="preserve"> </w:t>
      </w:r>
      <w:r>
        <w:rPr>
          <w:noProof/>
          <w:color w:val="000000" w:themeColor="text1"/>
        </w:rPr>
        <w:t>într-un sistem compus din tehnologii, de exemplu inteligența artificială.</w:t>
      </w:r>
      <w:r>
        <w:rPr>
          <w:noProof/>
        </w:rPr>
        <w:t xml:space="preserve"> </w:t>
      </w:r>
    </w:p>
    <w:p w14:paraId="60F0388E" w14:textId="77777777" w:rsidR="00C45D59" w:rsidRDefault="009B0962">
      <w:pPr>
        <w:pStyle w:val="P68B1DB1-Normal5"/>
        <w:spacing w:before="120" w:after="120" w:line="240" w:lineRule="auto"/>
        <w:jc w:val="both"/>
        <w:rPr>
          <w:rFonts w:cs="Times New Roman"/>
          <w:noProof/>
        </w:rPr>
      </w:pPr>
      <w:r>
        <w:rPr>
          <w:b/>
          <w:noProof/>
        </w:rPr>
        <w:t>Investiții:</w:t>
      </w:r>
      <w:r>
        <w:rPr>
          <w:noProof/>
        </w:rPr>
        <w:t xml:space="preserve"> Cercetare – Creare – Innovate (măsura ID 16971)</w:t>
      </w:r>
    </w:p>
    <w:p w14:paraId="7AB69871" w14:textId="77777777" w:rsidR="00C45D59" w:rsidRDefault="009B0962">
      <w:pPr>
        <w:pStyle w:val="P68B1DB1-Normal7"/>
        <w:spacing w:before="120" w:after="120" w:line="240" w:lineRule="auto"/>
        <w:jc w:val="both"/>
        <w:rPr>
          <w:rFonts w:cs="Times New Roman"/>
          <w:noProof/>
        </w:rPr>
      </w:pPr>
      <w:r>
        <w:rPr>
          <w:noProof/>
        </w:rPr>
        <w:t xml:space="preserve">Obiectivul acestei investiții este de a atrage cofinanțare din partea sectorului privat pentru cercetare. Investiția constă în proiecte în sectoare ale Strategiei naționale de cercetare și inovare pentru specializare inteligentă 2014-2020 (RIS3). </w:t>
      </w:r>
    </w:p>
    <w:p w14:paraId="4A0326BA" w14:textId="64AB1699" w:rsidR="00C45D59" w:rsidRDefault="009B0962">
      <w:pPr>
        <w:pStyle w:val="P68B1DB1-Normal5"/>
        <w:spacing w:before="120" w:after="120" w:line="240" w:lineRule="auto"/>
        <w:jc w:val="both"/>
        <w:rPr>
          <w:rFonts w:cs="Times New Roman"/>
          <w:noProof/>
        </w:rPr>
      </w:pPr>
      <w:r>
        <w:rPr>
          <w:b/>
          <w:noProof/>
        </w:rPr>
        <w:t>Investiții:</w:t>
      </w:r>
      <w:r>
        <w:rPr>
          <w:noProof/>
        </w:rPr>
        <w:t xml:space="preserve"> „Marca de excelență” din cadrul programului Orizont 2020: societăți de finanțare (măsura ID 16622)</w:t>
      </w:r>
    </w:p>
    <w:p w14:paraId="75F19B30" w14:textId="6DA42D62" w:rsidR="00C45D59" w:rsidRDefault="009B0962">
      <w:pPr>
        <w:pStyle w:val="P68B1DB1-Normal5"/>
        <w:spacing w:before="120" w:after="120" w:line="240" w:lineRule="auto"/>
        <w:jc w:val="both"/>
        <w:rPr>
          <w:rFonts w:cs="Times New Roman"/>
          <w:noProof/>
        </w:rPr>
      </w:pPr>
      <w:r>
        <w:rPr>
          <w:noProof/>
        </w:rPr>
        <w:t xml:space="preserve">Obiectivul acestei investiții este de a sprijini întreprinderile mici și mijlocii. Investiția constă în proiecte puse în aplicare. </w:t>
      </w:r>
    </w:p>
    <w:p w14:paraId="50DB76AC" w14:textId="77777777" w:rsidR="00C45D59" w:rsidRDefault="00C45D59">
      <w:pPr>
        <w:spacing w:before="120" w:after="120" w:line="240" w:lineRule="auto"/>
        <w:ind w:left="709"/>
        <w:jc w:val="both"/>
        <w:rPr>
          <w:rFonts w:ascii="Times New Roman" w:hAnsi="Times New Roman" w:cs="Times New Roman"/>
          <w:noProof/>
          <w:sz w:val="24"/>
        </w:rPr>
        <w:sectPr w:rsidR="00C45D59">
          <w:headerReference w:type="even" r:id="rId318"/>
          <w:headerReference w:type="default" r:id="rId319"/>
          <w:footerReference w:type="even" r:id="rId320"/>
          <w:footerReference w:type="default" r:id="rId321"/>
          <w:headerReference w:type="first" r:id="rId322"/>
          <w:footerReference w:type="first" r:id="rId323"/>
          <w:pgSz w:w="11906" w:h="16838"/>
          <w:pgMar w:top="1134" w:right="1134" w:bottom="1134" w:left="1134" w:header="567" w:footer="567" w:gutter="0"/>
          <w:cols w:space="708"/>
          <w:docGrid w:linePitch="360"/>
        </w:sectPr>
      </w:pPr>
    </w:p>
    <w:p w14:paraId="0E64969A" w14:textId="77777777" w:rsidR="00C45D59" w:rsidRDefault="009B0962">
      <w:pPr>
        <w:pStyle w:val="P68B1DB1-Normal6"/>
        <w:spacing w:before="120" w:after="120" w:line="240" w:lineRule="auto"/>
        <w:jc w:val="both"/>
        <w:rPr>
          <w:rFonts w:cs="Times New Roman"/>
          <w:bCs/>
          <w:noProof/>
        </w:rPr>
      </w:pPr>
      <w:r>
        <w:rPr>
          <w:noProof/>
        </w:rPr>
        <w:t>P.2. Jaloane, ținte, indicatori și calendarul de monitorizare și implementare aplicabile sprijinului financiar nerambursabil</w:t>
      </w:r>
    </w:p>
    <w:p w14:paraId="43F25DEC" w14:textId="77777777" w:rsidR="00C45D59" w:rsidRDefault="009B0962">
      <w:pPr>
        <w:pStyle w:val="P68B1DB1-Normal9"/>
        <w:keepNext/>
        <w:keepLines/>
        <w:spacing w:before="40" w:after="0" w:line="240" w:lineRule="auto"/>
        <w:jc w:val="both"/>
        <w:outlineLvl w:val="4"/>
        <w:rPr>
          <w:rFonts w:eastAsia="Times New Roman"/>
          <w:noProof/>
        </w:rPr>
      </w:pPr>
      <w:r>
        <w:rPr>
          <w:noProof/>
        </w:rPr>
        <w:t>Grupul 23: Promovarea cercetării și a inovării</w:t>
      </w:r>
    </w:p>
    <w:p w14:paraId="440A079E" w14:textId="61FEDF22" w:rsidR="00C45D59" w:rsidRDefault="009B0962">
      <w:pPr>
        <w:pStyle w:val="P68B1DB1-Normal5"/>
        <w:numPr>
          <w:ilvl w:val="0"/>
          <w:numId w:val="75"/>
        </w:numPr>
        <w:spacing w:before="120" w:after="0" w:line="240" w:lineRule="auto"/>
        <w:jc w:val="both"/>
        <w:rPr>
          <w:rFonts w:cs="Times New Roman"/>
          <w:noProof/>
        </w:rPr>
      </w:pPr>
      <w:r>
        <w:rPr>
          <w:noProof/>
        </w:rPr>
        <w:t>Creare – Extindere – Actualizarea infrastructurilor centrelor de cercetare supravegheate de Secretariatul General pentru Cercetare și Inovare (GSRT) (ID: 16624)</w:t>
      </w:r>
    </w:p>
    <w:p w14:paraId="4FD30CEB" w14:textId="77777777" w:rsidR="00C45D59" w:rsidRDefault="009B0962">
      <w:pPr>
        <w:pStyle w:val="P68B1DB1-Normal5"/>
        <w:numPr>
          <w:ilvl w:val="0"/>
          <w:numId w:val="75"/>
        </w:numPr>
        <w:spacing w:before="120" w:after="0" w:line="240" w:lineRule="auto"/>
        <w:jc w:val="both"/>
        <w:rPr>
          <w:rFonts w:cs="Times New Roman"/>
          <w:noProof/>
        </w:rPr>
      </w:pPr>
      <w:r>
        <w:rPr>
          <w:noProof/>
        </w:rPr>
        <w:t>Cercetare de bază &amp; aplicată (ID: 16618)</w:t>
      </w:r>
    </w:p>
    <w:p w14:paraId="6EA36903" w14:textId="77777777" w:rsidR="00C45D59" w:rsidRDefault="009B0962">
      <w:pPr>
        <w:pStyle w:val="P68B1DB1-Normal5"/>
        <w:numPr>
          <w:ilvl w:val="0"/>
          <w:numId w:val="75"/>
        </w:numPr>
        <w:spacing w:before="120" w:after="0" w:line="240" w:lineRule="auto"/>
        <w:jc w:val="both"/>
        <w:rPr>
          <w:rFonts w:cs="Times New Roman"/>
          <w:noProof/>
        </w:rPr>
      </w:pPr>
      <w:r>
        <w:rPr>
          <w:noProof/>
        </w:rPr>
        <w:t>EDIȚIA A 2-A ORAX: Sistemul eXemplar autonom Ruggedizat operațional pe spaliere Holistic &amp; Hybrid (ID: 16654)</w:t>
      </w:r>
    </w:p>
    <w:p w14:paraId="0E008989" w14:textId="77777777" w:rsidR="00C45D59" w:rsidRDefault="009B0962">
      <w:pPr>
        <w:pStyle w:val="P68B1DB1-Normal5"/>
        <w:numPr>
          <w:ilvl w:val="0"/>
          <w:numId w:val="75"/>
        </w:numPr>
        <w:spacing w:before="120" w:after="0" w:line="240" w:lineRule="auto"/>
        <w:jc w:val="both"/>
        <w:rPr>
          <w:rFonts w:cs="Times New Roman"/>
          <w:noProof/>
        </w:rPr>
      </w:pPr>
      <w:r>
        <w:rPr>
          <w:noProof/>
        </w:rPr>
        <w:t>Cercetare – Creare – Innovate (ID: 16971)</w:t>
      </w:r>
    </w:p>
    <w:p w14:paraId="45A9008C" w14:textId="3425EEBB" w:rsidR="00C45D59" w:rsidRDefault="009B0962">
      <w:pPr>
        <w:pStyle w:val="P68B1DB1-Normal5"/>
        <w:numPr>
          <w:ilvl w:val="0"/>
          <w:numId w:val="75"/>
        </w:numPr>
        <w:spacing w:before="120" w:after="0" w:line="240" w:lineRule="auto"/>
        <w:jc w:val="both"/>
        <w:rPr>
          <w:rFonts w:cs="Times New Roman"/>
          <w:noProof/>
        </w:rPr>
      </w:pPr>
      <w:r>
        <w:rPr>
          <w:noProof/>
        </w:rPr>
        <w:t>„Marca de excelență” din cadrul programului Orizont 2020: societăți de finanțare (ID: 16622)</w:t>
      </w:r>
    </w:p>
    <w:tbl>
      <w:tblPr>
        <w:tblW w:w="16018" w:type="dxa"/>
        <w:jc w:val="center"/>
        <w:tblLayout w:type="fixed"/>
        <w:tblLook w:val="04A0" w:firstRow="1" w:lastRow="0" w:firstColumn="1" w:lastColumn="0" w:noHBand="0" w:noVBand="1"/>
      </w:tblPr>
      <w:tblGrid>
        <w:gridCol w:w="594"/>
        <w:gridCol w:w="2571"/>
        <w:gridCol w:w="1094"/>
        <w:gridCol w:w="1794"/>
        <w:gridCol w:w="1774"/>
        <w:gridCol w:w="960"/>
        <w:gridCol w:w="960"/>
        <w:gridCol w:w="607"/>
        <w:gridCol w:w="1080"/>
        <w:gridCol w:w="720"/>
        <w:gridCol w:w="3864"/>
      </w:tblGrid>
      <w:tr w:rsidR="00C45D59" w14:paraId="1C4BC7A4" w14:textId="77777777" w:rsidTr="00892E7E">
        <w:trPr>
          <w:trHeight w:val="740"/>
          <w:tblHeader/>
          <w:jc w:val="center"/>
        </w:trPr>
        <w:tc>
          <w:tcPr>
            <w:tcW w:w="594" w:type="dxa"/>
            <w:vMerge w:val="restart"/>
            <w:tcBorders>
              <w:top w:val="single" w:sz="2" w:space="0" w:color="000000"/>
              <w:left w:val="single" w:sz="2" w:space="0" w:color="000000"/>
              <w:bottom w:val="single" w:sz="2" w:space="0" w:color="000000"/>
              <w:right w:val="single" w:sz="2" w:space="0" w:color="000000"/>
            </w:tcBorders>
            <w:shd w:val="clear" w:color="auto" w:fill="BDD7EE"/>
            <w:vAlign w:val="center"/>
            <w:hideMark/>
          </w:tcPr>
          <w:p w14:paraId="7F86C20A" w14:textId="3C7D16BF" w:rsidR="00C45D59" w:rsidRDefault="009B0962">
            <w:pPr>
              <w:pStyle w:val="P68B1DB1-Normal15"/>
              <w:spacing w:after="0" w:line="240" w:lineRule="auto"/>
              <w:jc w:val="center"/>
              <w:rPr>
                <w:rFonts w:eastAsia="Times New Roman"/>
                <w:bCs/>
                <w:noProof/>
              </w:rPr>
            </w:pPr>
            <w:r>
              <w:rPr>
                <w:noProof/>
              </w:rPr>
              <w:t>Nr</w:t>
            </w:r>
            <w:r w:rsidR="00892E7E">
              <w:rPr>
                <w:noProof/>
              </w:rPr>
              <w:t>.</w:t>
            </w:r>
            <w:r>
              <w:rPr>
                <w:noProof/>
              </w:rPr>
              <w:t xml:space="preserve"> </w:t>
            </w:r>
            <w:r w:rsidR="00892E7E">
              <w:rPr>
                <w:noProof/>
              </w:rPr>
              <w:t>crt</w:t>
            </w:r>
            <w:r>
              <w:rPr>
                <w:noProof/>
              </w:rPr>
              <w:t>.</w:t>
            </w:r>
          </w:p>
        </w:tc>
        <w:tc>
          <w:tcPr>
            <w:tcW w:w="2571" w:type="dxa"/>
            <w:vMerge w:val="restart"/>
            <w:tcBorders>
              <w:top w:val="single" w:sz="2" w:space="0" w:color="000000"/>
              <w:left w:val="single" w:sz="2" w:space="0" w:color="000000"/>
              <w:bottom w:val="single" w:sz="2" w:space="0" w:color="000000"/>
              <w:right w:val="single" w:sz="2" w:space="0" w:color="000000"/>
            </w:tcBorders>
            <w:shd w:val="clear" w:color="auto" w:fill="BDD7EE"/>
            <w:vAlign w:val="center"/>
            <w:hideMark/>
          </w:tcPr>
          <w:p w14:paraId="6FCEE8E6" w14:textId="77777777" w:rsidR="00C45D59" w:rsidRDefault="009B0962">
            <w:pPr>
              <w:pStyle w:val="P68B1DB1-Normal10"/>
              <w:spacing w:after="0" w:line="240" w:lineRule="auto"/>
              <w:jc w:val="center"/>
              <w:rPr>
                <w:rFonts w:eastAsia="Times New Roman" w:cs="Times New Roman"/>
                <w:bCs/>
                <w:noProof/>
                <w:szCs w:val="18"/>
              </w:rPr>
            </w:pPr>
            <w:r>
              <w:rPr>
                <w:noProof/>
              </w:rPr>
              <w:t>Măsură conexă (reformă sau investiții)</w:t>
            </w:r>
          </w:p>
        </w:tc>
        <w:tc>
          <w:tcPr>
            <w:tcW w:w="1094" w:type="dxa"/>
            <w:vMerge w:val="restart"/>
            <w:tcBorders>
              <w:top w:val="single" w:sz="2" w:space="0" w:color="000000"/>
              <w:left w:val="single" w:sz="2" w:space="0" w:color="000000"/>
              <w:bottom w:val="single" w:sz="2" w:space="0" w:color="000000"/>
              <w:right w:val="single" w:sz="2" w:space="0" w:color="000000"/>
            </w:tcBorders>
            <w:shd w:val="clear" w:color="auto" w:fill="BDD7EE"/>
            <w:vAlign w:val="center"/>
            <w:hideMark/>
          </w:tcPr>
          <w:p w14:paraId="6FC9B5B7" w14:textId="77777777" w:rsidR="00C45D59" w:rsidRDefault="009B0962">
            <w:pPr>
              <w:pStyle w:val="P68B1DB1-Normal10"/>
              <w:spacing w:after="0" w:line="240" w:lineRule="auto"/>
              <w:jc w:val="center"/>
              <w:rPr>
                <w:rFonts w:eastAsia="Times New Roman" w:cs="Times New Roman"/>
                <w:bCs/>
                <w:noProof/>
                <w:szCs w:val="18"/>
              </w:rPr>
            </w:pPr>
            <w:r>
              <w:rPr>
                <w:noProof/>
              </w:rPr>
              <w:t>Etapă/Obiectiv</w:t>
            </w:r>
          </w:p>
        </w:tc>
        <w:tc>
          <w:tcPr>
            <w:tcW w:w="1794" w:type="dxa"/>
            <w:vMerge w:val="restart"/>
            <w:tcBorders>
              <w:top w:val="single" w:sz="2" w:space="0" w:color="000000"/>
              <w:left w:val="single" w:sz="2" w:space="0" w:color="000000"/>
              <w:bottom w:val="single" w:sz="2" w:space="0" w:color="000000"/>
              <w:right w:val="single" w:sz="2" w:space="0" w:color="000000"/>
            </w:tcBorders>
            <w:shd w:val="clear" w:color="auto" w:fill="BDD7EE"/>
            <w:vAlign w:val="center"/>
            <w:hideMark/>
          </w:tcPr>
          <w:p w14:paraId="284D188E" w14:textId="643D0A79" w:rsidR="00C45D59" w:rsidRDefault="00892E7E">
            <w:pPr>
              <w:pStyle w:val="P68B1DB1-Normal10"/>
              <w:spacing w:after="0" w:line="240" w:lineRule="auto"/>
              <w:jc w:val="center"/>
              <w:rPr>
                <w:rFonts w:eastAsia="Times New Roman" w:cs="Times New Roman"/>
                <w:bCs/>
                <w:noProof/>
                <w:szCs w:val="18"/>
              </w:rPr>
            </w:pPr>
            <w:r>
              <w:rPr>
                <w:noProof/>
              </w:rPr>
              <w:t>Denumire</w:t>
            </w:r>
          </w:p>
        </w:tc>
        <w:tc>
          <w:tcPr>
            <w:tcW w:w="1774" w:type="dxa"/>
            <w:vMerge w:val="restart"/>
            <w:tcBorders>
              <w:top w:val="single" w:sz="2" w:space="0" w:color="000000"/>
              <w:left w:val="single" w:sz="2" w:space="0" w:color="000000"/>
              <w:bottom w:val="single" w:sz="2" w:space="0" w:color="000000"/>
              <w:right w:val="single" w:sz="2" w:space="0" w:color="000000"/>
            </w:tcBorders>
            <w:shd w:val="clear" w:color="auto" w:fill="BDD7EE"/>
            <w:vAlign w:val="center"/>
            <w:hideMark/>
          </w:tcPr>
          <w:p w14:paraId="30B3C8CB" w14:textId="77777777" w:rsidR="00C45D59" w:rsidRDefault="009B0962">
            <w:pPr>
              <w:pStyle w:val="P68B1DB1-Normal10"/>
              <w:spacing w:after="0" w:line="240" w:lineRule="auto"/>
              <w:jc w:val="center"/>
              <w:rPr>
                <w:rFonts w:eastAsia="Times New Roman" w:cs="Times New Roman"/>
                <w:bCs/>
                <w:noProof/>
                <w:szCs w:val="18"/>
              </w:rPr>
            </w:pPr>
            <w:r>
              <w:rPr>
                <w:noProof/>
              </w:rPr>
              <w:t>Indicatori calitativi (pentru obiectivele de etapă)</w:t>
            </w:r>
          </w:p>
        </w:tc>
        <w:tc>
          <w:tcPr>
            <w:tcW w:w="2527" w:type="dxa"/>
            <w:gridSpan w:val="3"/>
            <w:tcBorders>
              <w:top w:val="single" w:sz="2" w:space="0" w:color="000000"/>
              <w:left w:val="single" w:sz="2" w:space="0" w:color="000000"/>
              <w:bottom w:val="single" w:sz="2" w:space="0" w:color="000000"/>
              <w:right w:val="single" w:sz="2" w:space="0" w:color="000000"/>
            </w:tcBorders>
            <w:shd w:val="clear" w:color="auto" w:fill="BDD7EE"/>
            <w:vAlign w:val="center"/>
            <w:hideMark/>
          </w:tcPr>
          <w:p w14:paraId="7C2AD8FA" w14:textId="77777777" w:rsidR="00C45D59" w:rsidRDefault="009B0962">
            <w:pPr>
              <w:pStyle w:val="P68B1DB1-Normal10"/>
              <w:spacing w:after="0" w:line="240" w:lineRule="auto"/>
              <w:jc w:val="center"/>
              <w:rPr>
                <w:rFonts w:eastAsia="Times New Roman" w:cs="Times New Roman"/>
                <w:bCs/>
                <w:noProof/>
                <w:szCs w:val="18"/>
              </w:rPr>
            </w:pPr>
            <w:r>
              <w:rPr>
                <w:noProof/>
              </w:rPr>
              <w:t>Indicatori cantitativi (pentru ținte)</w:t>
            </w:r>
          </w:p>
        </w:tc>
        <w:tc>
          <w:tcPr>
            <w:tcW w:w="1800" w:type="dxa"/>
            <w:gridSpan w:val="2"/>
            <w:tcBorders>
              <w:top w:val="single" w:sz="2" w:space="0" w:color="000000"/>
              <w:left w:val="single" w:sz="2" w:space="0" w:color="000000"/>
              <w:bottom w:val="single" w:sz="2" w:space="0" w:color="000000"/>
              <w:right w:val="single" w:sz="2" w:space="0" w:color="000000"/>
            </w:tcBorders>
            <w:shd w:val="clear" w:color="auto" w:fill="BDD7EE"/>
            <w:vAlign w:val="center"/>
            <w:hideMark/>
          </w:tcPr>
          <w:p w14:paraId="12D2E8BB" w14:textId="77777777" w:rsidR="00C45D59" w:rsidRDefault="009B0962">
            <w:pPr>
              <w:pStyle w:val="P68B1DB1-Normal10"/>
              <w:spacing w:after="0" w:line="240" w:lineRule="auto"/>
              <w:jc w:val="center"/>
              <w:rPr>
                <w:rFonts w:eastAsia="Times New Roman" w:cs="Times New Roman"/>
                <w:bCs/>
                <w:noProof/>
                <w:szCs w:val="18"/>
              </w:rPr>
            </w:pPr>
            <w:r>
              <w:rPr>
                <w:noProof/>
              </w:rPr>
              <w:t xml:space="preserve">Calendar orientativ pentru finalizare </w:t>
            </w:r>
          </w:p>
        </w:tc>
        <w:tc>
          <w:tcPr>
            <w:tcW w:w="3864" w:type="dxa"/>
            <w:vMerge w:val="restart"/>
            <w:tcBorders>
              <w:top w:val="single" w:sz="2" w:space="0" w:color="000000"/>
              <w:left w:val="single" w:sz="2" w:space="0" w:color="000000"/>
              <w:bottom w:val="single" w:sz="2" w:space="0" w:color="000000"/>
              <w:right w:val="single" w:sz="2" w:space="0" w:color="000000"/>
            </w:tcBorders>
            <w:shd w:val="clear" w:color="auto" w:fill="BDD7EE"/>
            <w:vAlign w:val="center"/>
            <w:hideMark/>
          </w:tcPr>
          <w:p w14:paraId="403715CA" w14:textId="77777777" w:rsidR="00C45D59" w:rsidRDefault="009B0962">
            <w:pPr>
              <w:pStyle w:val="P68B1DB1-Normal10"/>
              <w:spacing w:after="0" w:line="240" w:lineRule="auto"/>
              <w:jc w:val="center"/>
              <w:rPr>
                <w:rFonts w:eastAsia="Times New Roman" w:cs="Times New Roman"/>
                <w:noProof/>
                <w:szCs w:val="18"/>
              </w:rPr>
            </w:pPr>
            <w:r>
              <w:rPr>
                <w:noProof/>
              </w:rPr>
              <w:t>Descrierea fiecărui jalon și a fiecărei ținte</w:t>
            </w:r>
          </w:p>
        </w:tc>
      </w:tr>
      <w:tr w:rsidR="00C45D59" w14:paraId="39F1313A" w14:textId="77777777" w:rsidTr="00892E7E">
        <w:trPr>
          <w:trHeight w:val="526"/>
          <w:tblHeader/>
          <w:jc w:val="center"/>
        </w:trPr>
        <w:tc>
          <w:tcPr>
            <w:tcW w:w="594" w:type="dxa"/>
            <w:vMerge/>
            <w:tcBorders>
              <w:top w:val="single" w:sz="2" w:space="0" w:color="000000"/>
              <w:left w:val="single" w:sz="2" w:space="0" w:color="000000"/>
              <w:bottom w:val="single" w:sz="2" w:space="0" w:color="000000"/>
              <w:right w:val="single" w:sz="2" w:space="0" w:color="000000"/>
            </w:tcBorders>
            <w:vAlign w:val="center"/>
            <w:hideMark/>
          </w:tcPr>
          <w:p w14:paraId="2236AF94" w14:textId="77777777" w:rsidR="00C45D59" w:rsidRDefault="00C45D59">
            <w:pPr>
              <w:spacing w:after="0" w:line="240" w:lineRule="auto"/>
              <w:rPr>
                <w:rFonts w:ascii="Times New Roman" w:eastAsia="Times New Roman" w:hAnsi="Times New Roman" w:cs="Times New Roman"/>
                <w:b/>
                <w:bCs/>
                <w:noProof/>
                <w:sz w:val="18"/>
                <w:szCs w:val="18"/>
              </w:rPr>
            </w:pPr>
          </w:p>
        </w:tc>
        <w:tc>
          <w:tcPr>
            <w:tcW w:w="2571" w:type="dxa"/>
            <w:vMerge/>
            <w:tcBorders>
              <w:top w:val="single" w:sz="2" w:space="0" w:color="000000"/>
              <w:left w:val="single" w:sz="2" w:space="0" w:color="000000"/>
              <w:bottom w:val="single" w:sz="2" w:space="0" w:color="000000"/>
              <w:right w:val="single" w:sz="2" w:space="0" w:color="000000"/>
            </w:tcBorders>
            <w:vAlign w:val="center"/>
            <w:hideMark/>
          </w:tcPr>
          <w:p w14:paraId="26FA81CE" w14:textId="77777777" w:rsidR="00C45D59" w:rsidRDefault="00C45D59">
            <w:pPr>
              <w:spacing w:after="0" w:line="240" w:lineRule="auto"/>
              <w:rPr>
                <w:rFonts w:ascii="Times New Roman" w:eastAsia="Times New Roman" w:hAnsi="Times New Roman" w:cs="Times New Roman"/>
                <w:b/>
                <w:bCs/>
                <w:noProof/>
                <w:sz w:val="18"/>
                <w:szCs w:val="18"/>
              </w:rPr>
            </w:pPr>
          </w:p>
        </w:tc>
        <w:tc>
          <w:tcPr>
            <w:tcW w:w="1094" w:type="dxa"/>
            <w:vMerge/>
            <w:tcBorders>
              <w:top w:val="single" w:sz="2" w:space="0" w:color="000000"/>
              <w:left w:val="single" w:sz="2" w:space="0" w:color="000000"/>
              <w:bottom w:val="single" w:sz="2" w:space="0" w:color="000000"/>
              <w:right w:val="single" w:sz="2" w:space="0" w:color="000000"/>
            </w:tcBorders>
            <w:vAlign w:val="center"/>
            <w:hideMark/>
          </w:tcPr>
          <w:p w14:paraId="735288C9" w14:textId="77777777" w:rsidR="00C45D59" w:rsidRDefault="00C45D59">
            <w:pPr>
              <w:spacing w:after="0" w:line="240" w:lineRule="auto"/>
              <w:rPr>
                <w:rFonts w:ascii="Times New Roman" w:eastAsia="Times New Roman" w:hAnsi="Times New Roman" w:cs="Times New Roman"/>
                <w:b/>
                <w:bCs/>
                <w:noProof/>
                <w:sz w:val="18"/>
                <w:szCs w:val="18"/>
              </w:rPr>
            </w:pPr>
          </w:p>
        </w:tc>
        <w:tc>
          <w:tcPr>
            <w:tcW w:w="1794" w:type="dxa"/>
            <w:vMerge/>
            <w:tcBorders>
              <w:top w:val="single" w:sz="2" w:space="0" w:color="000000"/>
              <w:left w:val="single" w:sz="2" w:space="0" w:color="000000"/>
              <w:bottom w:val="single" w:sz="2" w:space="0" w:color="000000"/>
              <w:right w:val="single" w:sz="2" w:space="0" w:color="000000"/>
            </w:tcBorders>
            <w:vAlign w:val="center"/>
            <w:hideMark/>
          </w:tcPr>
          <w:p w14:paraId="405675C4" w14:textId="77777777" w:rsidR="00C45D59" w:rsidRDefault="00C45D59">
            <w:pPr>
              <w:spacing w:after="0" w:line="240" w:lineRule="auto"/>
              <w:rPr>
                <w:rFonts w:ascii="Times New Roman" w:eastAsia="Times New Roman" w:hAnsi="Times New Roman" w:cs="Times New Roman"/>
                <w:b/>
                <w:bCs/>
                <w:noProof/>
                <w:sz w:val="18"/>
                <w:szCs w:val="18"/>
              </w:rPr>
            </w:pPr>
          </w:p>
        </w:tc>
        <w:tc>
          <w:tcPr>
            <w:tcW w:w="1774" w:type="dxa"/>
            <w:vMerge/>
            <w:tcBorders>
              <w:top w:val="single" w:sz="2" w:space="0" w:color="000000"/>
              <w:left w:val="single" w:sz="2" w:space="0" w:color="000000"/>
              <w:bottom w:val="single" w:sz="2" w:space="0" w:color="000000"/>
              <w:right w:val="single" w:sz="2" w:space="0" w:color="000000"/>
            </w:tcBorders>
            <w:vAlign w:val="center"/>
            <w:hideMark/>
          </w:tcPr>
          <w:p w14:paraId="4FF0A5A9" w14:textId="77777777" w:rsidR="00C45D59" w:rsidRDefault="00C45D59">
            <w:pPr>
              <w:spacing w:after="0" w:line="240" w:lineRule="auto"/>
              <w:rPr>
                <w:rFonts w:ascii="Times New Roman" w:eastAsia="Times New Roman" w:hAnsi="Times New Roman" w:cs="Times New Roman"/>
                <w:b/>
                <w:bCs/>
                <w:noProof/>
                <w:sz w:val="18"/>
                <w:szCs w:val="18"/>
              </w:rPr>
            </w:pPr>
          </w:p>
        </w:tc>
        <w:tc>
          <w:tcPr>
            <w:tcW w:w="960" w:type="dxa"/>
            <w:tcBorders>
              <w:top w:val="single" w:sz="2" w:space="0" w:color="000000"/>
              <w:left w:val="single" w:sz="2" w:space="0" w:color="000000"/>
              <w:bottom w:val="single" w:sz="2" w:space="0" w:color="000000"/>
              <w:right w:val="single" w:sz="2" w:space="0" w:color="000000"/>
            </w:tcBorders>
            <w:shd w:val="clear" w:color="auto" w:fill="BDD7EE"/>
            <w:vAlign w:val="center"/>
            <w:hideMark/>
          </w:tcPr>
          <w:p w14:paraId="5E102CD8" w14:textId="77777777" w:rsidR="00C45D59" w:rsidRDefault="009B0962">
            <w:pPr>
              <w:pStyle w:val="P68B1DB1-Normal10"/>
              <w:spacing w:after="0" w:line="240" w:lineRule="auto"/>
              <w:jc w:val="center"/>
              <w:rPr>
                <w:rFonts w:eastAsia="Times New Roman" w:cs="Times New Roman"/>
                <w:noProof/>
                <w:szCs w:val="18"/>
              </w:rPr>
            </w:pPr>
            <w:r>
              <w:rPr>
                <w:noProof/>
              </w:rPr>
              <w:t>Unitatea de măsură</w:t>
            </w:r>
          </w:p>
        </w:tc>
        <w:tc>
          <w:tcPr>
            <w:tcW w:w="960" w:type="dxa"/>
            <w:tcBorders>
              <w:top w:val="single" w:sz="2" w:space="0" w:color="000000"/>
              <w:left w:val="single" w:sz="2" w:space="0" w:color="000000"/>
              <w:bottom w:val="single" w:sz="2" w:space="0" w:color="000000"/>
              <w:right w:val="single" w:sz="2" w:space="0" w:color="000000"/>
            </w:tcBorders>
            <w:shd w:val="clear" w:color="auto" w:fill="BDD7EE"/>
            <w:vAlign w:val="center"/>
            <w:hideMark/>
          </w:tcPr>
          <w:p w14:paraId="2D953C40" w14:textId="77777777" w:rsidR="00C45D59" w:rsidRDefault="009B0962">
            <w:pPr>
              <w:pStyle w:val="P68B1DB1-Normal10"/>
              <w:spacing w:after="0" w:line="240" w:lineRule="auto"/>
              <w:jc w:val="center"/>
              <w:rPr>
                <w:rFonts w:eastAsia="Times New Roman" w:cs="Times New Roman"/>
                <w:noProof/>
                <w:szCs w:val="18"/>
              </w:rPr>
            </w:pPr>
            <w:r>
              <w:rPr>
                <w:noProof/>
              </w:rPr>
              <w:t xml:space="preserve">Situația de referință </w:t>
            </w:r>
          </w:p>
        </w:tc>
        <w:tc>
          <w:tcPr>
            <w:tcW w:w="607" w:type="dxa"/>
            <w:tcBorders>
              <w:top w:val="single" w:sz="2" w:space="0" w:color="000000"/>
              <w:left w:val="single" w:sz="2" w:space="0" w:color="000000"/>
              <w:bottom w:val="single" w:sz="2" w:space="0" w:color="000000"/>
              <w:right w:val="single" w:sz="2" w:space="0" w:color="000000"/>
            </w:tcBorders>
            <w:shd w:val="clear" w:color="auto" w:fill="BDD7EE"/>
            <w:vAlign w:val="center"/>
            <w:hideMark/>
          </w:tcPr>
          <w:p w14:paraId="51353EA9" w14:textId="77777777" w:rsidR="00C45D59" w:rsidRDefault="009B0962">
            <w:pPr>
              <w:pStyle w:val="P68B1DB1-Normal10"/>
              <w:spacing w:after="0" w:line="240" w:lineRule="auto"/>
              <w:jc w:val="center"/>
              <w:rPr>
                <w:rFonts w:eastAsia="Times New Roman" w:cs="Times New Roman"/>
                <w:noProof/>
                <w:szCs w:val="18"/>
              </w:rPr>
            </w:pPr>
            <w:r>
              <w:rPr>
                <w:noProof/>
              </w:rPr>
              <w:t xml:space="preserve">Obiectiv </w:t>
            </w:r>
          </w:p>
        </w:tc>
        <w:tc>
          <w:tcPr>
            <w:tcW w:w="1080" w:type="dxa"/>
            <w:tcBorders>
              <w:top w:val="single" w:sz="2" w:space="0" w:color="000000"/>
              <w:left w:val="single" w:sz="2" w:space="0" w:color="000000"/>
              <w:bottom w:val="single" w:sz="2" w:space="0" w:color="000000"/>
              <w:right w:val="single" w:sz="2" w:space="0" w:color="000000"/>
            </w:tcBorders>
            <w:shd w:val="clear" w:color="auto" w:fill="BDD7EE"/>
            <w:vAlign w:val="center"/>
            <w:hideMark/>
          </w:tcPr>
          <w:p w14:paraId="02B1CA51" w14:textId="77777777" w:rsidR="00C45D59" w:rsidRDefault="009B0962">
            <w:pPr>
              <w:pStyle w:val="P68B1DB1-Normal10"/>
              <w:spacing w:after="0" w:line="240" w:lineRule="auto"/>
              <w:jc w:val="center"/>
              <w:rPr>
                <w:rFonts w:eastAsia="Times New Roman" w:cs="Times New Roman"/>
                <w:noProof/>
                <w:szCs w:val="18"/>
              </w:rPr>
            </w:pPr>
            <w:r>
              <w:rPr>
                <w:noProof/>
              </w:rPr>
              <w:t>Trimestru</w:t>
            </w:r>
          </w:p>
        </w:tc>
        <w:tc>
          <w:tcPr>
            <w:tcW w:w="720" w:type="dxa"/>
            <w:tcBorders>
              <w:top w:val="single" w:sz="2" w:space="0" w:color="000000"/>
              <w:left w:val="single" w:sz="2" w:space="0" w:color="000000"/>
              <w:bottom w:val="single" w:sz="2" w:space="0" w:color="000000"/>
              <w:right w:val="single" w:sz="2" w:space="0" w:color="000000"/>
            </w:tcBorders>
            <w:shd w:val="clear" w:color="auto" w:fill="BDD7EE"/>
            <w:vAlign w:val="center"/>
            <w:hideMark/>
          </w:tcPr>
          <w:p w14:paraId="79AB2EA2" w14:textId="77777777" w:rsidR="00C45D59" w:rsidRDefault="009B0962">
            <w:pPr>
              <w:pStyle w:val="P68B1DB1-Normal10"/>
              <w:spacing w:after="0" w:line="240" w:lineRule="auto"/>
              <w:jc w:val="center"/>
              <w:rPr>
                <w:rFonts w:eastAsia="Times New Roman" w:cs="Times New Roman"/>
                <w:noProof/>
                <w:szCs w:val="18"/>
              </w:rPr>
            </w:pPr>
            <w:r>
              <w:rPr>
                <w:noProof/>
              </w:rPr>
              <w:t>Anul</w:t>
            </w:r>
          </w:p>
        </w:tc>
        <w:tc>
          <w:tcPr>
            <w:tcW w:w="3864" w:type="dxa"/>
            <w:vMerge/>
            <w:tcBorders>
              <w:top w:val="single" w:sz="2" w:space="0" w:color="000000"/>
              <w:left w:val="single" w:sz="2" w:space="0" w:color="000000"/>
              <w:bottom w:val="single" w:sz="2" w:space="0" w:color="000000"/>
              <w:right w:val="single" w:sz="2" w:space="0" w:color="000000"/>
            </w:tcBorders>
            <w:vAlign w:val="center"/>
            <w:hideMark/>
          </w:tcPr>
          <w:p w14:paraId="3728F950" w14:textId="77777777" w:rsidR="00C45D59" w:rsidRDefault="00C45D59">
            <w:pPr>
              <w:spacing w:after="0" w:line="240" w:lineRule="auto"/>
              <w:rPr>
                <w:rFonts w:ascii="Times New Roman" w:eastAsia="Times New Roman" w:hAnsi="Times New Roman" w:cs="Times New Roman"/>
                <w:b/>
                <w:bCs/>
                <w:noProof/>
                <w:sz w:val="18"/>
                <w:szCs w:val="18"/>
              </w:rPr>
            </w:pPr>
          </w:p>
        </w:tc>
      </w:tr>
      <w:tr w:rsidR="00C45D59" w14:paraId="004BE5A2" w14:textId="77777777" w:rsidTr="00892E7E">
        <w:trPr>
          <w:trHeight w:val="309"/>
          <w:jc w:val="center"/>
        </w:trPr>
        <w:tc>
          <w:tcPr>
            <w:tcW w:w="594" w:type="dxa"/>
            <w:tcBorders>
              <w:top w:val="single" w:sz="2" w:space="0" w:color="000000"/>
              <w:left w:val="single" w:sz="2" w:space="0" w:color="000000"/>
              <w:bottom w:val="single" w:sz="2" w:space="0" w:color="000000"/>
              <w:right w:val="single" w:sz="2" w:space="0" w:color="000000"/>
            </w:tcBorders>
            <w:shd w:val="clear" w:color="auto" w:fill="C6EFCE"/>
            <w:noWrap/>
          </w:tcPr>
          <w:p w14:paraId="74FA5CA0" w14:textId="77777777" w:rsidR="00C45D59" w:rsidRDefault="009B0962">
            <w:pPr>
              <w:pStyle w:val="P68B1DB1-Normal12"/>
              <w:spacing w:after="0" w:line="240" w:lineRule="auto"/>
              <w:rPr>
                <w:rFonts w:eastAsia="Times New Roman"/>
                <w:noProof/>
              </w:rPr>
            </w:pPr>
            <w:r>
              <w:rPr>
                <w:noProof/>
              </w:rPr>
              <w:t>245</w:t>
            </w:r>
          </w:p>
        </w:tc>
        <w:tc>
          <w:tcPr>
            <w:tcW w:w="2571" w:type="dxa"/>
            <w:tcBorders>
              <w:top w:val="single" w:sz="2" w:space="0" w:color="000000"/>
              <w:left w:val="single" w:sz="2" w:space="0" w:color="000000"/>
              <w:bottom w:val="single" w:sz="2" w:space="0" w:color="000000"/>
              <w:right w:val="single" w:sz="2" w:space="0" w:color="000000"/>
            </w:tcBorders>
            <w:shd w:val="clear" w:color="auto" w:fill="C6EFCE"/>
            <w:noWrap/>
          </w:tcPr>
          <w:p w14:paraId="43C06F2B" w14:textId="77777777" w:rsidR="00C45D59" w:rsidRDefault="009B0962">
            <w:pPr>
              <w:pStyle w:val="P68B1DB1-Normal12"/>
              <w:spacing w:after="0" w:line="240" w:lineRule="auto"/>
              <w:rPr>
                <w:rFonts w:eastAsia="Times New Roman"/>
                <w:noProof/>
              </w:rPr>
            </w:pPr>
            <w:r>
              <w:rPr>
                <w:noProof/>
              </w:rPr>
              <w:t>16-4.5. Promovarea cercetării și inovării – 16618_Cercetare de bază &amp; aplicată</w:t>
            </w:r>
          </w:p>
        </w:tc>
        <w:tc>
          <w:tcPr>
            <w:tcW w:w="1094" w:type="dxa"/>
            <w:tcBorders>
              <w:top w:val="single" w:sz="2" w:space="0" w:color="000000"/>
              <w:left w:val="single" w:sz="2" w:space="0" w:color="000000"/>
              <w:bottom w:val="single" w:sz="2" w:space="0" w:color="000000"/>
              <w:right w:val="single" w:sz="2" w:space="0" w:color="000000"/>
            </w:tcBorders>
            <w:shd w:val="clear" w:color="auto" w:fill="C6EFCE"/>
            <w:noWrap/>
          </w:tcPr>
          <w:p w14:paraId="4875A700" w14:textId="77777777" w:rsidR="00C45D59" w:rsidRDefault="009B0962">
            <w:pPr>
              <w:pStyle w:val="P68B1DB1-Normal12"/>
              <w:spacing w:after="0" w:line="240" w:lineRule="auto"/>
              <w:rPr>
                <w:rFonts w:eastAsia="Times New Roman"/>
                <w:noProof/>
              </w:rPr>
            </w:pPr>
            <w:r>
              <w:rPr>
                <w:noProof/>
              </w:rPr>
              <w:t>Etapă</w:t>
            </w:r>
          </w:p>
        </w:tc>
        <w:tc>
          <w:tcPr>
            <w:tcW w:w="1794" w:type="dxa"/>
            <w:tcBorders>
              <w:top w:val="single" w:sz="2" w:space="0" w:color="000000"/>
              <w:left w:val="single" w:sz="2" w:space="0" w:color="000000"/>
              <w:bottom w:val="single" w:sz="2" w:space="0" w:color="000000"/>
              <w:right w:val="single" w:sz="2" w:space="0" w:color="000000"/>
            </w:tcBorders>
            <w:shd w:val="clear" w:color="auto" w:fill="C6EFCE"/>
            <w:noWrap/>
          </w:tcPr>
          <w:p w14:paraId="649497CB" w14:textId="77777777" w:rsidR="00C45D59" w:rsidRDefault="009B0962">
            <w:pPr>
              <w:pStyle w:val="P68B1DB1-Normal12"/>
              <w:spacing w:after="0" w:line="240" w:lineRule="auto"/>
              <w:rPr>
                <w:rFonts w:eastAsia="Times New Roman"/>
                <w:noProof/>
              </w:rPr>
            </w:pPr>
            <w:r>
              <w:rPr>
                <w:noProof/>
              </w:rPr>
              <w:t>Legislația privind cercetarea de bază &amp; aplicată</w:t>
            </w:r>
          </w:p>
        </w:tc>
        <w:tc>
          <w:tcPr>
            <w:tcW w:w="1774" w:type="dxa"/>
            <w:tcBorders>
              <w:top w:val="single" w:sz="2" w:space="0" w:color="000000"/>
              <w:left w:val="single" w:sz="2" w:space="0" w:color="000000"/>
              <w:bottom w:val="single" w:sz="2" w:space="0" w:color="000000"/>
              <w:right w:val="single" w:sz="2" w:space="0" w:color="000000"/>
            </w:tcBorders>
            <w:shd w:val="clear" w:color="auto" w:fill="C6EFCE"/>
            <w:noWrap/>
          </w:tcPr>
          <w:p w14:paraId="33903D0F" w14:textId="77777777" w:rsidR="00C45D59" w:rsidRDefault="009B0962">
            <w:pPr>
              <w:pStyle w:val="P68B1DB1-Normal12"/>
              <w:spacing w:after="0" w:line="240" w:lineRule="auto"/>
              <w:rPr>
                <w:rFonts w:eastAsia="Times New Roman"/>
                <w:noProof/>
              </w:rPr>
            </w:pPr>
            <w:r>
              <w:rPr>
                <w:noProof/>
              </w:rPr>
              <w:t>Intrarea în vigoare a legislației (acte primare și secundare de instituire a entităților juridice)</w:t>
            </w:r>
          </w:p>
        </w:tc>
        <w:tc>
          <w:tcPr>
            <w:tcW w:w="960" w:type="dxa"/>
            <w:tcBorders>
              <w:top w:val="single" w:sz="2" w:space="0" w:color="000000"/>
              <w:left w:val="single" w:sz="2" w:space="0" w:color="000000"/>
              <w:bottom w:val="single" w:sz="2" w:space="0" w:color="000000"/>
              <w:right w:val="single" w:sz="2" w:space="0" w:color="000000"/>
            </w:tcBorders>
            <w:shd w:val="clear" w:color="auto" w:fill="C6EFCE"/>
            <w:noWrap/>
          </w:tcPr>
          <w:p w14:paraId="3F833B05"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960" w:type="dxa"/>
            <w:tcBorders>
              <w:top w:val="single" w:sz="2" w:space="0" w:color="000000"/>
              <w:left w:val="single" w:sz="2" w:space="0" w:color="000000"/>
              <w:bottom w:val="single" w:sz="2" w:space="0" w:color="000000"/>
              <w:right w:val="single" w:sz="2" w:space="0" w:color="000000"/>
            </w:tcBorders>
            <w:shd w:val="clear" w:color="auto" w:fill="C6EFCE"/>
            <w:noWrap/>
          </w:tcPr>
          <w:p w14:paraId="287C0F1A"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607" w:type="dxa"/>
            <w:tcBorders>
              <w:top w:val="single" w:sz="2" w:space="0" w:color="000000"/>
              <w:left w:val="single" w:sz="2" w:space="0" w:color="000000"/>
              <w:bottom w:val="single" w:sz="2" w:space="0" w:color="000000"/>
              <w:right w:val="single" w:sz="2" w:space="0" w:color="000000"/>
            </w:tcBorders>
            <w:shd w:val="clear" w:color="auto" w:fill="C6EFCE"/>
            <w:noWrap/>
          </w:tcPr>
          <w:p w14:paraId="3A5C1B95"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080" w:type="dxa"/>
            <w:tcBorders>
              <w:top w:val="single" w:sz="2" w:space="0" w:color="000000"/>
              <w:left w:val="single" w:sz="2" w:space="0" w:color="000000"/>
              <w:bottom w:val="single" w:sz="2" w:space="0" w:color="000000"/>
              <w:right w:val="single" w:sz="2" w:space="0" w:color="000000"/>
            </w:tcBorders>
            <w:shd w:val="clear" w:color="auto" w:fill="C6EFCE"/>
            <w:noWrap/>
          </w:tcPr>
          <w:p w14:paraId="7A9AF360" w14:textId="77777777" w:rsidR="00C45D59" w:rsidRDefault="009B0962">
            <w:pPr>
              <w:pStyle w:val="P68B1DB1-Normal12"/>
              <w:spacing w:after="0" w:line="240" w:lineRule="auto"/>
              <w:rPr>
                <w:rFonts w:eastAsia="Times New Roman"/>
                <w:noProof/>
              </w:rPr>
            </w:pPr>
            <w:r>
              <w:rPr>
                <w:noProof/>
              </w:rPr>
              <w:t>Î1</w:t>
            </w:r>
          </w:p>
        </w:tc>
        <w:tc>
          <w:tcPr>
            <w:tcW w:w="720" w:type="dxa"/>
            <w:tcBorders>
              <w:top w:val="single" w:sz="2" w:space="0" w:color="000000"/>
              <w:left w:val="single" w:sz="2" w:space="0" w:color="000000"/>
              <w:bottom w:val="single" w:sz="2" w:space="0" w:color="000000"/>
              <w:right w:val="single" w:sz="2" w:space="0" w:color="000000"/>
            </w:tcBorders>
            <w:shd w:val="clear" w:color="auto" w:fill="C6EFCE"/>
            <w:noWrap/>
          </w:tcPr>
          <w:p w14:paraId="25779852" w14:textId="77777777" w:rsidR="00C45D59" w:rsidRDefault="009B0962">
            <w:pPr>
              <w:pStyle w:val="P68B1DB1-Normal12"/>
              <w:spacing w:after="0" w:line="240" w:lineRule="auto"/>
              <w:rPr>
                <w:rFonts w:eastAsia="Times New Roman"/>
                <w:noProof/>
              </w:rPr>
            </w:pPr>
            <w:r>
              <w:rPr>
                <w:noProof/>
              </w:rPr>
              <w:t>2022</w:t>
            </w:r>
          </w:p>
        </w:tc>
        <w:tc>
          <w:tcPr>
            <w:tcW w:w="3864" w:type="dxa"/>
            <w:tcBorders>
              <w:top w:val="single" w:sz="2" w:space="0" w:color="000000"/>
              <w:left w:val="single" w:sz="2" w:space="0" w:color="000000"/>
              <w:bottom w:val="single" w:sz="2" w:space="0" w:color="000000"/>
              <w:right w:val="single" w:sz="2" w:space="0" w:color="000000"/>
            </w:tcBorders>
            <w:shd w:val="clear" w:color="auto" w:fill="C6EFCE"/>
            <w:noWrap/>
          </w:tcPr>
          <w:p w14:paraId="781B51BC" w14:textId="77777777" w:rsidR="00C45D59" w:rsidRDefault="009B0962">
            <w:pPr>
              <w:pStyle w:val="P68B1DB1-Normal12"/>
              <w:spacing w:after="0" w:line="240" w:lineRule="auto"/>
              <w:rPr>
                <w:rFonts w:eastAsia="Times New Roman"/>
                <w:noProof/>
              </w:rPr>
            </w:pPr>
            <w:r>
              <w:rPr>
                <w:noProof/>
              </w:rPr>
              <w:t>Intrarea în vigoare a unui cadru juridic revizuit pentru cercetarea de bază &amp; aplicată și emiterea de acte secundare de instituire a entităților juridice.</w:t>
            </w:r>
          </w:p>
          <w:p w14:paraId="4B1B923B" w14:textId="77777777" w:rsidR="00C45D59" w:rsidRDefault="00C45D59">
            <w:pPr>
              <w:spacing w:after="0" w:line="240" w:lineRule="auto"/>
              <w:rPr>
                <w:rFonts w:ascii="Times New Roman" w:eastAsia="Times New Roman" w:hAnsi="Times New Roman" w:cs="Times New Roman"/>
                <w:noProof/>
                <w:color w:val="006100"/>
                <w:sz w:val="18"/>
                <w:szCs w:val="18"/>
              </w:rPr>
            </w:pPr>
          </w:p>
          <w:p w14:paraId="7BC5C1DD" w14:textId="77777777" w:rsidR="00C45D59" w:rsidRDefault="009B0962">
            <w:pPr>
              <w:pStyle w:val="P68B1DB1-Normal12"/>
              <w:spacing w:after="0" w:line="240" w:lineRule="auto"/>
              <w:rPr>
                <w:rFonts w:eastAsia="Times New Roman"/>
                <w:noProof/>
              </w:rPr>
            </w:pPr>
            <w:r>
              <w:rPr>
                <w:noProof/>
              </w:rPr>
              <w:t xml:space="preserve">Cadrul juridic: a) redefinirea domeniilor de cercetare pentru cererile de finanțare în cadrul Strategiei naționale actualizate de specializare inteligentă (RIS3); b) să instituie o nouă structură de guvernanță pentru a îmbunătăți gestionarea și coordonarea acestor proiecte; și c) să stabilească statutul juridic al noilor entități de cercetare. </w:t>
            </w:r>
          </w:p>
          <w:p w14:paraId="6CAB32B8" w14:textId="77777777" w:rsidR="00C45D59" w:rsidRDefault="00C45D59">
            <w:pPr>
              <w:spacing w:after="0" w:line="240" w:lineRule="auto"/>
              <w:rPr>
                <w:rFonts w:ascii="Times New Roman" w:eastAsia="Times New Roman" w:hAnsi="Times New Roman" w:cs="Times New Roman"/>
                <w:noProof/>
                <w:color w:val="006100"/>
                <w:sz w:val="18"/>
                <w:szCs w:val="18"/>
              </w:rPr>
            </w:pPr>
          </w:p>
          <w:p w14:paraId="7EC5AB5C" w14:textId="77777777" w:rsidR="00C45D59" w:rsidRDefault="009B0962">
            <w:pPr>
              <w:pStyle w:val="P68B1DB1-Normal12"/>
              <w:spacing w:after="0" w:line="240" w:lineRule="auto"/>
              <w:rPr>
                <w:rFonts w:eastAsia="Times New Roman"/>
                <w:noProof/>
              </w:rPr>
            </w:pPr>
            <w:r>
              <w:rPr>
                <w:noProof/>
              </w:rPr>
              <w:t>Domeniile de cercetare sunt redefinite în comun de Consiliul Național pentru Cercetare și Inovare (CNRI) și de Secretariatul General pentru Cercetare și Inovare din cadrul Ministerului Dezvoltării (GSRI).</w:t>
            </w:r>
          </w:p>
        </w:tc>
      </w:tr>
      <w:tr w:rsidR="00C45D59" w14:paraId="553EEC5B" w14:textId="77777777" w:rsidTr="00892E7E">
        <w:trPr>
          <w:trHeight w:val="309"/>
          <w:jc w:val="center"/>
        </w:trPr>
        <w:tc>
          <w:tcPr>
            <w:tcW w:w="594" w:type="dxa"/>
            <w:tcBorders>
              <w:top w:val="single" w:sz="2" w:space="0" w:color="000000"/>
              <w:left w:val="single" w:sz="4" w:space="0" w:color="auto"/>
              <w:bottom w:val="single" w:sz="4" w:space="0" w:color="auto"/>
              <w:right w:val="single" w:sz="4" w:space="0" w:color="auto"/>
            </w:tcBorders>
            <w:shd w:val="clear" w:color="auto" w:fill="C6EFCE"/>
            <w:noWrap/>
          </w:tcPr>
          <w:p w14:paraId="7AB5190B" w14:textId="77777777" w:rsidR="00C45D59" w:rsidRDefault="009B0962">
            <w:pPr>
              <w:pStyle w:val="P68B1DB1-Normal12"/>
              <w:spacing w:after="0" w:line="240" w:lineRule="auto"/>
              <w:rPr>
                <w:rFonts w:eastAsia="Times New Roman"/>
                <w:noProof/>
              </w:rPr>
            </w:pPr>
            <w:r>
              <w:rPr>
                <w:noProof/>
              </w:rPr>
              <w:t>246</w:t>
            </w:r>
          </w:p>
        </w:tc>
        <w:tc>
          <w:tcPr>
            <w:tcW w:w="2571" w:type="dxa"/>
            <w:tcBorders>
              <w:top w:val="single" w:sz="2" w:space="0" w:color="000000"/>
              <w:left w:val="nil"/>
              <w:bottom w:val="single" w:sz="4" w:space="0" w:color="auto"/>
              <w:right w:val="single" w:sz="4" w:space="0" w:color="auto"/>
            </w:tcBorders>
            <w:shd w:val="clear" w:color="auto" w:fill="C6EFCE"/>
            <w:noWrap/>
          </w:tcPr>
          <w:p w14:paraId="108EA6BF" w14:textId="77777777" w:rsidR="00C45D59" w:rsidRDefault="009B0962">
            <w:pPr>
              <w:pStyle w:val="P68B1DB1-Normal12"/>
              <w:spacing w:after="0" w:line="240" w:lineRule="auto"/>
              <w:rPr>
                <w:rFonts w:eastAsia="Times New Roman"/>
                <w:noProof/>
              </w:rPr>
            </w:pPr>
            <w:r>
              <w:rPr>
                <w:noProof/>
              </w:rPr>
              <w:t>16-4.5. Promovarea cercetării și inovării – 16624_Creare – Extindere – Modernizarea infrastructurilor centrelor de cercetare sub supravegherea Secretariatului General pentru Cercetare și Inovare (GSRI)</w:t>
            </w:r>
          </w:p>
        </w:tc>
        <w:tc>
          <w:tcPr>
            <w:tcW w:w="1094" w:type="dxa"/>
            <w:tcBorders>
              <w:top w:val="single" w:sz="2" w:space="0" w:color="000000"/>
              <w:left w:val="nil"/>
              <w:bottom w:val="single" w:sz="4" w:space="0" w:color="auto"/>
              <w:right w:val="single" w:sz="4" w:space="0" w:color="auto"/>
            </w:tcBorders>
            <w:shd w:val="clear" w:color="auto" w:fill="C6EFCE"/>
            <w:noWrap/>
          </w:tcPr>
          <w:p w14:paraId="4B9FB6E4" w14:textId="77777777" w:rsidR="00C45D59" w:rsidRDefault="009B0962">
            <w:pPr>
              <w:pStyle w:val="P68B1DB1-Normal12"/>
              <w:spacing w:after="0" w:line="240" w:lineRule="auto"/>
              <w:rPr>
                <w:rFonts w:eastAsia="Times New Roman"/>
                <w:noProof/>
              </w:rPr>
            </w:pPr>
            <w:r>
              <w:rPr>
                <w:noProof/>
              </w:rPr>
              <w:t>Etapă</w:t>
            </w:r>
          </w:p>
        </w:tc>
        <w:tc>
          <w:tcPr>
            <w:tcW w:w="1794" w:type="dxa"/>
            <w:tcBorders>
              <w:top w:val="single" w:sz="2" w:space="0" w:color="000000"/>
              <w:left w:val="nil"/>
              <w:bottom w:val="single" w:sz="4" w:space="0" w:color="auto"/>
              <w:right w:val="single" w:sz="4" w:space="0" w:color="auto"/>
            </w:tcBorders>
            <w:shd w:val="clear" w:color="auto" w:fill="C6EFCE"/>
            <w:noWrap/>
          </w:tcPr>
          <w:p w14:paraId="493829EF" w14:textId="77777777" w:rsidR="00C45D59" w:rsidRDefault="009B0962">
            <w:pPr>
              <w:pStyle w:val="P68B1DB1-Normal12"/>
              <w:spacing w:after="0" w:line="240" w:lineRule="auto"/>
              <w:rPr>
                <w:rFonts w:eastAsia="Times New Roman"/>
                <w:noProof/>
              </w:rPr>
            </w:pPr>
            <w:r>
              <w:rPr>
                <w:noProof/>
              </w:rPr>
              <w:t>Cerere de propuneri pentru centre de cercetare</w:t>
            </w:r>
          </w:p>
        </w:tc>
        <w:tc>
          <w:tcPr>
            <w:tcW w:w="1774" w:type="dxa"/>
            <w:tcBorders>
              <w:top w:val="single" w:sz="2" w:space="0" w:color="000000"/>
              <w:left w:val="nil"/>
              <w:bottom w:val="single" w:sz="4" w:space="0" w:color="auto"/>
              <w:right w:val="single" w:sz="4" w:space="0" w:color="auto"/>
            </w:tcBorders>
            <w:shd w:val="clear" w:color="auto" w:fill="C6EFCE"/>
            <w:noWrap/>
          </w:tcPr>
          <w:p w14:paraId="0AAD9F40" w14:textId="77777777" w:rsidR="00C45D59" w:rsidRDefault="009B0962">
            <w:pPr>
              <w:pStyle w:val="P68B1DB1-Normal12"/>
              <w:spacing w:after="0" w:line="240" w:lineRule="auto"/>
              <w:rPr>
                <w:rFonts w:eastAsia="Times New Roman"/>
                <w:noProof/>
              </w:rPr>
            </w:pPr>
            <w:r>
              <w:rPr>
                <w:noProof/>
              </w:rPr>
              <w:t>Lansarea cererii de propuneri și publicarea caietului de sarcini</w:t>
            </w:r>
          </w:p>
        </w:tc>
        <w:tc>
          <w:tcPr>
            <w:tcW w:w="960" w:type="dxa"/>
            <w:tcBorders>
              <w:top w:val="single" w:sz="2" w:space="0" w:color="000000"/>
              <w:left w:val="nil"/>
              <w:bottom w:val="single" w:sz="4" w:space="0" w:color="auto"/>
              <w:right w:val="single" w:sz="4" w:space="0" w:color="auto"/>
            </w:tcBorders>
            <w:shd w:val="clear" w:color="auto" w:fill="C6EFCE"/>
            <w:noWrap/>
          </w:tcPr>
          <w:p w14:paraId="41C32388"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960" w:type="dxa"/>
            <w:tcBorders>
              <w:top w:val="single" w:sz="2" w:space="0" w:color="000000"/>
              <w:left w:val="nil"/>
              <w:bottom w:val="single" w:sz="4" w:space="0" w:color="auto"/>
              <w:right w:val="single" w:sz="4" w:space="0" w:color="auto"/>
            </w:tcBorders>
            <w:shd w:val="clear" w:color="auto" w:fill="C6EFCE"/>
            <w:noWrap/>
          </w:tcPr>
          <w:p w14:paraId="7636E49B"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607" w:type="dxa"/>
            <w:tcBorders>
              <w:top w:val="single" w:sz="2" w:space="0" w:color="000000"/>
              <w:left w:val="nil"/>
              <w:bottom w:val="single" w:sz="4" w:space="0" w:color="auto"/>
              <w:right w:val="single" w:sz="4" w:space="0" w:color="auto"/>
            </w:tcBorders>
            <w:shd w:val="clear" w:color="auto" w:fill="C6EFCE"/>
            <w:noWrap/>
          </w:tcPr>
          <w:p w14:paraId="32ED0419"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080" w:type="dxa"/>
            <w:tcBorders>
              <w:top w:val="single" w:sz="2" w:space="0" w:color="000000"/>
              <w:left w:val="nil"/>
              <w:bottom w:val="single" w:sz="4" w:space="0" w:color="auto"/>
              <w:right w:val="single" w:sz="4" w:space="0" w:color="auto"/>
            </w:tcBorders>
            <w:shd w:val="clear" w:color="auto" w:fill="C6EFCE"/>
            <w:noWrap/>
          </w:tcPr>
          <w:p w14:paraId="49C2FB3D" w14:textId="77777777" w:rsidR="00C45D59" w:rsidRDefault="009B0962">
            <w:pPr>
              <w:pStyle w:val="P68B1DB1-Normal12"/>
              <w:spacing w:after="0" w:line="240" w:lineRule="auto"/>
              <w:rPr>
                <w:rFonts w:eastAsia="Times New Roman"/>
                <w:noProof/>
              </w:rPr>
            </w:pPr>
            <w:r>
              <w:rPr>
                <w:noProof/>
              </w:rPr>
              <w:t>Î1</w:t>
            </w:r>
          </w:p>
        </w:tc>
        <w:tc>
          <w:tcPr>
            <w:tcW w:w="720" w:type="dxa"/>
            <w:tcBorders>
              <w:top w:val="single" w:sz="2" w:space="0" w:color="000000"/>
              <w:left w:val="nil"/>
              <w:bottom w:val="single" w:sz="4" w:space="0" w:color="auto"/>
              <w:right w:val="single" w:sz="4" w:space="0" w:color="auto"/>
            </w:tcBorders>
            <w:shd w:val="clear" w:color="auto" w:fill="C6EFCE"/>
            <w:noWrap/>
          </w:tcPr>
          <w:p w14:paraId="582D29ED" w14:textId="77777777" w:rsidR="00C45D59" w:rsidRDefault="009B0962">
            <w:pPr>
              <w:pStyle w:val="P68B1DB1-Normal12"/>
              <w:spacing w:after="0" w:line="240" w:lineRule="auto"/>
              <w:rPr>
                <w:rFonts w:eastAsia="Times New Roman"/>
                <w:noProof/>
              </w:rPr>
            </w:pPr>
            <w:r>
              <w:rPr>
                <w:noProof/>
              </w:rPr>
              <w:t>2022</w:t>
            </w:r>
          </w:p>
        </w:tc>
        <w:tc>
          <w:tcPr>
            <w:tcW w:w="3864" w:type="dxa"/>
            <w:tcBorders>
              <w:top w:val="single" w:sz="2" w:space="0" w:color="000000"/>
              <w:left w:val="nil"/>
              <w:bottom w:val="single" w:sz="4" w:space="0" w:color="auto"/>
              <w:right w:val="single" w:sz="4" w:space="0" w:color="auto"/>
            </w:tcBorders>
            <w:shd w:val="clear" w:color="auto" w:fill="C6EFCE"/>
            <w:noWrap/>
          </w:tcPr>
          <w:p w14:paraId="57AE4FF9" w14:textId="77777777" w:rsidR="00C45D59" w:rsidRDefault="009B0962">
            <w:pPr>
              <w:pStyle w:val="P68B1DB1-Normal12"/>
              <w:spacing w:after="0" w:line="240" w:lineRule="auto"/>
              <w:rPr>
                <w:rFonts w:eastAsia="Times New Roman"/>
                <w:noProof/>
              </w:rPr>
            </w:pPr>
            <w:r>
              <w:rPr>
                <w:noProof/>
              </w:rPr>
              <w:t>Lansarea cererii de propuneri pentru crearea – extinderea – modernizarea infrastructurilor centrelor de cercetare, inclusiv publicarea caietului de sarcini care să garanteze că cererile selectate respectă Orientările tehnice de „a nu prejudicia în mod semnificativ” (2021/C58/01) prin utilizarea unei liste de excludere și a cerinței de conformitate cu legislația UE și națională relevantă în materie de mediu.</w:t>
            </w:r>
          </w:p>
        </w:tc>
      </w:tr>
      <w:tr w:rsidR="00C45D59" w14:paraId="1CCB0E7B" w14:textId="77777777" w:rsidTr="00892E7E">
        <w:trPr>
          <w:trHeight w:val="309"/>
          <w:jc w:val="center"/>
        </w:trPr>
        <w:tc>
          <w:tcPr>
            <w:tcW w:w="594" w:type="dxa"/>
            <w:tcBorders>
              <w:top w:val="nil"/>
              <w:left w:val="single" w:sz="4" w:space="0" w:color="auto"/>
              <w:bottom w:val="single" w:sz="4" w:space="0" w:color="auto"/>
              <w:right w:val="single" w:sz="4" w:space="0" w:color="auto"/>
            </w:tcBorders>
            <w:shd w:val="clear" w:color="auto" w:fill="C6EFCE"/>
            <w:noWrap/>
          </w:tcPr>
          <w:p w14:paraId="69FE4449" w14:textId="77777777" w:rsidR="00C45D59" w:rsidRDefault="009B0962">
            <w:pPr>
              <w:pStyle w:val="P68B1DB1-Normal12"/>
              <w:spacing w:after="0" w:line="240" w:lineRule="auto"/>
              <w:rPr>
                <w:rFonts w:eastAsia="Times New Roman"/>
                <w:noProof/>
              </w:rPr>
            </w:pPr>
            <w:r>
              <w:rPr>
                <w:noProof/>
              </w:rPr>
              <w:t>247</w:t>
            </w:r>
          </w:p>
        </w:tc>
        <w:tc>
          <w:tcPr>
            <w:tcW w:w="2571" w:type="dxa"/>
            <w:tcBorders>
              <w:top w:val="nil"/>
              <w:left w:val="nil"/>
              <w:bottom w:val="single" w:sz="4" w:space="0" w:color="auto"/>
              <w:right w:val="single" w:sz="4" w:space="0" w:color="auto"/>
            </w:tcBorders>
            <w:shd w:val="clear" w:color="auto" w:fill="C6EFCE"/>
            <w:noWrap/>
          </w:tcPr>
          <w:p w14:paraId="5A8E8D91" w14:textId="77777777" w:rsidR="00C45D59" w:rsidRDefault="009B0962">
            <w:pPr>
              <w:pStyle w:val="P68B1DB1-Normal12"/>
              <w:spacing w:after="0" w:line="240" w:lineRule="auto"/>
              <w:rPr>
                <w:rFonts w:eastAsia="Times New Roman"/>
                <w:noProof/>
              </w:rPr>
            </w:pPr>
            <w:r>
              <w:rPr>
                <w:noProof/>
              </w:rPr>
              <w:t>16-4.5. Promovarea cercetării și inovării – 16624_Creare – Extindere – Modernizarea infrastructurilor centrelor de cercetare sub supravegherea Secretariatului General pentru Cercetare și Inovare (GSRI)</w:t>
            </w:r>
          </w:p>
        </w:tc>
        <w:tc>
          <w:tcPr>
            <w:tcW w:w="1094" w:type="dxa"/>
            <w:tcBorders>
              <w:top w:val="nil"/>
              <w:left w:val="nil"/>
              <w:bottom w:val="single" w:sz="4" w:space="0" w:color="auto"/>
              <w:right w:val="single" w:sz="4" w:space="0" w:color="auto"/>
            </w:tcBorders>
            <w:shd w:val="clear" w:color="auto" w:fill="C6EFCE"/>
            <w:noWrap/>
          </w:tcPr>
          <w:p w14:paraId="29D9E6D8" w14:textId="77777777" w:rsidR="00C45D59" w:rsidRDefault="009B0962">
            <w:pPr>
              <w:pStyle w:val="P68B1DB1-Normal12"/>
              <w:spacing w:after="0" w:line="240" w:lineRule="auto"/>
              <w:rPr>
                <w:rFonts w:eastAsia="Times New Roman"/>
                <w:noProof/>
              </w:rPr>
            </w:pPr>
            <w:r>
              <w:rPr>
                <w:noProof/>
              </w:rPr>
              <w:t>Etapă</w:t>
            </w:r>
          </w:p>
        </w:tc>
        <w:tc>
          <w:tcPr>
            <w:tcW w:w="1794" w:type="dxa"/>
            <w:tcBorders>
              <w:top w:val="nil"/>
              <w:left w:val="nil"/>
              <w:bottom w:val="single" w:sz="4" w:space="0" w:color="auto"/>
              <w:right w:val="single" w:sz="4" w:space="0" w:color="auto"/>
            </w:tcBorders>
            <w:shd w:val="clear" w:color="auto" w:fill="C6EFCE"/>
            <w:noWrap/>
          </w:tcPr>
          <w:p w14:paraId="2779A6EA" w14:textId="77777777" w:rsidR="00C45D59" w:rsidRDefault="009B0962">
            <w:pPr>
              <w:pStyle w:val="P68B1DB1-Normal12"/>
              <w:spacing w:after="0" w:line="240" w:lineRule="auto"/>
              <w:rPr>
                <w:rFonts w:eastAsia="Times New Roman"/>
                <w:noProof/>
              </w:rPr>
            </w:pPr>
            <w:r>
              <w:rPr>
                <w:noProof/>
              </w:rPr>
              <w:t>Atribuirea contractelor pentru centrele de cercetare – lucrări de construcții</w:t>
            </w:r>
          </w:p>
        </w:tc>
        <w:tc>
          <w:tcPr>
            <w:tcW w:w="1774" w:type="dxa"/>
            <w:tcBorders>
              <w:top w:val="nil"/>
              <w:left w:val="nil"/>
              <w:bottom w:val="single" w:sz="4" w:space="0" w:color="auto"/>
              <w:right w:val="single" w:sz="4" w:space="0" w:color="auto"/>
            </w:tcBorders>
            <w:shd w:val="clear" w:color="auto" w:fill="C6EFCE"/>
            <w:noWrap/>
          </w:tcPr>
          <w:p w14:paraId="01052C90" w14:textId="77777777" w:rsidR="00C45D59" w:rsidRDefault="009B0962">
            <w:pPr>
              <w:pStyle w:val="P68B1DB1-Normal12"/>
              <w:spacing w:after="0" w:line="240" w:lineRule="auto"/>
              <w:rPr>
                <w:rFonts w:eastAsia="Times New Roman"/>
                <w:noProof/>
              </w:rPr>
            </w:pPr>
            <w:r>
              <w:rPr>
                <w:noProof/>
              </w:rPr>
              <w:t>Notificarea atribuirii contractelor pentru lucrări de construcții</w:t>
            </w:r>
          </w:p>
        </w:tc>
        <w:tc>
          <w:tcPr>
            <w:tcW w:w="960" w:type="dxa"/>
            <w:tcBorders>
              <w:top w:val="nil"/>
              <w:left w:val="nil"/>
              <w:bottom w:val="single" w:sz="4" w:space="0" w:color="auto"/>
              <w:right w:val="single" w:sz="4" w:space="0" w:color="auto"/>
            </w:tcBorders>
            <w:shd w:val="clear" w:color="auto" w:fill="C6EFCE"/>
            <w:noWrap/>
          </w:tcPr>
          <w:p w14:paraId="3E8B43B7"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960" w:type="dxa"/>
            <w:tcBorders>
              <w:top w:val="nil"/>
              <w:left w:val="nil"/>
              <w:bottom w:val="single" w:sz="4" w:space="0" w:color="auto"/>
              <w:right w:val="single" w:sz="4" w:space="0" w:color="auto"/>
            </w:tcBorders>
            <w:shd w:val="clear" w:color="auto" w:fill="C6EFCE"/>
            <w:noWrap/>
          </w:tcPr>
          <w:p w14:paraId="7FB18E2E"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607" w:type="dxa"/>
            <w:tcBorders>
              <w:top w:val="nil"/>
              <w:left w:val="nil"/>
              <w:bottom w:val="single" w:sz="4" w:space="0" w:color="auto"/>
              <w:right w:val="single" w:sz="4" w:space="0" w:color="auto"/>
            </w:tcBorders>
            <w:shd w:val="clear" w:color="auto" w:fill="C6EFCE"/>
            <w:noWrap/>
          </w:tcPr>
          <w:p w14:paraId="59A88A0C"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080" w:type="dxa"/>
            <w:tcBorders>
              <w:top w:val="nil"/>
              <w:left w:val="nil"/>
              <w:bottom w:val="single" w:sz="4" w:space="0" w:color="auto"/>
              <w:right w:val="single" w:sz="4" w:space="0" w:color="auto"/>
            </w:tcBorders>
            <w:shd w:val="clear" w:color="auto" w:fill="C6EFCE"/>
            <w:noWrap/>
          </w:tcPr>
          <w:p w14:paraId="31C4DAA2" w14:textId="77777777" w:rsidR="00C45D59" w:rsidRDefault="009B0962">
            <w:pPr>
              <w:pStyle w:val="P68B1DB1-Normal12"/>
              <w:spacing w:after="0" w:line="240" w:lineRule="auto"/>
              <w:rPr>
                <w:rFonts w:eastAsia="Times New Roman"/>
                <w:noProof/>
              </w:rPr>
            </w:pPr>
            <w:r>
              <w:rPr>
                <w:noProof/>
              </w:rPr>
              <w:t>Î1</w:t>
            </w:r>
          </w:p>
        </w:tc>
        <w:tc>
          <w:tcPr>
            <w:tcW w:w="720" w:type="dxa"/>
            <w:tcBorders>
              <w:top w:val="nil"/>
              <w:left w:val="nil"/>
              <w:bottom w:val="single" w:sz="4" w:space="0" w:color="auto"/>
              <w:right w:val="single" w:sz="4" w:space="0" w:color="auto"/>
            </w:tcBorders>
            <w:shd w:val="clear" w:color="auto" w:fill="C6EFCE"/>
            <w:noWrap/>
          </w:tcPr>
          <w:p w14:paraId="68043E62" w14:textId="77777777" w:rsidR="00C45D59" w:rsidRDefault="009B0962">
            <w:pPr>
              <w:pStyle w:val="P68B1DB1-Normal12"/>
              <w:spacing w:after="0" w:line="240" w:lineRule="auto"/>
              <w:rPr>
                <w:rFonts w:eastAsia="Times New Roman"/>
                <w:noProof/>
              </w:rPr>
            </w:pPr>
            <w:r>
              <w:rPr>
                <w:noProof/>
              </w:rPr>
              <w:t>2024</w:t>
            </w:r>
          </w:p>
        </w:tc>
        <w:tc>
          <w:tcPr>
            <w:tcW w:w="3864" w:type="dxa"/>
            <w:tcBorders>
              <w:top w:val="nil"/>
              <w:left w:val="nil"/>
              <w:bottom w:val="single" w:sz="4" w:space="0" w:color="auto"/>
              <w:right w:val="single" w:sz="4" w:space="0" w:color="auto"/>
            </w:tcBorders>
            <w:shd w:val="clear" w:color="auto" w:fill="C6EFCE"/>
            <w:noWrap/>
          </w:tcPr>
          <w:p w14:paraId="05DA2506" w14:textId="77777777" w:rsidR="00C45D59" w:rsidRDefault="009B0962">
            <w:pPr>
              <w:pStyle w:val="P68B1DB1-Normal12"/>
              <w:spacing w:after="0" w:line="240" w:lineRule="auto"/>
              <w:rPr>
                <w:noProof/>
              </w:rPr>
            </w:pPr>
            <w:r>
              <w:rPr>
                <w:noProof/>
              </w:rPr>
              <w:t>Notificarea atribuirii contractelor pentru lucrări de construcții privind următoarele centre de cercetare: Fundația pentru Cercetare și Tehnologie Hellas; Centrul de cercetare și inovare Athena; BSRC Fleming; Centrul pentru Cercetare și Tehnologie Hellas; Fundația națională elenă pentru cercetare; Academia Fundației de Cercetare biomedicală din Atena; Observatorul Național din Atena; Centrul elen de cercetare marină; Institutul Pasteur din Grecia.</w:t>
            </w:r>
          </w:p>
        </w:tc>
      </w:tr>
      <w:tr w:rsidR="00C45D59" w14:paraId="22C2B827" w14:textId="77777777" w:rsidTr="00892E7E">
        <w:trPr>
          <w:trHeight w:val="309"/>
          <w:jc w:val="center"/>
        </w:trPr>
        <w:tc>
          <w:tcPr>
            <w:tcW w:w="594" w:type="dxa"/>
            <w:tcBorders>
              <w:top w:val="nil"/>
              <w:left w:val="single" w:sz="4" w:space="0" w:color="auto"/>
              <w:bottom w:val="single" w:sz="4" w:space="0" w:color="auto"/>
              <w:right w:val="single" w:sz="4" w:space="0" w:color="auto"/>
            </w:tcBorders>
            <w:shd w:val="clear" w:color="auto" w:fill="C6EFCE"/>
            <w:noWrap/>
          </w:tcPr>
          <w:p w14:paraId="34F73A1C" w14:textId="77777777" w:rsidR="00C45D59" w:rsidRDefault="009B0962">
            <w:pPr>
              <w:pStyle w:val="P68B1DB1-Normal12"/>
              <w:spacing w:after="0" w:line="240" w:lineRule="auto"/>
              <w:rPr>
                <w:rFonts w:eastAsia="Times New Roman"/>
                <w:noProof/>
              </w:rPr>
            </w:pPr>
            <w:r>
              <w:rPr>
                <w:noProof/>
              </w:rPr>
              <w:t>248</w:t>
            </w:r>
          </w:p>
        </w:tc>
        <w:tc>
          <w:tcPr>
            <w:tcW w:w="2571" w:type="dxa"/>
            <w:tcBorders>
              <w:top w:val="nil"/>
              <w:left w:val="nil"/>
              <w:bottom w:val="single" w:sz="4" w:space="0" w:color="auto"/>
              <w:right w:val="single" w:sz="4" w:space="0" w:color="auto"/>
            </w:tcBorders>
            <w:shd w:val="clear" w:color="auto" w:fill="C6EFCE"/>
            <w:noWrap/>
          </w:tcPr>
          <w:p w14:paraId="0B7D0B35" w14:textId="77777777" w:rsidR="00C45D59" w:rsidRDefault="009B0962">
            <w:pPr>
              <w:pStyle w:val="P68B1DB1-Normal12"/>
              <w:spacing w:after="0" w:line="240" w:lineRule="auto"/>
              <w:rPr>
                <w:rFonts w:eastAsia="Times New Roman"/>
                <w:noProof/>
              </w:rPr>
            </w:pPr>
            <w:r>
              <w:rPr>
                <w:noProof/>
              </w:rPr>
              <w:t>16-4.5. Promovarea cercetării și inovării – 16654_ TH2ORAX: Sistemul de eXemplare autonomă Ruggedizată operațională pe spaliere Holistic &amp; Hybrid</w:t>
            </w:r>
          </w:p>
        </w:tc>
        <w:tc>
          <w:tcPr>
            <w:tcW w:w="1094" w:type="dxa"/>
            <w:tcBorders>
              <w:top w:val="nil"/>
              <w:left w:val="nil"/>
              <w:bottom w:val="single" w:sz="4" w:space="0" w:color="auto"/>
              <w:right w:val="single" w:sz="4" w:space="0" w:color="auto"/>
            </w:tcBorders>
            <w:shd w:val="clear" w:color="auto" w:fill="C6EFCE"/>
            <w:noWrap/>
          </w:tcPr>
          <w:p w14:paraId="5723AB39" w14:textId="77777777" w:rsidR="00C45D59" w:rsidRDefault="009B0962">
            <w:pPr>
              <w:pStyle w:val="P68B1DB1-Normal12"/>
              <w:spacing w:after="0" w:line="240" w:lineRule="auto"/>
              <w:rPr>
                <w:rFonts w:eastAsia="Times New Roman"/>
                <w:noProof/>
              </w:rPr>
            </w:pPr>
            <w:r>
              <w:rPr>
                <w:noProof/>
              </w:rPr>
              <w:t>Etapă</w:t>
            </w:r>
          </w:p>
        </w:tc>
        <w:tc>
          <w:tcPr>
            <w:tcW w:w="1794" w:type="dxa"/>
            <w:tcBorders>
              <w:top w:val="nil"/>
              <w:left w:val="nil"/>
              <w:bottom w:val="single" w:sz="4" w:space="0" w:color="auto"/>
              <w:right w:val="single" w:sz="4" w:space="0" w:color="auto"/>
            </w:tcBorders>
            <w:shd w:val="clear" w:color="auto" w:fill="C6EFCE"/>
            <w:noWrap/>
          </w:tcPr>
          <w:p w14:paraId="0E6C81AD" w14:textId="77777777" w:rsidR="00C45D59" w:rsidRDefault="009B0962">
            <w:pPr>
              <w:pStyle w:val="P68B1DB1-Normal12"/>
              <w:spacing w:after="0" w:line="240" w:lineRule="auto"/>
              <w:rPr>
                <w:rFonts w:eastAsia="Times New Roman"/>
                <w:noProof/>
              </w:rPr>
            </w:pPr>
            <w:r>
              <w:rPr>
                <w:noProof/>
              </w:rPr>
              <w:t>Atribuirea contractelor pentru TH2ORAX</w:t>
            </w:r>
          </w:p>
        </w:tc>
        <w:tc>
          <w:tcPr>
            <w:tcW w:w="1774" w:type="dxa"/>
            <w:tcBorders>
              <w:top w:val="nil"/>
              <w:left w:val="nil"/>
              <w:bottom w:val="single" w:sz="4" w:space="0" w:color="auto"/>
              <w:right w:val="single" w:sz="4" w:space="0" w:color="auto"/>
            </w:tcBorders>
            <w:shd w:val="clear" w:color="auto" w:fill="C6EFCE"/>
            <w:noWrap/>
          </w:tcPr>
          <w:p w14:paraId="73B786C3" w14:textId="77777777" w:rsidR="00C45D59" w:rsidRDefault="009B0962">
            <w:pPr>
              <w:pStyle w:val="P68B1DB1-Normal12"/>
              <w:spacing w:after="0" w:line="240" w:lineRule="auto"/>
              <w:rPr>
                <w:rFonts w:eastAsia="Times New Roman"/>
                <w:noProof/>
              </w:rPr>
            </w:pPr>
            <w:r>
              <w:rPr>
                <w:noProof/>
              </w:rPr>
              <w:t>Notificarea atribuirii contractelor</w:t>
            </w:r>
          </w:p>
        </w:tc>
        <w:tc>
          <w:tcPr>
            <w:tcW w:w="960" w:type="dxa"/>
            <w:tcBorders>
              <w:top w:val="nil"/>
              <w:left w:val="nil"/>
              <w:bottom w:val="single" w:sz="4" w:space="0" w:color="auto"/>
              <w:right w:val="single" w:sz="4" w:space="0" w:color="auto"/>
            </w:tcBorders>
            <w:shd w:val="clear" w:color="auto" w:fill="C6EFCE"/>
            <w:noWrap/>
          </w:tcPr>
          <w:p w14:paraId="62B9DA87"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960" w:type="dxa"/>
            <w:tcBorders>
              <w:top w:val="nil"/>
              <w:left w:val="nil"/>
              <w:bottom w:val="single" w:sz="4" w:space="0" w:color="auto"/>
              <w:right w:val="single" w:sz="4" w:space="0" w:color="auto"/>
            </w:tcBorders>
            <w:shd w:val="clear" w:color="auto" w:fill="C6EFCE"/>
            <w:noWrap/>
          </w:tcPr>
          <w:p w14:paraId="0F015845"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607" w:type="dxa"/>
            <w:tcBorders>
              <w:top w:val="nil"/>
              <w:left w:val="nil"/>
              <w:bottom w:val="single" w:sz="4" w:space="0" w:color="auto"/>
              <w:right w:val="single" w:sz="4" w:space="0" w:color="auto"/>
            </w:tcBorders>
            <w:shd w:val="clear" w:color="auto" w:fill="C6EFCE"/>
            <w:noWrap/>
          </w:tcPr>
          <w:p w14:paraId="41A3FFC5"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080" w:type="dxa"/>
            <w:tcBorders>
              <w:top w:val="nil"/>
              <w:left w:val="nil"/>
              <w:bottom w:val="single" w:sz="4" w:space="0" w:color="auto"/>
              <w:right w:val="single" w:sz="4" w:space="0" w:color="auto"/>
            </w:tcBorders>
            <w:shd w:val="clear" w:color="auto" w:fill="C6EFCE"/>
            <w:noWrap/>
          </w:tcPr>
          <w:p w14:paraId="4B9804F4" w14:textId="77777777" w:rsidR="00C45D59" w:rsidRDefault="009B0962">
            <w:pPr>
              <w:pStyle w:val="P68B1DB1-Normal12"/>
              <w:spacing w:after="0" w:line="240" w:lineRule="auto"/>
              <w:rPr>
                <w:rFonts w:eastAsia="Times New Roman"/>
                <w:noProof/>
              </w:rPr>
            </w:pPr>
            <w:r>
              <w:rPr>
                <w:noProof/>
              </w:rPr>
              <w:t>Î2</w:t>
            </w:r>
          </w:p>
        </w:tc>
        <w:tc>
          <w:tcPr>
            <w:tcW w:w="720" w:type="dxa"/>
            <w:tcBorders>
              <w:top w:val="nil"/>
              <w:left w:val="nil"/>
              <w:bottom w:val="single" w:sz="4" w:space="0" w:color="auto"/>
              <w:right w:val="single" w:sz="4" w:space="0" w:color="auto"/>
            </w:tcBorders>
            <w:shd w:val="clear" w:color="auto" w:fill="C6EFCE"/>
            <w:noWrap/>
          </w:tcPr>
          <w:p w14:paraId="2202DD0F" w14:textId="77777777" w:rsidR="00C45D59" w:rsidRDefault="009B0962">
            <w:pPr>
              <w:pStyle w:val="P68B1DB1-Normal12"/>
              <w:spacing w:after="0" w:line="240" w:lineRule="auto"/>
              <w:rPr>
                <w:rFonts w:eastAsia="Times New Roman"/>
                <w:noProof/>
              </w:rPr>
            </w:pPr>
            <w:r>
              <w:rPr>
                <w:noProof/>
              </w:rPr>
              <w:t>2024</w:t>
            </w:r>
          </w:p>
        </w:tc>
        <w:tc>
          <w:tcPr>
            <w:tcW w:w="3864" w:type="dxa"/>
            <w:tcBorders>
              <w:top w:val="nil"/>
              <w:left w:val="nil"/>
              <w:bottom w:val="single" w:sz="4" w:space="0" w:color="auto"/>
              <w:right w:val="single" w:sz="4" w:space="0" w:color="auto"/>
            </w:tcBorders>
            <w:shd w:val="clear" w:color="auto" w:fill="C6EFCE"/>
            <w:noWrap/>
          </w:tcPr>
          <w:p w14:paraId="62E748D0" w14:textId="77777777" w:rsidR="00C45D59" w:rsidRDefault="009B0962">
            <w:pPr>
              <w:pStyle w:val="P68B1DB1-Normal12"/>
              <w:spacing w:after="0" w:line="240" w:lineRule="auto"/>
              <w:rPr>
                <w:rFonts w:eastAsia="Times New Roman"/>
                <w:noProof/>
              </w:rPr>
            </w:pPr>
            <w:r>
              <w:rPr>
                <w:noProof/>
              </w:rPr>
              <w:t>Atribuirea contractelor pentru proiectul TH2ORAX.</w:t>
            </w:r>
          </w:p>
          <w:p w14:paraId="5DE12E86" w14:textId="77777777" w:rsidR="00C45D59" w:rsidRDefault="009B0962">
            <w:pPr>
              <w:pStyle w:val="P68B1DB1-Normal12"/>
              <w:spacing w:after="0" w:line="240" w:lineRule="auto"/>
              <w:rPr>
                <w:rFonts w:eastAsia="Times New Roman"/>
                <w:noProof/>
              </w:rPr>
            </w:pPr>
            <w:r>
              <w:rPr>
                <w:noProof/>
              </w:rPr>
              <w:t xml:space="preserve">Ministerul Dezvoltării și Investițiilor, împreună cu Secretariatul General pentru Cercetare &amp; Inovare (GSRI), sunt responsabile de punerea în aplicare efectivă a procesului de evaluare. Contractul (contractele) se atribuie pe baza celui mai bun raport preț-calitate. </w:t>
            </w:r>
          </w:p>
        </w:tc>
      </w:tr>
      <w:tr w:rsidR="00C45D59" w14:paraId="7AF6974C" w14:textId="77777777" w:rsidTr="00892E7E">
        <w:trPr>
          <w:trHeight w:val="309"/>
          <w:jc w:val="center"/>
        </w:trPr>
        <w:tc>
          <w:tcPr>
            <w:tcW w:w="594" w:type="dxa"/>
            <w:tcBorders>
              <w:top w:val="single" w:sz="4" w:space="0" w:color="auto"/>
              <w:left w:val="single" w:sz="4" w:space="0" w:color="auto"/>
              <w:bottom w:val="single" w:sz="4" w:space="0" w:color="auto"/>
              <w:right w:val="single" w:sz="4" w:space="0" w:color="auto"/>
            </w:tcBorders>
            <w:shd w:val="clear" w:color="auto" w:fill="C6EFCE"/>
            <w:noWrap/>
          </w:tcPr>
          <w:p w14:paraId="231F721B" w14:textId="77777777" w:rsidR="00C45D59" w:rsidRDefault="009B0962">
            <w:pPr>
              <w:pStyle w:val="P68B1DB1-Normal12"/>
              <w:spacing w:after="0" w:line="240" w:lineRule="auto"/>
              <w:rPr>
                <w:rFonts w:eastAsia="Times New Roman"/>
                <w:noProof/>
              </w:rPr>
            </w:pPr>
            <w:r>
              <w:rPr>
                <w:noProof/>
              </w:rPr>
              <w:t>249</w:t>
            </w:r>
          </w:p>
        </w:tc>
        <w:tc>
          <w:tcPr>
            <w:tcW w:w="2571" w:type="dxa"/>
            <w:tcBorders>
              <w:top w:val="single" w:sz="4" w:space="0" w:color="auto"/>
              <w:left w:val="nil"/>
              <w:bottom w:val="single" w:sz="4" w:space="0" w:color="auto"/>
              <w:right w:val="single" w:sz="4" w:space="0" w:color="auto"/>
            </w:tcBorders>
            <w:shd w:val="clear" w:color="auto" w:fill="C6EFCE"/>
            <w:noWrap/>
          </w:tcPr>
          <w:p w14:paraId="086949A8" w14:textId="77777777" w:rsidR="00C45D59" w:rsidRDefault="009B0962">
            <w:pPr>
              <w:pStyle w:val="P68B1DB1-Normal12"/>
              <w:spacing w:after="0" w:line="240" w:lineRule="auto"/>
              <w:rPr>
                <w:rFonts w:eastAsia="Times New Roman"/>
                <w:noProof/>
              </w:rPr>
            </w:pPr>
            <w:r>
              <w:rPr>
                <w:noProof/>
              </w:rPr>
              <w:t>16-4.5. Promovarea cercetării și inovării – 16624_Creare – Extindere – Modernizarea infrastructurilor centrelor de cercetare sub supravegherea Secretariatului General pentru Cercetare și Inovare (GSRI)</w:t>
            </w:r>
          </w:p>
        </w:tc>
        <w:tc>
          <w:tcPr>
            <w:tcW w:w="1094" w:type="dxa"/>
            <w:tcBorders>
              <w:top w:val="single" w:sz="4" w:space="0" w:color="auto"/>
              <w:left w:val="nil"/>
              <w:bottom w:val="single" w:sz="4" w:space="0" w:color="auto"/>
              <w:right w:val="single" w:sz="4" w:space="0" w:color="auto"/>
            </w:tcBorders>
            <w:shd w:val="clear" w:color="auto" w:fill="C6EFCE"/>
            <w:noWrap/>
          </w:tcPr>
          <w:p w14:paraId="4A3B6F53" w14:textId="77777777" w:rsidR="00C45D59" w:rsidRDefault="009B0962">
            <w:pPr>
              <w:pStyle w:val="P68B1DB1-Normal12"/>
              <w:spacing w:after="0" w:line="240" w:lineRule="auto"/>
              <w:rPr>
                <w:rFonts w:eastAsia="Times New Roman"/>
                <w:noProof/>
              </w:rPr>
            </w:pPr>
            <w:r>
              <w:rPr>
                <w:noProof/>
              </w:rPr>
              <w:t>Etapă</w:t>
            </w:r>
          </w:p>
        </w:tc>
        <w:tc>
          <w:tcPr>
            <w:tcW w:w="1794" w:type="dxa"/>
            <w:tcBorders>
              <w:top w:val="single" w:sz="4" w:space="0" w:color="auto"/>
              <w:left w:val="nil"/>
              <w:bottom w:val="single" w:sz="4" w:space="0" w:color="auto"/>
              <w:right w:val="single" w:sz="4" w:space="0" w:color="auto"/>
            </w:tcBorders>
            <w:shd w:val="clear" w:color="auto" w:fill="C6EFCE"/>
            <w:noWrap/>
          </w:tcPr>
          <w:p w14:paraId="652A8CF4" w14:textId="51269DB3" w:rsidR="00C45D59" w:rsidRDefault="009B0962">
            <w:pPr>
              <w:pStyle w:val="P68B1DB1-Normal12"/>
              <w:spacing w:after="0" w:line="240" w:lineRule="auto"/>
              <w:rPr>
                <w:rFonts w:eastAsia="Times New Roman"/>
                <w:noProof/>
              </w:rPr>
            </w:pPr>
            <w:r>
              <w:rPr>
                <w:noProof/>
              </w:rPr>
              <w:t>Realizarea de proiecte privind centrele de cercetare</w:t>
            </w:r>
          </w:p>
        </w:tc>
        <w:tc>
          <w:tcPr>
            <w:tcW w:w="1774" w:type="dxa"/>
            <w:tcBorders>
              <w:top w:val="single" w:sz="4" w:space="0" w:color="auto"/>
              <w:left w:val="nil"/>
              <w:bottom w:val="single" w:sz="4" w:space="0" w:color="auto"/>
              <w:right w:val="single" w:sz="4" w:space="0" w:color="auto"/>
            </w:tcBorders>
            <w:shd w:val="clear" w:color="auto" w:fill="C6EFCE"/>
            <w:noWrap/>
          </w:tcPr>
          <w:p w14:paraId="2C6E699F" w14:textId="517CB75D" w:rsidR="00C45D59" w:rsidRDefault="009B0962">
            <w:pPr>
              <w:pStyle w:val="P68B1DB1-Normal12"/>
              <w:spacing w:after="0" w:line="240" w:lineRule="auto"/>
              <w:rPr>
                <w:rFonts w:eastAsia="Times New Roman"/>
                <w:noProof/>
              </w:rPr>
            </w:pPr>
            <w:r>
              <w:rPr>
                <w:noProof/>
              </w:rPr>
              <w:t>Realizarea de proiecte privind centrele de cercetare</w:t>
            </w:r>
          </w:p>
        </w:tc>
        <w:tc>
          <w:tcPr>
            <w:tcW w:w="960" w:type="dxa"/>
            <w:tcBorders>
              <w:top w:val="single" w:sz="4" w:space="0" w:color="auto"/>
              <w:left w:val="nil"/>
              <w:bottom w:val="single" w:sz="4" w:space="0" w:color="auto"/>
              <w:right w:val="single" w:sz="4" w:space="0" w:color="auto"/>
            </w:tcBorders>
            <w:shd w:val="clear" w:color="auto" w:fill="C6EFCE"/>
            <w:noWrap/>
          </w:tcPr>
          <w:p w14:paraId="22D6D1B4"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960" w:type="dxa"/>
            <w:tcBorders>
              <w:top w:val="single" w:sz="4" w:space="0" w:color="auto"/>
              <w:left w:val="nil"/>
              <w:bottom w:val="single" w:sz="4" w:space="0" w:color="auto"/>
              <w:right w:val="single" w:sz="4" w:space="0" w:color="auto"/>
            </w:tcBorders>
            <w:shd w:val="clear" w:color="auto" w:fill="C6EFCE"/>
            <w:noWrap/>
          </w:tcPr>
          <w:p w14:paraId="2637B12C"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607" w:type="dxa"/>
            <w:tcBorders>
              <w:top w:val="single" w:sz="4" w:space="0" w:color="auto"/>
              <w:left w:val="nil"/>
              <w:bottom w:val="single" w:sz="4" w:space="0" w:color="auto"/>
              <w:right w:val="single" w:sz="4" w:space="0" w:color="auto"/>
            </w:tcBorders>
            <w:shd w:val="clear" w:color="auto" w:fill="C6EFCE"/>
            <w:noWrap/>
          </w:tcPr>
          <w:p w14:paraId="4194A31A"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080" w:type="dxa"/>
            <w:tcBorders>
              <w:top w:val="single" w:sz="4" w:space="0" w:color="auto"/>
              <w:left w:val="nil"/>
              <w:bottom w:val="single" w:sz="4" w:space="0" w:color="auto"/>
              <w:right w:val="single" w:sz="4" w:space="0" w:color="auto"/>
            </w:tcBorders>
            <w:shd w:val="clear" w:color="auto" w:fill="C6EFCE"/>
            <w:noWrap/>
          </w:tcPr>
          <w:p w14:paraId="7E41E62C" w14:textId="77777777" w:rsidR="00C45D59" w:rsidRDefault="009B0962">
            <w:pPr>
              <w:pStyle w:val="P68B1DB1-Normal12"/>
              <w:spacing w:after="0" w:line="240" w:lineRule="auto"/>
              <w:rPr>
                <w:rFonts w:eastAsia="Times New Roman"/>
                <w:noProof/>
              </w:rPr>
            </w:pPr>
            <w:r>
              <w:rPr>
                <w:noProof/>
              </w:rPr>
              <w:t>Î4</w:t>
            </w:r>
          </w:p>
        </w:tc>
        <w:tc>
          <w:tcPr>
            <w:tcW w:w="720" w:type="dxa"/>
            <w:tcBorders>
              <w:top w:val="single" w:sz="4" w:space="0" w:color="auto"/>
              <w:left w:val="nil"/>
              <w:bottom w:val="single" w:sz="4" w:space="0" w:color="auto"/>
              <w:right w:val="single" w:sz="4" w:space="0" w:color="auto"/>
            </w:tcBorders>
            <w:shd w:val="clear" w:color="auto" w:fill="C6EFCE"/>
            <w:noWrap/>
          </w:tcPr>
          <w:p w14:paraId="41281BFF" w14:textId="77777777" w:rsidR="00C45D59" w:rsidRDefault="009B0962">
            <w:pPr>
              <w:pStyle w:val="P68B1DB1-Normal12"/>
              <w:spacing w:after="0" w:line="240" w:lineRule="auto"/>
              <w:rPr>
                <w:rFonts w:eastAsia="Times New Roman"/>
                <w:noProof/>
              </w:rPr>
            </w:pPr>
            <w:r>
              <w:rPr>
                <w:noProof/>
              </w:rPr>
              <w:t>2025</w:t>
            </w:r>
          </w:p>
        </w:tc>
        <w:tc>
          <w:tcPr>
            <w:tcW w:w="3864" w:type="dxa"/>
            <w:tcBorders>
              <w:top w:val="single" w:sz="4" w:space="0" w:color="auto"/>
              <w:left w:val="nil"/>
              <w:bottom w:val="single" w:sz="4" w:space="0" w:color="auto"/>
              <w:right w:val="single" w:sz="4" w:space="0" w:color="auto"/>
            </w:tcBorders>
            <w:shd w:val="clear" w:color="auto" w:fill="C6EFCE"/>
            <w:noWrap/>
          </w:tcPr>
          <w:p w14:paraId="3AC6E2C6" w14:textId="389354BC" w:rsidR="00C45D59" w:rsidRDefault="009B0962">
            <w:pPr>
              <w:pStyle w:val="P68B1DB1-Normal12"/>
              <w:spacing w:after="0" w:line="240" w:lineRule="auto"/>
              <w:rPr>
                <w:rFonts w:eastAsia="Times New Roman"/>
                <w:noProof/>
              </w:rPr>
            </w:pPr>
            <w:r>
              <w:rPr>
                <w:noProof/>
              </w:rPr>
              <w:t>Realizarea a cel puțin 280 proiecte privind următoarele centre de cercetare: Fundația pentru Cercetare și Tehnologie Hellas; Centrul de cercetare și inovare Athena; BSRC Fleming; Centrul pentru Cercetare și Tehnologie Hellas; Fundația națională elenă pentru cercetare; Academia Fundației de Cercetare biomedicală din Atena; Observatorul Național din Atena; Centrul elen de cercetare marină; Institutul Pasteur din Grecia; Centrul Național de Cercetare Socială; Comisia elenă pentru energie atomică.</w:t>
            </w:r>
          </w:p>
        </w:tc>
      </w:tr>
      <w:tr w:rsidR="00C45D59" w14:paraId="540D6DBB" w14:textId="77777777" w:rsidTr="00892E7E">
        <w:trPr>
          <w:trHeight w:val="300"/>
          <w:jc w:val="center"/>
        </w:trPr>
        <w:tc>
          <w:tcPr>
            <w:tcW w:w="594" w:type="dxa"/>
            <w:tcBorders>
              <w:top w:val="single" w:sz="4" w:space="0" w:color="auto"/>
              <w:left w:val="single" w:sz="4" w:space="0" w:color="auto"/>
              <w:bottom w:val="single" w:sz="4" w:space="0" w:color="auto"/>
              <w:right w:val="single" w:sz="4" w:space="0" w:color="auto"/>
            </w:tcBorders>
            <w:shd w:val="clear" w:color="auto" w:fill="C6EFCE"/>
          </w:tcPr>
          <w:p w14:paraId="611748DA" w14:textId="77777777" w:rsidR="00C45D59" w:rsidRDefault="009B0962">
            <w:pPr>
              <w:pStyle w:val="P68B1DB1-Normal12"/>
              <w:spacing w:after="0" w:line="240" w:lineRule="auto"/>
              <w:rPr>
                <w:rFonts w:eastAsia="Times New Roman"/>
                <w:noProof/>
              </w:rPr>
            </w:pPr>
            <w:r>
              <w:rPr>
                <w:noProof/>
              </w:rPr>
              <w:t>250</w:t>
            </w:r>
          </w:p>
        </w:tc>
        <w:tc>
          <w:tcPr>
            <w:tcW w:w="2571" w:type="dxa"/>
            <w:tcBorders>
              <w:top w:val="single" w:sz="4" w:space="0" w:color="auto"/>
              <w:left w:val="nil"/>
              <w:bottom w:val="single" w:sz="4" w:space="0" w:color="auto"/>
              <w:right w:val="single" w:sz="4" w:space="0" w:color="auto"/>
            </w:tcBorders>
            <w:shd w:val="clear" w:color="auto" w:fill="C6EFCE"/>
          </w:tcPr>
          <w:p w14:paraId="5552B1FB" w14:textId="77777777" w:rsidR="00C45D59" w:rsidRDefault="009B0962">
            <w:pPr>
              <w:pStyle w:val="P68B1DB1-Normal12"/>
              <w:spacing w:after="0" w:line="240" w:lineRule="auto"/>
              <w:rPr>
                <w:rFonts w:eastAsia="Times New Roman"/>
                <w:noProof/>
              </w:rPr>
            </w:pPr>
            <w:r>
              <w:rPr>
                <w:noProof/>
              </w:rPr>
              <w:t>16-4.5. Promovarea cercetării și inovării – 16618_Cercetare de bază &amp; aplicată</w:t>
            </w:r>
          </w:p>
        </w:tc>
        <w:tc>
          <w:tcPr>
            <w:tcW w:w="1094" w:type="dxa"/>
            <w:tcBorders>
              <w:top w:val="single" w:sz="4" w:space="0" w:color="auto"/>
              <w:left w:val="nil"/>
              <w:bottom w:val="single" w:sz="4" w:space="0" w:color="auto"/>
              <w:right w:val="single" w:sz="4" w:space="0" w:color="auto"/>
            </w:tcBorders>
            <w:shd w:val="clear" w:color="auto" w:fill="C6EFCE"/>
          </w:tcPr>
          <w:p w14:paraId="6082BB67" w14:textId="77777777" w:rsidR="00C45D59" w:rsidRDefault="009B0962">
            <w:pPr>
              <w:pStyle w:val="P68B1DB1-Normal12"/>
              <w:spacing w:after="0" w:line="240" w:lineRule="auto"/>
              <w:rPr>
                <w:rFonts w:eastAsia="Times New Roman"/>
                <w:noProof/>
              </w:rPr>
            </w:pPr>
            <w:r>
              <w:rPr>
                <w:noProof/>
              </w:rPr>
              <w:t>Etapă</w:t>
            </w:r>
          </w:p>
        </w:tc>
        <w:tc>
          <w:tcPr>
            <w:tcW w:w="1794" w:type="dxa"/>
            <w:tcBorders>
              <w:top w:val="single" w:sz="4" w:space="0" w:color="auto"/>
              <w:left w:val="nil"/>
              <w:bottom w:val="single" w:sz="4" w:space="0" w:color="auto"/>
              <w:right w:val="single" w:sz="4" w:space="0" w:color="auto"/>
            </w:tcBorders>
            <w:shd w:val="clear" w:color="auto" w:fill="C6EFCE"/>
          </w:tcPr>
          <w:p w14:paraId="125C5ABA" w14:textId="08B5FDEF" w:rsidR="00C45D59" w:rsidRDefault="009B0962">
            <w:pPr>
              <w:pStyle w:val="P68B1DB1-Normal12"/>
              <w:spacing w:after="0" w:line="240" w:lineRule="auto"/>
              <w:rPr>
                <w:rFonts w:eastAsia="Times New Roman"/>
                <w:noProof/>
              </w:rPr>
            </w:pPr>
            <w:r>
              <w:rPr>
                <w:noProof/>
              </w:rPr>
              <w:t>Realizarea proiectelor de cercetare de bază &amp; aplicate</w:t>
            </w:r>
          </w:p>
        </w:tc>
        <w:tc>
          <w:tcPr>
            <w:tcW w:w="1774" w:type="dxa"/>
            <w:tcBorders>
              <w:top w:val="single" w:sz="4" w:space="0" w:color="auto"/>
              <w:left w:val="nil"/>
              <w:bottom w:val="single" w:sz="4" w:space="0" w:color="auto"/>
              <w:right w:val="single" w:sz="4" w:space="0" w:color="auto"/>
            </w:tcBorders>
            <w:shd w:val="clear" w:color="auto" w:fill="C6EFCE"/>
          </w:tcPr>
          <w:p w14:paraId="7C115228" w14:textId="48DB6D26" w:rsidR="00C45D59" w:rsidRDefault="009B0962">
            <w:pPr>
              <w:pStyle w:val="P68B1DB1-Normal12"/>
              <w:spacing w:after="0" w:line="240" w:lineRule="auto"/>
              <w:rPr>
                <w:rFonts w:eastAsia="Times New Roman"/>
                <w:noProof/>
              </w:rPr>
            </w:pPr>
            <w:r>
              <w:rPr>
                <w:noProof/>
              </w:rPr>
              <w:t>Realizarea proiectelor de cercetare de bază &amp; aplicate</w:t>
            </w:r>
          </w:p>
        </w:tc>
        <w:tc>
          <w:tcPr>
            <w:tcW w:w="960" w:type="dxa"/>
            <w:tcBorders>
              <w:top w:val="single" w:sz="4" w:space="0" w:color="auto"/>
              <w:left w:val="nil"/>
              <w:bottom w:val="single" w:sz="4" w:space="0" w:color="auto"/>
              <w:right w:val="single" w:sz="4" w:space="0" w:color="auto"/>
            </w:tcBorders>
            <w:shd w:val="clear" w:color="auto" w:fill="C6EFCE"/>
          </w:tcPr>
          <w:p w14:paraId="3F89B866"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960" w:type="dxa"/>
            <w:tcBorders>
              <w:top w:val="single" w:sz="4" w:space="0" w:color="auto"/>
              <w:left w:val="nil"/>
              <w:bottom w:val="single" w:sz="4" w:space="0" w:color="auto"/>
              <w:right w:val="single" w:sz="4" w:space="0" w:color="auto"/>
            </w:tcBorders>
            <w:shd w:val="clear" w:color="auto" w:fill="C6EFCE"/>
          </w:tcPr>
          <w:p w14:paraId="2174023D"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607" w:type="dxa"/>
            <w:tcBorders>
              <w:top w:val="single" w:sz="4" w:space="0" w:color="auto"/>
              <w:left w:val="nil"/>
              <w:bottom w:val="single" w:sz="4" w:space="0" w:color="auto"/>
              <w:right w:val="single" w:sz="4" w:space="0" w:color="auto"/>
            </w:tcBorders>
            <w:shd w:val="clear" w:color="auto" w:fill="C6EFCE"/>
          </w:tcPr>
          <w:p w14:paraId="7A86A830"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080" w:type="dxa"/>
            <w:tcBorders>
              <w:top w:val="single" w:sz="4" w:space="0" w:color="auto"/>
              <w:left w:val="nil"/>
              <w:bottom w:val="single" w:sz="4" w:space="0" w:color="auto"/>
              <w:right w:val="single" w:sz="4" w:space="0" w:color="auto"/>
            </w:tcBorders>
            <w:shd w:val="clear" w:color="auto" w:fill="C6EFCE"/>
          </w:tcPr>
          <w:p w14:paraId="1AEF24F6" w14:textId="77777777" w:rsidR="00C45D59" w:rsidRDefault="009B0962">
            <w:pPr>
              <w:pStyle w:val="P68B1DB1-Normal12"/>
              <w:spacing w:after="0" w:line="240" w:lineRule="auto"/>
              <w:rPr>
                <w:rFonts w:eastAsia="Times New Roman"/>
                <w:noProof/>
              </w:rPr>
            </w:pPr>
            <w:r>
              <w:rPr>
                <w:noProof/>
              </w:rPr>
              <w:t>Î4</w:t>
            </w:r>
          </w:p>
        </w:tc>
        <w:tc>
          <w:tcPr>
            <w:tcW w:w="720" w:type="dxa"/>
            <w:tcBorders>
              <w:top w:val="single" w:sz="4" w:space="0" w:color="auto"/>
              <w:left w:val="nil"/>
              <w:bottom w:val="single" w:sz="4" w:space="0" w:color="auto"/>
              <w:right w:val="single" w:sz="4" w:space="0" w:color="auto"/>
            </w:tcBorders>
            <w:shd w:val="clear" w:color="auto" w:fill="C6EFCE"/>
          </w:tcPr>
          <w:p w14:paraId="6369BE04" w14:textId="77777777" w:rsidR="00C45D59" w:rsidRDefault="009B0962">
            <w:pPr>
              <w:pStyle w:val="P68B1DB1-Normal12"/>
              <w:spacing w:after="0" w:line="240" w:lineRule="auto"/>
              <w:rPr>
                <w:rFonts w:eastAsia="Times New Roman"/>
                <w:noProof/>
              </w:rPr>
            </w:pPr>
            <w:r>
              <w:rPr>
                <w:noProof/>
              </w:rPr>
              <w:t>2025</w:t>
            </w:r>
          </w:p>
        </w:tc>
        <w:tc>
          <w:tcPr>
            <w:tcW w:w="3864" w:type="dxa"/>
            <w:tcBorders>
              <w:top w:val="single" w:sz="4" w:space="0" w:color="auto"/>
              <w:left w:val="nil"/>
              <w:bottom w:val="single" w:sz="4" w:space="0" w:color="auto"/>
              <w:right w:val="single" w:sz="4" w:space="0" w:color="auto"/>
            </w:tcBorders>
            <w:shd w:val="clear" w:color="auto" w:fill="C6EFCE"/>
          </w:tcPr>
          <w:p w14:paraId="211734C2" w14:textId="24F734E8" w:rsidR="00C45D59" w:rsidRDefault="009B0962">
            <w:pPr>
              <w:pStyle w:val="P68B1DB1-Normal12"/>
              <w:spacing w:after="0" w:line="240" w:lineRule="auto"/>
              <w:rPr>
                <w:rFonts w:eastAsia="Times New Roman"/>
                <w:noProof/>
              </w:rPr>
            </w:pPr>
            <w:r>
              <w:rPr>
                <w:noProof/>
              </w:rPr>
              <w:t xml:space="preserve">Realizarea următoarelor proiecte: </w:t>
            </w:r>
          </w:p>
          <w:p w14:paraId="4C9E2CF8" w14:textId="0A65401F" w:rsidR="00C45D59" w:rsidRDefault="009B0962">
            <w:pPr>
              <w:pStyle w:val="P68B1DB1-ListParagraph34"/>
              <w:numPr>
                <w:ilvl w:val="0"/>
                <w:numId w:val="97"/>
              </w:numPr>
              <w:spacing w:after="0" w:line="240" w:lineRule="auto"/>
              <w:rPr>
                <w:rFonts w:eastAsia="Times New Roman"/>
                <w:noProof/>
              </w:rPr>
            </w:pPr>
            <w:r>
              <w:rPr>
                <w:noProof/>
              </w:rPr>
              <w:t>269 de proiecte de finanțare a cercetării fundamentale;</w:t>
            </w:r>
          </w:p>
          <w:p w14:paraId="4AE7C141" w14:textId="3B4E2B7A" w:rsidR="00C45D59" w:rsidRDefault="009B0962">
            <w:pPr>
              <w:pStyle w:val="P68B1DB1-ListParagraph34"/>
              <w:numPr>
                <w:ilvl w:val="0"/>
                <w:numId w:val="97"/>
              </w:numPr>
              <w:spacing w:after="0" w:line="240" w:lineRule="auto"/>
              <w:rPr>
                <w:rFonts w:eastAsia="Times New Roman"/>
                <w:noProof/>
              </w:rPr>
            </w:pPr>
            <w:r>
              <w:rPr>
                <w:noProof/>
              </w:rPr>
              <w:t>8 de proiecte emblematice de cercetare;</w:t>
            </w:r>
          </w:p>
          <w:p w14:paraId="1BC7792F" w14:textId="0A171531" w:rsidR="00C45D59" w:rsidRDefault="009B0962">
            <w:pPr>
              <w:pStyle w:val="P68B1DB1-ListParagraph34"/>
              <w:numPr>
                <w:ilvl w:val="0"/>
                <w:numId w:val="97"/>
              </w:numPr>
              <w:spacing w:after="0" w:line="240" w:lineRule="auto"/>
              <w:rPr>
                <w:rFonts w:eastAsia="Times New Roman"/>
                <w:noProof/>
              </w:rPr>
            </w:pPr>
            <w:r>
              <w:rPr>
                <w:noProof/>
              </w:rPr>
              <w:t xml:space="preserve">Proiect pus în aplicare de Unitatea Archimedes privind cercetarea în domeniul inteligenței artificiale, al științei datelor și al algoritmilor </w:t>
            </w:r>
          </w:p>
          <w:p w14:paraId="6AAB98AF" w14:textId="700B8DE0" w:rsidR="00C45D59" w:rsidRDefault="009B0962">
            <w:pPr>
              <w:pStyle w:val="P68B1DB1-ListParagraph34"/>
              <w:numPr>
                <w:ilvl w:val="0"/>
                <w:numId w:val="97"/>
              </w:numPr>
              <w:spacing w:after="0" w:line="240" w:lineRule="auto"/>
              <w:rPr>
                <w:rFonts w:eastAsia="Times New Roman"/>
                <w:noProof/>
              </w:rPr>
            </w:pPr>
            <w:r>
              <w:rPr>
                <w:noProof/>
              </w:rPr>
              <w:t>Participarea la parteneriatele europene pentru calculul de înaltă performanță (Euro-HPC) și la tehnologiile digitale esențiale (17 parteneriate).</w:t>
            </w:r>
          </w:p>
        </w:tc>
      </w:tr>
      <w:tr w:rsidR="00C45D59" w14:paraId="78105B7A" w14:textId="77777777" w:rsidTr="00892E7E">
        <w:trPr>
          <w:trHeight w:val="309"/>
          <w:jc w:val="center"/>
        </w:trPr>
        <w:tc>
          <w:tcPr>
            <w:tcW w:w="594" w:type="dxa"/>
            <w:tcBorders>
              <w:top w:val="single" w:sz="4" w:space="0" w:color="auto"/>
              <w:left w:val="single" w:sz="4" w:space="0" w:color="auto"/>
              <w:bottom w:val="single" w:sz="4" w:space="0" w:color="auto"/>
              <w:right w:val="single" w:sz="4" w:space="0" w:color="auto"/>
            </w:tcBorders>
            <w:shd w:val="clear" w:color="auto" w:fill="C6EFCE"/>
            <w:noWrap/>
          </w:tcPr>
          <w:p w14:paraId="223777F3" w14:textId="77777777" w:rsidR="00C45D59" w:rsidRDefault="009B0962">
            <w:pPr>
              <w:pStyle w:val="P68B1DB1-Normal12"/>
              <w:spacing w:after="0" w:line="240" w:lineRule="auto"/>
              <w:rPr>
                <w:rFonts w:eastAsia="Times New Roman"/>
                <w:noProof/>
              </w:rPr>
            </w:pPr>
            <w:r>
              <w:rPr>
                <w:noProof/>
              </w:rPr>
              <w:t>251</w:t>
            </w:r>
          </w:p>
        </w:tc>
        <w:tc>
          <w:tcPr>
            <w:tcW w:w="2571" w:type="dxa"/>
            <w:tcBorders>
              <w:top w:val="single" w:sz="4" w:space="0" w:color="auto"/>
              <w:left w:val="nil"/>
              <w:bottom w:val="single" w:sz="4" w:space="0" w:color="auto"/>
              <w:right w:val="single" w:sz="4" w:space="0" w:color="auto"/>
            </w:tcBorders>
            <w:shd w:val="clear" w:color="auto" w:fill="C6EFCE"/>
            <w:noWrap/>
          </w:tcPr>
          <w:p w14:paraId="45017706" w14:textId="77777777" w:rsidR="00C45D59" w:rsidRDefault="009B0962">
            <w:pPr>
              <w:pStyle w:val="P68B1DB1-Normal12"/>
              <w:spacing w:after="0" w:line="240" w:lineRule="auto"/>
              <w:rPr>
                <w:rFonts w:eastAsia="Times New Roman"/>
                <w:noProof/>
              </w:rPr>
            </w:pPr>
            <w:r>
              <w:rPr>
                <w:noProof/>
              </w:rPr>
              <w:t>16-4.5. Promovarea cercetării și inovării – 16654_TH 2 ORAX: Sistemul de eXemplare autonomă Ruggedizată operațională pe spaliere Holistic &amp; Hybrid</w:t>
            </w:r>
          </w:p>
        </w:tc>
        <w:tc>
          <w:tcPr>
            <w:tcW w:w="1094" w:type="dxa"/>
            <w:tcBorders>
              <w:top w:val="single" w:sz="4" w:space="0" w:color="auto"/>
              <w:left w:val="nil"/>
              <w:bottom w:val="single" w:sz="4" w:space="0" w:color="auto"/>
              <w:right w:val="single" w:sz="4" w:space="0" w:color="auto"/>
            </w:tcBorders>
            <w:shd w:val="clear" w:color="auto" w:fill="C6EFCE"/>
            <w:noWrap/>
          </w:tcPr>
          <w:p w14:paraId="64400189" w14:textId="77777777" w:rsidR="00C45D59" w:rsidRDefault="009B0962">
            <w:pPr>
              <w:pStyle w:val="P68B1DB1-Normal12"/>
              <w:spacing w:after="0" w:line="240" w:lineRule="auto"/>
              <w:rPr>
                <w:rFonts w:eastAsia="Times New Roman"/>
                <w:noProof/>
              </w:rPr>
            </w:pPr>
            <w:r>
              <w:rPr>
                <w:noProof/>
              </w:rPr>
              <w:t>Etapă</w:t>
            </w:r>
          </w:p>
        </w:tc>
        <w:tc>
          <w:tcPr>
            <w:tcW w:w="1794" w:type="dxa"/>
            <w:tcBorders>
              <w:top w:val="single" w:sz="4" w:space="0" w:color="auto"/>
              <w:left w:val="nil"/>
              <w:bottom w:val="single" w:sz="4" w:space="0" w:color="auto"/>
              <w:right w:val="single" w:sz="4" w:space="0" w:color="auto"/>
            </w:tcBorders>
            <w:shd w:val="clear" w:color="auto" w:fill="C6EFCE"/>
            <w:noWrap/>
          </w:tcPr>
          <w:p w14:paraId="0687D53E" w14:textId="77777777" w:rsidR="00C45D59" w:rsidRDefault="009B0962">
            <w:pPr>
              <w:pStyle w:val="P68B1DB1-Normal12"/>
              <w:spacing w:after="0" w:line="240" w:lineRule="auto"/>
              <w:rPr>
                <w:rFonts w:eastAsia="Times New Roman"/>
                <w:noProof/>
              </w:rPr>
            </w:pPr>
            <w:r>
              <w:rPr>
                <w:noProof/>
              </w:rPr>
              <w:t>Executarea proiectului TH2ORAX</w:t>
            </w:r>
          </w:p>
        </w:tc>
        <w:tc>
          <w:tcPr>
            <w:tcW w:w="1774" w:type="dxa"/>
            <w:tcBorders>
              <w:top w:val="single" w:sz="4" w:space="0" w:color="auto"/>
              <w:left w:val="nil"/>
              <w:bottom w:val="single" w:sz="4" w:space="0" w:color="auto"/>
              <w:right w:val="single" w:sz="4" w:space="0" w:color="auto"/>
            </w:tcBorders>
            <w:shd w:val="clear" w:color="auto" w:fill="C6EFCE"/>
            <w:noWrap/>
          </w:tcPr>
          <w:p w14:paraId="240C514A" w14:textId="77777777" w:rsidR="00C45D59" w:rsidRDefault="009B0962">
            <w:pPr>
              <w:pStyle w:val="P68B1DB1-Normal12"/>
              <w:spacing w:after="0" w:line="240" w:lineRule="auto"/>
              <w:rPr>
                <w:rFonts w:eastAsia="Times New Roman"/>
                <w:noProof/>
              </w:rPr>
            </w:pPr>
            <w:r>
              <w:rPr>
                <w:noProof/>
              </w:rPr>
              <w:t>Execuția proiectului TH2ORAX</w:t>
            </w:r>
          </w:p>
        </w:tc>
        <w:tc>
          <w:tcPr>
            <w:tcW w:w="960" w:type="dxa"/>
            <w:tcBorders>
              <w:top w:val="single" w:sz="4" w:space="0" w:color="auto"/>
              <w:left w:val="nil"/>
              <w:bottom w:val="single" w:sz="4" w:space="0" w:color="auto"/>
              <w:right w:val="single" w:sz="4" w:space="0" w:color="auto"/>
            </w:tcBorders>
            <w:shd w:val="clear" w:color="auto" w:fill="C6EFCE"/>
            <w:noWrap/>
          </w:tcPr>
          <w:p w14:paraId="07974C58"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960" w:type="dxa"/>
            <w:tcBorders>
              <w:top w:val="single" w:sz="4" w:space="0" w:color="auto"/>
              <w:left w:val="nil"/>
              <w:bottom w:val="single" w:sz="4" w:space="0" w:color="auto"/>
              <w:right w:val="single" w:sz="4" w:space="0" w:color="auto"/>
            </w:tcBorders>
            <w:shd w:val="clear" w:color="auto" w:fill="C6EFCE"/>
            <w:noWrap/>
          </w:tcPr>
          <w:p w14:paraId="525871E2"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607" w:type="dxa"/>
            <w:tcBorders>
              <w:top w:val="single" w:sz="4" w:space="0" w:color="auto"/>
              <w:left w:val="nil"/>
              <w:bottom w:val="single" w:sz="4" w:space="0" w:color="auto"/>
              <w:right w:val="single" w:sz="4" w:space="0" w:color="auto"/>
            </w:tcBorders>
            <w:shd w:val="clear" w:color="auto" w:fill="C6EFCE"/>
            <w:noWrap/>
          </w:tcPr>
          <w:p w14:paraId="2615C17F"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080" w:type="dxa"/>
            <w:tcBorders>
              <w:top w:val="single" w:sz="4" w:space="0" w:color="auto"/>
              <w:left w:val="nil"/>
              <w:bottom w:val="single" w:sz="4" w:space="0" w:color="auto"/>
              <w:right w:val="single" w:sz="4" w:space="0" w:color="auto"/>
            </w:tcBorders>
            <w:shd w:val="clear" w:color="auto" w:fill="C6EFCE"/>
            <w:noWrap/>
          </w:tcPr>
          <w:p w14:paraId="2BACE92C" w14:textId="77777777" w:rsidR="00C45D59" w:rsidRDefault="009B0962">
            <w:pPr>
              <w:pStyle w:val="P68B1DB1-Normal12"/>
              <w:spacing w:after="0" w:line="240" w:lineRule="auto"/>
              <w:rPr>
                <w:rFonts w:eastAsia="Times New Roman"/>
                <w:noProof/>
              </w:rPr>
            </w:pPr>
            <w:r>
              <w:rPr>
                <w:noProof/>
              </w:rPr>
              <w:t>Î4</w:t>
            </w:r>
          </w:p>
        </w:tc>
        <w:tc>
          <w:tcPr>
            <w:tcW w:w="720" w:type="dxa"/>
            <w:tcBorders>
              <w:top w:val="single" w:sz="4" w:space="0" w:color="auto"/>
              <w:left w:val="nil"/>
              <w:bottom w:val="single" w:sz="4" w:space="0" w:color="auto"/>
              <w:right w:val="single" w:sz="4" w:space="0" w:color="auto"/>
            </w:tcBorders>
            <w:shd w:val="clear" w:color="auto" w:fill="C6EFCE"/>
            <w:noWrap/>
          </w:tcPr>
          <w:p w14:paraId="237A1421" w14:textId="77777777" w:rsidR="00C45D59" w:rsidRDefault="009B0962">
            <w:pPr>
              <w:pStyle w:val="P68B1DB1-Normal12"/>
              <w:spacing w:after="0" w:line="240" w:lineRule="auto"/>
              <w:rPr>
                <w:rFonts w:eastAsia="Times New Roman"/>
                <w:noProof/>
              </w:rPr>
            </w:pPr>
            <w:r>
              <w:rPr>
                <w:noProof/>
              </w:rPr>
              <w:t>2025</w:t>
            </w:r>
          </w:p>
        </w:tc>
        <w:tc>
          <w:tcPr>
            <w:tcW w:w="3864" w:type="dxa"/>
            <w:tcBorders>
              <w:top w:val="single" w:sz="4" w:space="0" w:color="auto"/>
              <w:left w:val="nil"/>
              <w:bottom w:val="single" w:sz="4" w:space="0" w:color="auto"/>
              <w:right w:val="single" w:sz="4" w:space="0" w:color="auto"/>
            </w:tcBorders>
            <w:shd w:val="clear" w:color="auto" w:fill="C6EFCE"/>
            <w:noWrap/>
          </w:tcPr>
          <w:p w14:paraId="1D62F2FB" w14:textId="2D93D210" w:rsidR="00C45D59" w:rsidRDefault="009B0962">
            <w:pPr>
              <w:pStyle w:val="P68B1DB1-Normal12"/>
              <w:spacing w:after="0" w:line="240" w:lineRule="auto"/>
              <w:rPr>
                <w:rFonts w:eastAsia="Times New Roman"/>
                <w:noProof/>
              </w:rPr>
            </w:pPr>
            <w:r>
              <w:rPr>
                <w:noProof/>
              </w:rPr>
              <w:t>Execuția proiectului TH2ORAX: furnizarea unei platforme pentru conștientizarea situației, în timp real și 24/7, pentru teritoriul Greciei.</w:t>
            </w:r>
          </w:p>
        </w:tc>
      </w:tr>
      <w:tr w:rsidR="00C45D59" w14:paraId="02E5C24F" w14:textId="77777777" w:rsidTr="00892E7E">
        <w:trPr>
          <w:trHeight w:val="309"/>
          <w:jc w:val="center"/>
        </w:trPr>
        <w:tc>
          <w:tcPr>
            <w:tcW w:w="594" w:type="dxa"/>
            <w:tcBorders>
              <w:top w:val="single" w:sz="4" w:space="0" w:color="auto"/>
              <w:left w:val="single" w:sz="4" w:space="0" w:color="auto"/>
              <w:bottom w:val="single" w:sz="4" w:space="0" w:color="auto"/>
              <w:right w:val="single" w:sz="4" w:space="0" w:color="auto"/>
            </w:tcBorders>
            <w:shd w:val="clear" w:color="auto" w:fill="C6EFCE"/>
            <w:noWrap/>
          </w:tcPr>
          <w:p w14:paraId="26923E6C" w14:textId="77777777" w:rsidR="00C45D59" w:rsidRDefault="009B0962">
            <w:pPr>
              <w:pStyle w:val="P68B1DB1-Normal12"/>
              <w:spacing w:after="0" w:line="240" w:lineRule="auto"/>
              <w:rPr>
                <w:rFonts w:eastAsia="Times New Roman"/>
                <w:noProof/>
              </w:rPr>
            </w:pPr>
            <w:r>
              <w:rPr>
                <w:noProof/>
              </w:rPr>
              <w:t>252</w:t>
            </w:r>
          </w:p>
        </w:tc>
        <w:tc>
          <w:tcPr>
            <w:tcW w:w="2571" w:type="dxa"/>
            <w:tcBorders>
              <w:top w:val="single" w:sz="4" w:space="0" w:color="auto"/>
              <w:left w:val="nil"/>
              <w:bottom w:val="single" w:sz="4" w:space="0" w:color="auto"/>
              <w:right w:val="single" w:sz="4" w:space="0" w:color="auto"/>
            </w:tcBorders>
            <w:shd w:val="clear" w:color="auto" w:fill="C6EFCE"/>
            <w:noWrap/>
          </w:tcPr>
          <w:p w14:paraId="53718CAD" w14:textId="77777777" w:rsidR="00C45D59" w:rsidRDefault="009B0962">
            <w:pPr>
              <w:pStyle w:val="P68B1DB1-Normal12"/>
              <w:spacing w:after="0" w:line="240" w:lineRule="auto"/>
              <w:rPr>
                <w:rFonts w:eastAsia="Times New Roman"/>
                <w:noProof/>
              </w:rPr>
            </w:pPr>
            <w:r>
              <w:rPr>
                <w:noProof/>
              </w:rPr>
              <w:t>16-4.5. Promovarea cercetării și inovării – 16971_Cercetare – Creare – Inovare</w:t>
            </w:r>
          </w:p>
        </w:tc>
        <w:tc>
          <w:tcPr>
            <w:tcW w:w="1094" w:type="dxa"/>
            <w:tcBorders>
              <w:top w:val="single" w:sz="4" w:space="0" w:color="auto"/>
              <w:left w:val="nil"/>
              <w:bottom w:val="single" w:sz="4" w:space="0" w:color="auto"/>
              <w:right w:val="single" w:sz="4" w:space="0" w:color="auto"/>
            </w:tcBorders>
            <w:shd w:val="clear" w:color="auto" w:fill="C6EFCE"/>
            <w:noWrap/>
          </w:tcPr>
          <w:p w14:paraId="462EA1B6" w14:textId="77777777" w:rsidR="00C45D59" w:rsidRDefault="009B0962">
            <w:pPr>
              <w:pStyle w:val="P68B1DB1-Normal12"/>
              <w:spacing w:after="0" w:line="240" w:lineRule="auto"/>
              <w:rPr>
                <w:rFonts w:eastAsia="Times New Roman"/>
                <w:noProof/>
              </w:rPr>
            </w:pPr>
            <w:r>
              <w:rPr>
                <w:noProof/>
              </w:rPr>
              <w:t>Etapă</w:t>
            </w:r>
          </w:p>
        </w:tc>
        <w:tc>
          <w:tcPr>
            <w:tcW w:w="1794" w:type="dxa"/>
            <w:tcBorders>
              <w:top w:val="single" w:sz="4" w:space="0" w:color="auto"/>
              <w:left w:val="nil"/>
              <w:bottom w:val="single" w:sz="4" w:space="0" w:color="auto"/>
              <w:right w:val="single" w:sz="4" w:space="0" w:color="auto"/>
            </w:tcBorders>
            <w:shd w:val="clear" w:color="auto" w:fill="C6EFCE"/>
            <w:noWrap/>
          </w:tcPr>
          <w:p w14:paraId="05FEAD4B" w14:textId="2294E108" w:rsidR="00C45D59" w:rsidRDefault="009B0962">
            <w:pPr>
              <w:pStyle w:val="P68B1DB1-Normal12"/>
              <w:spacing w:after="0" w:line="240" w:lineRule="auto"/>
              <w:rPr>
                <w:rFonts w:eastAsia="Times New Roman"/>
                <w:noProof/>
              </w:rPr>
            </w:pPr>
            <w:r>
              <w:rPr>
                <w:noProof/>
              </w:rPr>
              <w:t>Realizarea cercetării – Creare – Proiecte inovatoare</w:t>
            </w:r>
          </w:p>
        </w:tc>
        <w:tc>
          <w:tcPr>
            <w:tcW w:w="1774" w:type="dxa"/>
            <w:tcBorders>
              <w:top w:val="single" w:sz="4" w:space="0" w:color="auto"/>
              <w:left w:val="nil"/>
              <w:bottom w:val="single" w:sz="4" w:space="0" w:color="auto"/>
              <w:right w:val="single" w:sz="4" w:space="0" w:color="auto"/>
            </w:tcBorders>
            <w:shd w:val="clear" w:color="auto" w:fill="C6EFCE"/>
            <w:noWrap/>
          </w:tcPr>
          <w:p w14:paraId="164AD87C" w14:textId="2474CEB0" w:rsidR="00C45D59" w:rsidRDefault="009B0962">
            <w:pPr>
              <w:pStyle w:val="P68B1DB1-Normal12"/>
              <w:spacing w:after="0" w:line="240" w:lineRule="auto"/>
              <w:rPr>
                <w:rFonts w:eastAsia="Times New Roman"/>
                <w:noProof/>
              </w:rPr>
            </w:pPr>
            <w:r>
              <w:rPr>
                <w:noProof/>
              </w:rPr>
              <w:t>Realizarea cercetării – Creare – Proiecte inovatoare</w:t>
            </w:r>
          </w:p>
        </w:tc>
        <w:tc>
          <w:tcPr>
            <w:tcW w:w="960" w:type="dxa"/>
            <w:tcBorders>
              <w:top w:val="single" w:sz="4" w:space="0" w:color="auto"/>
              <w:left w:val="nil"/>
              <w:bottom w:val="single" w:sz="4" w:space="0" w:color="auto"/>
              <w:right w:val="single" w:sz="4" w:space="0" w:color="auto"/>
            </w:tcBorders>
            <w:shd w:val="clear" w:color="auto" w:fill="C6EFCE"/>
            <w:noWrap/>
          </w:tcPr>
          <w:p w14:paraId="505FD667"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960" w:type="dxa"/>
            <w:tcBorders>
              <w:top w:val="single" w:sz="4" w:space="0" w:color="auto"/>
              <w:left w:val="nil"/>
              <w:bottom w:val="single" w:sz="4" w:space="0" w:color="auto"/>
              <w:right w:val="single" w:sz="4" w:space="0" w:color="auto"/>
            </w:tcBorders>
            <w:shd w:val="clear" w:color="auto" w:fill="C6EFCE"/>
            <w:noWrap/>
          </w:tcPr>
          <w:p w14:paraId="07B10098"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607" w:type="dxa"/>
            <w:tcBorders>
              <w:top w:val="single" w:sz="4" w:space="0" w:color="auto"/>
              <w:left w:val="nil"/>
              <w:bottom w:val="single" w:sz="4" w:space="0" w:color="auto"/>
              <w:right w:val="single" w:sz="4" w:space="0" w:color="auto"/>
            </w:tcBorders>
            <w:shd w:val="clear" w:color="auto" w:fill="C6EFCE"/>
            <w:noWrap/>
          </w:tcPr>
          <w:p w14:paraId="2C706C29"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080" w:type="dxa"/>
            <w:tcBorders>
              <w:top w:val="single" w:sz="4" w:space="0" w:color="auto"/>
              <w:left w:val="nil"/>
              <w:bottom w:val="single" w:sz="4" w:space="0" w:color="auto"/>
              <w:right w:val="single" w:sz="4" w:space="0" w:color="auto"/>
            </w:tcBorders>
            <w:shd w:val="clear" w:color="auto" w:fill="C6EFCE"/>
            <w:noWrap/>
          </w:tcPr>
          <w:p w14:paraId="6FF2296C" w14:textId="29B76447" w:rsidR="00C45D59" w:rsidRDefault="009B0962">
            <w:pPr>
              <w:pStyle w:val="P68B1DB1-Normal12"/>
              <w:spacing w:after="0" w:line="240" w:lineRule="auto"/>
              <w:rPr>
                <w:rFonts w:eastAsia="Times New Roman"/>
                <w:noProof/>
              </w:rPr>
            </w:pPr>
            <w:r>
              <w:rPr>
                <w:noProof/>
              </w:rPr>
              <w:t>Î2</w:t>
            </w:r>
          </w:p>
        </w:tc>
        <w:tc>
          <w:tcPr>
            <w:tcW w:w="720" w:type="dxa"/>
            <w:tcBorders>
              <w:top w:val="single" w:sz="4" w:space="0" w:color="auto"/>
              <w:left w:val="nil"/>
              <w:bottom w:val="single" w:sz="4" w:space="0" w:color="auto"/>
              <w:right w:val="single" w:sz="4" w:space="0" w:color="auto"/>
            </w:tcBorders>
            <w:shd w:val="clear" w:color="auto" w:fill="C6EFCE"/>
            <w:noWrap/>
          </w:tcPr>
          <w:p w14:paraId="382C0DD8" w14:textId="77777777" w:rsidR="00C45D59" w:rsidRDefault="009B0962">
            <w:pPr>
              <w:pStyle w:val="P68B1DB1-Normal12"/>
              <w:spacing w:after="0" w:line="240" w:lineRule="auto"/>
              <w:rPr>
                <w:rFonts w:eastAsia="Times New Roman"/>
                <w:noProof/>
              </w:rPr>
            </w:pPr>
            <w:r>
              <w:rPr>
                <w:noProof/>
              </w:rPr>
              <w:t>2025</w:t>
            </w:r>
          </w:p>
        </w:tc>
        <w:tc>
          <w:tcPr>
            <w:tcW w:w="3864" w:type="dxa"/>
            <w:tcBorders>
              <w:top w:val="single" w:sz="4" w:space="0" w:color="auto"/>
              <w:left w:val="nil"/>
              <w:bottom w:val="single" w:sz="4" w:space="0" w:color="auto"/>
              <w:right w:val="single" w:sz="4" w:space="0" w:color="auto"/>
            </w:tcBorders>
            <w:shd w:val="clear" w:color="auto" w:fill="C6EFCE"/>
            <w:noWrap/>
          </w:tcPr>
          <w:p w14:paraId="0D1BE9D2" w14:textId="473D5403" w:rsidR="00C45D59" w:rsidRDefault="009B0962">
            <w:pPr>
              <w:pStyle w:val="P68B1DB1-Normal12"/>
              <w:spacing w:after="0" w:line="240" w:lineRule="auto"/>
              <w:rPr>
                <w:rFonts w:eastAsia="Times New Roman"/>
                <w:noProof/>
              </w:rPr>
            </w:pPr>
            <w:r>
              <w:rPr>
                <w:noProof/>
              </w:rPr>
              <w:t>Realizarea a 36 proiecte în sectoarele Strategiei naționale de cercetare și inovare pentru specializare inteligentă 2014-2020 (RIS3), de exemplu în următoarele domenii: (I) mediul și dezvoltarea durabilă; (II) energie; (III) tehnologia informației și comunicațiilor; (IV) sănătate și farmacie; (V) lanțul de transport și de aprovizionare; (VI) industria agroalimentară și alimentară; (VII) materiale și construcții; și (viii) turismul, cultura și industriile creative.</w:t>
            </w:r>
          </w:p>
        </w:tc>
      </w:tr>
      <w:tr w:rsidR="00C45D59" w14:paraId="0012578C" w14:textId="77777777" w:rsidTr="00892E7E">
        <w:trPr>
          <w:trHeight w:val="309"/>
          <w:jc w:val="center"/>
        </w:trPr>
        <w:tc>
          <w:tcPr>
            <w:tcW w:w="594" w:type="dxa"/>
            <w:tcBorders>
              <w:top w:val="single" w:sz="4" w:space="0" w:color="auto"/>
              <w:left w:val="single" w:sz="4" w:space="0" w:color="auto"/>
              <w:bottom w:val="single" w:sz="4" w:space="0" w:color="auto"/>
              <w:right w:val="single" w:sz="4" w:space="0" w:color="auto"/>
            </w:tcBorders>
            <w:shd w:val="clear" w:color="auto" w:fill="C6EFCE"/>
            <w:noWrap/>
          </w:tcPr>
          <w:p w14:paraId="435BF9D6" w14:textId="77777777" w:rsidR="00C45D59" w:rsidRDefault="009B0962">
            <w:pPr>
              <w:pStyle w:val="P68B1DB1-Normal12"/>
              <w:spacing w:after="0" w:line="240" w:lineRule="auto"/>
              <w:rPr>
                <w:rFonts w:eastAsia="Times New Roman"/>
                <w:noProof/>
              </w:rPr>
            </w:pPr>
            <w:r>
              <w:rPr>
                <w:noProof/>
              </w:rPr>
              <w:t>346</w:t>
            </w:r>
          </w:p>
        </w:tc>
        <w:tc>
          <w:tcPr>
            <w:tcW w:w="2571" w:type="dxa"/>
            <w:tcBorders>
              <w:top w:val="single" w:sz="4" w:space="0" w:color="auto"/>
              <w:left w:val="nil"/>
              <w:bottom w:val="single" w:sz="4" w:space="0" w:color="auto"/>
              <w:right w:val="single" w:sz="4" w:space="0" w:color="auto"/>
            </w:tcBorders>
            <w:shd w:val="clear" w:color="auto" w:fill="C6EFCE"/>
            <w:noWrap/>
          </w:tcPr>
          <w:p w14:paraId="3A8C55DF" w14:textId="128FD3C0" w:rsidR="00C45D59" w:rsidRDefault="009B0962">
            <w:pPr>
              <w:pStyle w:val="P68B1DB1-Normal12"/>
              <w:spacing w:after="0" w:line="240" w:lineRule="auto"/>
              <w:rPr>
                <w:rFonts w:eastAsia="Times New Roman"/>
                <w:noProof/>
              </w:rPr>
            </w:pPr>
            <w:r>
              <w:rPr>
                <w:noProof/>
              </w:rPr>
              <w:t>16-4.5. Promovarea cercetării și inovării – 16622_ORIZONT 2020 „Marca de excelență”: societăți de finanțare</w:t>
            </w:r>
          </w:p>
        </w:tc>
        <w:tc>
          <w:tcPr>
            <w:tcW w:w="1094" w:type="dxa"/>
            <w:tcBorders>
              <w:top w:val="single" w:sz="4" w:space="0" w:color="auto"/>
              <w:left w:val="nil"/>
              <w:bottom w:val="single" w:sz="4" w:space="0" w:color="auto"/>
              <w:right w:val="single" w:sz="4" w:space="0" w:color="auto"/>
            </w:tcBorders>
            <w:shd w:val="clear" w:color="auto" w:fill="C6EFCE"/>
            <w:noWrap/>
          </w:tcPr>
          <w:p w14:paraId="34C70F4C" w14:textId="77777777" w:rsidR="00C45D59" w:rsidRDefault="009B0962">
            <w:pPr>
              <w:pStyle w:val="P68B1DB1-Normal12"/>
              <w:spacing w:after="0" w:line="240" w:lineRule="auto"/>
              <w:rPr>
                <w:rFonts w:eastAsia="Times New Roman"/>
                <w:noProof/>
              </w:rPr>
            </w:pPr>
            <w:r>
              <w:rPr>
                <w:noProof/>
              </w:rPr>
              <w:t>Etapă</w:t>
            </w:r>
          </w:p>
        </w:tc>
        <w:tc>
          <w:tcPr>
            <w:tcW w:w="1794" w:type="dxa"/>
            <w:tcBorders>
              <w:top w:val="single" w:sz="4" w:space="0" w:color="auto"/>
              <w:left w:val="nil"/>
              <w:bottom w:val="single" w:sz="4" w:space="0" w:color="auto"/>
              <w:right w:val="single" w:sz="4" w:space="0" w:color="auto"/>
            </w:tcBorders>
            <w:shd w:val="clear" w:color="auto" w:fill="C6EFCE"/>
            <w:noWrap/>
          </w:tcPr>
          <w:p w14:paraId="53A2B4CB" w14:textId="2A8E63EA" w:rsidR="00C45D59" w:rsidRDefault="009B0962">
            <w:pPr>
              <w:pStyle w:val="P68B1DB1-Normal12"/>
              <w:spacing w:after="0" w:line="240" w:lineRule="auto"/>
              <w:rPr>
                <w:rFonts w:eastAsia="Times New Roman"/>
                <w:noProof/>
              </w:rPr>
            </w:pPr>
            <w:r>
              <w:rPr>
                <w:noProof/>
              </w:rPr>
              <w:t xml:space="preserve">Executarea proiectelor </w:t>
            </w:r>
          </w:p>
        </w:tc>
        <w:tc>
          <w:tcPr>
            <w:tcW w:w="1774" w:type="dxa"/>
            <w:tcBorders>
              <w:top w:val="single" w:sz="4" w:space="0" w:color="auto"/>
              <w:left w:val="nil"/>
              <w:bottom w:val="single" w:sz="4" w:space="0" w:color="auto"/>
              <w:right w:val="single" w:sz="4" w:space="0" w:color="auto"/>
            </w:tcBorders>
            <w:shd w:val="clear" w:color="auto" w:fill="C6EFCE"/>
            <w:noWrap/>
          </w:tcPr>
          <w:p w14:paraId="23FEB5F3" w14:textId="7B0F37B6" w:rsidR="00C45D59" w:rsidRDefault="009B0962">
            <w:pPr>
              <w:pStyle w:val="P68B1DB1-Normal12"/>
              <w:spacing w:after="0" w:line="240" w:lineRule="auto"/>
              <w:rPr>
                <w:rFonts w:eastAsia="Times New Roman"/>
                <w:noProof/>
              </w:rPr>
            </w:pPr>
            <w:r>
              <w:rPr>
                <w:noProof/>
              </w:rPr>
              <w:t xml:space="preserve">Executarea proiectelor </w:t>
            </w:r>
          </w:p>
        </w:tc>
        <w:tc>
          <w:tcPr>
            <w:tcW w:w="960" w:type="dxa"/>
            <w:tcBorders>
              <w:top w:val="single" w:sz="4" w:space="0" w:color="auto"/>
              <w:left w:val="nil"/>
              <w:bottom w:val="single" w:sz="4" w:space="0" w:color="auto"/>
              <w:right w:val="single" w:sz="4" w:space="0" w:color="auto"/>
            </w:tcBorders>
            <w:shd w:val="clear" w:color="auto" w:fill="C6EFCE"/>
            <w:noWrap/>
          </w:tcPr>
          <w:p w14:paraId="7D96FBD2"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960" w:type="dxa"/>
            <w:tcBorders>
              <w:top w:val="single" w:sz="4" w:space="0" w:color="auto"/>
              <w:left w:val="nil"/>
              <w:bottom w:val="single" w:sz="4" w:space="0" w:color="auto"/>
              <w:right w:val="single" w:sz="4" w:space="0" w:color="auto"/>
            </w:tcBorders>
            <w:shd w:val="clear" w:color="auto" w:fill="C6EFCE"/>
            <w:noWrap/>
          </w:tcPr>
          <w:p w14:paraId="2447B19C"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607" w:type="dxa"/>
            <w:tcBorders>
              <w:top w:val="single" w:sz="4" w:space="0" w:color="auto"/>
              <w:left w:val="nil"/>
              <w:bottom w:val="single" w:sz="4" w:space="0" w:color="auto"/>
              <w:right w:val="single" w:sz="4" w:space="0" w:color="auto"/>
            </w:tcBorders>
            <w:shd w:val="clear" w:color="auto" w:fill="C6EFCE"/>
            <w:noWrap/>
          </w:tcPr>
          <w:p w14:paraId="6D756D22"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080" w:type="dxa"/>
            <w:tcBorders>
              <w:top w:val="single" w:sz="4" w:space="0" w:color="auto"/>
              <w:left w:val="nil"/>
              <w:bottom w:val="single" w:sz="4" w:space="0" w:color="auto"/>
              <w:right w:val="single" w:sz="4" w:space="0" w:color="auto"/>
            </w:tcBorders>
            <w:shd w:val="clear" w:color="auto" w:fill="C6EFCE"/>
            <w:noWrap/>
          </w:tcPr>
          <w:p w14:paraId="4CE8ABC9" w14:textId="77777777" w:rsidR="00C45D59" w:rsidRDefault="009B0962">
            <w:pPr>
              <w:pStyle w:val="P68B1DB1-Normal12"/>
              <w:spacing w:after="0" w:line="240" w:lineRule="auto"/>
              <w:rPr>
                <w:rFonts w:eastAsia="Times New Roman"/>
                <w:noProof/>
              </w:rPr>
            </w:pPr>
            <w:r>
              <w:rPr>
                <w:noProof/>
              </w:rPr>
              <w:t>Î4</w:t>
            </w:r>
          </w:p>
        </w:tc>
        <w:tc>
          <w:tcPr>
            <w:tcW w:w="720" w:type="dxa"/>
            <w:tcBorders>
              <w:top w:val="single" w:sz="4" w:space="0" w:color="auto"/>
              <w:left w:val="nil"/>
              <w:bottom w:val="single" w:sz="4" w:space="0" w:color="auto"/>
              <w:right w:val="single" w:sz="4" w:space="0" w:color="auto"/>
            </w:tcBorders>
            <w:shd w:val="clear" w:color="auto" w:fill="C6EFCE"/>
            <w:noWrap/>
          </w:tcPr>
          <w:p w14:paraId="1513105E" w14:textId="77777777" w:rsidR="00C45D59" w:rsidRDefault="009B0962">
            <w:pPr>
              <w:pStyle w:val="P68B1DB1-Normal12"/>
              <w:spacing w:after="0" w:line="240" w:lineRule="auto"/>
              <w:rPr>
                <w:rFonts w:eastAsia="Times New Roman"/>
                <w:noProof/>
              </w:rPr>
            </w:pPr>
            <w:r>
              <w:rPr>
                <w:noProof/>
              </w:rPr>
              <w:t>2025</w:t>
            </w:r>
          </w:p>
        </w:tc>
        <w:tc>
          <w:tcPr>
            <w:tcW w:w="3864" w:type="dxa"/>
            <w:tcBorders>
              <w:top w:val="single" w:sz="4" w:space="0" w:color="auto"/>
              <w:left w:val="nil"/>
              <w:bottom w:val="single" w:sz="4" w:space="0" w:color="auto"/>
              <w:right w:val="single" w:sz="4" w:space="0" w:color="auto"/>
            </w:tcBorders>
            <w:shd w:val="clear" w:color="auto" w:fill="C6EFCE"/>
            <w:noWrap/>
          </w:tcPr>
          <w:p w14:paraId="1767B187" w14:textId="3A2D5069" w:rsidR="00C45D59" w:rsidRDefault="009B0962">
            <w:pPr>
              <w:pStyle w:val="P68B1DB1-Normal12"/>
              <w:spacing w:after="0" w:line="240" w:lineRule="auto"/>
              <w:rPr>
                <w:rFonts w:eastAsia="Times New Roman"/>
                <w:noProof/>
              </w:rPr>
            </w:pPr>
            <w:r>
              <w:rPr>
                <w:noProof/>
              </w:rPr>
              <w:t xml:space="preserve">Executarea a 12 de proiecte cărora li s-a acordat eticheta de calitate „marcă de excelență” a programului Orizont 2020. Proiectele vizează anumite sectoare, care pot include, dar nu se limitează la: (I) mediul și dezvoltarea durabilă; (II) energie; (III) tehnologia informației și comunicațiilor; (IV) sănătate și farmacie; (V) lanțul de transport și de aprovizionare; (VI) industria agroalimentară și alimentară; și (vii) materiale și construcții. </w:t>
            </w:r>
          </w:p>
        </w:tc>
      </w:tr>
    </w:tbl>
    <w:p w14:paraId="5AB53E9E" w14:textId="77777777" w:rsidR="00C45D59" w:rsidRDefault="00C45D59">
      <w:pPr>
        <w:spacing w:before="120" w:after="120" w:line="240" w:lineRule="auto"/>
        <w:ind w:left="709"/>
        <w:jc w:val="both"/>
        <w:rPr>
          <w:rFonts w:ascii="Times New Roman" w:hAnsi="Times New Roman" w:cs="Times New Roman"/>
          <w:noProof/>
          <w:sz w:val="24"/>
        </w:rPr>
        <w:sectPr w:rsidR="00C45D59">
          <w:headerReference w:type="even" r:id="rId324"/>
          <w:headerReference w:type="default" r:id="rId325"/>
          <w:footerReference w:type="even" r:id="rId326"/>
          <w:footerReference w:type="default" r:id="rId327"/>
          <w:headerReference w:type="first" r:id="rId328"/>
          <w:footerReference w:type="first" r:id="rId329"/>
          <w:pgSz w:w="16839" w:h="11907" w:orient="landscape"/>
          <w:pgMar w:top="1134" w:right="1134" w:bottom="1134" w:left="1134" w:header="567" w:footer="567" w:gutter="0"/>
          <w:cols w:space="720"/>
          <w:docGrid w:linePitch="360"/>
        </w:sectPr>
      </w:pPr>
    </w:p>
    <w:p w14:paraId="76302C68" w14:textId="77777777" w:rsidR="00C45D59" w:rsidRDefault="009B0962">
      <w:pPr>
        <w:pStyle w:val="P68B1DB1-Normal48"/>
        <w:spacing w:before="120" w:after="120" w:line="240" w:lineRule="auto"/>
        <w:ind w:firstLine="6"/>
        <w:jc w:val="both"/>
        <w:outlineLvl w:val="3"/>
        <w:rPr>
          <w:rFonts w:cs="Times New Roman"/>
          <w:bCs/>
          <w:noProof/>
        </w:rPr>
      </w:pPr>
      <w:r>
        <w:rPr>
          <w:noProof/>
        </w:rPr>
        <w:t>Q. COMPONENTA 4.6: MODERNIZAREA ȘI ÎMBUNĂTĂȚIREA REZILIENȚEI SECTOARELOR ECONOMICE ESENȚIALE</w:t>
      </w:r>
    </w:p>
    <w:p w14:paraId="312486AC" w14:textId="77777777" w:rsidR="00C45D59" w:rsidRDefault="009B0962">
      <w:pPr>
        <w:pStyle w:val="P68B1DB1-Normal7"/>
        <w:spacing w:before="120" w:after="120" w:line="240" w:lineRule="auto"/>
        <w:jc w:val="both"/>
        <w:rPr>
          <w:rFonts w:cs="Times New Roman"/>
          <w:noProof/>
        </w:rPr>
      </w:pPr>
      <w:r>
        <w:rPr>
          <w:noProof/>
        </w:rPr>
        <w:t>Această componentă a planului de redresare și reziliență al Greciei cuprinde reforme și investiții specifice menite să îmbunătățească competitivitatea sectoarelor-cheie ale economiei Greciei, și anume turismul și cultura, agricultura, industria prelucrătoare și acvacultura. Componenta include, de asemenea, investiții în infrastructura de transport care vizează îmbunătățirea conectivității și a siguranței rutiere. Turismul va fi sprijinit prin investiții în turismul tematic în vederea explorării unor noi piețe turistice. Componenta include, de asemenea, investiții în cultură pentru a îmbunătăți competitivitatea și reziliența sectorului și pentru a exploata mai bine legăturile acestuia cu turismul. Investițiile în agricultură sporesc eficiența metodelor de producție, promovează organizațiile de producători și cooperativele și încurajează reorientarea către produse cu o valoare adăugată mai mare. Componenta include, de asemenea, o reformă aprofundată a sectorului feroviar pentru a-l face mai eficient și mai competitiv. Aceste investiții sprijină buna funcționare a pieței interne și dezvoltarea unui sistem de transport durabil. Componenta sprijină abordarea recomandărilor specifice fiecărei țări privind investițiile publice și private (Recomandarea specifică fiecărei țări 2 2019 și Recomandarea specifică fiecărei țări 3 2020). Se preconizează că nicio măsură din cadrul acestei componente nu prejudiciază în mod semnificativ obiectivele de mediu în sensul articolului 17 din Regulamentul (UE) 2020/852, ținând seama de descrierea măsurilor și a etapelor de atenuare prevăzute în planul de redresare și reziliență în conformitate cu Orientările tehnice privind aplicarea principiului de „a nu prejudicia în mod semnificativ” (2021/C58/01).</w:t>
      </w:r>
    </w:p>
    <w:p w14:paraId="614F35BF" w14:textId="77777777" w:rsidR="00C45D59" w:rsidRDefault="009B0962">
      <w:pPr>
        <w:pStyle w:val="P68B1DB1-Normal6"/>
        <w:spacing w:before="120" w:after="120" w:line="240" w:lineRule="auto"/>
        <w:jc w:val="both"/>
        <w:rPr>
          <w:rFonts w:cs="Times New Roman"/>
          <w:bCs/>
          <w:noProof/>
        </w:rPr>
      </w:pPr>
      <w:r>
        <w:rPr>
          <w:noProof/>
        </w:rPr>
        <w:t>ÎNTREBAREA 1 Descrierea reformelor și a investițiilor pentru sprijinul financiar nerambursabil</w:t>
      </w:r>
    </w:p>
    <w:p w14:paraId="36CDC23E" w14:textId="77777777" w:rsidR="00C45D59" w:rsidRDefault="009B0962">
      <w:pPr>
        <w:pStyle w:val="P68B1DB1-Normal5"/>
        <w:spacing w:before="120" w:after="120" w:line="240" w:lineRule="auto"/>
        <w:jc w:val="both"/>
        <w:rPr>
          <w:rFonts w:cs="Times New Roman"/>
          <w:noProof/>
        </w:rPr>
      </w:pPr>
      <w:r>
        <w:rPr>
          <w:b/>
          <w:noProof/>
        </w:rPr>
        <w:t>Investiții:</w:t>
      </w:r>
      <w:r>
        <w:rPr>
          <w:noProof/>
        </w:rPr>
        <w:t xml:space="preserve"> Modernizarea siguranței rutiere (măsura ID 16631)</w:t>
      </w:r>
    </w:p>
    <w:p w14:paraId="0EA1A6E8" w14:textId="77777777" w:rsidR="00C45D59" w:rsidRDefault="009B0962">
      <w:pPr>
        <w:pStyle w:val="P68B1DB1-Normal7"/>
        <w:spacing w:before="120" w:after="120" w:line="240" w:lineRule="auto"/>
        <w:jc w:val="both"/>
        <w:rPr>
          <w:rFonts w:cs="Times New Roman"/>
          <w:noProof/>
        </w:rPr>
      </w:pPr>
      <w:r>
        <w:rPr>
          <w:noProof/>
        </w:rPr>
        <w:t>Obiectivul investiției este de a reduce numărul accidentelor rutiere din țară. Investiția cuprinde intervenții în locuri periculoase și instalarea de stâlpi de iluminat cu comandă inteligentă în întreaga țară.</w:t>
      </w:r>
    </w:p>
    <w:p w14:paraId="6A8CD8B6" w14:textId="77777777" w:rsidR="00C45D59" w:rsidRDefault="009B0962">
      <w:pPr>
        <w:pStyle w:val="P68B1DB1-Normal5"/>
        <w:spacing w:before="120" w:after="120" w:line="240" w:lineRule="auto"/>
        <w:jc w:val="both"/>
        <w:rPr>
          <w:rFonts w:cs="Times New Roman"/>
          <w:noProof/>
        </w:rPr>
      </w:pPr>
      <w:r>
        <w:rPr>
          <w:b/>
          <w:noProof/>
        </w:rPr>
        <w:t>Investiții:</w:t>
      </w:r>
      <w:r>
        <w:rPr>
          <w:noProof/>
        </w:rPr>
        <w:t xml:space="preserve"> Autostrada E-65 din Grecia Centrală: Secția Trikalia – Egnatia (măsura ID 16628)</w:t>
      </w:r>
    </w:p>
    <w:p w14:paraId="3862B46E" w14:textId="77777777" w:rsidR="00C45D59" w:rsidRDefault="009B0962">
      <w:pPr>
        <w:pStyle w:val="P68B1DB1-Normal7"/>
        <w:spacing w:before="120" w:after="120" w:line="240" w:lineRule="auto"/>
        <w:jc w:val="both"/>
        <w:rPr>
          <w:rFonts w:cs="Times New Roman"/>
          <w:noProof/>
          <w:highlight w:val="green"/>
        </w:rPr>
      </w:pPr>
      <w:r>
        <w:rPr>
          <w:noProof/>
        </w:rPr>
        <w:t>Obiectivul acestei investiții este de a îmbunătăți conectivitatea dintre sudul Greciei, Tesalia și Macedonia de Vest. Investiția cuprinde lucrări de construcție pe tronsonul Trikala-Egnatia al autostrăzii E-65, necesare pentru funcționarea autostrăzii.</w:t>
      </w:r>
    </w:p>
    <w:p w14:paraId="3DB0B288" w14:textId="77777777" w:rsidR="00C45D59" w:rsidRDefault="009B0962">
      <w:pPr>
        <w:pStyle w:val="P68B1DB1-Normal7"/>
        <w:spacing w:before="120" w:after="120" w:line="240" w:lineRule="auto"/>
        <w:jc w:val="both"/>
        <w:rPr>
          <w:rFonts w:cs="Times New Roman"/>
          <w:noProof/>
        </w:rPr>
      </w:pPr>
      <w:r>
        <w:rPr>
          <w:b/>
          <w:noProof/>
        </w:rPr>
        <w:t>Investiții:</w:t>
      </w:r>
      <w:r>
        <w:rPr>
          <w:noProof/>
        </w:rPr>
        <w:t xml:space="preserve"> Autostrada din nordul insulei Creta (Β.Ο.Α.Κ.) (măsura ID 16630)</w:t>
      </w:r>
    </w:p>
    <w:p w14:paraId="3EBDEBB1" w14:textId="77777777" w:rsidR="00C45D59" w:rsidRDefault="009B0962">
      <w:pPr>
        <w:pStyle w:val="P68B1DB1-Normal7"/>
        <w:spacing w:before="120" w:after="120" w:line="240" w:lineRule="auto"/>
        <w:jc w:val="both"/>
        <w:rPr>
          <w:noProof/>
        </w:rPr>
      </w:pPr>
      <w:r>
        <w:rPr>
          <w:noProof/>
        </w:rPr>
        <w:t>Obiectivul investiției este de a îmbunătăți accesibilitatea între principalele orașe din Creta. Investiția constă în lucrări predefinite pe segmente din:</w:t>
      </w:r>
    </w:p>
    <w:p w14:paraId="1707A870" w14:textId="7772A2FC" w:rsidR="00C45D59" w:rsidRDefault="009B0962">
      <w:pPr>
        <w:pStyle w:val="P68B1DB1-ListParagraph47"/>
        <w:numPr>
          <w:ilvl w:val="0"/>
          <w:numId w:val="76"/>
        </w:numPr>
        <w:spacing w:before="120" w:after="120" w:line="240" w:lineRule="auto"/>
        <w:jc w:val="both"/>
        <w:rPr>
          <w:rFonts w:cs="Times New Roman"/>
          <w:noProof/>
        </w:rPr>
      </w:pPr>
      <w:r>
        <w:rPr>
          <w:noProof/>
        </w:rPr>
        <w:t xml:space="preserve">De la Kissamos la Heraklion, </w:t>
      </w:r>
    </w:p>
    <w:p w14:paraId="1BD5A0F0" w14:textId="77777777" w:rsidR="00C45D59" w:rsidRDefault="009B0962">
      <w:pPr>
        <w:pStyle w:val="P68B1DB1-ListParagraph47"/>
        <w:numPr>
          <w:ilvl w:val="0"/>
          <w:numId w:val="76"/>
        </w:numPr>
        <w:spacing w:before="120" w:after="120" w:line="240" w:lineRule="auto"/>
        <w:jc w:val="both"/>
        <w:rPr>
          <w:rFonts w:cs="Times New Roman"/>
          <w:noProof/>
        </w:rPr>
      </w:pPr>
      <w:r>
        <w:rPr>
          <w:noProof/>
        </w:rPr>
        <w:t xml:space="preserve">Hersonissos – Neapoli și </w:t>
      </w:r>
    </w:p>
    <w:p w14:paraId="6D8BDF44" w14:textId="77777777" w:rsidR="00C45D59" w:rsidRDefault="009B0962">
      <w:pPr>
        <w:pStyle w:val="P68B1DB1-ListParagraph47"/>
        <w:numPr>
          <w:ilvl w:val="0"/>
          <w:numId w:val="76"/>
        </w:numPr>
        <w:spacing w:before="120" w:after="120" w:line="240" w:lineRule="auto"/>
        <w:jc w:val="both"/>
        <w:rPr>
          <w:rFonts w:cs="Times New Roman"/>
          <w:noProof/>
        </w:rPr>
      </w:pPr>
      <w:r>
        <w:rPr>
          <w:noProof/>
        </w:rPr>
        <w:t xml:space="preserve">Neapolis până la Agios Nikolaos. </w:t>
      </w:r>
    </w:p>
    <w:p w14:paraId="2A0129DE" w14:textId="77777777" w:rsidR="00C45D59" w:rsidRDefault="009B0962">
      <w:pPr>
        <w:pStyle w:val="P68B1DB1-Normal5"/>
        <w:spacing w:before="120" w:after="120" w:line="240" w:lineRule="auto"/>
        <w:jc w:val="both"/>
        <w:rPr>
          <w:rFonts w:cs="Times New Roman"/>
          <w:noProof/>
        </w:rPr>
      </w:pPr>
      <w:r>
        <w:rPr>
          <w:b/>
          <w:noProof/>
        </w:rPr>
        <w:t>Investiții:</w:t>
      </w:r>
      <w:r>
        <w:rPr>
          <w:noProof/>
        </w:rPr>
        <w:t xml:space="preserve"> Infrastructură inteligentă axată pe mediu și cultură (măsura ID 16960)</w:t>
      </w:r>
    </w:p>
    <w:p w14:paraId="09AFEE5C" w14:textId="68CAEC5E" w:rsidR="00C45D59" w:rsidRDefault="009B0962">
      <w:pPr>
        <w:pStyle w:val="P68B1DB1-Normal7"/>
        <w:spacing w:before="120" w:after="120" w:line="240" w:lineRule="auto"/>
        <w:jc w:val="both"/>
        <w:rPr>
          <w:rFonts w:cs="Times New Roman"/>
          <w:noProof/>
        </w:rPr>
      </w:pPr>
      <w:r>
        <w:rPr>
          <w:noProof/>
        </w:rPr>
        <w:t>Obiectivul investiției este de a îmbunătăți protecția mediului, amenajarea teritoriului și promovarea culturală prin digitalizare. Investiția acoperă sistemele informatice, scanarea dosarelor de demarcare și delimitarea cursurilor de apă pentru gestionarea cursurilor de apă, tranzacțiile imobiliare, accesul la date geospațiale, urmărirea ilegală a clădirilor, precum și serviciile digitale pentru exponatele culturale și monitorizarea poluării aerului și a mediului marin.</w:t>
      </w:r>
    </w:p>
    <w:p w14:paraId="3D58088D" w14:textId="76A16273" w:rsidR="00C45D59" w:rsidRDefault="009B0962">
      <w:pPr>
        <w:pStyle w:val="P68B1DB1-Normal7"/>
        <w:spacing w:before="120" w:after="120" w:line="240" w:lineRule="auto"/>
        <w:jc w:val="both"/>
        <w:rPr>
          <w:noProof/>
        </w:rPr>
      </w:pPr>
      <w:r>
        <w:rPr>
          <w:b/>
          <w:noProof/>
        </w:rPr>
        <w:t>Investiții:</w:t>
      </w:r>
      <w:r>
        <w:rPr>
          <w:noProof/>
        </w:rPr>
        <w:t xml:space="preserve"> Lucrări de restaurare în urma efectelor devastatoare ale furtunilor „DANIEL”, „ELIAS” și „IANOS” (măsura ID 16999)</w:t>
      </w:r>
    </w:p>
    <w:p w14:paraId="754CEDD9" w14:textId="58147F88" w:rsidR="00C45D59" w:rsidRDefault="009B0962">
      <w:pPr>
        <w:pStyle w:val="P68B1DB1-Normal7"/>
        <w:spacing w:before="120" w:after="120" w:line="240" w:lineRule="auto"/>
        <w:jc w:val="both"/>
        <w:rPr>
          <w:rFonts w:cs="Times New Roman"/>
          <w:noProof/>
        </w:rPr>
      </w:pPr>
      <w:r>
        <w:rPr>
          <w:noProof/>
        </w:rPr>
        <w:t>Obiectivul acestei investiții este de a efectua lucrări de restaurare pe tronsoanele rețelei rutiere și feroviare afectate de furtunile „DANIEL” și „ELIAS” și ale rețelelor rutiere și ale altor infrastructuri afectate de ciclonul „IANOS”. Investiția constă în lucrări de restaurare.</w:t>
      </w:r>
    </w:p>
    <w:p w14:paraId="733507D9" w14:textId="67D2F355" w:rsidR="00C45D59" w:rsidRDefault="009B0962">
      <w:pPr>
        <w:pStyle w:val="P68B1DB1-Normal7"/>
        <w:spacing w:before="120" w:after="120" w:line="240" w:lineRule="auto"/>
        <w:jc w:val="both"/>
        <w:rPr>
          <w:rFonts w:cs="Times New Roman"/>
          <w:noProof/>
        </w:rPr>
      </w:pPr>
      <w:r>
        <w:rPr>
          <w:b/>
          <w:noProof/>
        </w:rPr>
        <w:t>Investiții:</w:t>
      </w:r>
      <w:r>
        <w:rPr>
          <w:noProof/>
        </w:rPr>
        <w:t xml:space="preserve"> Modernizări ale aeroporturilor regionale – retragerea DAAD (măsura ID 16833)</w:t>
      </w:r>
    </w:p>
    <w:p w14:paraId="547B17D3" w14:textId="53CC94D5" w:rsidR="00C45D59" w:rsidRDefault="009B0962">
      <w:pPr>
        <w:pStyle w:val="P68B1DB1-Normal7"/>
        <w:spacing w:before="120" w:after="120" w:line="240" w:lineRule="auto"/>
        <w:jc w:val="both"/>
        <w:rPr>
          <w:noProof/>
        </w:rPr>
      </w:pPr>
      <w:r>
        <w:rPr>
          <w:noProof/>
        </w:rPr>
        <w:t>Obiectivul acestei investiții este modernizarea a 13 aeroporturi regionale. Măsura constă în retragerea a 97 documente de acceptare și de acțiune a abaterilor (DAAD).</w:t>
      </w:r>
    </w:p>
    <w:p w14:paraId="114DED92" w14:textId="77777777" w:rsidR="00C45D59" w:rsidRDefault="009B0962">
      <w:pPr>
        <w:pStyle w:val="P68B1DB1-Normal7"/>
        <w:spacing w:before="120" w:after="120" w:line="240" w:lineRule="auto"/>
        <w:jc w:val="both"/>
        <w:rPr>
          <w:rFonts w:cs="Times New Roman"/>
          <w:noProof/>
        </w:rPr>
      </w:pPr>
      <w:r>
        <w:rPr>
          <w:b/>
          <w:noProof/>
        </w:rPr>
        <w:t>Investiții:</w:t>
      </w:r>
      <w:r>
        <w:rPr>
          <w:noProof/>
        </w:rPr>
        <w:t xml:space="preserve"> Punți inteligente (măsura ID 16949)</w:t>
      </w:r>
    </w:p>
    <w:p w14:paraId="759FAD70" w14:textId="2E3677F5" w:rsidR="00C45D59" w:rsidRDefault="009B0962">
      <w:pPr>
        <w:pStyle w:val="P68B1DB1-Normal7"/>
        <w:spacing w:before="120" w:after="120" w:line="240" w:lineRule="auto"/>
        <w:jc w:val="both"/>
        <w:rPr>
          <w:rFonts w:cs="Times New Roman"/>
          <w:noProof/>
        </w:rPr>
      </w:pPr>
      <w:r>
        <w:rPr>
          <w:noProof/>
        </w:rPr>
        <w:t>Obiectivul acestei investiții este de a îmbunătăți nivelul de siguranță al podurilor. Investiția constă în instalarea de sisteme de monitorizare a sănătății structurale în timp real (RTSHM) pe poduri, cu (i) senzori sușă din fibră optică și alți senzori de monitorizare structurală pe 271 de poduri; și (ii) senzori autonomi fără fir pentru internetul obiectelor (IoT) care funcționează cu baterii sau energie solară pe 380 de poduri.</w:t>
      </w:r>
    </w:p>
    <w:p w14:paraId="09CD92C2" w14:textId="77777777" w:rsidR="00C45D59" w:rsidRDefault="009B0962">
      <w:pPr>
        <w:pStyle w:val="P68B1DB1-Normal7"/>
        <w:spacing w:before="120" w:after="120" w:line="240" w:lineRule="auto"/>
        <w:jc w:val="both"/>
        <w:rPr>
          <w:rFonts w:cs="Times New Roman"/>
          <w:noProof/>
        </w:rPr>
      </w:pPr>
      <w:r>
        <w:rPr>
          <w:b/>
          <w:noProof/>
        </w:rPr>
        <w:t>Investiții:</w:t>
      </w:r>
      <w:r>
        <w:rPr>
          <w:noProof/>
        </w:rPr>
        <w:t xml:space="preserve"> Transformarea digitală a căilor ferate elene (măsura ID 16959)</w:t>
      </w:r>
    </w:p>
    <w:p w14:paraId="2E83D3B3" w14:textId="77777777" w:rsidR="00C45D59" w:rsidRDefault="009B0962">
      <w:pPr>
        <w:pStyle w:val="P68B1DB1-Normal7"/>
        <w:spacing w:before="120" w:after="120" w:line="240" w:lineRule="auto"/>
        <w:jc w:val="both"/>
        <w:rPr>
          <w:rFonts w:cs="Times New Roman"/>
          <w:noProof/>
        </w:rPr>
      </w:pPr>
      <w:r>
        <w:rPr>
          <w:noProof/>
        </w:rPr>
        <w:t>Obiectivul investiției este de a dota căile ferate elene cu infrastructură și servicii digitale. Măsura constă în furnizarea de proiecte, sisteme, echipamente și servicii digitale.</w:t>
      </w:r>
    </w:p>
    <w:p w14:paraId="125D4ED9" w14:textId="77777777" w:rsidR="00C45D59" w:rsidRDefault="009B0962">
      <w:pPr>
        <w:pStyle w:val="P68B1DB1-Normal5"/>
        <w:spacing w:before="120" w:after="120" w:line="240" w:lineRule="auto"/>
        <w:jc w:val="both"/>
        <w:rPr>
          <w:rFonts w:cs="Times New Roman"/>
          <w:noProof/>
        </w:rPr>
      </w:pPr>
      <w:r>
        <w:rPr>
          <w:b/>
          <w:noProof/>
        </w:rPr>
        <w:t>Reformă:</w:t>
      </w:r>
      <w:r>
        <w:rPr>
          <w:noProof/>
        </w:rPr>
        <w:t xml:space="preserve"> Sistemul digital integrat de gestionare a programelor pentru administrarea lucrărilor tehnice și a activelor structurale al Ministerului Infrastructurii și Transporturilor (măsura ID 16937)</w:t>
      </w:r>
    </w:p>
    <w:p w14:paraId="20A6A5FD" w14:textId="77777777" w:rsidR="00C45D59" w:rsidRDefault="009B0962">
      <w:pPr>
        <w:pStyle w:val="P68B1DB1-Normal7"/>
        <w:spacing w:before="120" w:after="120" w:line="240" w:lineRule="auto"/>
        <w:jc w:val="both"/>
        <w:rPr>
          <w:rFonts w:cs="Times New Roman"/>
          <w:noProof/>
        </w:rPr>
      </w:pPr>
      <w:r>
        <w:rPr>
          <w:noProof/>
        </w:rPr>
        <w:t>Obiectivul acestei reforme este de a oferi Ministerului Infrastructurii și Transporturilor un instrument de gestionare a portofoliului său de lucrări tehnice și active. Măsura constă în punerea la dispoziția ministerului a unui sistem informatic de gestionare a portofoliului (PMIS).</w:t>
      </w:r>
    </w:p>
    <w:p w14:paraId="343A9581" w14:textId="77777777" w:rsidR="00C45D59" w:rsidRDefault="009B0962">
      <w:pPr>
        <w:pStyle w:val="P68B1DB1-Normal7"/>
        <w:spacing w:before="120" w:after="120" w:line="240" w:lineRule="auto"/>
        <w:jc w:val="both"/>
        <w:rPr>
          <w:rFonts w:cs="Times New Roman"/>
          <w:noProof/>
        </w:rPr>
      </w:pPr>
      <w:r>
        <w:rPr>
          <w:b/>
          <w:noProof/>
        </w:rPr>
        <w:t>Reformă:</w:t>
      </w:r>
      <w:r>
        <w:rPr>
          <w:noProof/>
        </w:rPr>
        <w:t xml:space="preserve"> Simplificarea procedurilor Ministerului Infrastructurii &amp; Transporturilor (măsura ID 16786)</w:t>
      </w:r>
    </w:p>
    <w:p w14:paraId="4686515A" w14:textId="77777777" w:rsidR="00C45D59" w:rsidRDefault="009B0962">
      <w:pPr>
        <w:pStyle w:val="P68B1DB1-Normal7"/>
        <w:spacing w:before="120" w:after="120" w:line="240" w:lineRule="auto"/>
        <w:jc w:val="both"/>
        <w:rPr>
          <w:rFonts w:cs="Times New Roman"/>
          <w:noProof/>
        </w:rPr>
      </w:pPr>
      <w:r>
        <w:rPr>
          <w:noProof/>
        </w:rPr>
        <w:t>Obiectivul reformei este digitalizarea și simplificarea procedurilor din cadrul Ministerului Infrastructurii și Transporturilor. Acesta acoperă procedurile pentru a) eliberarea, înlocuirea și reînnoirea permiselor de conducere, b) transferul vehiculelor, c) eliberarea permiselor de circulație și a plăcuțelor de înmatriculare și d) examenele pentru permisele de conducere.</w:t>
      </w:r>
    </w:p>
    <w:p w14:paraId="29EBBB38" w14:textId="77777777" w:rsidR="00C45D59" w:rsidRDefault="009B0962">
      <w:pPr>
        <w:pStyle w:val="P68B1DB1-Normal5"/>
        <w:spacing w:before="120" w:after="120" w:line="240" w:lineRule="auto"/>
        <w:jc w:val="both"/>
        <w:rPr>
          <w:rFonts w:cs="Times New Roman"/>
          <w:noProof/>
        </w:rPr>
      </w:pPr>
      <w:r>
        <w:rPr>
          <w:b/>
          <w:noProof/>
        </w:rPr>
        <w:t>Reformă:</w:t>
      </w:r>
      <w:r>
        <w:rPr>
          <w:noProof/>
        </w:rPr>
        <w:t xml:space="preserve"> Reforma muncii în sectorul cultural (măsura ID 16715)</w:t>
      </w:r>
    </w:p>
    <w:p w14:paraId="537A1ECC" w14:textId="77777777" w:rsidR="00C45D59" w:rsidRDefault="009B0962">
      <w:pPr>
        <w:pStyle w:val="P68B1DB1-Normal5"/>
        <w:spacing w:before="120" w:after="120" w:line="240" w:lineRule="auto"/>
        <w:jc w:val="both"/>
        <w:rPr>
          <w:b/>
          <w:noProof/>
        </w:rPr>
      </w:pPr>
      <w:r>
        <w:rPr>
          <w:noProof/>
        </w:rPr>
        <w:t>Această reformă introduce o legislație în domeniul muncii și al securității sociale pentru sectorul cultural și creativ, în vederea creșterii ponderii muncii declarate în acest sector, a sprijinirii profesioniștilor din acest sector și a protejării drepturilor lor de proprietate intelectuală. Obiectivul acestei reforme este de a spori reziliența sectorului cultural și creativ. Punerea în aplicare a reformei se finalizează până la 30 septembrie 2022.</w:t>
      </w:r>
    </w:p>
    <w:p w14:paraId="0EFC4E94" w14:textId="77777777" w:rsidR="00C45D59" w:rsidRDefault="009B0962">
      <w:pPr>
        <w:pStyle w:val="P68B1DB1-Normal5"/>
        <w:spacing w:before="120" w:after="120" w:line="240" w:lineRule="auto"/>
        <w:jc w:val="both"/>
        <w:rPr>
          <w:rFonts w:cs="Times New Roman"/>
          <w:noProof/>
        </w:rPr>
      </w:pPr>
      <w:r>
        <w:rPr>
          <w:b/>
          <w:noProof/>
        </w:rPr>
        <w:t>Investiții:</w:t>
      </w:r>
      <w:r>
        <w:rPr>
          <w:noProof/>
        </w:rPr>
        <w:t xml:space="preserve"> Cultura ca motor al creșterii (măsura ID 16293)</w:t>
      </w:r>
    </w:p>
    <w:p w14:paraId="005F4EC6" w14:textId="77777777" w:rsidR="00C45D59" w:rsidRDefault="009B0962">
      <w:pPr>
        <w:pStyle w:val="P68B1DB1-Normal7"/>
        <w:spacing w:before="120" w:after="120" w:line="240" w:lineRule="auto"/>
        <w:jc w:val="both"/>
        <w:rPr>
          <w:noProof/>
        </w:rPr>
      </w:pPr>
      <w:r>
        <w:rPr>
          <w:noProof/>
        </w:rPr>
        <w:t>Obiectivul investiției este de a spori contribuția culturii la creșterea inteligentă și durabilă și la coeziunea economică, socială și teritorială. Acesta constă în acțiuni pentru sectorul cultural.</w:t>
      </w:r>
    </w:p>
    <w:p w14:paraId="635DAE96" w14:textId="77777777" w:rsidR="00C45D59" w:rsidRDefault="009B0962">
      <w:pPr>
        <w:pStyle w:val="P68B1DB1-Normal7"/>
        <w:spacing w:before="120" w:after="120" w:line="240" w:lineRule="auto"/>
        <w:jc w:val="both"/>
        <w:rPr>
          <w:rFonts w:cs="Times New Roman"/>
          <w:noProof/>
        </w:rPr>
      </w:pPr>
      <w:r>
        <w:rPr>
          <w:b/>
          <w:noProof/>
        </w:rPr>
        <w:t>Investiții:</w:t>
      </w:r>
      <w:r>
        <w:rPr>
          <w:noProof/>
        </w:rPr>
        <w:t xml:space="preserve"> Muzeul antichităților subacvatice (măsura ID 16486)</w:t>
      </w:r>
    </w:p>
    <w:p w14:paraId="1BFF943A" w14:textId="3B83086A" w:rsidR="00C45D59" w:rsidRDefault="009B0962">
      <w:pPr>
        <w:pStyle w:val="P68B1DB1-Normal7"/>
        <w:spacing w:before="120" w:after="120" w:line="240" w:lineRule="auto"/>
        <w:jc w:val="both"/>
        <w:rPr>
          <w:rFonts w:cs="Times New Roman"/>
          <w:noProof/>
        </w:rPr>
      </w:pPr>
      <w:r>
        <w:rPr>
          <w:noProof/>
        </w:rPr>
        <w:t>Obiectivul investiției este de a reface o clădire industrială din Pireu și de a o redeschide ca muzeu de antichități subacvatice. Investiția constă în lucrări și materiale pentru restaurarea și construirea clădirii.</w:t>
      </w:r>
    </w:p>
    <w:p w14:paraId="36E62DDE" w14:textId="31B3A01E" w:rsidR="00C45D59" w:rsidRDefault="009B0962">
      <w:pPr>
        <w:pStyle w:val="P68B1DB1-Normal7"/>
        <w:spacing w:before="120" w:after="120" w:line="240" w:lineRule="auto"/>
        <w:jc w:val="both"/>
        <w:rPr>
          <w:rFonts w:cs="Times New Roman"/>
          <w:noProof/>
        </w:rPr>
      </w:pPr>
      <w:r>
        <w:rPr>
          <w:b/>
          <w:noProof/>
        </w:rPr>
        <w:t>Investiții:</w:t>
      </w:r>
      <w:r>
        <w:rPr>
          <w:noProof/>
        </w:rPr>
        <w:t xml:space="preserve"> Utilizarea „Acțiunilor-pilot de prescriere culturală”, promovarea coeziunii sociale și valorificarea economiei vârstei a treia (măsura ID 16735)</w:t>
      </w:r>
    </w:p>
    <w:p w14:paraId="377A6B5A" w14:textId="5AFD7F9F" w:rsidR="00C45D59" w:rsidRDefault="009B0962">
      <w:pPr>
        <w:pStyle w:val="P68B1DB1-Normal7"/>
        <w:spacing w:before="120" w:after="120" w:line="240" w:lineRule="auto"/>
        <w:jc w:val="both"/>
        <w:rPr>
          <w:noProof/>
        </w:rPr>
      </w:pPr>
      <w:r>
        <w:rPr>
          <w:noProof/>
        </w:rPr>
        <w:t>Obiectivul investiției este de a atrage vizitatori cu vârsta de cel puțin 65 ani, precum și vizitatori cu handicap în spațiile culturale. Acesta constă în lucrări de infrastructură și în programul „Acțiuni-pilot privind prescripțiile culturale”.</w:t>
      </w:r>
    </w:p>
    <w:p w14:paraId="6E751D08" w14:textId="67E05DC5" w:rsidR="00C45D59" w:rsidRDefault="009B0962">
      <w:pPr>
        <w:pStyle w:val="P68B1DB1-Normal7"/>
        <w:spacing w:before="120" w:after="120" w:line="240" w:lineRule="auto"/>
        <w:jc w:val="both"/>
        <w:rPr>
          <w:rFonts w:cs="Times New Roman"/>
          <w:noProof/>
        </w:rPr>
      </w:pPr>
      <w:r>
        <w:rPr>
          <w:b/>
          <w:noProof/>
        </w:rPr>
        <w:t>Investiții:</w:t>
      </w:r>
      <w:r>
        <w:rPr>
          <w:noProof/>
        </w:rPr>
        <w:t xml:space="preserve"> Modernizarea infrastructurii și a echipamentelor magazinelor HOCRED (măsura ID 16536)</w:t>
      </w:r>
    </w:p>
    <w:p w14:paraId="1DE7A4BC" w14:textId="0B731148" w:rsidR="00C45D59" w:rsidRDefault="009B0962">
      <w:pPr>
        <w:pStyle w:val="P68B1DB1-Normal7"/>
        <w:spacing w:before="120" w:after="120" w:line="240" w:lineRule="auto"/>
        <w:jc w:val="both"/>
        <w:rPr>
          <w:noProof/>
        </w:rPr>
      </w:pPr>
      <w:r>
        <w:rPr>
          <w:noProof/>
        </w:rPr>
        <w:t xml:space="preserve">Obiectivul investiției este de a îmbunătăți calitatea serviciilor furnizate de Organizația Elenă pentru Dezvoltarea Resurselor Culturale (HOCRED) și de a extinde rețeaua de magazine HOCRED. Investiția cuprinde modernizarea infrastructurii și a echipamentelor magazinelor, inclusiv renovări vizând eficiența energetică în anumite magazine. </w:t>
      </w:r>
    </w:p>
    <w:p w14:paraId="5AA77844" w14:textId="77777777" w:rsidR="00C45D59" w:rsidRDefault="009B0962">
      <w:pPr>
        <w:pStyle w:val="P68B1DB1-Normal5"/>
        <w:spacing w:before="120" w:after="120" w:line="240" w:lineRule="auto"/>
        <w:jc w:val="both"/>
        <w:rPr>
          <w:rFonts w:cs="Times New Roman"/>
          <w:noProof/>
        </w:rPr>
      </w:pPr>
      <w:r>
        <w:rPr>
          <w:b/>
          <w:noProof/>
        </w:rPr>
        <w:t>Investiții:</w:t>
      </w:r>
      <w:r>
        <w:rPr>
          <w:noProof/>
        </w:rPr>
        <w:t xml:space="preserve"> Protejarea monumentelor culturale și a siturilor arheologice împotriva schimbărilor climatice (măsura ID 16433)</w:t>
      </w:r>
    </w:p>
    <w:p w14:paraId="65BDBCD7" w14:textId="77777777" w:rsidR="00C45D59" w:rsidRDefault="009B0962">
      <w:pPr>
        <w:pStyle w:val="P68B1DB1-Normal5"/>
        <w:spacing w:before="120" w:after="120" w:line="240" w:lineRule="auto"/>
        <w:jc w:val="both"/>
        <w:rPr>
          <w:rFonts w:cs="Times New Roman"/>
          <w:noProof/>
        </w:rPr>
      </w:pPr>
      <w:r>
        <w:rPr>
          <w:noProof/>
        </w:rPr>
        <w:t>Obiectivul investiției este de a proteja patrimoniul cultural al Greciei și de a îmbunătăți reziliența acesteia la schimbările climatice. Investiția constă în lucrări de protecție și planuri de adaptare la schimbările climatice.</w:t>
      </w:r>
    </w:p>
    <w:p w14:paraId="3B0272C6" w14:textId="77777777" w:rsidR="00C45D59" w:rsidRDefault="009B0962">
      <w:pPr>
        <w:pStyle w:val="P68B1DB1-Normal7"/>
        <w:spacing w:before="120" w:after="120" w:line="240" w:lineRule="auto"/>
        <w:jc w:val="both"/>
        <w:rPr>
          <w:rFonts w:cs="Times New Roman"/>
          <w:noProof/>
        </w:rPr>
      </w:pPr>
      <w:r>
        <w:rPr>
          <w:b/>
          <w:noProof/>
        </w:rPr>
        <w:t>Investiții:</w:t>
      </w:r>
      <w:r>
        <w:rPr>
          <w:noProof/>
        </w:rPr>
        <w:t xml:space="preserve"> Modernizarea învățământului superior în domeniul artelor (măsura ID 16725)</w:t>
      </w:r>
    </w:p>
    <w:p w14:paraId="67F9FAA2" w14:textId="406A0DC4" w:rsidR="00C45D59" w:rsidRDefault="009B0962">
      <w:pPr>
        <w:pStyle w:val="P68B1DB1-Normal7"/>
        <w:spacing w:before="120" w:after="120" w:line="240" w:lineRule="auto"/>
        <w:jc w:val="both"/>
        <w:rPr>
          <w:rFonts w:cs="Times New Roman"/>
          <w:noProof/>
        </w:rPr>
      </w:pPr>
      <w:r>
        <w:rPr>
          <w:noProof/>
        </w:rPr>
        <w:t xml:space="preserve">Obiectivul investiției este de a moderniza instituțiile publice de învățământ superior de artă din Grecia. Aceasta constă în modernizarea infrastructurii fizice și tehnice a instituțiilor și este însoțită de o certificare actualizată pentru 13 de programe universitare de artă, a căror certificare expiră la 30 iunie 2026 sau la această dată. </w:t>
      </w:r>
    </w:p>
    <w:p w14:paraId="7C10F77C" w14:textId="61309836" w:rsidR="00C45D59" w:rsidRDefault="009B0962">
      <w:pPr>
        <w:pStyle w:val="P68B1DB1-Normal7"/>
        <w:spacing w:before="120" w:after="120" w:line="240" w:lineRule="auto"/>
        <w:jc w:val="both"/>
        <w:rPr>
          <w:rFonts w:cs="Times New Roman"/>
          <w:noProof/>
        </w:rPr>
      </w:pPr>
      <w:r>
        <w:rPr>
          <w:b/>
          <w:noProof/>
        </w:rPr>
        <w:t>Investiții:</w:t>
      </w:r>
      <w:r>
        <w:rPr>
          <w:noProof/>
        </w:rPr>
        <w:t xml:space="preserve"> Itinerarii culturale la siturile și monumentele arheologice (măsura ID 16485)</w:t>
      </w:r>
    </w:p>
    <w:p w14:paraId="31F339B2" w14:textId="2560995C" w:rsidR="00C45D59" w:rsidRDefault="009B0962">
      <w:pPr>
        <w:pStyle w:val="P68B1DB1-Normal7"/>
        <w:spacing w:before="120" w:after="120" w:line="240" w:lineRule="auto"/>
        <w:jc w:val="both"/>
        <w:rPr>
          <w:noProof/>
        </w:rPr>
      </w:pPr>
      <w:r>
        <w:rPr>
          <w:noProof/>
        </w:rPr>
        <w:t>Această investiție urmărește să dezvolte cinci rute culturale cu discursuri tematice care să acopere perioade din istoria Greciei. Investiția cuprinde conservarea și restaurarea unor monumente selectate, modernizarea infrastructurii și aplicații digitale interactive.</w:t>
      </w:r>
    </w:p>
    <w:p w14:paraId="5AF93FFF" w14:textId="77777777" w:rsidR="00C45D59" w:rsidRDefault="009B0962">
      <w:pPr>
        <w:pStyle w:val="P68B1DB1-Normal5"/>
        <w:spacing w:before="120" w:after="120" w:line="240" w:lineRule="auto"/>
        <w:jc w:val="both"/>
        <w:rPr>
          <w:rFonts w:cs="Times New Roman"/>
          <w:noProof/>
        </w:rPr>
      </w:pPr>
      <w:r>
        <w:rPr>
          <w:b/>
          <w:noProof/>
        </w:rPr>
        <w:t>Investiții:</w:t>
      </w:r>
      <w:r>
        <w:rPr>
          <w:noProof/>
        </w:rPr>
        <w:t xml:space="preserve"> Restaurare – Conservare – Consolidarea monumentelor Acropolei (măsura ID 16435)</w:t>
      </w:r>
    </w:p>
    <w:p w14:paraId="27190DC7" w14:textId="77777777" w:rsidR="00C45D59" w:rsidRDefault="009B0962">
      <w:pPr>
        <w:pStyle w:val="P68B1DB1-Normal7"/>
        <w:spacing w:before="120" w:after="120" w:line="240" w:lineRule="auto"/>
        <w:jc w:val="both"/>
        <w:rPr>
          <w:noProof/>
        </w:rPr>
      </w:pPr>
      <w:r>
        <w:rPr>
          <w:noProof/>
        </w:rPr>
        <w:t>Obiectivul acestei investiții este de a proteja Acropola monumentelor din Atena împotriva schimbărilor climatice. Acesta constă în lucrări de restaurare și de accesibilitate pentru vizitatori.</w:t>
      </w:r>
    </w:p>
    <w:p w14:paraId="0732539A" w14:textId="77777777" w:rsidR="00C45D59" w:rsidRDefault="009B0962">
      <w:pPr>
        <w:pStyle w:val="P68B1DB1-Normal7"/>
        <w:spacing w:before="120" w:after="120" w:line="240" w:lineRule="auto"/>
        <w:jc w:val="both"/>
        <w:rPr>
          <w:rFonts w:cs="Times New Roman"/>
          <w:noProof/>
        </w:rPr>
      </w:pPr>
      <w:r>
        <w:rPr>
          <w:b/>
          <w:noProof/>
        </w:rPr>
        <w:t>Investiții:</w:t>
      </w:r>
      <w:r>
        <w:rPr>
          <w:noProof/>
        </w:rPr>
        <w:t xml:space="preserve"> Dezvoltarea turismului (măsura ID 16931)</w:t>
      </w:r>
    </w:p>
    <w:p w14:paraId="30BDF949" w14:textId="77777777" w:rsidR="00C45D59" w:rsidRDefault="009B0962">
      <w:pPr>
        <w:pStyle w:val="P68B1DB1-Normal5"/>
        <w:spacing w:before="120" w:after="120" w:line="240" w:lineRule="auto"/>
        <w:jc w:val="both"/>
        <w:rPr>
          <w:noProof/>
          <w:szCs w:val="24"/>
        </w:rPr>
      </w:pPr>
      <w:r>
        <w:rPr>
          <w:noProof/>
        </w:rPr>
        <w:t>Obiectivul investiției este de a prelungi sezonul turistic în Grecia dincolo de lunile de vară și de a promova forme alternative de turism. Investiția constă în acțiuni de modernizare a porturilor turistice și în acțiuni de dezvoltare verde și albastră.</w:t>
      </w:r>
    </w:p>
    <w:p w14:paraId="03114428" w14:textId="77777777" w:rsidR="00C45D59" w:rsidRDefault="009B0962">
      <w:pPr>
        <w:pStyle w:val="P68B1DB1-Normal5"/>
        <w:spacing w:before="120" w:after="120" w:line="240" w:lineRule="auto"/>
        <w:jc w:val="both"/>
        <w:rPr>
          <w:rFonts w:cs="Times New Roman"/>
          <w:noProof/>
        </w:rPr>
      </w:pPr>
      <w:r>
        <w:rPr>
          <w:b/>
          <w:noProof/>
        </w:rPr>
        <w:t>Investiții:</w:t>
      </w:r>
      <w:r>
        <w:rPr>
          <w:noProof/>
        </w:rPr>
        <w:t xml:space="preserve"> Recalificarea și actualizarea competențelor în turism (măsura ID 16921)</w:t>
      </w:r>
    </w:p>
    <w:p w14:paraId="487075D1" w14:textId="517BAD5D" w:rsidR="00C45D59" w:rsidRDefault="009B0962">
      <w:pPr>
        <w:pStyle w:val="P68B1DB1-Normal7"/>
        <w:spacing w:before="120" w:after="120" w:line="240" w:lineRule="auto"/>
        <w:jc w:val="both"/>
        <w:rPr>
          <w:noProof/>
        </w:rPr>
      </w:pPr>
      <w:r>
        <w:rPr>
          <w:noProof/>
        </w:rPr>
        <w:t xml:space="preserve">Obiectivul investiției este de a îmbunătăți competențele forței de muncă din Grecia în sectorul turismului prin perfecționarea și recalificarea lucrătorilor sezonieri, a șomerilor de lungă durată și a angajaților al căror contract de muncă a fost suspendat în timpul pandemiei de COVID-19. Investiția constă în programe de formare pentru cel puțin 18 000 de participanți. </w:t>
      </w:r>
    </w:p>
    <w:p w14:paraId="1D64B11E" w14:textId="77777777" w:rsidR="00C45D59" w:rsidRDefault="009B0962">
      <w:pPr>
        <w:pStyle w:val="P68B1DB1-Normal5"/>
        <w:spacing w:before="120" w:after="120" w:line="240" w:lineRule="auto"/>
        <w:jc w:val="both"/>
        <w:rPr>
          <w:rFonts w:cs="Times New Roman"/>
          <w:noProof/>
        </w:rPr>
      </w:pPr>
      <w:r>
        <w:rPr>
          <w:b/>
          <w:noProof/>
        </w:rPr>
        <w:t>Investiții:</w:t>
      </w:r>
      <w:r>
        <w:rPr>
          <w:noProof/>
        </w:rPr>
        <w:t xml:space="preserve"> Parcuri industriale (măsura ID 16634)</w:t>
      </w:r>
    </w:p>
    <w:p w14:paraId="3AEB7C61" w14:textId="77777777" w:rsidR="00C45D59" w:rsidRDefault="009B0962">
      <w:pPr>
        <w:pStyle w:val="P68B1DB1-Normal7"/>
        <w:spacing w:before="120" w:after="120" w:line="240" w:lineRule="auto"/>
        <w:jc w:val="both"/>
        <w:rPr>
          <w:rFonts w:cs="Times New Roman"/>
          <w:noProof/>
        </w:rPr>
      </w:pPr>
      <w:r>
        <w:rPr>
          <w:noProof/>
        </w:rPr>
        <w:t>Obiectivul măsurii este de a promova investițiile în parcuri industriale. Investiția constă în asistență financiară pentru infrastructura parcurilor și pentru stațiile de transport al energiei electrice care deservesc parcurile, precum și într-o reformă a cadrului de reglementare pentru parcurile industriale.</w:t>
      </w:r>
    </w:p>
    <w:p w14:paraId="770F5CB8" w14:textId="77777777" w:rsidR="00C45D59" w:rsidRDefault="009B0962">
      <w:pPr>
        <w:pStyle w:val="P68B1DB1-Normal7"/>
        <w:spacing w:before="120" w:after="120" w:line="240" w:lineRule="auto"/>
        <w:jc w:val="both"/>
        <w:rPr>
          <w:rFonts w:cs="Times New Roman"/>
          <w:noProof/>
        </w:rPr>
      </w:pPr>
      <w:r>
        <w:rPr>
          <w:b/>
          <w:noProof/>
        </w:rPr>
        <w:t>Investiții:</w:t>
      </w:r>
      <w:r>
        <w:rPr>
          <w:noProof/>
        </w:rPr>
        <w:t xml:space="preserve"> Accelerarea producției inteligente (măsura ID 16721)</w:t>
      </w:r>
    </w:p>
    <w:p w14:paraId="2364E3A0" w14:textId="77777777" w:rsidR="00C45D59" w:rsidRDefault="009B0962">
      <w:pPr>
        <w:pStyle w:val="P68B1DB1-Normal7"/>
        <w:spacing w:before="120" w:after="120" w:line="240" w:lineRule="auto"/>
        <w:jc w:val="both"/>
        <w:rPr>
          <w:noProof/>
        </w:rPr>
      </w:pPr>
      <w:r>
        <w:rPr>
          <w:noProof/>
        </w:rPr>
        <w:t xml:space="preserve">Obiectivul măsurii este de a promova investițiile în industria prelucrătoare. Investiția cuprinde sprijin financiar pentru întreprinderile mici și mijlocii din sectorul industrial în vederea modernizării echipamentelor și a infrastructurii lor de producție cu tehnologii inteligente cu un impact redus asupra mediului. </w:t>
      </w:r>
    </w:p>
    <w:p w14:paraId="707D3070" w14:textId="77777777" w:rsidR="00C45D59" w:rsidRDefault="009B0962">
      <w:pPr>
        <w:pStyle w:val="P68B1DB1-Normal7"/>
        <w:spacing w:before="120" w:after="120" w:line="240" w:lineRule="auto"/>
        <w:jc w:val="both"/>
        <w:rPr>
          <w:rFonts w:cs="Times New Roman"/>
          <w:noProof/>
        </w:rPr>
      </w:pPr>
      <w:r>
        <w:rPr>
          <w:b/>
          <w:noProof/>
        </w:rPr>
        <w:t>Investiții:</w:t>
      </w:r>
      <w:r>
        <w:rPr>
          <w:noProof/>
        </w:rPr>
        <w:t xml:space="preserve"> Transformarea economică a sectoarelor agricol și de acvacultură (măsura ID 16626)</w:t>
      </w:r>
    </w:p>
    <w:p w14:paraId="0DB82530" w14:textId="2AC679F0" w:rsidR="00C45D59" w:rsidRDefault="009B0962">
      <w:pPr>
        <w:pStyle w:val="P68B1DB1-Normal7"/>
        <w:spacing w:before="120" w:after="120" w:line="240" w:lineRule="auto"/>
        <w:jc w:val="both"/>
        <w:rPr>
          <w:rFonts w:cs="Times New Roman"/>
          <w:noProof/>
        </w:rPr>
      </w:pPr>
      <w:r>
        <w:rPr>
          <w:noProof/>
        </w:rPr>
        <w:t>Obiectivul investiției este de a stimula dezvoltarea sectoarelor agricol și al acvaculturii în Grecia. Investiția constă în 225 de proiecte.</w:t>
      </w:r>
    </w:p>
    <w:p w14:paraId="6C775683" w14:textId="77777777" w:rsidR="00C45D59" w:rsidRDefault="009B0962">
      <w:pPr>
        <w:pStyle w:val="P68B1DB1-Normal7"/>
        <w:spacing w:before="120" w:after="120" w:line="240" w:lineRule="auto"/>
        <w:jc w:val="both"/>
        <w:rPr>
          <w:rFonts w:cs="Times New Roman"/>
          <w:noProof/>
        </w:rPr>
      </w:pPr>
      <w:r>
        <w:rPr>
          <w:b/>
          <w:noProof/>
        </w:rPr>
        <w:t>Investiții:</w:t>
      </w:r>
      <w:r>
        <w:rPr>
          <w:noProof/>
        </w:rPr>
        <w:t xml:space="preserve"> Transformarea digitală a sectorului agroalimentar (măsura ID 16653)</w:t>
      </w:r>
    </w:p>
    <w:p w14:paraId="393EC2A5" w14:textId="77777777" w:rsidR="00C45D59" w:rsidRDefault="009B0962">
      <w:pPr>
        <w:pStyle w:val="P68B1DB1-Normal7"/>
        <w:spacing w:before="120" w:after="120" w:line="240" w:lineRule="auto"/>
        <w:jc w:val="both"/>
        <w:rPr>
          <w:noProof/>
        </w:rPr>
      </w:pPr>
      <w:r>
        <w:rPr>
          <w:noProof/>
        </w:rPr>
        <w:t xml:space="preserve">Obiectivul acestei investiții este de a facilita adoptarea de tehnologii inovatoare în sectorul agricol elen, controlul contrafacerii produselor grecești, produsele alimentare grecești, precum și de a crea noi cunoștințe în domeniul agroalimentar în Grecia. Investiția constă într-un proiect privind transformarea digitală a sectorului agricol și un proiect privind agricultura orientată spre exterior. </w:t>
      </w:r>
    </w:p>
    <w:p w14:paraId="37BE12E0" w14:textId="77777777" w:rsidR="00C45D59" w:rsidRDefault="009B0962">
      <w:pPr>
        <w:pStyle w:val="P68B1DB1-Normal5"/>
        <w:spacing w:before="120" w:after="120" w:line="240" w:lineRule="auto"/>
        <w:jc w:val="both"/>
        <w:rPr>
          <w:rFonts w:cs="Times New Roman"/>
          <w:noProof/>
        </w:rPr>
      </w:pPr>
      <w:r>
        <w:rPr>
          <w:b/>
          <w:noProof/>
        </w:rPr>
        <w:t>Investiții:</w:t>
      </w:r>
      <w:r>
        <w:rPr>
          <w:noProof/>
        </w:rPr>
        <w:t xml:space="preserve"> Intervenții de modernizare pentru porturile regionale (măsura ID 16975)</w:t>
      </w:r>
    </w:p>
    <w:p w14:paraId="11E6FA89" w14:textId="77777777" w:rsidR="00C45D59" w:rsidRDefault="009B0962">
      <w:pPr>
        <w:pStyle w:val="P68B1DB1-Normal7"/>
        <w:spacing w:before="120" w:after="120" w:line="240" w:lineRule="auto"/>
        <w:jc w:val="both"/>
        <w:rPr>
          <w:noProof/>
        </w:rPr>
      </w:pPr>
      <w:r>
        <w:rPr>
          <w:noProof/>
        </w:rPr>
        <w:t>Obiectivul acestei investiții este de a stimula dezvoltarea economică în porturile regionale. Măsura constă în construcția de lucrări de infrastructură în 13 porturi.</w:t>
      </w:r>
    </w:p>
    <w:p w14:paraId="65262778" w14:textId="77777777" w:rsidR="00C45D59" w:rsidRDefault="009B0962">
      <w:pPr>
        <w:pStyle w:val="P68B1DB1-Normal5"/>
        <w:spacing w:before="120" w:after="120" w:line="240" w:lineRule="auto"/>
        <w:jc w:val="both"/>
        <w:rPr>
          <w:rFonts w:cs="Times New Roman"/>
          <w:noProof/>
        </w:rPr>
      </w:pPr>
      <w:r>
        <w:rPr>
          <w:b/>
          <w:noProof/>
        </w:rPr>
        <w:t>Investiții:</w:t>
      </w:r>
      <w:r>
        <w:rPr>
          <w:noProof/>
        </w:rPr>
        <w:t xml:space="preserve"> Planul general pentru reînnoirea flotei elene de transport maritim de pasageri (măsura ID 16944)</w:t>
      </w:r>
    </w:p>
    <w:p w14:paraId="03C50E4C" w14:textId="77777777" w:rsidR="00C45D59" w:rsidRDefault="009B0962">
      <w:pPr>
        <w:pStyle w:val="P68B1DB1-Normal7"/>
        <w:spacing w:before="120" w:after="120" w:line="240" w:lineRule="auto"/>
        <w:jc w:val="both"/>
        <w:rPr>
          <w:rFonts w:cs="Times New Roman"/>
          <w:noProof/>
        </w:rPr>
      </w:pPr>
      <w:r>
        <w:rPr>
          <w:noProof/>
        </w:rPr>
        <w:t>Obiectivul acestei investiții este de a contribui la tranziția verde a transportului maritim de pasageri în Grecia. Măsura constă în pregătirea unui studiu și a unui plan general pentru reînnoirea flotei de transport maritim de pasageri a țării.</w:t>
      </w:r>
    </w:p>
    <w:p w14:paraId="39C23C12" w14:textId="77777777" w:rsidR="00C45D59" w:rsidRDefault="009B0962">
      <w:pPr>
        <w:pStyle w:val="P68B1DB1-Normal7"/>
        <w:spacing w:before="120" w:after="120" w:line="240" w:lineRule="auto"/>
        <w:jc w:val="both"/>
        <w:rPr>
          <w:rFonts w:cs="Times New Roman"/>
          <w:noProof/>
        </w:rPr>
      </w:pPr>
      <w:r>
        <w:rPr>
          <w:b/>
          <w:noProof/>
        </w:rPr>
        <w:t>Reformă:</w:t>
      </w:r>
      <w:r>
        <w:rPr>
          <w:noProof/>
        </w:rPr>
        <w:t xml:space="preserve"> Reforma organizațională în sectorul feroviar (măsura ID 16982)</w:t>
      </w:r>
    </w:p>
    <w:p w14:paraId="6B875CCC" w14:textId="77777777" w:rsidR="00C45D59" w:rsidRDefault="009B0962">
      <w:pPr>
        <w:pStyle w:val="P68B1DB1-Normal7"/>
        <w:spacing w:before="120" w:after="120" w:line="240" w:lineRule="auto"/>
        <w:jc w:val="both"/>
        <w:rPr>
          <w:rFonts w:cs="Times New Roman"/>
          <w:noProof/>
        </w:rPr>
      </w:pPr>
      <w:r>
        <w:rPr>
          <w:noProof/>
        </w:rPr>
        <w:t>Obiectivul reformei este de a face sectorul feroviar elen mai sigur, mai eficient, mai integrat, mai modern și mai receptiv la cererea clienților. Măsura constă în reforme juridice și organizaționale.</w:t>
      </w:r>
    </w:p>
    <w:p w14:paraId="42FFEB48" w14:textId="77777777" w:rsidR="00C45D59" w:rsidRDefault="009B0962">
      <w:pPr>
        <w:pStyle w:val="P68B1DB1-Normal7"/>
        <w:spacing w:before="120" w:after="120" w:line="240" w:lineRule="auto"/>
        <w:jc w:val="both"/>
        <w:rPr>
          <w:rFonts w:cs="Times New Roman"/>
          <w:noProof/>
        </w:rPr>
      </w:pPr>
      <w:r>
        <w:rPr>
          <w:b/>
          <w:noProof/>
        </w:rPr>
        <w:t>Reformă:</w:t>
      </w:r>
      <w:r>
        <w:rPr>
          <w:noProof/>
        </w:rPr>
        <w:t xml:space="preserve"> Modificarea cadrului juridic pentru atragerea investițiilor strategice (măsura ID 16593)</w:t>
      </w:r>
    </w:p>
    <w:p w14:paraId="6EF1F5A8" w14:textId="77777777" w:rsidR="00C45D59" w:rsidRDefault="009B0962">
      <w:pPr>
        <w:pStyle w:val="P68B1DB1-Normal7"/>
        <w:spacing w:before="120" w:after="120" w:line="240" w:lineRule="auto"/>
        <w:jc w:val="both"/>
        <w:rPr>
          <w:noProof/>
        </w:rPr>
      </w:pPr>
      <w:r>
        <w:rPr>
          <w:noProof/>
        </w:rPr>
        <w:t xml:space="preserve">Obiectivul reformei este de a promova Grecia ca destinație atractivă pentru potențialii investitori. Reforma constă în revizuirea și consolidarea cadrului juridic pentru atragerea investițiilor strategice și în crearea unei noi categorii de investiții strategice („Investiții empirice de mare importanță”) cu stimulente suplimentare și în oferirea de stimulente financiare acestora. </w:t>
      </w:r>
    </w:p>
    <w:p w14:paraId="536A1954" w14:textId="77777777" w:rsidR="00C45D59" w:rsidRDefault="00C45D59">
      <w:pPr>
        <w:spacing w:before="120" w:after="120" w:line="240" w:lineRule="auto"/>
        <w:jc w:val="both"/>
        <w:rPr>
          <w:rFonts w:ascii="Times New Roman" w:hAnsi="Times New Roman" w:cs="Times New Roman"/>
          <w:b/>
          <w:noProof/>
          <w:sz w:val="24"/>
          <w:u w:val="single"/>
        </w:rPr>
      </w:pPr>
    </w:p>
    <w:p w14:paraId="285A898D" w14:textId="77777777" w:rsidR="00C45D59" w:rsidRDefault="00C45D59">
      <w:pPr>
        <w:spacing w:before="120" w:after="120" w:line="240" w:lineRule="auto"/>
        <w:ind w:left="709"/>
        <w:jc w:val="both"/>
        <w:rPr>
          <w:rFonts w:ascii="Times New Roman" w:hAnsi="Times New Roman" w:cs="Times New Roman"/>
          <w:noProof/>
          <w:sz w:val="24"/>
        </w:rPr>
        <w:sectPr w:rsidR="00C45D59">
          <w:headerReference w:type="even" r:id="rId330"/>
          <w:headerReference w:type="default" r:id="rId331"/>
          <w:footerReference w:type="even" r:id="rId332"/>
          <w:footerReference w:type="default" r:id="rId333"/>
          <w:headerReference w:type="first" r:id="rId334"/>
          <w:footerReference w:type="first" r:id="rId335"/>
          <w:pgSz w:w="11906" w:h="16838"/>
          <w:pgMar w:top="1134" w:right="1134" w:bottom="1134" w:left="1134" w:header="567" w:footer="567" w:gutter="0"/>
          <w:cols w:space="708"/>
          <w:docGrid w:linePitch="360"/>
        </w:sectPr>
      </w:pPr>
    </w:p>
    <w:p w14:paraId="345BBE7D" w14:textId="77777777" w:rsidR="00C45D59" w:rsidRDefault="009B0962">
      <w:pPr>
        <w:pStyle w:val="P68B1DB1-Normal6"/>
        <w:spacing w:before="120" w:after="120" w:line="240" w:lineRule="auto"/>
        <w:jc w:val="both"/>
        <w:rPr>
          <w:noProof/>
        </w:rPr>
      </w:pPr>
      <w:r>
        <w:rPr>
          <w:noProof/>
        </w:rPr>
        <w:t>ÎNTREBAREA 2 Jaloane, ținte, indicatori și calendarul de monitorizare și implementare aplicabile sprijinului financiar nerambursabil</w:t>
      </w:r>
      <w:r>
        <w:rPr>
          <w:noProof/>
          <w:color w:val="2B579A"/>
          <w:shd w:val="clear" w:color="auto" w:fill="E6E6E6"/>
        </w:rPr>
        <w:t xml:space="preserve"> </w:t>
      </w:r>
    </w:p>
    <w:p w14:paraId="3EA79A33" w14:textId="77777777" w:rsidR="00C45D59" w:rsidRDefault="009B0962">
      <w:pPr>
        <w:pStyle w:val="P68B1DB1-Normal9"/>
        <w:keepNext/>
        <w:keepLines/>
        <w:spacing w:before="40" w:after="240" w:line="240" w:lineRule="auto"/>
        <w:jc w:val="both"/>
        <w:outlineLvl w:val="4"/>
        <w:rPr>
          <w:rFonts w:eastAsia="Times New Roman"/>
          <w:noProof/>
        </w:rPr>
      </w:pPr>
      <w:r>
        <w:rPr>
          <w:noProof/>
        </w:rPr>
        <w:t>Principala investiție 6: Autostrada E-65 din Grecia Centrală: Secțiunea Trikala-Egnatia</w:t>
      </w:r>
    </w:p>
    <w:tbl>
      <w:tblPr>
        <w:tblW w:w="15354" w:type="dxa"/>
        <w:jc w:val="center"/>
        <w:tblLook w:val="04A0" w:firstRow="1" w:lastRow="0" w:firstColumn="1" w:lastColumn="0" w:noHBand="0" w:noVBand="1"/>
      </w:tblPr>
      <w:tblGrid>
        <w:gridCol w:w="542"/>
        <w:gridCol w:w="1732"/>
        <w:gridCol w:w="1376"/>
        <w:gridCol w:w="1137"/>
        <w:gridCol w:w="1713"/>
        <w:gridCol w:w="1230"/>
        <w:gridCol w:w="896"/>
        <w:gridCol w:w="946"/>
        <w:gridCol w:w="1440"/>
        <w:gridCol w:w="1096"/>
        <w:gridCol w:w="3600"/>
      </w:tblGrid>
      <w:tr w:rsidR="00C45D59" w14:paraId="2FDDF459" w14:textId="77777777">
        <w:trPr>
          <w:trHeight w:val="810"/>
          <w:tblHeader/>
          <w:jc w:val="center"/>
        </w:trPr>
        <w:tc>
          <w:tcPr>
            <w:tcW w:w="54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ED379BC" w14:textId="456BFC48" w:rsidR="00C45D59" w:rsidRDefault="009B0962">
            <w:pPr>
              <w:pStyle w:val="P68B1DB1-Normal15"/>
              <w:spacing w:after="0" w:line="240" w:lineRule="auto"/>
              <w:jc w:val="center"/>
              <w:rPr>
                <w:rFonts w:eastAsia="Times New Roman"/>
                <w:noProof/>
              </w:rPr>
            </w:pPr>
            <w:r>
              <w:rPr>
                <w:noProof/>
              </w:rPr>
              <w:t>Nr</w:t>
            </w:r>
            <w:r w:rsidR="00892E7E">
              <w:rPr>
                <w:noProof/>
              </w:rPr>
              <w:t>. crt.</w:t>
            </w:r>
          </w:p>
        </w:tc>
        <w:tc>
          <w:tcPr>
            <w:tcW w:w="173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1F1E7A7" w14:textId="77777777" w:rsidR="00C45D59" w:rsidRDefault="009B0962">
            <w:pPr>
              <w:pStyle w:val="P68B1DB1-Normal10"/>
              <w:spacing w:after="0" w:line="240" w:lineRule="auto"/>
              <w:jc w:val="center"/>
              <w:rPr>
                <w:rFonts w:eastAsia="Times New Roman" w:cs="Times New Roman"/>
                <w:noProof/>
                <w:szCs w:val="18"/>
              </w:rPr>
            </w:pPr>
            <w:r>
              <w:rPr>
                <w:noProof/>
              </w:rPr>
              <w:t>Măsură conexă (reformă sau investiții)</w:t>
            </w:r>
          </w:p>
        </w:tc>
        <w:tc>
          <w:tcPr>
            <w:tcW w:w="106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850E103" w14:textId="77777777" w:rsidR="00C45D59" w:rsidRDefault="009B0962">
            <w:pPr>
              <w:pStyle w:val="P68B1DB1-Normal10"/>
              <w:spacing w:after="0" w:line="240" w:lineRule="auto"/>
              <w:jc w:val="center"/>
              <w:rPr>
                <w:rFonts w:eastAsia="Times New Roman" w:cs="Times New Roman"/>
                <w:noProof/>
                <w:szCs w:val="18"/>
              </w:rPr>
            </w:pPr>
            <w:r>
              <w:rPr>
                <w:noProof/>
              </w:rPr>
              <w:t>Etapă/Obiectiv</w:t>
            </w:r>
          </w:p>
        </w:tc>
        <w:tc>
          <w:tcPr>
            <w:tcW w:w="113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1D506C8" w14:textId="3698FB3D" w:rsidR="00C45D59" w:rsidRDefault="00892E7E">
            <w:pPr>
              <w:pStyle w:val="P68B1DB1-Normal10"/>
              <w:spacing w:after="0" w:line="240" w:lineRule="auto"/>
              <w:jc w:val="center"/>
              <w:rPr>
                <w:rFonts w:eastAsia="Times New Roman" w:cs="Times New Roman"/>
                <w:noProof/>
                <w:szCs w:val="18"/>
              </w:rPr>
            </w:pPr>
            <w:r>
              <w:rPr>
                <w:noProof/>
              </w:rPr>
              <w:t>Denumire</w:t>
            </w:r>
          </w:p>
        </w:tc>
        <w:tc>
          <w:tcPr>
            <w:tcW w:w="171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4720691" w14:textId="4B03A482" w:rsidR="00C45D59" w:rsidRDefault="009B0962">
            <w:pPr>
              <w:pStyle w:val="P68B1DB1-Normal10"/>
              <w:spacing w:after="0" w:line="240" w:lineRule="auto"/>
              <w:jc w:val="center"/>
              <w:rPr>
                <w:rFonts w:eastAsia="Times New Roman" w:cs="Times New Roman"/>
                <w:noProof/>
                <w:szCs w:val="18"/>
              </w:rPr>
            </w:pPr>
            <w:r>
              <w:rPr>
                <w:noProof/>
              </w:rPr>
              <w:t>Indicatori calitativi (pentru obiectivele de etapă)</w:t>
            </w:r>
          </w:p>
        </w:tc>
        <w:tc>
          <w:tcPr>
            <w:tcW w:w="3033"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6572AF55" w14:textId="77777777" w:rsidR="00C45D59" w:rsidRDefault="009B0962">
            <w:pPr>
              <w:pStyle w:val="P68B1DB1-Normal10"/>
              <w:spacing w:after="0" w:line="240" w:lineRule="auto"/>
              <w:jc w:val="center"/>
              <w:rPr>
                <w:rFonts w:eastAsia="Times New Roman" w:cs="Times New Roman"/>
                <w:noProof/>
                <w:szCs w:val="18"/>
              </w:rPr>
            </w:pPr>
            <w:r>
              <w:rPr>
                <w:noProof/>
              </w:rPr>
              <w:t>Indicatori cantitativi (pentru ținte)</w:t>
            </w:r>
          </w:p>
        </w:tc>
        <w:tc>
          <w:tcPr>
            <w:tcW w:w="2536" w:type="dxa"/>
            <w:gridSpan w:val="2"/>
            <w:tcBorders>
              <w:top w:val="single" w:sz="4" w:space="0" w:color="auto"/>
              <w:left w:val="nil"/>
              <w:bottom w:val="single" w:sz="4" w:space="0" w:color="auto"/>
              <w:right w:val="single" w:sz="4" w:space="0" w:color="auto"/>
            </w:tcBorders>
            <w:shd w:val="clear" w:color="auto" w:fill="BDD7EE"/>
            <w:vAlign w:val="center"/>
            <w:hideMark/>
          </w:tcPr>
          <w:p w14:paraId="7BBD34BB" w14:textId="77777777" w:rsidR="00C45D59" w:rsidRDefault="009B0962">
            <w:pPr>
              <w:pStyle w:val="P68B1DB1-Normal10"/>
              <w:spacing w:after="0" w:line="240" w:lineRule="auto"/>
              <w:jc w:val="center"/>
              <w:rPr>
                <w:rFonts w:eastAsia="Times New Roman" w:cs="Times New Roman"/>
                <w:noProof/>
                <w:szCs w:val="18"/>
              </w:rPr>
            </w:pPr>
            <w:r>
              <w:rPr>
                <w:noProof/>
              </w:rPr>
              <w:t xml:space="preserve">Calendar orientativ pentru finalizare </w:t>
            </w:r>
          </w:p>
        </w:tc>
        <w:tc>
          <w:tcPr>
            <w:tcW w:w="360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49CD682" w14:textId="77777777" w:rsidR="00C45D59" w:rsidRDefault="009B0962">
            <w:pPr>
              <w:pStyle w:val="P68B1DB1-Normal10"/>
              <w:spacing w:after="0" w:line="240" w:lineRule="auto"/>
              <w:jc w:val="center"/>
              <w:rPr>
                <w:rFonts w:eastAsia="Times New Roman" w:cs="Times New Roman"/>
                <w:noProof/>
                <w:szCs w:val="18"/>
              </w:rPr>
            </w:pPr>
            <w:r>
              <w:rPr>
                <w:noProof/>
              </w:rPr>
              <w:t>Descrierea fiecărui jalon și a fiecărei ținte</w:t>
            </w:r>
          </w:p>
        </w:tc>
      </w:tr>
      <w:tr w:rsidR="00C45D59" w14:paraId="1E1589B3" w14:textId="77777777">
        <w:trPr>
          <w:trHeight w:val="440"/>
          <w:tblHeader/>
          <w:jc w:val="center"/>
        </w:trPr>
        <w:tc>
          <w:tcPr>
            <w:tcW w:w="542" w:type="dxa"/>
            <w:vMerge/>
            <w:tcBorders>
              <w:top w:val="single" w:sz="4" w:space="0" w:color="auto"/>
              <w:left w:val="single" w:sz="4" w:space="0" w:color="auto"/>
              <w:bottom w:val="single" w:sz="4" w:space="0" w:color="auto"/>
              <w:right w:val="single" w:sz="4" w:space="0" w:color="auto"/>
            </w:tcBorders>
            <w:vAlign w:val="center"/>
            <w:hideMark/>
          </w:tcPr>
          <w:p w14:paraId="70F3B9DE" w14:textId="77777777" w:rsidR="00C45D59" w:rsidRDefault="00C45D59">
            <w:pPr>
              <w:spacing w:after="0" w:line="240" w:lineRule="auto"/>
              <w:rPr>
                <w:rFonts w:ascii="Times New Roman" w:eastAsia="Times New Roman" w:hAnsi="Times New Roman" w:cs="Times New Roman"/>
                <w:b/>
                <w:bCs/>
                <w:noProof/>
                <w:sz w:val="18"/>
                <w:szCs w:val="18"/>
              </w:rPr>
            </w:pPr>
          </w:p>
        </w:tc>
        <w:tc>
          <w:tcPr>
            <w:tcW w:w="1732" w:type="dxa"/>
            <w:vMerge/>
            <w:tcBorders>
              <w:top w:val="single" w:sz="4" w:space="0" w:color="auto"/>
              <w:left w:val="single" w:sz="4" w:space="0" w:color="auto"/>
              <w:bottom w:val="single" w:sz="4" w:space="0" w:color="auto"/>
              <w:right w:val="single" w:sz="4" w:space="0" w:color="auto"/>
            </w:tcBorders>
            <w:vAlign w:val="center"/>
            <w:hideMark/>
          </w:tcPr>
          <w:p w14:paraId="512E7B0D" w14:textId="77777777" w:rsidR="00C45D59" w:rsidRDefault="00C45D59">
            <w:pPr>
              <w:spacing w:after="0" w:line="240" w:lineRule="auto"/>
              <w:rPr>
                <w:rFonts w:ascii="Times New Roman" w:eastAsia="Times New Roman" w:hAnsi="Times New Roman" w:cs="Times New Roman"/>
                <w:b/>
                <w:bCs/>
                <w:noProof/>
                <w:sz w:val="18"/>
                <w:szCs w:val="18"/>
              </w:rPr>
            </w:pPr>
          </w:p>
        </w:tc>
        <w:tc>
          <w:tcPr>
            <w:tcW w:w="1061" w:type="dxa"/>
            <w:vMerge/>
            <w:tcBorders>
              <w:top w:val="single" w:sz="4" w:space="0" w:color="auto"/>
              <w:left w:val="single" w:sz="4" w:space="0" w:color="auto"/>
              <w:bottom w:val="single" w:sz="4" w:space="0" w:color="auto"/>
              <w:right w:val="single" w:sz="4" w:space="0" w:color="auto"/>
            </w:tcBorders>
            <w:vAlign w:val="center"/>
            <w:hideMark/>
          </w:tcPr>
          <w:p w14:paraId="7F336FDF" w14:textId="77777777" w:rsidR="00C45D59" w:rsidRDefault="00C45D59">
            <w:pPr>
              <w:spacing w:after="0" w:line="240" w:lineRule="auto"/>
              <w:rPr>
                <w:rFonts w:ascii="Times New Roman" w:eastAsia="Times New Roman" w:hAnsi="Times New Roman" w:cs="Times New Roman"/>
                <w:b/>
                <w:bCs/>
                <w:noProof/>
                <w:sz w:val="18"/>
                <w:szCs w:val="18"/>
              </w:rPr>
            </w:pPr>
          </w:p>
        </w:tc>
        <w:tc>
          <w:tcPr>
            <w:tcW w:w="1137" w:type="dxa"/>
            <w:vMerge/>
            <w:tcBorders>
              <w:top w:val="single" w:sz="4" w:space="0" w:color="auto"/>
              <w:left w:val="single" w:sz="4" w:space="0" w:color="auto"/>
              <w:bottom w:val="single" w:sz="4" w:space="0" w:color="auto"/>
              <w:right w:val="single" w:sz="4" w:space="0" w:color="auto"/>
            </w:tcBorders>
            <w:vAlign w:val="center"/>
            <w:hideMark/>
          </w:tcPr>
          <w:p w14:paraId="7357A928" w14:textId="77777777" w:rsidR="00C45D59" w:rsidRDefault="00C45D59">
            <w:pPr>
              <w:spacing w:after="0" w:line="240" w:lineRule="auto"/>
              <w:rPr>
                <w:rFonts w:ascii="Times New Roman" w:eastAsia="Times New Roman" w:hAnsi="Times New Roman" w:cs="Times New Roman"/>
                <w:b/>
                <w:bCs/>
                <w:noProof/>
                <w:sz w:val="18"/>
                <w:szCs w:val="18"/>
              </w:rPr>
            </w:pPr>
          </w:p>
        </w:tc>
        <w:tc>
          <w:tcPr>
            <w:tcW w:w="1713" w:type="dxa"/>
            <w:vMerge/>
            <w:tcBorders>
              <w:top w:val="single" w:sz="4" w:space="0" w:color="auto"/>
              <w:left w:val="single" w:sz="4" w:space="0" w:color="auto"/>
              <w:bottom w:val="single" w:sz="4" w:space="0" w:color="auto"/>
              <w:right w:val="single" w:sz="4" w:space="0" w:color="auto"/>
            </w:tcBorders>
            <w:vAlign w:val="center"/>
            <w:hideMark/>
          </w:tcPr>
          <w:p w14:paraId="05015A26" w14:textId="77777777" w:rsidR="00C45D59" w:rsidRDefault="00C45D59">
            <w:pPr>
              <w:spacing w:after="0" w:line="240" w:lineRule="auto"/>
              <w:rPr>
                <w:rFonts w:ascii="Times New Roman" w:eastAsia="Times New Roman" w:hAnsi="Times New Roman" w:cs="Times New Roman"/>
                <w:b/>
                <w:bCs/>
                <w:noProof/>
                <w:sz w:val="18"/>
                <w:szCs w:val="18"/>
              </w:rPr>
            </w:pPr>
          </w:p>
        </w:tc>
        <w:tc>
          <w:tcPr>
            <w:tcW w:w="1230"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FEC059A" w14:textId="77777777" w:rsidR="00C45D59" w:rsidRDefault="009B0962">
            <w:pPr>
              <w:pStyle w:val="P68B1DB1-Normal10"/>
              <w:spacing w:after="0" w:line="240" w:lineRule="auto"/>
              <w:jc w:val="center"/>
              <w:rPr>
                <w:rFonts w:eastAsia="Times New Roman" w:cs="Times New Roman"/>
                <w:noProof/>
                <w:szCs w:val="18"/>
              </w:rPr>
            </w:pPr>
            <w:r>
              <w:rPr>
                <w:noProof/>
              </w:rPr>
              <w:t>Unitatea de măsură</w:t>
            </w:r>
          </w:p>
        </w:tc>
        <w:tc>
          <w:tcPr>
            <w:tcW w:w="857" w:type="dxa"/>
            <w:tcBorders>
              <w:top w:val="nil"/>
              <w:left w:val="nil"/>
              <w:bottom w:val="single" w:sz="4" w:space="0" w:color="auto"/>
              <w:right w:val="single" w:sz="4" w:space="0" w:color="auto"/>
            </w:tcBorders>
            <w:shd w:val="clear" w:color="auto" w:fill="BDD7EE"/>
            <w:vAlign w:val="center"/>
            <w:hideMark/>
          </w:tcPr>
          <w:p w14:paraId="3C9F9559" w14:textId="77777777" w:rsidR="00C45D59" w:rsidRDefault="009B0962">
            <w:pPr>
              <w:pStyle w:val="P68B1DB1-Normal10"/>
              <w:spacing w:after="0" w:line="240" w:lineRule="auto"/>
              <w:jc w:val="center"/>
              <w:rPr>
                <w:rFonts w:eastAsia="Times New Roman" w:cs="Times New Roman"/>
                <w:noProof/>
                <w:szCs w:val="18"/>
              </w:rPr>
            </w:pPr>
            <w:r>
              <w:rPr>
                <w:noProof/>
              </w:rPr>
              <w:t xml:space="preserve">Situația de referință </w:t>
            </w:r>
          </w:p>
        </w:tc>
        <w:tc>
          <w:tcPr>
            <w:tcW w:w="946" w:type="dxa"/>
            <w:tcBorders>
              <w:top w:val="nil"/>
              <w:left w:val="nil"/>
              <w:bottom w:val="single" w:sz="4" w:space="0" w:color="auto"/>
              <w:right w:val="single" w:sz="4" w:space="0" w:color="auto"/>
            </w:tcBorders>
            <w:shd w:val="clear" w:color="auto" w:fill="BDD7EE"/>
            <w:vAlign w:val="center"/>
            <w:hideMark/>
          </w:tcPr>
          <w:p w14:paraId="51315E35" w14:textId="77777777" w:rsidR="00C45D59" w:rsidRDefault="009B0962">
            <w:pPr>
              <w:pStyle w:val="P68B1DB1-Normal10"/>
              <w:spacing w:after="0" w:line="240" w:lineRule="auto"/>
              <w:jc w:val="center"/>
              <w:rPr>
                <w:rFonts w:eastAsia="Times New Roman" w:cs="Times New Roman"/>
                <w:noProof/>
                <w:szCs w:val="18"/>
              </w:rPr>
            </w:pPr>
            <w:r>
              <w:rPr>
                <w:noProof/>
              </w:rPr>
              <w:t xml:space="preserve">Obiectiv </w:t>
            </w:r>
          </w:p>
        </w:tc>
        <w:tc>
          <w:tcPr>
            <w:tcW w:w="1440" w:type="dxa"/>
            <w:tcBorders>
              <w:top w:val="nil"/>
              <w:left w:val="nil"/>
              <w:bottom w:val="single" w:sz="4" w:space="0" w:color="auto"/>
              <w:right w:val="single" w:sz="4" w:space="0" w:color="auto"/>
            </w:tcBorders>
            <w:shd w:val="clear" w:color="auto" w:fill="BDD7EE"/>
            <w:vAlign w:val="center"/>
            <w:hideMark/>
          </w:tcPr>
          <w:p w14:paraId="6DF80027" w14:textId="77777777" w:rsidR="00C45D59" w:rsidRDefault="009B0962">
            <w:pPr>
              <w:pStyle w:val="P68B1DB1-Normal10"/>
              <w:spacing w:after="0" w:line="240" w:lineRule="auto"/>
              <w:jc w:val="center"/>
              <w:rPr>
                <w:rFonts w:eastAsia="Times New Roman" w:cs="Times New Roman"/>
                <w:noProof/>
                <w:szCs w:val="18"/>
              </w:rPr>
            </w:pPr>
            <w:r>
              <w:rPr>
                <w:noProof/>
              </w:rPr>
              <w:t>Trimestru</w:t>
            </w:r>
          </w:p>
        </w:tc>
        <w:tc>
          <w:tcPr>
            <w:tcW w:w="1096" w:type="dxa"/>
            <w:tcBorders>
              <w:top w:val="nil"/>
              <w:left w:val="nil"/>
              <w:bottom w:val="single" w:sz="4" w:space="0" w:color="auto"/>
              <w:right w:val="single" w:sz="4" w:space="0" w:color="auto"/>
            </w:tcBorders>
            <w:shd w:val="clear" w:color="auto" w:fill="BDD7EE"/>
            <w:vAlign w:val="center"/>
            <w:hideMark/>
          </w:tcPr>
          <w:p w14:paraId="5E2ABD65" w14:textId="77777777" w:rsidR="00C45D59" w:rsidRDefault="009B0962">
            <w:pPr>
              <w:pStyle w:val="P68B1DB1-Normal10"/>
              <w:spacing w:after="0" w:line="240" w:lineRule="auto"/>
              <w:jc w:val="center"/>
              <w:rPr>
                <w:rFonts w:eastAsia="Times New Roman" w:cs="Times New Roman"/>
                <w:noProof/>
                <w:szCs w:val="18"/>
              </w:rPr>
            </w:pPr>
            <w:r>
              <w:rPr>
                <w:noProof/>
              </w:rPr>
              <w:t>Anul</w:t>
            </w:r>
          </w:p>
        </w:tc>
        <w:tc>
          <w:tcPr>
            <w:tcW w:w="3600" w:type="dxa"/>
            <w:vMerge/>
            <w:tcBorders>
              <w:top w:val="single" w:sz="4" w:space="0" w:color="auto"/>
              <w:bottom w:val="single" w:sz="4" w:space="0" w:color="auto"/>
              <w:right w:val="single" w:sz="4" w:space="0" w:color="auto"/>
            </w:tcBorders>
            <w:vAlign w:val="center"/>
            <w:hideMark/>
          </w:tcPr>
          <w:p w14:paraId="28B0B4D1" w14:textId="77777777" w:rsidR="00C45D59" w:rsidRDefault="00C45D59">
            <w:pPr>
              <w:spacing w:after="0" w:line="240" w:lineRule="auto"/>
              <w:rPr>
                <w:rFonts w:ascii="Times New Roman" w:eastAsia="Times New Roman" w:hAnsi="Times New Roman" w:cs="Times New Roman"/>
                <w:b/>
                <w:bCs/>
                <w:noProof/>
                <w:sz w:val="18"/>
                <w:szCs w:val="18"/>
              </w:rPr>
            </w:pPr>
          </w:p>
        </w:tc>
      </w:tr>
      <w:tr w:rsidR="00C45D59" w14:paraId="1E382C2C" w14:textId="77777777">
        <w:trPr>
          <w:trHeight w:val="313"/>
          <w:jc w:val="center"/>
        </w:trPr>
        <w:tc>
          <w:tcPr>
            <w:tcW w:w="542" w:type="dxa"/>
            <w:tcBorders>
              <w:top w:val="single" w:sz="4" w:space="0" w:color="auto"/>
              <w:left w:val="single" w:sz="4" w:space="0" w:color="auto"/>
              <w:bottom w:val="single" w:sz="4" w:space="0" w:color="auto"/>
              <w:right w:val="single" w:sz="4" w:space="0" w:color="auto"/>
            </w:tcBorders>
            <w:shd w:val="clear" w:color="auto" w:fill="C6EFCE"/>
            <w:noWrap/>
          </w:tcPr>
          <w:p w14:paraId="3B504E5A" w14:textId="77777777" w:rsidR="00C45D59" w:rsidRDefault="009B0962">
            <w:pPr>
              <w:pStyle w:val="P68B1DB1-Normal13"/>
              <w:spacing w:after="0" w:line="240" w:lineRule="auto"/>
              <w:rPr>
                <w:rFonts w:eastAsia="Times New Roman"/>
                <w:noProof/>
                <w:szCs w:val="18"/>
              </w:rPr>
            </w:pPr>
            <w:r>
              <w:rPr>
                <w:noProof/>
              </w:rPr>
              <w:t>254</w:t>
            </w:r>
          </w:p>
        </w:tc>
        <w:tc>
          <w:tcPr>
            <w:tcW w:w="1732" w:type="dxa"/>
            <w:tcBorders>
              <w:top w:val="single" w:sz="4" w:space="0" w:color="auto"/>
              <w:left w:val="nil"/>
              <w:bottom w:val="single" w:sz="4" w:space="0" w:color="auto"/>
              <w:right w:val="single" w:sz="4" w:space="0" w:color="auto"/>
            </w:tcBorders>
            <w:shd w:val="clear" w:color="auto" w:fill="C6EFCE"/>
            <w:noWrap/>
          </w:tcPr>
          <w:p w14:paraId="12DAA0A0" w14:textId="77777777" w:rsidR="00C45D59" w:rsidRDefault="009B0962">
            <w:pPr>
              <w:pStyle w:val="P68B1DB1-Normal13"/>
              <w:spacing w:after="0" w:line="240" w:lineRule="auto"/>
              <w:rPr>
                <w:rFonts w:eastAsia="Times New Roman"/>
                <w:noProof/>
                <w:szCs w:val="18"/>
              </w:rPr>
            </w:pPr>
            <w:r>
              <w:rPr>
                <w:noProof/>
              </w:rPr>
              <w:t>17-4.6. Modernizarea și îmbunătățirea rezilienței sectoarelor economice cheie – 16628_Autostrada E-65 din Grecia Centrală: Secțiunea Trikala-Egnatia</w:t>
            </w:r>
          </w:p>
        </w:tc>
        <w:tc>
          <w:tcPr>
            <w:tcW w:w="1061" w:type="dxa"/>
            <w:tcBorders>
              <w:top w:val="single" w:sz="4" w:space="0" w:color="auto"/>
              <w:left w:val="nil"/>
              <w:bottom w:val="single" w:sz="4" w:space="0" w:color="auto"/>
              <w:right w:val="single" w:sz="4" w:space="0" w:color="auto"/>
            </w:tcBorders>
            <w:shd w:val="clear" w:color="auto" w:fill="C6EFCE"/>
            <w:noWrap/>
          </w:tcPr>
          <w:p w14:paraId="6850CA01" w14:textId="77777777" w:rsidR="00C45D59" w:rsidRDefault="009B0962">
            <w:pPr>
              <w:pStyle w:val="P68B1DB1-Normal13"/>
              <w:spacing w:after="0" w:line="240" w:lineRule="auto"/>
              <w:rPr>
                <w:rFonts w:eastAsia="Times New Roman"/>
                <w:noProof/>
                <w:szCs w:val="18"/>
              </w:rPr>
            </w:pPr>
            <w:r>
              <w:rPr>
                <w:noProof/>
              </w:rPr>
              <w:t>Etapă</w:t>
            </w:r>
          </w:p>
        </w:tc>
        <w:tc>
          <w:tcPr>
            <w:tcW w:w="1137" w:type="dxa"/>
            <w:tcBorders>
              <w:top w:val="single" w:sz="4" w:space="0" w:color="auto"/>
              <w:left w:val="nil"/>
              <w:bottom w:val="single" w:sz="4" w:space="0" w:color="auto"/>
              <w:right w:val="single" w:sz="4" w:space="0" w:color="auto"/>
            </w:tcBorders>
            <w:shd w:val="clear" w:color="auto" w:fill="C6EFCE"/>
            <w:noWrap/>
          </w:tcPr>
          <w:p w14:paraId="7E6264D2" w14:textId="77777777" w:rsidR="00C45D59" w:rsidRDefault="009B0962">
            <w:pPr>
              <w:pStyle w:val="P68B1DB1-Normal13"/>
              <w:spacing w:after="0" w:line="240" w:lineRule="auto"/>
              <w:rPr>
                <w:rFonts w:eastAsia="Times New Roman"/>
                <w:noProof/>
                <w:szCs w:val="18"/>
              </w:rPr>
            </w:pPr>
            <w:r>
              <w:rPr>
                <w:noProof/>
              </w:rPr>
              <w:t>Începerea lucrărilor de construcție în E-65</w:t>
            </w:r>
          </w:p>
        </w:tc>
        <w:tc>
          <w:tcPr>
            <w:tcW w:w="1713" w:type="dxa"/>
            <w:tcBorders>
              <w:top w:val="single" w:sz="4" w:space="0" w:color="auto"/>
              <w:left w:val="nil"/>
              <w:bottom w:val="single" w:sz="4" w:space="0" w:color="auto"/>
              <w:right w:val="single" w:sz="4" w:space="0" w:color="auto"/>
            </w:tcBorders>
            <w:shd w:val="clear" w:color="auto" w:fill="C6EFCE"/>
            <w:noWrap/>
          </w:tcPr>
          <w:p w14:paraId="1FC2D20A" w14:textId="77777777" w:rsidR="00C45D59" w:rsidRDefault="009B0962">
            <w:pPr>
              <w:pStyle w:val="P68B1DB1-Normal13"/>
              <w:spacing w:after="0" w:line="240" w:lineRule="auto"/>
              <w:rPr>
                <w:rFonts w:eastAsia="Times New Roman"/>
                <w:noProof/>
                <w:szCs w:val="18"/>
              </w:rPr>
            </w:pPr>
            <w:r>
              <w:rPr>
                <w:noProof/>
              </w:rPr>
              <w:t>Raport al unui inginer independent ratificat de Ministerul Infrastructurii</w:t>
            </w:r>
          </w:p>
        </w:tc>
        <w:tc>
          <w:tcPr>
            <w:tcW w:w="1230" w:type="dxa"/>
            <w:tcBorders>
              <w:top w:val="single" w:sz="4" w:space="0" w:color="auto"/>
              <w:left w:val="nil"/>
              <w:bottom w:val="single" w:sz="4" w:space="0" w:color="auto"/>
              <w:right w:val="single" w:sz="4" w:space="0" w:color="auto"/>
            </w:tcBorders>
            <w:shd w:val="clear" w:color="auto" w:fill="C6EFCE"/>
            <w:noWrap/>
          </w:tcPr>
          <w:p w14:paraId="100085F4"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57" w:type="dxa"/>
            <w:tcBorders>
              <w:top w:val="nil"/>
              <w:left w:val="nil"/>
              <w:bottom w:val="single" w:sz="4" w:space="0" w:color="auto"/>
              <w:right w:val="single" w:sz="4" w:space="0" w:color="auto"/>
            </w:tcBorders>
            <w:shd w:val="clear" w:color="auto" w:fill="C6EFCE"/>
            <w:noWrap/>
          </w:tcPr>
          <w:p w14:paraId="7F1F9D94"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946" w:type="dxa"/>
            <w:tcBorders>
              <w:top w:val="nil"/>
              <w:left w:val="nil"/>
              <w:bottom w:val="single" w:sz="4" w:space="0" w:color="auto"/>
              <w:right w:val="single" w:sz="4" w:space="0" w:color="auto"/>
            </w:tcBorders>
            <w:shd w:val="clear" w:color="auto" w:fill="C6EFCE"/>
            <w:noWrap/>
          </w:tcPr>
          <w:p w14:paraId="7AED42F4"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440" w:type="dxa"/>
            <w:tcBorders>
              <w:top w:val="nil"/>
              <w:left w:val="nil"/>
              <w:bottom w:val="single" w:sz="4" w:space="0" w:color="auto"/>
              <w:right w:val="single" w:sz="4" w:space="0" w:color="auto"/>
            </w:tcBorders>
            <w:shd w:val="clear" w:color="auto" w:fill="C6EFCE"/>
            <w:noWrap/>
          </w:tcPr>
          <w:p w14:paraId="7B2E8525" w14:textId="77777777" w:rsidR="00C45D59" w:rsidRDefault="009B0962">
            <w:pPr>
              <w:pStyle w:val="P68B1DB1-Normal13"/>
              <w:spacing w:after="0" w:line="240" w:lineRule="auto"/>
              <w:rPr>
                <w:rFonts w:eastAsia="Times New Roman"/>
                <w:noProof/>
                <w:szCs w:val="18"/>
              </w:rPr>
            </w:pPr>
            <w:r>
              <w:rPr>
                <w:noProof/>
              </w:rPr>
              <w:t>Î2</w:t>
            </w:r>
          </w:p>
        </w:tc>
        <w:tc>
          <w:tcPr>
            <w:tcW w:w="1096" w:type="dxa"/>
            <w:tcBorders>
              <w:top w:val="nil"/>
              <w:left w:val="nil"/>
              <w:bottom w:val="single" w:sz="4" w:space="0" w:color="auto"/>
              <w:right w:val="single" w:sz="4" w:space="0" w:color="auto"/>
            </w:tcBorders>
            <w:shd w:val="clear" w:color="auto" w:fill="C6EFCE"/>
            <w:noWrap/>
          </w:tcPr>
          <w:p w14:paraId="42B6DC0B" w14:textId="77777777" w:rsidR="00C45D59" w:rsidRDefault="009B0962">
            <w:pPr>
              <w:pStyle w:val="P68B1DB1-Normal13"/>
              <w:spacing w:after="0" w:line="240" w:lineRule="auto"/>
              <w:rPr>
                <w:rFonts w:eastAsia="Times New Roman"/>
                <w:noProof/>
                <w:szCs w:val="18"/>
              </w:rPr>
            </w:pPr>
            <w:r>
              <w:rPr>
                <w:noProof/>
              </w:rPr>
              <w:t>2022</w:t>
            </w:r>
          </w:p>
        </w:tc>
        <w:tc>
          <w:tcPr>
            <w:tcW w:w="3600" w:type="dxa"/>
            <w:tcBorders>
              <w:top w:val="single" w:sz="4" w:space="0" w:color="auto"/>
              <w:left w:val="nil"/>
              <w:bottom w:val="single" w:sz="4" w:space="0" w:color="auto"/>
              <w:right w:val="single" w:sz="4" w:space="0" w:color="auto"/>
            </w:tcBorders>
            <w:shd w:val="clear" w:color="auto" w:fill="C6EFCE"/>
            <w:noWrap/>
          </w:tcPr>
          <w:p w14:paraId="7C2478B8" w14:textId="77777777" w:rsidR="00C45D59" w:rsidRDefault="009B0962">
            <w:pPr>
              <w:pStyle w:val="P68B1DB1-Normal13"/>
              <w:spacing w:after="0" w:line="240" w:lineRule="auto"/>
              <w:rPr>
                <w:rFonts w:eastAsia="Times New Roman"/>
                <w:noProof/>
                <w:szCs w:val="18"/>
              </w:rPr>
            </w:pPr>
            <w:r>
              <w:rPr>
                <w:noProof/>
              </w:rPr>
              <w:t>Începerea lucrărilor de construcție pentru autostrada E-65 din Grecia Centrală: Trikala – Egnatia</w:t>
            </w:r>
          </w:p>
        </w:tc>
      </w:tr>
      <w:tr w:rsidR="00C45D59" w14:paraId="6CACD57B" w14:textId="77777777">
        <w:trPr>
          <w:trHeight w:val="313"/>
          <w:jc w:val="center"/>
        </w:trPr>
        <w:tc>
          <w:tcPr>
            <w:tcW w:w="542" w:type="dxa"/>
            <w:tcBorders>
              <w:top w:val="nil"/>
              <w:left w:val="single" w:sz="4" w:space="0" w:color="auto"/>
              <w:bottom w:val="single" w:sz="4" w:space="0" w:color="auto"/>
              <w:right w:val="single" w:sz="4" w:space="0" w:color="auto"/>
            </w:tcBorders>
            <w:shd w:val="clear" w:color="auto" w:fill="C6EFCE"/>
            <w:noWrap/>
            <w:hideMark/>
          </w:tcPr>
          <w:p w14:paraId="6C035B3D" w14:textId="77777777" w:rsidR="00C45D59" w:rsidRDefault="009B0962">
            <w:pPr>
              <w:pStyle w:val="P68B1DB1-Normal13"/>
              <w:spacing w:after="0" w:line="240" w:lineRule="auto"/>
              <w:rPr>
                <w:rFonts w:eastAsia="Times New Roman"/>
                <w:noProof/>
                <w:szCs w:val="18"/>
              </w:rPr>
            </w:pPr>
            <w:r>
              <w:rPr>
                <w:noProof/>
              </w:rPr>
              <w:t>256</w:t>
            </w:r>
          </w:p>
        </w:tc>
        <w:tc>
          <w:tcPr>
            <w:tcW w:w="1732" w:type="dxa"/>
            <w:tcBorders>
              <w:top w:val="nil"/>
              <w:left w:val="nil"/>
              <w:bottom w:val="single" w:sz="4" w:space="0" w:color="auto"/>
              <w:right w:val="single" w:sz="4" w:space="0" w:color="auto"/>
            </w:tcBorders>
            <w:shd w:val="clear" w:color="auto" w:fill="C6EFCE"/>
            <w:noWrap/>
            <w:hideMark/>
          </w:tcPr>
          <w:p w14:paraId="57D02965" w14:textId="77777777" w:rsidR="00C45D59" w:rsidRDefault="009B0962">
            <w:pPr>
              <w:pStyle w:val="P68B1DB1-Normal13"/>
              <w:spacing w:after="0" w:line="240" w:lineRule="auto"/>
              <w:rPr>
                <w:rFonts w:eastAsia="Times New Roman"/>
                <w:noProof/>
                <w:szCs w:val="18"/>
              </w:rPr>
            </w:pPr>
            <w:r>
              <w:rPr>
                <w:noProof/>
              </w:rPr>
              <w:t> 17-4.6. Modernizarea și îmbunătățirea rezilienței sectoarelor economice cheie – 16628_Autostrada E-65 din Grecia Centrală: Secțiunea Trikala-Egnatia</w:t>
            </w:r>
          </w:p>
        </w:tc>
        <w:tc>
          <w:tcPr>
            <w:tcW w:w="1061" w:type="dxa"/>
            <w:tcBorders>
              <w:top w:val="nil"/>
              <w:left w:val="nil"/>
              <w:bottom w:val="single" w:sz="4" w:space="0" w:color="auto"/>
              <w:right w:val="single" w:sz="4" w:space="0" w:color="auto"/>
            </w:tcBorders>
            <w:shd w:val="clear" w:color="auto" w:fill="C6EFCE"/>
            <w:noWrap/>
            <w:hideMark/>
          </w:tcPr>
          <w:p w14:paraId="67D0F9CE" w14:textId="77777777" w:rsidR="00C45D59" w:rsidRDefault="009B0962">
            <w:pPr>
              <w:pStyle w:val="P68B1DB1-Normal13"/>
              <w:spacing w:after="0" w:line="240" w:lineRule="auto"/>
              <w:rPr>
                <w:rFonts w:eastAsia="Times New Roman"/>
                <w:noProof/>
                <w:szCs w:val="18"/>
              </w:rPr>
            </w:pPr>
            <w:r>
              <w:rPr>
                <w:noProof/>
              </w:rPr>
              <w:t>Etapă</w:t>
            </w:r>
          </w:p>
        </w:tc>
        <w:tc>
          <w:tcPr>
            <w:tcW w:w="1137" w:type="dxa"/>
            <w:tcBorders>
              <w:top w:val="nil"/>
              <w:left w:val="nil"/>
              <w:bottom w:val="single" w:sz="4" w:space="0" w:color="auto"/>
              <w:right w:val="single" w:sz="4" w:space="0" w:color="auto"/>
            </w:tcBorders>
            <w:shd w:val="clear" w:color="auto" w:fill="C6EFCE"/>
            <w:noWrap/>
            <w:hideMark/>
          </w:tcPr>
          <w:p w14:paraId="570C462D" w14:textId="77777777" w:rsidR="00C45D59" w:rsidRDefault="009B0962">
            <w:pPr>
              <w:pStyle w:val="P68B1DB1-Normal13"/>
              <w:spacing w:after="0" w:line="240" w:lineRule="auto"/>
              <w:rPr>
                <w:rFonts w:eastAsia="Times New Roman"/>
                <w:noProof/>
                <w:szCs w:val="18"/>
              </w:rPr>
            </w:pPr>
            <w:r>
              <w:rPr>
                <w:noProof/>
              </w:rPr>
              <w:t>Lucrări E-65 – finalizare</w:t>
            </w:r>
          </w:p>
        </w:tc>
        <w:tc>
          <w:tcPr>
            <w:tcW w:w="1713" w:type="dxa"/>
            <w:tcBorders>
              <w:top w:val="nil"/>
              <w:left w:val="nil"/>
              <w:bottom w:val="single" w:sz="4" w:space="0" w:color="auto"/>
              <w:right w:val="single" w:sz="4" w:space="0" w:color="auto"/>
            </w:tcBorders>
            <w:shd w:val="clear" w:color="auto" w:fill="C6EFCE"/>
            <w:noWrap/>
            <w:hideMark/>
          </w:tcPr>
          <w:p w14:paraId="0CED0D3C" w14:textId="77777777" w:rsidR="00C45D59" w:rsidRDefault="009B0962">
            <w:pPr>
              <w:pStyle w:val="P68B1DB1-Normal23"/>
              <w:spacing w:after="0" w:line="240" w:lineRule="auto"/>
              <w:rPr>
                <w:noProof/>
              </w:rPr>
            </w:pPr>
            <w:r>
              <w:rPr>
                <w:noProof/>
              </w:rPr>
              <w:t>Lucrări de construcție executate pe tronsonul Trikala-Egnatia al autostrăzii E-65 necesare pentru funcționarea autostrăzii</w:t>
            </w:r>
          </w:p>
        </w:tc>
        <w:tc>
          <w:tcPr>
            <w:tcW w:w="1230" w:type="dxa"/>
            <w:tcBorders>
              <w:top w:val="nil"/>
              <w:left w:val="nil"/>
              <w:bottom w:val="single" w:sz="4" w:space="0" w:color="auto"/>
              <w:right w:val="single" w:sz="4" w:space="0" w:color="auto"/>
            </w:tcBorders>
            <w:shd w:val="clear" w:color="auto" w:fill="C6EFCE"/>
            <w:noWrap/>
            <w:hideMark/>
          </w:tcPr>
          <w:p w14:paraId="7D2164F3"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57" w:type="dxa"/>
            <w:tcBorders>
              <w:top w:val="nil"/>
              <w:left w:val="nil"/>
              <w:bottom w:val="single" w:sz="4" w:space="0" w:color="auto"/>
              <w:right w:val="single" w:sz="4" w:space="0" w:color="auto"/>
            </w:tcBorders>
            <w:shd w:val="clear" w:color="auto" w:fill="C6EFCE"/>
            <w:noWrap/>
            <w:hideMark/>
          </w:tcPr>
          <w:p w14:paraId="052ABA4A"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946" w:type="dxa"/>
            <w:tcBorders>
              <w:top w:val="nil"/>
              <w:left w:val="nil"/>
              <w:bottom w:val="single" w:sz="4" w:space="0" w:color="auto"/>
              <w:right w:val="single" w:sz="4" w:space="0" w:color="auto"/>
            </w:tcBorders>
            <w:shd w:val="clear" w:color="auto" w:fill="C6EFCE"/>
            <w:noWrap/>
            <w:hideMark/>
          </w:tcPr>
          <w:p w14:paraId="53394DAC"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440" w:type="dxa"/>
            <w:tcBorders>
              <w:top w:val="nil"/>
              <w:left w:val="nil"/>
              <w:bottom w:val="single" w:sz="4" w:space="0" w:color="auto"/>
              <w:right w:val="single" w:sz="4" w:space="0" w:color="auto"/>
            </w:tcBorders>
            <w:shd w:val="clear" w:color="auto" w:fill="C6EFCE"/>
            <w:noWrap/>
            <w:hideMark/>
          </w:tcPr>
          <w:p w14:paraId="5865A071" w14:textId="77777777" w:rsidR="00C45D59" w:rsidRDefault="009B0962">
            <w:pPr>
              <w:pStyle w:val="P68B1DB1-Normal13"/>
              <w:spacing w:after="0" w:line="240" w:lineRule="auto"/>
              <w:rPr>
                <w:rFonts w:eastAsia="Times New Roman"/>
                <w:noProof/>
                <w:szCs w:val="18"/>
              </w:rPr>
            </w:pPr>
            <w:r>
              <w:rPr>
                <w:noProof/>
              </w:rPr>
              <w:t>Î4</w:t>
            </w:r>
          </w:p>
        </w:tc>
        <w:tc>
          <w:tcPr>
            <w:tcW w:w="1096" w:type="dxa"/>
            <w:tcBorders>
              <w:top w:val="nil"/>
              <w:left w:val="nil"/>
              <w:bottom w:val="single" w:sz="4" w:space="0" w:color="auto"/>
              <w:right w:val="single" w:sz="4" w:space="0" w:color="auto"/>
            </w:tcBorders>
            <w:shd w:val="clear" w:color="auto" w:fill="C6EFCE"/>
            <w:noWrap/>
            <w:hideMark/>
          </w:tcPr>
          <w:p w14:paraId="4DC8EA8A" w14:textId="77777777" w:rsidR="00C45D59" w:rsidRDefault="009B0962">
            <w:pPr>
              <w:pStyle w:val="P68B1DB1-Normal13"/>
              <w:spacing w:after="0" w:line="240" w:lineRule="auto"/>
              <w:rPr>
                <w:rFonts w:eastAsia="Times New Roman"/>
                <w:noProof/>
                <w:szCs w:val="18"/>
              </w:rPr>
            </w:pPr>
            <w:r>
              <w:rPr>
                <w:noProof/>
              </w:rPr>
              <w:t>2025</w:t>
            </w:r>
          </w:p>
        </w:tc>
        <w:tc>
          <w:tcPr>
            <w:tcW w:w="3600" w:type="dxa"/>
            <w:tcBorders>
              <w:top w:val="nil"/>
              <w:left w:val="nil"/>
              <w:bottom w:val="single" w:sz="4" w:space="0" w:color="auto"/>
              <w:right w:val="single" w:sz="4" w:space="0" w:color="auto"/>
            </w:tcBorders>
            <w:shd w:val="clear" w:color="auto" w:fill="C6EFCE"/>
            <w:noWrap/>
            <w:hideMark/>
          </w:tcPr>
          <w:p w14:paraId="2FDA81A8" w14:textId="77777777" w:rsidR="00C45D59" w:rsidRDefault="009B0962">
            <w:pPr>
              <w:pStyle w:val="P68B1DB1-Normal23"/>
              <w:spacing w:after="0" w:line="240" w:lineRule="auto"/>
              <w:rPr>
                <w:noProof/>
              </w:rPr>
            </w:pPr>
            <w:r>
              <w:rPr>
                <w:noProof/>
              </w:rPr>
              <w:t>Lucrări de construcție executate pe tronsonul Trikala-Egnatia al autostrăzii E-65, necesare pentru funcționarea autostrăzii.</w:t>
            </w:r>
          </w:p>
        </w:tc>
      </w:tr>
    </w:tbl>
    <w:p w14:paraId="3D86CC84" w14:textId="77777777" w:rsidR="00C45D59" w:rsidRDefault="009B0962">
      <w:pPr>
        <w:pStyle w:val="P68B1DB1-Normal9"/>
        <w:keepNext/>
        <w:keepLines/>
        <w:spacing w:before="240" w:after="240" w:line="240" w:lineRule="auto"/>
        <w:jc w:val="both"/>
        <w:outlineLvl w:val="4"/>
        <w:rPr>
          <w:rFonts w:eastAsia="Times New Roman"/>
          <w:noProof/>
        </w:rPr>
      </w:pPr>
      <w:r>
        <w:rPr>
          <w:noProof/>
        </w:rPr>
        <w:t>Principala investiție 7: Modernizarea siguranței rutiere</w:t>
      </w:r>
    </w:p>
    <w:tbl>
      <w:tblPr>
        <w:tblW w:w="1545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1701"/>
        <w:gridCol w:w="1134"/>
        <w:gridCol w:w="1134"/>
        <w:gridCol w:w="1701"/>
        <w:gridCol w:w="1134"/>
        <w:gridCol w:w="992"/>
        <w:gridCol w:w="851"/>
        <w:gridCol w:w="1559"/>
        <w:gridCol w:w="992"/>
        <w:gridCol w:w="3686"/>
      </w:tblGrid>
      <w:tr w:rsidR="00C45D59" w14:paraId="01A1F908" w14:textId="77777777">
        <w:trPr>
          <w:trHeight w:val="835"/>
          <w:tblHeader/>
        </w:trPr>
        <w:tc>
          <w:tcPr>
            <w:tcW w:w="568" w:type="dxa"/>
            <w:vMerge w:val="restart"/>
            <w:shd w:val="clear" w:color="auto" w:fill="BDD7EE"/>
            <w:vAlign w:val="center"/>
            <w:hideMark/>
          </w:tcPr>
          <w:p w14:paraId="7760AF1A" w14:textId="4D41F494" w:rsidR="00C45D59" w:rsidRDefault="009B0962">
            <w:pPr>
              <w:pStyle w:val="P68B1DB1-Normal15"/>
              <w:spacing w:after="0" w:line="240" w:lineRule="auto"/>
              <w:jc w:val="center"/>
              <w:rPr>
                <w:rFonts w:eastAsia="Times New Roman"/>
                <w:noProof/>
              </w:rPr>
            </w:pPr>
            <w:r>
              <w:rPr>
                <w:noProof/>
              </w:rPr>
              <w:t>N</w:t>
            </w:r>
            <w:r w:rsidR="00892E7E">
              <w:rPr>
                <w:noProof/>
              </w:rPr>
              <w:t>r. crt</w:t>
            </w:r>
            <w:r>
              <w:rPr>
                <w:noProof/>
              </w:rPr>
              <w:t>.</w:t>
            </w:r>
          </w:p>
        </w:tc>
        <w:tc>
          <w:tcPr>
            <w:tcW w:w="1701" w:type="dxa"/>
            <w:vMerge w:val="restart"/>
            <w:shd w:val="clear" w:color="auto" w:fill="BDD7EE"/>
            <w:vAlign w:val="center"/>
            <w:hideMark/>
          </w:tcPr>
          <w:p w14:paraId="532A7FC4" w14:textId="77777777" w:rsidR="00C45D59" w:rsidRDefault="009B0962">
            <w:pPr>
              <w:pStyle w:val="P68B1DB1-Normal10"/>
              <w:spacing w:after="0" w:line="240" w:lineRule="auto"/>
              <w:jc w:val="center"/>
              <w:rPr>
                <w:rFonts w:eastAsia="Times New Roman" w:cs="Times New Roman"/>
                <w:noProof/>
                <w:szCs w:val="18"/>
              </w:rPr>
            </w:pPr>
            <w:r>
              <w:rPr>
                <w:noProof/>
              </w:rPr>
              <w:t xml:space="preserve">Măsură conexă </w:t>
            </w:r>
            <w:r>
              <w:rPr>
                <w:noProof/>
              </w:rPr>
              <w:br/>
              <w:t>(Reformă sau investiție)</w:t>
            </w:r>
          </w:p>
        </w:tc>
        <w:tc>
          <w:tcPr>
            <w:tcW w:w="1134" w:type="dxa"/>
            <w:vMerge w:val="restart"/>
            <w:shd w:val="clear" w:color="auto" w:fill="BDD7EE"/>
            <w:vAlign w:val="center"/>
            <w:hideMark/>
          </w:tcPr>
          <w:p w14:paraId="20745DD8" w14:textId="2155CC39" w:rsidR="00C45D59" w:rsidRDefault="009B0962">
            <w:pPr>
              <w:pStyle w:val="P68B1DB1-Normal10"/>
              <w:spacing w:after="0" w:line="240" w:lineRule="auto"/>
              <w:jc w:val="center"/>
              <w:rPr>
                <w:rFonts w:eastAsia="Times New Roman" w:cs="Times New Roman"/>
                <w:noProof/>
                <w:szCs w:val="18"/>
              </w:rPr>
            </w:pPr>
            <w:r>
              <w:rPr>
                <w:noProof/>
              </w:rPr>
              <w:t>Etapă/</w:t>
            </w:r>
            <w:r w:rsidR="00892E7E">
              <w:rPr>
                <w:noProof/>
              </w:rPr>
              <w:t xml:space="preserve"> </w:t>
            </w:r>
            <w:r>
              <w:rPr>
                <w:noProof/>
              </w:rPr>
              <w:t>Obiectiv</w:t>
            </w:r>
          </w:p>
        </w:tc>
        <w:tc>
          <w:tcPr>
            <w:tcW w:w="1134" w:type="dxa"/>
            <w:vMerge w:val="restart"/>
            <w:shd w:val="clear" w:color="auto" w:fill="BDD7EE"/>
            <w:vAlign w:val="center"/>
            <w:hideMark/>
          </w:tcPr>
          <w:p w14:paraId="2B40E091" w14:textId="11A8B5E7" w:rsidR="00C45D59" w:rsidRDefault="00892E7E">
            <w:pPr>
              <w:pStyle w:val="P68B1DB1-Normal10"/>
              <w:spacing w:after="0" w:line="240" w:lineRule="auto"/>
              <w:jc w:val="center"/>
              <w:rPr>
                <w:rFonts w:eastAsia="Times New Roman" w:cs="Times New Roman"/>
                <w:noProof/>
                <w:szCs w:val="18"/>
              </w:rPr>
            </w:pPr>
            <w:r>
              <w:rPr>
                <w:noProof/>
              </w:rPr>
              <w:t>Denumire</w:t>
            </w:r>
          </w:p>
        </w:tc>
        <w:tc>
          <w:tcPr>
            <w:tcW w:w="1701" w:type="dxa"/>
            <w:vMerge w:val="restart"/>
            <w:shd w:val="clear" w:color="auto" w:fill="BDD7EE"/>
            <w:vAlign w:val="center"/>
            <w:hideMark/>
          </w:tcPr>
          <w:p w14:paraId="72F3DDE2" w14:textId="77777777" w:rsidR="00C45D59" w:rsidRDefault="009B0962">
            <w:pPr>
              <w:pStyle w:val="P68B1DB1-Normal10"/>
              <w:spacing w:after="0" w:line="240" w:lineRule="auto"/>
              <w:jc w:val="center"/>
              <w:rPr>
                <w:rFonts w:eastAsia="Times New Roman" w:cs="Times New Roman"/>
                <w:noProof/>
                <w:szCs w:val="18"/>
              </w:rPr>
            </w:pPr>
            <w:r>
              <w:rPr>
                <w:noProof/>
              </w:rPr>
              <w:t>Indicatori calitativi (pentru obiectivele de etapă)</w:t>
            </w:r>
          </w:p>
        </w:tc>
        <w:tc>
          <w:tcPr>
            <w:tcW w:w="2977" w:type="dxa"/>
            <w:gridSpan w:val="3"/>
            <w:shd w:val="clear" w:color="auto" w:fill="BDD7EE"/>
            <w:vAlign w:val="center"/>
            <w:hideMark/>
          </w:tcPr>
          <w:p w14:paraId="109424AF" w14:textId="77777777" w:rsidR="00C45D59" w:rsidRDefault="009B0962">
            <w:pPr>
              <w:pStyle w:val="P68B1DB1-Normal10"/>
              <w:spacing w:after="0" w:line="240" w:lineRule="auto"/>
              <w:jc w:val="center"/>
              <w:rPr>
                <w:rFonts w:eastAsia="Times New Roman" w:cs="Times New Roman"/>
                <w:noProof/>
                <w:szCs w:val="18"/>
              </w:rPr>
            </w:pPr>
            <w:r>
              <w:rPr>
                <w:noProof/>
              </w:rPr>
              <w:t>Indicatori cantitativi (pentru ținte)</w:t>
            </w:r>
          </w:p>
        </w:tc>
        <w:tc>
          <w:tcPr>
            <w:tcW w:w="2551" w:type="dxa"/>
            <w:gridSpan w:val="2"/>
            <w:shd w:val="clear" w:color="auto" w:fill="BDD7EE"/>
            <w:vAlign w:val="center"/>
            <w:hideMark/>
          </w:tcPr>
          <w:p w14:paraId="1E501189" w14:textId="77777777" w:rsidR="00C45D59" w:rsidRDefault="009B0962">
            <w:pPr>
              <w:pStyle w:val="P68B1DB1-Normal10"/>
              <w:spacing w:after="0" w:line="240" w:lineRule="auto"/>
              <w:jc w:val="center"/>
              <w:rPr>
                <w:rFonts w:eastAsia="Times New Roman" w:cs="Times New Roman"/>
                <w:noProof/>
                <w:szCs w:val="18"/>
              </w:rPr>
            </w:pPr>
            <w:r>
              <w:rPr>
                <w:noProof/>
              </w:rPr>
              <w:t xml:space="preserve">Calendar orientativ pentru finalizare </w:t>
            </w:r>
          </w:p>
        </w:tc>
        <w:tc>
          <w:tcPr>
            <w:tcW w:w="3686" w:type="dxa"/>
            <w:vMerge w:val="restart"/>
            <w:shd w:val="clear" w:color="auto" w:fill="BDD7EE"/>
            <w:vAlign w:val="center"/>
            <w:hideMark/>
          </w:tcPr>
          <w:p w14:paraId="00BD84F2" w14:textId="77777777" w:rsidR="00C45D59" w:rsidRDefault="009B0962">
            <w:pPr>
              <w:pStyle w:val="P68B1DB1-Normal10"/>
              <w:spacing w:after="0" w:line="240" w:lineRule="auto"/>
              <w:jc w:val="center"/>
              <w:rPr>
                <w:rFonts w:eastAsia="Times New Roman" w:cs="Times New Roman"/>
                <w:noProof/>
                <w:szCs w:val="18"/>
              </w:rPr>
            </w:pPr>
            <w:r>
              <w:rPr>
                <w:noProof/>
              </w:rPr>
              <w:t>Descrierea fiecărui jalon și a fiecărei ținte</w:t>
            </w:r>
          </w:p>
        </w:tc>
      </w:tr>
      <w:tr w:rsidR="00C45D59" w14:paraId="53DDDF20" w14:textId="77777777">
        <w:trPr>
          <w:trHeight w:val="594"/>
          <w:tblHeader/>
        </w:trPr>
        <w:tc>
          <w:tcPr>
            <w:tcW w:w="568" w:type="dxa"/>
            <w:vMerge/>
            <w:vAlign w:val="center"/>
            <w:hideMark/>
          </w:tcPr>
          <w:p w14:paraId="3DDB5577" w14:textId="77777777" w:rsidR="00C45D59" w:rsidRDefault="00C45D59">
            <w:pPr>
              <w:spacing w:after="0" w:line="240" w:lineRule="auto"/>
              <w:rPr>
                <w:rFonts w:ascii="Times New Roman" w:eastAsia="Times New Roman" w:hAnsi="Times New Roman" w:cs="Times New Roman"/>
                <w:b/>
                <w:bCs/>
                <w:noProof/>
                <w:sz w:val="18"/>
                <w:szCs w:val="18"/>
              </w:rPr>
            </w:pPr>
          </w:p>
        </w:tc>
        <w:tc>
          <w:tcPr>
            <w:tcW w:w="1701" w:type="dxa"/>
            <w:vMerge/>
            <w:vAlign w:val="center"/>
            <w:hideMark/>
          </w:tcPr>
          <w:p w14:paraId="226A85FE" w14:textId="77777777" w:rsidR="00C45D59" w:rsidRDefault="00C45D59">
            <w:pPr>
              <w:spacing w:after="0" w:line="240" w:lineRule="auto"/>
              <w:rPr>
                <w:rFonts w:ascii="Times New Roman" w:eastAsia="Times New Roman" w:hAnsi="Times New Roman" w:cs="Times New Roman"/>
                <w:b/>
                <w:bCs/>
                <w:noProof/>
                <w:sz w:val="18"/>
                <w:szCs w:val="18"/>
              </w:rPr>
            </w:pPr>
          </w:p>
        </w:tc>
        <w:tc>
          <w:tcPr>
            <w:tcW w:w="1134" w:type="dxa"/>
            <w:vMerge/>
            <w:vAlign w:val="center"/>
            <w:hideMark/>
          </w:tcPr>
          <w:p w14:paraId="6BA31EA3" w14:textId="77777777" w:rsidR="00C45D59" w:rsidRDefault="00C45D59">
            <w:pPr>
              <w:spacing w:after="0" w:line="240" w:lineRule="auto"/>
              <w:rPr>
                <w:rFonts w:ascii="Times New Roman" w:eastAsia="Times New Roman" w:hAnsi="Times New Roman" w:cs="Times New Roman"/>
                <w:b/>
                <w:bCs/>
                <w:noProof/>
                <w:sz w:val="18"/>
                <w:szCs w:val="18"/>
              </w:rPr>
            </w:pPr>
          </w:p>
        </w:tc>
        <w:tc>
          <w:tcPr>
            <w:tcW w:w="1134" w:type="dxa"/>
            <w:vMerge/>
            <w:vAlign w:val="center"/>
            <w:hideMark/>
          </w:tcPr>
          <w:p w14:paraId="6BDB4A59" w14:textId="77777777" w:rsidR="00C45D59" w:rsidRDefault="00C45D59">
            <w:pPr>
              <w:spacing w:after="0" w:line="240" w:lineRule="auto"/>
              <w:rPr>
                <w:rFonts w:ascii="Times New Roman" w:eastAsia="Times New Roman" w:hAnsi="Times New Roman" w:cs="Times New Roman"/>
                <w:b/>
                <w:bCs/>
                <w:noProof/>
                <w:sz w:val="18"/>
                <w:szCs w:val="18"/>
              </w:rPr>
            </w:pPr>
          </w:p>
        </w:tc>
        <w:tc>
          <w:tcPr>
            <w:tcW w:w="1701" w:type="dxa"/>
            <w:vMerge/>
            <w:vAlign w:val="center"/>
            <w:hideMark/>
          </w:tcPr>
          <w:p w14:paraId="56C03157" w14:textId="77777777" w:rsidR="00C45D59" w:rsidRDefault="00C45D59">
            <w:pPr>
              <w:spacing w:after="0" w:line="240" w:lineRule="auto"/>
              <w:rPr>
                <w:rFonts w:ascii="Times New Roman" w:eastAsia="Times New Roman" w:hAnsi="Times New Roman" w:cs="Times New Roman"/>
                <w:b/>
                <w:bCs/>
                <w:noProof/>
                <w:sz w:val="18"/>
                <w:szCs w:val="18"/>
              </w:rPr>
            </w:pPr>
          </w:p>
        </w:tc>
        <w:tc>
          <w:tcPr>
            <w:tcW w:w="1134" w:type="dxa"/>
            <w:shd w:val="clear" w:color="auto" w:fill="BDD7EE"/>
            <w:vAlign w:val="center"/>
            <w:hideMark/>
          </w:tcPr>
          <w:p w14:paraId="2631BDEF" w14:textId="77777777" w:rsidR="00C45D59" w:rsidRDefault="009B0962">
            <w:pPr>
              <w:pStyle w:val="P68B1DB1-Normal10"/>
              <w:spacing w:after="0" w:line="240" w:lineRule="auto"/>
              <w:jc w:val="center"/>
              <w:rPr>
                <w:rFonts w:eastAsia="Times New Roman" w:cs="Times New Roman"/>
                <w:noProof/>
                <w:szCs w:val="18"/>
              </w:rPr>
            </w:pPr>
            <w:r>
              <w:rPr>
                <w:noProof/>
              </w:rPr>
              <w:t>Unitatea de măsură</w:t>
            </w:r>
          </w:p>
        </w:tc>
        <w:tc>
          <w:tcPr>
            <w:tcW w:w="992" w:type="dxa"/>
            <w:shd w:val="clear" w:color="auto" w:fill="BDD7EE"/>
            <w:vAlign w:val="center"/>
            <w:hideMark/>
          </w:tcPr>
          <w:p w14:paraId="5D503FCE" w14:textId="77777777" w:rsidR="00C45D59" w:rsidRDefault="009B0962">
            <w:pPr>
              <w:pStyle w:val="P68B1DB1-Normal10"/>
              <w:spacing w:after="0" w:line="240" w:lineRule="auto"/>
              <w:jc w:val="center"/>
              <w:rPr>
                <w:rFonts w:eastAsia="Times New Roman" w:cs="Times New Roman"/>
                <w:noProof/>
                <w:szCs w:val="18"/>
              </w:rPr>
            </w:pPr>
            <w:r>
              <w:rPr>
                <w:noProof/>
              </w:rPr>
              <w:t xml:space="preserve">Situația de referință </w:t>
            </w:r>
          </w:p>
        </w:tc>
        <w:tc>
          <w:tcPr>
            <w:tcW w:w="851" w:type="dxa"/>
            <w:shd w:val="clear" w:color="auto" w:fill="BDD7EE"/>
            <w:vAlign w:val="center"/>
            <w:hideMark/>
          </w:tcPr>
          <w:p w14:paraId="6AACB4B3" w14:textId="77777777" w:rsidR="00C45D59" w:rsidRDefault="009B0962">
            <w:pPr>
              <w:pStyle w:val="P68B1DB1-Normal10"/>
              <w:spacing w:after="0" w:line="240" w:lineRule="auto"/>
              <w:jc w:val="center"/>
              <w:rPr>
                <w:rFonts w:eastAsia="Times New Roman" w:cs="Times New Roman"/>
                <w:noProof/>
                <w:szCs w:val="18"/>
              </w:rPr>
            </w:pPr>
            <w:r>
              <w:rPr>
                <w:noProof/>
              </w:rPr>
              <w:t xml:space="preserve">Obiectiv </w:t>
            </w:r>
          </w:p>
        </w:tc>
        <w:tc>
          <w:tcPr>
            <w:tcW w:w="1559" w:type="dxa"/>
            <w:shd w:val="clear" w:color="auto" w:fill="BDD7EE"/>
            <w:vAlign w:val="center"/>
            <w:hideMark/>
          </w:tcPr>
          <w:p w14:paraId="7E9D2252" w14:textId="77777777" w:rsidR="00C45D59" w:rsidRDefault="009B0962">
            <w:pPr>
              <w:pStyle w:val="P68B1DB1-Normal10"/>
              <w:spacing w:after="0" w:line="240" w:lineRule="auto"/>
              <w:jc w:val="center"/>
              <w:rPr>
                <w:rFonts w:eastAsia="Times New Roman" w:cs="Times New Roman"/>
                <w:noProof/>
                <w:szCs w:val="18"/>
              </w:rPr>
            </w:pPr>
            <w:r>
              <w:rPr>
                <w:noProof/>
              </w:rPr>
              <w:t>Trimestru</w:t>
            </w:r>
          </w:p>
        </w:tc>
        <w:tc>
          <w:tcPr>
            <w:tcW w:w="992" w:type="dxa"/>
            <w:shd w:val="clear" w:color="auto" w:fill="BDD7EE"/>
            <w:vAlign w:val="center"/>
            <w:hideMark/>
          </w:tcPr>
          <w:p w14:paraId="6D3AA82F" w14:textId="77777777" w:rsidR="00C45D59" w:rsidRDefault="009B0962">
            <w:pPr>
              <w:pStyle w:val="P68B1DB1-Normal10"/>
              <w:spacing w:after="0" w:line="240" w:lineRule="auto"/>
              <w:jc w:val="center"/>
              <w:rPr>
                <w:rFonts w:eastAsia="Times New Roman" w:cs="Times New Roman"/>
                <w:noProof/>
                <w:szCs w:val="18"/>
              </w:rPr>
            </w:pPr>
            <w:r>
              <w:rPr>
                <w:noProof/>
              </w:rPr>
              <w:t>Anul</w:t>
            </w:r>
          </w:p>
        </w:tc>
        <w:tc>
          <w:tcPr>
            <w:tcW w:w="3686" w:type="dxa"/>
            <w:vMerge/>
            <w:vAlign w:val="center"/>
            <w:hideMark/>
          </w:tcPr>
          <w:p w14:paraId="7E5311C6" w14:textId="77777777" w:rsidR="00C45D59" w:rsidRDefault="00C45D59">
            <w:pPr>
              <w:spacing w:after="0" w:line="240" w:lineRule="auto"/>
              <w:rPr>
                <w:rFonts w:ascii="Times New Roman" w:eastAsia="Times New Roman" w:hAnsi="Times New Roman" w:cs="Times New Roman"/>
                <w:b/>
                <w:bCs/>
                <w:noProof/>
                <w:sz w:val="18"/>
                <w:szCs w:val="18"/>
              </w:rPr>
            </w:pPr>
          </w:p>
        </w:tc>
      </w:tr>
      <w:tr w:rsidR="00C45D59" w14:paraId="573B1FB2" w14:textId="77777777">
        <w:trPr>
          <w:trHeight w:val="313"/>
        </w:trPr>
        <w:tc>
          <w:tcPr>
            <w:tcW w:w="568" w:type="dxa"/>
            <w:shd w:val="clear" w:color="auto" w:fill="C6EFCE"/>
            <w:noWrap/>
          </w:tcPr>
          <w:p w14:paraId="01C5B4C2" w14:textId="77777777" w:rsidR="00C45D59" w:rsidRDefault="009B0962">
            <w:pPr>
              <w:pStyle w:val="P68B1DB1-Normal12"/>
              <w:spacing w:after="0" w:line="240" w:lineRule="auto"/>
              <w:rPr>
                <w:rFonts w:eastAsia="Times New Roman"/>
                <w:noProof/>
              </w:rPr>
            </w:pPr>
            <w:r>
              <w:rPr>
                <w:noProof/>
              </w:rPr>
              <w:t>257</w:t>
            </w:r>
          </w:p>
        </w:tc>
        <w:tc>
          <w:tcPr>
            <w:tcW w:w="1701" w:type="dxa"/>
            <w:shd w:val="clear" w:color="auto" w:fill="C6EFCE"/>
            <w:noWrap/>
          </w:tcPr>
          <w:p w14:paraId="18B419B2" w14:textId="77777777" w:rsidR="00C45D59" w:rsidRDefault="009B0962">
            <w:pPr>
              <w:pStyle w:val="P68B1DB1-Normal12"/>
              <w:spacing w:after="0" w:line="240" w:lineRule="auto"/>
              <w:rPr>
                <w:rFonts w:eastAsia="Times New Roman"/>
                <w:noProof/>
              </w:rPr>
            </w:pPr>
            <w:r>
              <w:rPr>
                <w:noProof/>
              </w:rPr>
              <w:t>17-4.6. Modernizarea și îmbunătățirea rezilienței sectoarelor economice esențiale – 16631_Actualizarea siguranței rutiere</w:t>
            </w:r>
          </w:p>
        </w:tc>
        <w:tc>
          <w:tcPr>
            <w:tcW w:w="1134" w:type="dxa"/>
            <w:shd w:val="clear" w:color="auto" w:fill="C6EFCE"/>
            <w:noWrap/>
          </w:tcPr>
          <w:p w14:paraId="504A8361" w14:textId="77777777" w:rsidR="00C45D59" w:rsidRDefault="009B0962">
            <w:pPr>
              <w:pStyle w:val="P68B1DB1-Normal12"/>
              <w:spacing w:after="0" w:line="240" w:lineRule="auto"/>
              <w:rPr>
                <w:rFonts w:eastAsia="Times New Roman"/>
                <w:noProof/>
              </w:rPr>
            </w:pPr>
            <w:r>
              <w:rPr>
                <w:noProof/>
              </w:rPr>
              <w:t>Etapă</w:t>
            </w:r>
          </w:p>
        </w:tc>
        <w:tc>
          <w:tcPr>
            <w:tcW w:w="1134" w:type="dxa"/>
            <w:shd w:val="clear" w:color="auto" w:fill="C6EFCE"/>
            <w:noWrap/>
          </w:tcPr>
          <w:p w14:paraId="559EF62E" w14:textId="77777777" w:rsidR="00C45D59" w:rsidRDefault="009B0962">
            <w:pPr>
              <w:pStyle w:val="P68B1DB1-Normal12"/>
              <w:spacing w:after="0" w:line="240" w:lineRule="auto"/>
              <w:rPr>
                <w:rFonts w:eastAsia="Times New Roman"/>
                <w:noProof/>
              </w:rPr>
            </w:pPr>
            <w:r>
              <w:rPr>
                <w:noProof/>
              </w:rPr>
              <w:t>Atribuirea contractelor pentru siguranța rutieră – primul lot de contracte</w:t>
            </w:r>
          </w:p>
        </w:tc>
        <w:tc>
          <w:tcPr>
            <w:tcW w:w="1701" w:type="dxa"/>
            <w:shd w:val="clear" w:color="auto" w:fill="C6EFCE"/>
            <w:noWrap/>
          </w:tcPr>
          <w:p w14:paraId="4E5729A9" w14:textId="77777777" w:rsidR="00C45D59" w:rsidRDefault="009B0962">
            <w:pPr>
              <w:pStyle w:val="P68B1DB1-Normal12"/>
              <w:spacing w:after="0" w:line="240" w:lineRule="auto"/>
              <w:rPr>
                <w:rFonts w:eastAsia="Times New Roman"/>
                <w:noProof/>
              </w:rPr>
            </w:pPr>
            <w:r>
              <w:rPr>
                <w:noProof/>
              </w:rPr>
              <w:t>Notificarea atribuirii contractelor pentru cel puțin 2 300 locații.</w:t>
            </w:r>
          </w:p>
        </w:tc>
        <w:tc>
          <w:tcPr>
            <w:tcW w:w="1134" w:type="dxa"/>
            <w:shd w:val="clear" w:color="auto" w:fill="C6EFCE"/>
            <w:noWrap/>
          </w:tcPr>
          <w:p w14:paraId="00E62844"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992" w:type="dxa"/>
            <w:shd w:val="clear" w:color="auto" w:fill="C6EFCE"/>
            <w:noWrap/>
          </w:tcPr>
          <w:p w14:paraId="18A37373"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51" w:type="dxa"/>
            <w:shd w:val="clear" w:color="auto" w:fill="C6EFCE"/>
            <w:noWrap/>
          </w:tcPr>
          <w:p w14:paraId="5190C5D7"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559" w:type="dxa"/>
            <w:shd w:val="clear" w:color="auto" w:fill="C6EFCE"/>
            <w:noWrap/>
          </w:tcPr>
          <w:p w14:paraId="3A029DE3" w14:textId="77777777" w:rsidR="00C45D59" w:rsidRDefault="009B0962">
            <w:pPr>
              <w:pStyle w:val="P68B1DB1-Normal12"/>
              <w:spacing w:after="0" w:line="240" w:lineRule="auto"/>
              <w:rPr>
                <w:rFonts w:eastAsia="Times New Roman"/>
                <w:noProof/>
              </w:rPr>
            </w:pPr>
            <w:r>
              <w:rPr>
                <w:noProof/>
              </w:rPr>
              <w:t>Î2</w:t>
            </w:r>
          </w:p>
        </w:tc>
        <w:tc>
          <w:tcPr>
            <w:tcW w:w="992" w:type="dxa"/>
            <w:shd w:val="clear" w:color="auto" w:fill="C6EFCE"/>
            <w:noWrap/>
          </w:tcPr>
          <w:p w14:paraId="116FE848" w14:textId="77777777" w:rsidR="00C45D59" w:rsidRDefault="009B0962">
            <w:pPr>
              <w:pStyle w:val="P68B1DB1-Normal12"/>
              <w:spacing w:after="0" w:line="240" w:lineRule="auto"/>
              <w:rPr>
                <w:rFonts w:eastAsia="Times New Roman"/>
                <w:noProof/>
              </w:rPr>
            </w:pPr>
            <w:r>
              <w:rPr>
                <w:noProof/>
              </w:rPr>
              <w:t>2023</w:t>
            </w:r>
          </w:p>
        </w:tc>
        <w:tc>
          <w:tcPr>
            <w:tcW w:w="3686" w:type="dxa"/>
            <w:shd w:val="clear" w:color="auto" w:fill="C6EFCE"/>
            <w:noWrap/>
          </w:tcPr>
          <w:p w14:paraId="0D2ECB54" w14:textId="77777777" w:rsidR="00C45D59" w:rsidRDefault="009B0962">
            <w:pPr>
              <w:pStyle w:val="P68B1DB1-Normal12"/>
              <w:spacing w:after="0" w:line="240" w:lineRule="auto"/>
              <w:rPr>
                <w:rFonts w:eastAsia="Times New Roman"/>
                <w:noProof/>
              </w:rPr>
            </w:pPr>
            <w:r>
              <w:rPr>
                <w:noProof/>
              </w:rPr>
              <w:t>Contracte atribuite pentru cel puțin 2 300 de locații care asigură a) îmbunătățirea siguranței rutiere în cadrul programului „Programul de îmbunătățire a siguranței rutiere (PEVOA)” în aproximativ 7 000 de locații periculoase; b) îmbunătățiri minore pentru restul de 2 500 km</w:t>
            </w:r>
          </w:p>
        </w:tc>
      </w:tr>
      <w:tr w:rsidR="00C45D59" w14:paraId="31485F84" w14:textId="77777777">
        <w:trPr>
          <w:trHeight w:val="313"/>
        </w:trPr>
        <w:tc>
          <w:tcPr>
            <w:tcW w:w="568" w:type="dxa"/>
            <w:shd w:val="clear" w:color="auto" w:fill="C6EFCE"/>
            <w:noWrap/>
          </w:tcPr>
          <w:p w14:paraId="123BC2C3" w14:textId="77777777" w:rsidR="00C45D59" w:rsidRDefault="009B0962">
            <w:pPr>
              <w:pStyle w:val="P68B1DB1-Normal12"/>
              <w:spacing w:after="0" w:line="240" w:lineRule="auto"/>
              <w:rPr>
                <w:rFonts w:eastAsia="Times New Roman"/>
                <w:noProof/>
              </w:rPr>
            </w:pPr>
            <w:r>
              <w:rPr>
                <w:noProof/>
              </w:rPr>
              <w:t>258</w:t>
            </w:r>
          </w:p>
        </w:tc>
        <w:tc>
          <w:tcPr>
            <w:tcW w:w="1701" w:type="dxa"/>
            <w:shd w:val="clear" w:color="auto" w:fill="C6EFCE"/>
            <w:noWrap/>
          </w:tcPr>
          <w:p w14:paraId="19AB772D" w14:textId="77777777" w:rsidR="00C45D59" w:rsidRDefault="009B0962">
            <w:pPr>
              <w:pStyle w:val="P68B1DB1-Normal12"/>
              <w:spacing w:after="0" w:line="240" w:lineRule="auto"/>
              <w:rPr>
                <w:rFonts w:eastAsia="Times New Roman"/>
                <w:noProof/>
              </w:rPr>
            </w:pPr>
            <w:r>
              <w:rPr>
                <w:noProof/>
              </w:rPr>
              <w:t>17-4.6. Modernizarea și îmbunătățirea rezilienței sectoarelor economice esențiale – 16631_Actualizarea siguranței rutiere</w:t>
            </w:r>
          </w:p>
        </w:tc>
        <w:tc>
          <w:tcPr>
            <w:tcW w:w="1134" w:type="dxa"/>
            <w:shd w:val="clear" w:color="auto" w:fill="C6EFCE"/>
            <w:noWrap/>
          </w:tcPr>
          <w:p w14:paraId="6207C5FF" w14:textId="77777777" w:rsidR="00C45D59" w:rsidRDefault="009B0962">
            <w:pPr>
              <w:pStyle w:val="P68B1DB1-Normal12"/>
              <w:spacing w:after="0" w:line="240" w:lineRule="auto"/>
              <w:rPr>
                <w:rFonts w:eastAsia="Times New Roman"/>
                <w:noProof/>
              </w:rPr>
            </w:pPr>
            <w:r>
              <w:rPr>
                <w:noProof/>
              </w:rPr>
              <w:t>Etapă</w:t>
            </w:r>
          </w:p>
        </w:tc>
        <w:tc>
          <w:tcPr>
            <w:tcW w:w="1134" w:type="dxa"/>
            <w:shd w:val="clear" w:color="auto" w:fill="C6EFCE"/>
            <w:noWrap/>
          </w:tcPr>
          <w:p w14:paraId="5F43C0DE" w14:textId="77777777" w:rsidR="00C45D59" w:rsidRDefault="009B0962">
            <w:pPr>
              <w:pStyle w:val="P68B1DB1-Normal12"/>
              <w:spacing w:after="0" w:line="240" w:lineRule="auto"/>
              <w:rPr>
                <w:rFonts w:eastAsia="Times New Roman"/>
                <w:noProof/>
              </w:rPr>
            </w:pPr>
            <w:r>
              <w:rPr>
                <w:noProof/>
              </w:rPr>
              <w:t>Atribuirea contractelor pentru siguranța rutieră – toate contractele</w:t>
            </w:r>
          </w:p>
        </w:tc>
        <w:tc>
          <w:tcPr>
            <w:tcW w:w="1701" w:type="dxa"/>
            <w:shd w:val="clear" w:color="auto" w:fill="C6EFCE"/>
            <w:noWrap/>
          </w:tcPr>
          <w:p w14:paraId="454B00CE" w14:textId="77777777" w:rsidR="00C45D59" w:rsidRDefault="009B0962">
            <w:pPr>
              <w:pStyle w:val="P68B1DB1-Normal12"/>
              <w:spacing w:after="0" w:line="240" w:lineRule="auto"/>
              <w:rPr>
                <w:rFonts w:eastAsia="Times New Roman"/>
                <w:noProof/>
              </w:rPr>
            </w:pPr>
            <w:r>
              <w:rPr>
                <w:noProof/>
              </w:rPr>
              <w:t>Notificarea atribuirii a 100 % din contracte</w:t>
            </w:r>
          </w:p>
        </w:tc>
        <w:tc>
          <w:tcPr>
            <w:tcW w:w="1134" w:type="dxa"/>
            <w:shd w:val="clear" w:color="auto" w:fill="C6EFCE"/>
            <w:noWrap/>
          </w:tcPr>
          <w:p w14:paraId="696AB7D9"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992" w:type="dxa"/>
            <w:shd w:val="clear" w:color="auto" w:fill="C6EFCE"/>
            <w:noWrap/>
          </w:tcPr>
          <w:p w14:paraId="3E1BF7F1"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51" w:type="dxa"/>
            <w:shd w:val="clear" w:color="auto" w:fill="C6EFCE"/>
            <w:noWrap/>
          </w:tcPr>
          <w:p w14:paraId="5203B8E8"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559" w:type="dxa"/>
            <w:shd w:val="clear" w:color="auto" w:fill="C6EFCE"/>
            <w:noWrap/>
          </w:tcPr>
          <w:p w14:paraId="73D98CBF" w14:textId="77777777" w:rsidR="00C45D59" w:rsidRDefault="009B0962">
            <w:pPr>
              <w:pStyle w:val="P68B1DB1-Normal12"/>
              <w:spacing w:after="0" w:line="240" w:lineRule="auto"/>
              <w:rPr>
                <w:rFonts w:eastAsia="Times New Roman"/>
                <w:noProof/>
              </w:rPr>
            </w:pPr>
            <w:r>
              <w:rPr>
                <w:noProof/>
              </w:rPr>
              <w:t>Î2</w:t>
            </w:r>
          </w:p>
        </w:tc>
        <w:tc>
          <w:tcPr>
            <w:tcW w:w="992" w:type="dxa"/>
            <w:shd w:val="clear" w:color="auto" w:fill="C6EFCE"/>
            <w:noWrap/>
          </w:tcPr>
          <w:p w14:paraId="7BF96DE0" w14:textId="77777777" w:rsidR="00C45D59" w:rsidRDefault="009B0962">
            <w:pPr>
              <w:pStyle w:val="P68B1DB1-Normal12"/>
              <w:spacing w:after="0" w:line="240" w:lineRule="auto"/>
              <w:rPr>
                <w:rFonts w:eastAsia="Times New Roman"/>
                <w:noProof/>
              </w:rPr>
            </w:pPr>
            <w:r>
              <w:rPr>
                <w:noProof/>
              </w:rPr>
              <w:t>2024</w:t>
            </w:r>
          </w:p>
        </w:tc>
        <w:tc>
          <w:tcPr>
            <w:tcW w:w="3686" w:type="dxa"/>
            <w:shd w:val="clear" w:color="auto" w:fill="C6EFCE"/>
            <w:noWrap/>
          </w:tcPr>
          <w:p w14:paraId="2AF91932" w14:textId="77777777" w:rsidR="00C45D59" w:rsidRDefault="009B0962">
            <w:pPr>
              <w:pStyle w:val="P68B1DB1-Normal12"/>
              <w:spacing w:after="0" w:line="240" w:lineRule="auto"/>
              <w:rPr>
                <w:rFonts w:eastAsia="Times New Roman"/>
                <w:noProof/>
              </w:rPr>
            </w:pPr>
            <w:r>
              <w:rPr>
                <w:noProof/>
              </w:rPr>
              <w:t>Contracte atribuite pentru a) îmbunătățirea siguranței rutiere în cel puțin 7 780 locuri periculoase; (b) infrastructură de iluminat inteligentă pentru 31 938 poli</w:t>
            </w:r>
          </w:p>
        </w:tc>
      </w:tr>
      <w:tr w:rsidR="00C45D59" w14:paraId="0CA67026" w14:textId="77777777">
        <w:trPr>
          <w:trHeight w:val="313"/>
        </w:trPr>
        <w:tc>
          <w:tcPr>
            <w:tcW w:w="568" w:type="dxa"/>
            <w:shd w:val="clear" w:color="auto" w:fill="C6EFCE"/>
            <w:noWrap/>
            <w:hideMark/>
          </w:tcPr>
          <w:p w14:paraId="40852850" w14:textId="77777777" w:rsidR="00C45D59" w:rsidRDefault="009B0962">
            <w:pPr>
              <w:pStyle w:val="P68B1DB1-Normal12"/>
              <w:spacing w:after="0" w:line="240" w:lineRule="auto"/>
              <w:rPr>
                <w:noProof/>
              </w:rPr>
            </w:pPr>
            <w:r>
              <w:rPr>
                <w:noProof/>
              </w:rPr>
              <w:t>259</w:t>
            </w:r>
          </w:p>
          <w:p w14:paraId="4F686B57" w14:textId="77777777" w:rsidR="00C45D59" w:rsidRDefault="00C45D59">
            <w:pPr>
              <w:rPr>
                <w:rFonts w:ascii="Times New Roman" w:eastAsia="Times New Roman" w:hAnsi="Times New Roman" w:cs="Times New Roman"/>
                <w:noProof/>
                <w:sz w:val="18"/>
                <w:szCs w:val="18"/>
              </w:rPr>
            </w:pPr>
          </w:p>
        </w:tc>
        <w:tc>
          <w:tcPr>
            <w:tcW w:w="1701" w:type="dxa"/>
            <w:shd w:val="clear" w:color="auto" w:fill="C6EFCE"/>
            <w:noWrap/>
            <w:hideMark/>
          </w:tcPr>
          <w:p w14:paraId="73EAC01E" w14:textId="77777777" w:rsidR="00C45D59" w:rsidRDefault="009B0962">
            <w:pPr>
              <w:pStyle w:val="P68B1DB1-Normal12"/>
              <w:spacing w:after="0" w:line="240" w:lineRule="auto"/>
              <w:rPr>
                <w:rFonts w:eastAsia="Times New Roman"/>
                <w:noProof/>
              </w:rPr>
            </w:pPr>
            <w:r>
              <w:rPr>
                <w:noProof/>
              </w:rPr>
              <w:t>17-4.6. Modernizarea și îmbunătățirea rezilienței sectoarelor economice esențiale – 16631_Actualizarea siguranței rutiere</w:t>
            </w:r>
          </w:p>
        </w:tc>
        <w:tc>
          <w:tcPr>
            <w:tcW w:w="1134" w:type="dxa"/>
            <w:shd w:val="clear" w:color="auto" w:fill="C6EFCE"/>
            <w:noWrap/>
            <w:hideMark/>
          </w:tcPr>
          <w:p w14:paraId="0FD94519" w14:textId="77777777" w:rsidR="00C45D59" w:rsidRDefault="009B0962">
            <w:pPr>
              <w:pStyle w:val="P68B1DB1-Normal12"/>
              <w:spacing w:after="0" w:line="240" w:lineRule="auto"/>
              <w:rPr>
                <w:rFonts w:eastAsia="Times New Roman"/>
                <w:noProof/>
              </w:rPr>
            </w:pPr>
            <w:r>
              <w:rPr>
                <w:noProof/>
              </w:rPr>
              <w:t>Etapă</w:t>
            </w:r>
          </w:p>
        </w:tc>
        <w:tc>
          <w:tcPr>
            <w:tcW w:w="1134" w:type="dxa"/>
            <w:shd w:val="clear" w:color="auto" w:fill="C6EFCE"/>
            <w:noWrap/>
            <w:hideMark/>
          </w:tcPr>
          <w:p w14:paraId="1D3C8FD9" w14:textId="77777777" w:rsidR="00C45D59" w:rsidRDefault="009B0962">
            <w:pPr>
              <w:pStyle w:val="P68B1DB1-Normal12"/>
              <w:spacing w:after="0" w:line="240" w:lineRule="auto"/>
              <w:rPr>
                <w:rFonts w:eastAsia="Times New Roman"/>
                <w:noProof/>
              </w:rPr>
            </w:pPr>
            <w:r>
              <w:rPr>
                <w:noProof/>
              </w:rPr>
              <w:t>Finalizarea proiectului privind siguranța rutieră</w:t>
            </w:r>
          </w:p>
        </w:tc>
        <w:tc>
          <w:tcPr>
            <w:tcW w:w="1701" w:type="dxa"/>
            <w:shd w:val="clear" w:color="auto" w:fill="C6EFCE"/>
            <w:noWrap/>
            <w:hideMark/>
          </w:tcPr>
          <w:p w14:paraId="3767416A" w14:textId="77777777" w:rsidR="00C45D59" w:rsidRDefault="009B0962">
            <w:pPr>
              <w:pStyle w:val="P68B1DB1-Normal23"/>
              <w:spacing w:after="0" w:line="240" w:lineRule="auto"/>
              <w:rPr>
                <w:noProof/>
                <w:highlight w:val="yellow"/>
              </w:rPr>
            </w:pPr>
            <w:r>
              <w:rPr>
                <w:noProof/>
              </w:rPr>
              <w:t>Intervenții în locuri periculoase executate și stâlpi de iluminat instalați</w:t>
            </w:r>
          </w:p>
        </w:tc>
        <w:tc>
          <w:tcPr>
            <w:tcW w:w="1134" w:type="dxa"/>
            <w:shd w:val="clear" w:color="auto" w:fill="C6EFCE"/>
            <w:noWrap/>
            <w:hideMark/>
          </w:tcPr>
          <w:p w14:paraId="0F454139" w14:textId="77777777" w:rsidR="00C45D59" w:rsidRDefault="009B0962">
            <w:pPr>
              <w:pStyle w:val="P68B1DB1-Normal12"/>
              <w:spacing w:after="0" w:line="240" w:lineRule="auto"/>
              <w:rPr>
                <w:rFonts w:eastAsia="Times New Roman"/>
                <w:noProof/>
              </w:rPr>
            </w:pPr>
            <w:r>
              <w:rPr>
                <w:noProof/>
              </w:rPr>
              <w:t xml:space="preserve"> </w:t>
            </w:r>
          </w:p>
        </w:tc>
        <w:tc>
          <w:tcPr>
            <w:tcW w:w="992" w:type="dxa"/>
            <w:shd w:val="clear" w:color="auto" w:fill="C6EFCE"/>
            <w:noWrap/>
            <w:hideMark/>
          </w:tcPr>
          <w:p w14:paraId="6EE3E6A5" w14:textId="77777777" w:rsidR="00C45D59" w:rsidRDefault="009B0962">
            <w:pPr>
              <w:pStyle w:val="P68B1DB1-Normal12"/>
              <w:spacing w:after="0" w:line="240" w:lineRule="auto"/>
              <w:rPr>
                <w:rFonts w:eastAsia="Times New Roman"/>
                <w:noProof/>
              </w:rPr>
            </w:pPr>
            <w:r>
              <w:rPr>
                <w:noProof/>
              </w:rPr>
              <w:t xml:space="preserve"> </w:t>
            </w:r>
          </w:p>
        </w:tc>
        <w:tc>
          <w:tcPr>
            <w:tcW w:w="851" w:type="dxa"/>
            <w:shd w:val="clear" w:color="auto" w:fill="C6EFCE"/>
            <w:noWrap/>
            <w:hideMark/>
          </w:tcPr>
          <w:p w14:paraId="381437F6" w14:textId="77777777" w:rsidR="00C45D59" w:rsidRDefault="009B0962">
            <w:pPr>
              <w:pStyle w:val="P68B1DB1-Normal12"/>
              <w:spacing w:after="0" w:line="240" w:lineRule="auto"/>
              <w:rPr>
                <w:rFonts w:eastAsia="Times New Roman"/>
                <w:noProof/>
              </w:rPr>
            </w:pPr>
            <w:r>
              <w:rPr>
                <w:noProof/>
              </w:rPr>
              <w:t xml:space="preserve"> </w:t>
            </w:r>
          </w:p>
        </w:tc>
        <w:tc>
          <w:tcPr>
            <w:tcW w:w="1559" w:type="dxa"/>
            <w:shd w:val="clear" w:color="auto" w:fill="C6EFCE"/>
            <w:noWrap/>
            <w:hideMark/>
          </w:tcPr>
          <w:p w14:paraId="7AB3A11F" w14:textId="77777777" w:rsidR="00C45D59" w:rsidRDefault="009B0962">
            <w:pPr>
              <w:pStyle w:val="P68B1DB1-Normal12"/>
              <w:spacing w:after="0" w:line="240" w:lineRule="auto"/>
              <w:rPr>
                <w:rFonts w:eastAsia="Times New Roman"/>
                <w:noProof/>
              </w:rPr>
            </w:pPr>
            <w:r>
              <w:rPr>
                <w:noProof/>
              </w:rPr>
              <w:t>Î4 </w:t>
            </w:r>
          </w:p>
        </w:tc>
        <w:tc>
          <w:tcPr>
            <w:tcW w:w="992" w:type="dxa"/>
            <w:shd w:val="clear" w:color="auto" w:fill="C6EFCE"/>
            <w:noWrap/>
            <w:hideMark/>
          </w:tcPr>
          <w:p w14:paraId="58390A69" w14:textId="77777777" w:rsidR="00C45D59" w:rsidRDefault="009B0962">
            <w:pPr>
              <w:pStyle w:val="P68B1DB1-Normal12"/>
              <w:spacing w:after="0" w:line="240" w:lineRule="auto"/>
              <w:rPr>
                <w:rFonts w:eastAsia="Times New Roman"/>
                <w:noProof/>
              </w:rPr>
            </w:pPr>
            <w:r>
              <w:rPr>
                <w:noProof/>
              </w:rPr>
              <w:t>2025</w:t>
            </w:r>
          </w:p>
        </w:tc>
        <w:tc>
          <w:tcPr>
            <w:tcW w:w="3686" w:type="dxa"/>
            <w:shd w:val="clear" w:color="auto" w:fill="C6EFCE"/>
            <w:noWrap/>
            <w:hideMark/>
          </w:tcPr>
          <w:p w14:paraId="1F514A91" w14:textId="1D60EBA0" w:rsidR="00C45D59" w:rsidRDefault="009B0962">
            <w:pPr>
              <w:pStyle w:val="P68B1DB1-Normal12"/>
              <w:spacing w:after="0" w:line="240" w:lineRule="auto"/>
              <w:rPr>
                <w:rFonts w:eastAsia="Times New Roman"/>
                <w:noProof/>
              </w:rPr>
            </w:pPr>
            <w:r>
              <w:rPr>
                <w:noProof/>
              </w:rPr>
              <w:t>a) au fost executate intervenții în cel puțin 8 693 locuri periculoase; b) 29 938 stâlpi de iluminat inteligenți instalați</w:t>
            </w:r>
          </w:p>
        </w:tc>
      </w:tr>
    </w:tbl>
    <w:p w14:paraId="6829229E" w14:textId="77777777" w:rsidR="00C45D59" w:rsidRDefault="009B0962">
      <w:pPr>
        <w:pStyle w:val="P68B1DB1-Normal9"/>
        <w:keepNext/>
        <w:keepLines/>
        <w:spacing w:before="240" w:after="240" w:line="240" w:lineRule="auto"/>
        <w:jc w:val="both"/>
        <w:outlineLvl w:val="4"/>
        <w:rPr>
          <w:rFonts w:eastAsia="Times New Roman"/>
          <w:noProof/>
        </w:rPr>
      </w:pPr>
      <w:r>
        <w:rPr>
          <w:noProof/>
        </w:rPr>
        <w:t>Principala investiție 8: Autostrada din nordul insulei Creta (Β.Ο.Α.Κ.)</w:t>
      </w:r>
    </w:p>
    <w:tbl>
      <w:tblPr>
        <w:tblW w:w="153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6"/>
        <w:gridCol w:w="1680"/>
        <w:gridCol w:w="1376"/>
        <w:gridCol w:w="1299"/>
        <w:gridCol w:w="1461"/>
        <w:gridCol w:w="1374"/>
        <w:gridCol w:w="1249"/>
        <w:gridCol w:w="866"/>
        <w:gridCol w:w="1350"/>
        <w:gridCol w:w="1166"/>
        <w:gridCol w:w="3582"/>
      </w:tblGrid>
      <w:tr w:rsidR="00C45D59" w14:paraId="45BCA588" w14:textId="77777777">
        <w:trPr>
          <w:trHeight w:val="939"/>
          <w:tblHeader/>
          <w:jc w:val="center"/>
        </w:trPr>
        <w:tc>
          <w:tcPr>
            <w:tcW w:w="566" w:type="dxa"/>
            <w:vMerge w:val="restart"/>
            <w:shd w:val="clear" w:color="auto" w:fill="BDD7EE"/>
            <w:vAlign w:val="center"/>
            <w:hideMark/>
          </w:tcPr>
          <w:p w14:paraId="0D21E5D0" w14:textId="442D23D0" w:rsidR="00C45D59" w:rsidRDefault="00097639">
            <w:pPr>
              <w:pStyle w:val="P68B1DB1-Normal10"/>
              <w:spacing w:after="0" w:line="240" w:lineRule="auto"/>
              <w:jc w:val="center"/>
              <w:rPr>
                <w:rFonts w:eastAsia="Times New Roman" w:cs="Times New Roman"/>
                <w:noProof/>
                <w:szCs w:val="18"/>
              </w:rPr>
            </w:pPr>
            <w:r>
              <w:rPr>
                <w:noProof/>
              </w:rPr>
              <w:t>Nr. crt.</w:t>
            </w:r>
          </w:p>
        </w:tc>
        <w:tc>
          <w:tcPr>
            <w:tcW w:w="1680" w:type="dxa"/>
            <w:vMerge w:val="restart"/>
            <w:shd w:val="clear" w:color="auto" w:fill="BDD7EE"/>
            <w:vAlign w:val="center"/>
            <w:hideMark/>
          </w:tcPr>
          <w:p w14:paraId="687A0AF1" w14:textId="77777777" w:rsidR="00C45D59" w:rsidRDefault="009B0962">
            <w:pPr>
              <w:pStyle w:val="P68B1DB1-Normal10"/>
              <w:spacing w:after="0" w:line="240" w:lineRule="auto"/>
              <w:jc w:val="center"/>
              <w:rPr>
                <w:rFonts w:eastAsia="Times New Roman" w:cs="Times New Roman"/>
                <w:noProof/>
                <w:szCs w:val="18"/>
              </w:rPr>
            </w:pPr>
            <w:r>
              <w:rPr>
                <w:noProof/>
              </w:rPr>
              <w:t>Măsură conexă (reformă sau investiții)</w:t>
            </w:r>
          </w:p>
        </w:tc>
        <w:tc>
          <w:tcPr>
            <w:tcW w:w="1080" w:type="dxa"/>
            <w:vMerge w:val="restart"/>
            <w:shd w:val="clear" w:color="auto" w:fill="BDD7EE"/>
            <w:vAlign w:val="center"/>
            <w:hideMark/>
          </w:tcPr>
          <w:p w14:paraId="2D02AA1A" w14:textId="77777777" w:rsidR="00C45D59" w:rsidRDefault="009B0962">
            <w:pPr>
              <w:pStyle w:val="P68B1DB1-Normal10"/>
              <w:spacing w:after="0" w:line="240" w:lineRule="auto"/>
              <w:jc w:val="center"/>
              <w:rPr>
                <w:rFonts w:eastAsia="Times New Roman" w:cs="Times New Roman"/>
                <w:noProof/>
                <w:szCs w:val="18"/>
              </w:rPr>
            </w:pPr>
            <w:r>
              <w:rPr>
                <w:noProof/>
              </w:rPr>
              <w:t>Etapă/Obiectiv</w:t>
            </w:r>
          </w:p>
        </w:tc>
        <w:tc>
          <w:tcPr>
            <w:tcW w:w="1299" w:type="dxa"/>
            <w:vMerge w:val="restart"/>
            <w:shd w:val="clear" w:color="auto" w:fill="BDD7EE"/>
            <w:vAlign w:val="center"/>
            <w:hideMark/>
          </w:tcPr>
          <w:p w14:paraId="5A446629" w14:textId="52DE58E4" w:rsidR="00C45D59" w:rsidRDefault="00892E7E">
            <w:pPr>
              <w:pStyle w:val="P68B1DB1-Normal10"/>
              <w:spacing w:after="0" w:line="240" w:lineRule="auto"/>
              <w:jc w:val="center"/>
              <w:rPr>
                <w:rFonts w:eastAsia="Times New Roman" w:cs="Times New Roman"/>
                <w:noProof/>
                <w:szCs w:val="18"/>
              </w:rPr>
            </w:pPr>
            <w:r>
              <w:rPr>
                <w:noProof/>
              </w:rPr>
              <w:t>Denumire</w:t>
            </w:r>
          </w:p>
        </w:tc>
        <w:tc>
          <w:tcPr>
            <w:tcW w:w="1461" w:type="dxa"/>
            <w:vMerge w:val="restart"/>
            <w:shd w:val="clear" w:color="auto" w:fill="BDD7EE"/>
            <w:vAlign w:val="center"/>
            <w:hideMark/>
          </w:tcPr>
          <w:p w14:paraId="0D100E03" w14:textId="77777777" w:rsidR="00C45D59" w:rsidRDefault="009B0962">
            <w:pPr>
              <w:pStyle w:val="P68B1DB1-Normal10"/>
              <w:spacing w:after="0" w:line="240" w:lineRule="auto"/>
              <w:jc w:val="center"/>
              <w:rPr>
                <w:rFonts w:eastAsia="Times New Roman" w:cs="Times New Roman"/>
                <w:noProof/>
                <w:szCs w:val="18"/>
              </w:rPr>
            </w:pPr>
            <w:r>
              <w:rPr>
                <w:noProof/>
              </w:rPr>
              <w:t>Indicatori calitativi (pentru obiectivele de etapă)</w:t>
            </w:r>
          </w:p>
        </w:tc>
        <w:tc>
          <w:tcPr>
            <w:tcW w:w="3210" w:type="dxa"/>
            <w:gridSpan w:val="3"/>
            <w:shd w:val="clear" w:color="auto" w:fill="BDD7EE"/>
            <w:vAlign w:val="center"/>
            <w:hideMark/>
          </w:tcPr>
          <w:p w14:paraId="3BF637C5" w14:textId="77777777" w:rsidR="00C45D59" w:rsidRDefault="009B0962">
            <w:pPr>
              <w:pStyle w:val="P68B1DB1-Normal10"/>
              <w:spacing w:after="0" w:line="240" w:lineRule="auto"/>
              <w:jc w:val="center"/>
              <w:rPr>
                <w:rFonts w:eastAsia="Times New Roman" w:cs="Times New Roman"/>
                <w:noProof/>
                <w:szCs w:val="18"/>
              </w:rPr>
            </w:pPr>
            <w:r>
              <w:rPr>
                <w:noProof/>
              </w:rPr>
              <w:t>Indicatori cantitativi (pentru ținte)</w:t>
            </w:r>
          </w:p>
        </w:tc>
        <w:tc>
          <w:tcPr>
            <w:tcW w:w="2516" w:type="dxa"/>
            <w:gridSpan w:val="2"/>
            <w:shd w:val="clear" w:color="auto" w:fill="BDD7EE"/>
            <w:vAlign w:val="center"/>
            <w:hideMark/>
          </w:tcPr>
          <w:p w14:paraId="6FC6609F" w14:textId="77777777" w:rsidR="00C45D59" w:rsidRDefault="009B0962">
            <w:pPr>
              <w:pStyle w:val="P68B1DB1-Normal10"/>
              <w:spacing w:after="0" w:line="240" w:lineRule="auto"/>
              <w:jc w:val="center"/>
              <w:rPr>
                <w:rFonts w:eastAsia="Times New Roman" w:cs="Times New Roman"/>
                <w:noProof/>
                <w:szCs w:val="18"/>
              </w:rPr>
            </w:pPr>
            <w:r>
              <w:rPr>
                <w:noProof/>
              </w:rPr>
              <w:t xml:space="preserve">Calendar orientativ pentru finalizare </w:t>
            </w:r>
          </w:p>
        </w:tc>
        <w:tc>
          <w:tcPr>
            <w:tcW w:w="3582" w:type="dxa"/>
            <w:vMerge w:val="restart"/>
            <w:shd w:val="clear" w:color="auto" w:fill="BDD7EE"/>
            <w:vAlign w:val="center"/>
            <w:hideMark/>
          </w:tcPr>
          <w:p w14:paraId="2875AEB9" w14:textId="77777777" w:rsidR="00C45D59" w:rsidRDefault="009B0962">
            <w:pPr>
              <w:pStyle w:val="P68B1DB1-Normal10"/>
              <w:spacing w:after="0" w:line="240" w:lineRule="auto"/>
              <w:jc w:val="center"/>
              <w:rPr>
                <w:rFonts w:eastAsia="Times New Roman" w:cs="Times New Roman"/>
                <w:noProof/>
                <w:szCs w:val="18"/>
              </w:rPr>
            </w:pPr>
            <w:r>
              <w:rPr>
                <w:noProof/>
              </w:rPr>
              <w:t>Descrierea fiecărui jalon și a fiecărei ținte</w:t>
            </w:r>
          </w:p>
        </w:tc>
      </w:tr>
      <w:tr w:rsidR="00C45D59" w14:paraId="1C517AFA" w14:textId="77777777">
        <w:trPr>
          <w:trHeight w:val="431"/>
          <w:tblHeader/>
          <w:jc w:val="center"/>
        </w:trPr>
        <w:tc>
          <w:tcPr>
            <w:tcW w:w="566" w:type="dxa"/>
            <w:vMerge/>
            <w:vAlign w:val="center"/>
            <w:hideMark/>
          </w:tcPr>
          <w:p w14:paraId="71272054" w14:textId="77777777" w:rsidR="00C45D59" w:rsidRDefault="00C45D59">
            <w:pPr>
              <w:spacing w:after="0" w:line="240" w:lineRule="auto"/>
              <w:rPr>
                <w:rFonts w:ascii="Times New Roman" w:eastAsia="Times New Roman" w:hAnsi="Times New Roman" w:cs="Times New Roman"/>
                <w:b/>
                <w:bCs/>
                <w:noProof/>
                <w:sz w:val="18"/>
                <w:szCs w:val="18"/>
              </w:rPr>
            </w:pPr>
          </w:p>
        </w:tc>
        <w:tc>
          <w:tcPr>
            <w:tcW w:w="1680" w:type="dxa"/>
            <w:vMerge/>
            <w:vAlign w:val="center"/>
            <w:hideMark/>
          </w:tcPr>
          <w:p w14:paraId="05103320" w14:textId="77777777" w:rsidR="00C45D59" w:rsidRDefault="00C45D59">
            <w:pPr>
              <w:spacing w:after="0" w:line="240" w:lineRule="auto"/>
              <w:rPr>
                <w:rFonts w:ascii="Times New Roman" w:eastAsia="Times New Roman" w:hAnsi="Times New Roman" w:cs="Times New Roman"/>
                <w:b/>
                <w:bCs/>
                <w:noProof/>
                <w:sz w:val="18"/>
                <w:szCs w:val="18"/>
              </w:rPr>
            </w:pPr>
          </w:p>
        </w:tc>
        <w:tc>
          <w:tcPr>
            <w:tcW w:w="1080" w:type="dxa"/>
            <w:vMerge/>
            <w:vAlign w:val="center"/>
            <w:hideMark/>
          </w:tcPr>
          <w:p w14:paraId="598608CC" w14:textId="77777777" w:rsidR="00C45D59" w:rsidRDefault="00C45D59">
            <w:pPr>
              <w:spacing w:after="0" w:line="240" w:lineRule="auto"/>
              <w:rPr>
                <w:rFonts w:ascii="Times New Roman" w:eastAsia="Times New Roman" w:hAnsi="Times New Roman" w:cs="Times New Roman"/>
                <w:b/>
                <w:bCs/>
                <w:noProof/>
                <w:sz w:val="18"/>
                <w:szCs w:val="18"/>
              </w:rPr>
            </w:pPr>
          </w:p>
        </w:tc>
        <w:tc>
          <w:tcPr>
            <w:tcW w:w="1299" w:type="dxa"/>
            <w:vMerge/>
            <w:vAlign w:val="center"/>
            <w:hideMark/>
          </w:tcPr>
          <w:p w14:paraId="060C6077" w14:textId="77777777" w:rsidR="00C45D59" w:rsidRDefault="00C45D59">
            <w:pPr>
              <w:spacing w:after="0" w:line="240" w:lineRule="auto"/>
              <w:rPr>
                <w:rFonts w:ascii="Times New Roman" w:eastAsia="Times New Roman" w:hAnsi="Times New Roman" w:cs="Times New Roman"/>
                <w:b/>
                <w:bCs/>
                <w:noProof/>
                <w:sz w:val="18"/>
                <w:szCs w:val="18"/>
              </w:rPr>
            </w:pPr>
          </w:p>
        </w:tc>
        <w:tc>
          <w:tcPr>
            <w:tcW w:w="1461" w:type="dxa"/>
            <w:vMerge/>
            <w:vAlign w:val="center"/>
            <w:hideMark/>
          </w:tcPr>
          <w:p w14:paraId="23DD6D5B" w14:textId="77777777" w:rsidR="00C45D59" w:rsidRDefault="00C45D59">
            <w:pPr>
              <w:spacing w:after="0" w:line="240" w:lineRule="auto"/>
              <w:rPr>
                <w:rFonts w:ascii="Times New Roman" w:eastAsia="Times New Roman" w:hAnsi="Times New Roman" w:cs="Times New Roman"/>
                <w:b/>
                <w:bCs/>
                <w:noProof/>
                <w:sz w:val="18"/>
                <w:szCs w:val="18"/>
              </w:rPr>
            </w:pPr>
          </w:p>
        </w:tc>
        <w:tc>
          <w:tcPr>
            <w:tcW w:w="1374" w:type="dxa"/>
            <w:shd w:val="clear" w:color="auto" w:fill="BDD7EE"/>
            <w:vAlign w:val="center"/>
            <w:hideMark/>
          </w:tcPr>
          <w:p w14:paraId="00B8F169" w14:textId="77777777" w:rsidR="00C45D59" w:rsidRDefault="009B0962">
            <w:pPr>
              <w:pStyle w:val="P68B1DB1-Normal10"/>
              <w:spacing w:after="0" w:line="240" w:lineRule="auto"/>
              <w:jc w:val="center"/>
              <w:rPr>
                <w:rFonts w:eastAsia="Times New Roman" w:cs="Times New Roman"/>
                <w:noProof/>
                <w:szCs w:val="18"/>
              </w:rPr>
            </w:pPr>
            <w:r>
              <w:rPr>
                <w:noProof/>
              </w:rPr>
              <w:t>Unitatea de măsură</w:t>
            </w:r>
          </w:p>
        </w:tc>
        <w:tc>
          <w:tcPr>
            <w:tcW w:w="1249" w:type="dxa"/>
            <w:shd w:val="clear" w:color="auto" w:fill="BDD7EE"/>
            <w:vAlign w:val="center"/>
            <w:hideMark/>
          </w:tcPr>
          <w:p w14:paraId="52120935" w14:textId="77777777" w:rsidR="00C45D59" w:rsidRDefault="009B0962">
            <w:pPr>
              <w:pStyle w:val="P68B1DB1-Normal10"/>
              <w:spacing w:after="0" w:line="240" w:lineRule="auto"/>
              <w:jc w:val="center"/>
              <w:rPr>
                <w:rFonts w:eastAsia="Times New Roman" w:cs="Times New Roman"/>
                <w:noProof/>
                <w:szCs w:val="18"/>
              </w:rPr>
            </w:pPr>
            <w:r>
              <w:rPr>
                <w:noProof/>
              </w:rPr>
              <w:t xml:space="preserve">Situația de referință </w:t>
            </w:r>
          </w:p>
        </w:tc>
        <w:tc>
          <w:tcPr>
            <w:tcW w:w="587" w:type="dxa"/>
            <w:shd w:val="clear" w:color="auto" w:fill="BDD7EE"/>
            <w:vAlign w:val="center"/>
            <w:hideMark/>
          </w:tcPr>
          <w:p w14:paraId="18F81BB6" w14:textId="77777777" w:rsidR="00C45D59" w:rsidRDefault="009B0962">
            <w:pPr>
              <w:pStyle w:val="P68B1DB1-Normal10"/>
              <w:spacing w:after="0" w:line="240" w:lineRule="auto"/>
              <w:jc w:val="center"/>
              <w:rPr>
                <w:rFonts w:eastAsia="Times New Roman" w:cs="Times New Roman"/>
                <w:noProof/>
                <w:szCs w:val="18"/>
              </w:rPr>
            </w:pPr>
            <w:r>
              <w:rPr>
                <w:noProof/>
              </w:rPr>
              <w:t xml:space="preserve">Obiectiv </w:t>
            </w:r>
          </w:p>
        </w:tc>
        <w:tc>
          <w:tcPr>
            <w:tcW w:w="1350" w:type="dxa"/>
            <w:shd w:val="clear" w:color="auto" w:fill="BDD7EE"/>
            <w:vAlign w:val="center"/>
            <w:hideMark/>
          </w:tcPr>
          <w:p w14:paraId="014BD1D0" w14:textId="77777777" w:rsidR="00C45D59" w:rsidRDefault="009B0962">
            <w:pPr>
              <w:pStyle w:val="P68B1DB1-Normal10"/>
              <w:spacing w:after="0" w:line="240" w:lineRule="auto"/>
              <w:jc w:val="center"/>
              <w:rPr>
                <w:rFonts w:eastAsia="Times New Roman" w:cs="Times New Roman"/>
                <w:noProof/>
                <w:szCs w:val="18"/>
              </w:rPr>
            </w:pPr>
            <w:r>
              <w:rPr>
                <w:noProof/>
              </w:rPr>
              <w:t>Trimestru</w:t>
            </w:r>
          </w:p>
        </w:tc>
        <w:tc>
          <w:tcPr>
            <w:tcW w:w="1166" w:type="dxa"/>
            <w:shd w:val="clear" w:color="auto" w:fill="BDD7EE"/>
            <w:vAlign w:val="center"/>
            <w:hideMark/>
          </w:tcPr>
          <w:p w14:paraId="54BCD0FC" w14:textId="77777777" w:rsidR="00C45D59" w:rsidRDefault="009B0962">
            <w:pPr>
              <w:pStyle w:val="P68B1DB1-Normal10"/>
              <w:spacing w:after="0" w:line="240" w:lineRule="auto"/>
              <w:jc w:val="center"/>
              <w:rPr>
                <w:rFonts w:eastAsia="Times New Roman" w:cs="Times New Roman"/>
                <w:noProof/>
                <w:szCs w:val="18"/>
              </w:rPr>
            </w:pPr>
            <w:r>
              <w:rPr>
                <w:noProof/>
              </w:rPr>
              <w:t>Anul</w:t>
            </w:r>
          </w:p>
        </w:tc>
        <w:tc>
          <w:tcPr>
            <w:tcW w:w="3582" w:type="dxa"/>
            <w:vMerge/>
            <w:vAlign w:val="center"/>
            <w:hideMark/>
          </w:tcPr>
          <w:p w14:paraId="6AAA24C5" w14:textId="77777777" w:rsidR="00C45D59" w:rsidRDefault="00C45D59">
            <w:pPr>
              <w:spacing w:after="0" w:line="240" w:lineRule="auto"/>
              <w:rPr>
                <w:rFonts w:ascii="Times New Roman" w:eastAsia="Times New Roman" w:hAnsi="Times New Roman" w:cs="Times New Roman"/>
                <w:b/>
                <w:bCs/>
                <w:noProof/>
                <w:sz w:val="18"/>
                <w:szCs w:val="18"/>
              </w:rPr>
            </w:pPr>
          </w:p>
        </w:tc>
      </w:tr>
      <w:tr w:rsidR="00C45D59" w14:paraId="3D711D23" w14:textId="77777777">
        <w:trPr>
          <w:trHeight w:val="1766"/>
          <w:jc w:val="center"/>
        </w:trPr>
        <w:tc>
          <w:tcPr>
            <w:tcW w:w="566" w:type="dxa"/>
            <w:shd w:val="clear" w:color="auto" w:fill="C6EFCE"/>
            <w:noWrap/>
          </w:tcPr>
          <w:p w14:paraId="7CE78163" w14:textId="77777777" w:rsidR="00C45D59" w:rsidRDefault="009B0962">
            <w:pPr>
              <w:pStyle w:val="P68B1DB1-Normal12"/>
              <w:spacing w:after="0" w:line="240" w:lineRule="auto"/>
              <w:rPr>
                <w:rFonts w:eastAsia="Times New Roman"/>
                <w:noProof/>
              </w:rPr>
            </w:pPr>
            <w:r>
              <w:rPr>
                <w:noProof/>
              </w:rPr>
              <w:t>260</w:t>
            </w:r>
          </w:p>
        </w:tc>
        <w:tc>
          <w:tcPr>
            <w:tcW w:w="1680" w:type="dxa"/>
            <w:shd w:val="clear" w:color="auto" w:fill="C6EFCE"/>
            <w:noWrap/>
          </w:tcPr>
          <w:p w14:paraId="585BB87C" w14:textId="77777777" w:rsidR="00C45D59" w:rsidRDefault="009B0962">
            <w:pPr>
              <w:pStyle w:val="P68B1DB1-Normal12"/>
              <w:spacing w:after="0" w:line="240" w:lineRule="auto"/>
              <w:rPr>
                <w:rFonts w:eastAsia="Times New Roman"/>
                <w:noProof/>
              </w:rPr>
            </w:pPr>
            <w:r>
              <w:rPr>
                <w:noProof/>
              </w:rPr>
              <w:t>17-4.6. Modernizarea și îmbunătățirea rezilienței sectoarelor economice esențiale – autostrada nordică 16630_Cretan (Β.Ο.Α.Κ.)</w:t>
            </w:r>
          </w:p>
        </w:tc>
        <w:tc>
          <w:tcPr>
            <w:tcW w:w="1080" w:type="dxa"/>
            <w:shd w:val="clear" w:color="auto" w:fill="C6EFCE"/>
            <w:noWrap/>
          </w:tcPr>
          <w:p w14:paraId="51C16143" w14:textId="77777777" w:rsidR="00C45D59" w:rsidRDefault="009B0962">
            <w:pPr>
              <w:pStyle w:val="P68B1DB1-Normal12"/>
              <w:spacing w:after="0" w:line="240" w:lineRule="auto"/>
              <w:rPr>
                <w:rFonts w:eastAsia="Times New Roman"/>
                <w:noProof/>
              </w:rPr>
            </w:pPr>
            <w:r>
              <w:rPr>
                <w:noProof/>
              </w:rPr>
              <w:t>Etapă</w:t>
            </w:r>
          </w:p>
        </w:tc>
        <w:tc>
          <w:tcPr>
            <w:tcW w:w="1299" w:type="dxa"/>
            <w:shd w:val="clear" w:color="auto" w:fill="C6EFCE"/>
            <w:noWrap/>
          </w:tcPr>
          <w:p w14:paraId="02BD169E" w14:textId="77777777" w:rsidR="00C45D59" w:rsidRDefault="009B0962">
            <w:pPr>
              <w:pStyle w:val="P68B1DB1-Normal12"/>
              <w:spacing w:after="0" w:line="240" w:lineRule="auto"/>
              <w:rPr>
                <w:rFonts w:eastAsia="Times New Roman"/>
                <w:noProof/>
              </w:rPr>
            </w:pPr>
            <w:r>
              <w:rPr>
                <w:noProof/>
              </w:rPr>
              <w:t>Notificarea atribuirii contractelor pentru trei subproiecte ale BOAK</w:t>
            </w:r>
          </w:p>
        </w:tc>
        <w:tc>
          <w:tcPr>
            <w:tcW w:w="1461" w:type="dxa"/>
            <w:shd w:val="clear" w:color="auto" w:fill="C6EFCE"/>
            <w:noWrap/>
          </w:tcPr>
          <w:p w14:paraId="2B19659F" w14:textId="77777777" w:rsidR="00C45D59" w:rsidRDefault="009B0962">
            <w:pPr>
              <w:pStyle w:val="P68B1DB1-Normal12"/>
              <w:spacing w:after="0" w:line="240" w:lineRule="auto"/>
              <w:rPr>
                <w:rFonts w:eastAsia="Times New Roman"/>
                <w:noProof/>
              </w:rPr>
            </w:pPr>
            <w:r>
              <w:rPr>
                <w:noProof/>
              </w:rPr>
              <w:t>Notificarea atribuirii contractelor</w:t>
            </w:r>
          </w:p>
        </w:tc>
        <w:tc>
          <w:tcPr>
            <w:tcW w:w="1374" w:type="dxa"/>
            <w:shd w:val="clear" w:color="auto" w:fill="C6EFCE"/>
            <w:noWrap/>
          </w:tcPr>
          <w:p w14:paraId="085C3D6A"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249" w:type="dxa"/>
            <w:shd w:val="clear" w:color="auto" w:fill="C6EFCE"/>
            <w:noWrap/>
          </w:tcPr>
          <w:p w14:paraId="55ACBBE9"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587" w:type="dxa"/>
            <w:shd w:val="clear" w:color="auto" w:fill="C6EFCE"/>
            <w:noWrap/>
          </w:tcPr>
          <w:p w14:paraId="5EB1C085"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350" w:type="dxa"/>
            <w:shd w:val="clear" w:color="auto" w:fill="C6EFCE"/>
            <w:noWrap/>
          </w:tcPr>
          <w:p w14:paraId="64339737" w14:textId="77777777" w:rsidR="00C45D59" w:rsidRDefault="009B0962">
            <w:pPr>
              <w:pStyle w:val="P68B1DB1-Normal12"/>
              <w:spacing w:after="0" w:line="240" w:lineRule="auto"/>
              <w:rPr>
                <w:rFonts w:eastAsia="Times New Roman"/>
                <w:noProof/>
              </w:rPr>
            </w:pPr>
            <w:r>
              <w:rPr>
                <w:noProof/>
              </w:rPr>
              <w:t>Î2</w:t>
            </w:r>
          </w:p>
        </w:tc>
        <w:tc>
          <w:tcPr>
            <w:tcW w:w="1166" w:type="dxa"/>
            <w:shd w:val="clear" w:color="auto" w:fill="C6EFCE"/>
            <w:noWrap/>
          </w:tcPr>
          <w:p w14:paraId="2A3CFE36" w14:textId="77777777" w:rsidR="00C45D59" w:rsidRDefault="009B0962">
            <w:pPr>
              <w:pStyle w:val="P68B1DB1-Normal12"/>
              <w:spacing w:after="0" w:line="240" w:lineRule="auto"/>
              <w:rPr>
                <w:rFonts w:eastAsia="Times New Roman"/>
                <w:noProof/>
              </w:rPr>
            </w:pPr>
            <w:r>
              <w:rPr>
                <w:noProof/>
              </w:rPr>
              <w:t>2023</w:t>
            </w:r>
          </w:p>
        </w:tc>
        <w:tc>
          <w:tcPr>
            <w:tcW w:w="3582" w:type="dxa"/>
            <w:shd w:val="clear" w:color="auto" w:fill="C6EFCE"/>
            <w:noWrap/>
          </w:tcPr>
          <w:p w14:paraId="00F1204F" w14:textId="77777777" w:rsidR="00C45D59" w:rsidRDefault="009B0962">
            <w:pPr>
              <w:pStyle w:val="P68B1DB1-Normal12"/>
              <w:spacing w:after="0" w:line="240" w:lineRule="auto"/>
              <w:rPr>
                <w:rFonts w:eastAsia="Times New Roman"/>
                <w:noProof/>
              </w:rPr>
            </w:pPr>
            <w:r>
              <w:rPr>
                <w:noProof/>
              </w:rPr>
              <w:t>Notificarea atribuirii contractelor pentru a) contractul de concesiune; b) parteneriatul public-privat; și c) Lucrări publice.</w:t>
            </w:r>
          </w:p>
        </w:tc>
      </w:tr>
      <w:tr w:rsidR="00C45D59" w14:paraId="388E4B90" w14:textId="77777777">
        <w:trPr>
          <w:trHeight w:val="313"/>
          <w:jc w:val="center"/>
        </w:trPr>
        <w:tc>
          <w:tcPr>
            <w:tcW w:w="566" w:type="dxa"/>
            <w:shd w:val="clear" w:color="auto" w:fill="C6EFCE"/>
            <w:noWrap/>
            <w:hideMark/>
          </w:tcPr>
          <w:p w14:paraId="3777A886" w14:textId="77777777" w:rsidR="00C45D59" w:rsidRDefault="009B0962">
            <w:pPr>
              <w:pStyle w:val="P68B1DB1-Normal12"/>
              <w:spacing w:after="0" w:line="240" w:lineRule="auto"/>
              <w:rPr>
                <w:rFonts w:eastAsia="Times New Roman"/>
                <w:noProof/>
              </w:rPr>
            </w:pPr>
            <w:r>
              <w:rPr>
                <w:noProof/>
              </w:rPr>
              <w:t>262</w:t>
            </w:r>
          </w:p>
        </w:tc>
        <w:tc>
          <w:tcPr>
            <w:tcW w:w="1680" w:type="dxa"/>
            <w:shd w:val="clear" w:color="auto" w:fill="C6EFCE"/>
            <w:noWrap/>
            <w:hideMark/>
          </w:tcPr>
          <w:p w14:paraId="0488F5B3" w14:textId="77777777" w:rsidR="00C45D59" w:rsidRDefault="009B0962">
            <w:pPr>
              <w:pStyle w:val="P68B1DB1-Normal12"/>
              <w:spacing w:after="0" w:line="240" w:lineRule="auto"/>
              <w:rPr>
                <w:rFonts w:eastAsia="Times New Roman"/>
                <w:noProof/>
              </w:rPr>
            </w:pPr>
            <w:r>
              <w:rPr>
                <w:noProof/>
              </w:rPr>
              <w:t>17-4.6. Modernizarea și îmbunătățirea rezilienței sectoarelor economice esențiale – autostrada nordică 16630_Cretan (Β.Ο.Α.Κ.)</w:t>
            </w:r>
          </w:p>
        </w:tc>
        <w:tc>
          <w:tcPr>
            <w:tcW w:w="1080" w:type="dxa"/>
            <w:shd w:val="clear" w:color="auto" w:fill="C6EFCE"/>
            <w:noWrap/>
            <w:hideMark/>
          </w:tcPr>
          <w:p w14:paraId="15467F6A" w14:textId="77777777" w:rsidR="00C45D59" w:rsidRDefault="009B0962">
            <w:pPr>
              <w:pStyle w:val="P68B1DB1-Normal12"/>
              <w:spacing w:after="0" w:line="240" w:lineRule="auto"/>
              <w:rPr>
                <w:rFonts w:eastAsia="Times New Roman"/>
                <w:noProof/>
              </w:rPr>
            </w:pPr>
            <w:r>
              <w:rPr>
                <w:noProof/>
              </w:rPr>
              <w:t>Etapă</w:t>
            </w:r>
          </w:p>
        </w:tc>
        <w:tc>
          <w:tcPr>
            <w:tcW w:w="1299" w:type="dxa"/>
            <w:shd w:val="clear" w:color="auto" w:fill="C6EFCE"/>
            <w:noWrap/>
            <w:hideMark/>
          </w:tcPr>
          <w:p w14:paraId="4C92BF80" w14:textId="77777777" w:rsidR="00C45D59" w:rsidRDefault="009B0962">
            <w:pPr>
              <w:pStyle w:val="P68B1DB1-Normal12"/>
              <w:spacing w:after="0" w:line="240" w:lineRule="auto"/>
              <w:rPr>
                <w:rFonts w:eastAsia="Times New Roman"/>
                <w:noProof/>
              </w:rPr>
            </w:pPr>
            <w:r>
              <w:rPr>
                <w:noProof/>
              </w:rPr>
              <w:t>Lucrări executate finanțate prin MRR</w:t>
            </w:r>
          </w:p>
        </w:tc>
        <w:tc>
          <w:tcPr>
            <w:tcW w:w="1461" w:type="dxa"/>
            <w:shd w:val="clear" w:color="auto" w:fill="C6EFCE"/>
            <w:noWrap/>
            <w:hideMark/>
          </w:tcPr>
          <w:p w14:paraId="34C981F8" w14:textId="2A3C148B" w:rsidR="00C45D59" w:rsidRDefault="009B0962">
            <w:pPr>
              <w:pStyle w:val="P68B1DB1-Normal12"/>
              <w:spacing w:after="0" w:line="240" w:lineRule="auto"/>
              <w:rPr>
                <w:rFonts w:eastAsia="Times New Roman"/>
                <w:noProof/>
              </w:rPr>
            </w:pPr>
            <w:r>
              <w:rPr>
                <w:noProof/>
              </w:rPr>
              <w:t xml:space="preserve">Lucrări predefinite executate pe tronsoanele Kissamos-Heraklion și Neapolis-Agios Nikolaos </w:t>
            </w:r>
          </w:p>
        </w:tc>
        <w:tc>
          <w:tcPr>
            <w:tcW w:w="1374" w:type="dxa"/>
            <w:shd w:val="clear" w:color="auto" w:fill="C6EFCE"/>
            <w:noWrap/>
            <w:hideMark/>
          </w:tcPr>
          <w:p w14:paraId="318BD339"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249" w:type="dxa"/>
            <w:shd w:val="clear" w:color="auto" w:fill="C6EFCE"/>
            <w:noWrap/>
            <w:hideMark/>
          </w:tcPr>
          <w:p w14:paraId="5C32FA29"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587" w:type="dxa"/>
            <w:shd w:val="clear" w:color="auto" w:fill="C6EFCE"/>
            <w:noWrap/>
            <w:hideMark/>
          </w:tcPr>
          <w:p w14:paraId="2AB3E989"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350" w:type="dxa"/>
            <w:shd w:val="clear" w:color="auto" w:fill="C6EFCE"/>
            <w:noWrap/>
            <w:hideMark/>
          </w:tcPr>
          <w:p w14:paraId="53130329" w14:textId="77777777" w:rsidR="00C45D59" w:rsidRDefault="009B0962">
            <w:pPr>
              <w:pStyle w:val="P68B1DB1-Normal12"/>
              <w:spacing w:after="0" w:line="240" w:lineRule="auto"/>
              <w:rPr>
                <w:rFonts w:eastAsia="Times New Roman"/>
                <w:noProof/>
              </w:rPr>
            </w:pPr>
            <w:r>
              <w:rPr>
                <w:noProof/>
              </w:rPr>
              <w:t>Î4</w:t>
            </w:r>
          </w:p>
        </w:tc>
        <w:tc>
          <w:tcPr>
            <w:tcW w:w="1166" w:type="dxa"/>
            <w:shd w:val="clear" w:color="auto" w:fill="C6EFCE"/>
            <w:noWrap/>
            <w:hideMark/>
          </w:tcPr>
          <w:p w14:paraId="1B6D264C" w14:textId="77777777" w:rsidR="00C45D59" w:rsidRDefault="009B0962">
            <w:pPr>
              <w:pStyle w:val="P68B1DB1-Normal12"/>
              <w:spacing w:after="0" w:line="240" w:lineRule="auto"/>
              <w:rPr>
                <w:rFonts w:eastAsia="Times New Roman"/>
                <w:noProof/>
              </w:rPr>
            </w:pPr>
            <w:r>
              <w:rPr>
                <w:noProof/>
              </w:rPr>
              <w:t>2025</w:t>
            </w:r>
          </w:p>
        </w:tc>
        <w:tc>
          <w:tcPr>
            <w:tcW w:w="3582" w:type="dxa"/>
            <w:shd w:val="clear" w:color="auto" w:fill="C6EFCE"/>
            <w:noWrap/>
            <w:hideMark/>
          </w:tcPr>
          <w:p w14:paraId="4562E263" w14:textId="5DECF3E8" w:rsidR="00C45D59" w:rsidRDefault="009B0962">
            <w:pPr>
              <w:pStyle w:val="P68B1DB1-Normal12"/>
              <w:spacing w:after="0" w:line="240" w:lineRule="auto"/>
              <w:rPr>
                <w:noProof/>
              </w:rPr>
            </w:pPr>
            <w:r>
              <w:rPr>
                <w:noProof/>
              </w:rPr>
              <w:t xml:space="preserve">Al treilea subproiect (Neapolis-Agios Nikolaos): Executarea lucrărilor de la sfârșitul șoselei de centură Neapoli până la începutul șoselei de centură Agios Nikolaos (lanț 1 + 800 până la lanț </w:t>
            </w:r>
            <w:bookmarkStart w:id="6" w:name="_Hlk234311340"/>
            <w:r>
              <w:rPr>
                <w:noProof/>
              </w:rPr>
              <w:t>12 + 000</w:t>
            </w:r>
            <w:bookmarkEnd w:id="6"/>
            <w:r>
              <w:rPr>
                <w:noProof/>
              </w:rPr>
              <w:t>) pentru construirea șoselei principale a autostrăzii.</w:t>
            </w:r>
          </w:p>
          <w:p w14:paraId="7D93D351" w14:textId="65F986F9" w:rsidR="00C45D59" w:rsidRDefault="00C45D59">
            <w:pPr>
              <w:spacing w:after="0" w:line="240" w:lineRule="auto"/>
              <w:rPr>
                <w:rFonts w:ascii="Times New Roman" w:hAnsi="Times New Roman" w:cs="Times New Roman"/>
                <w:noProof/>
                <w:color w:val="006100"/>
                <w:sz w:val="18"/>
                <w:szCs w:val="18"/>
              </w:rPr>
            </w:pPr>
          </w:p>
          <w:p w14:paraId="2B1EC516" w14:textId="6655FC32" w:rsidR="00C45D59" w:rsidRDefault="009B0962">
            <w:pPr>
              <w:pStyle w:val="P68B1DB1-Normal12"/>
              <w:spacing w:after="0" w:line="240" w:lineRule="auto"/>
              <w:rPr>
                <w:rFonts w:eastAsia="Times New Roman"/>
                <w:noProof/>
              </w:rPr>
            </w:pPr>
            <w:r>
              <w:rPr>
                <w:noProof/>
              </w:rPr>
              <w:t>Pentru primul subproiect (Kissamos-Heraklion), au fost executate următoarele lucrări:</w:t>
            </w:r>
          </w:p>
          <w:p w14:paraId="567B9DCE" w14:textId="0BB9001B" w:rsidR="00C45D59" w:rsidRDefault="009B0962">
            <w:pPr>
              <w:pStyle w:val="P68B1DB1-Normal12"/>
              <w:spacing w:after="0" w:line="240" w:lineRule="auto"/>
              <w:rPr>
                <w:noProof/>
              </w:rPr>
            </w:pPr>
            <w:r>
              <w:rPr>
                <w:noProof/>
              </w:rPr>
              <w:t>1. Toate lucrările la pasajele Bypass existente, cu excepția instalațiilor electromecanice (cum ar fi stâlpii de iluminat pentru autostrăzi, indicatoarele reflectorizante, cablurile de alimentare cu energie electrică), stratul antiderapant (final) al pavajului și instalarea barierei de siguranță, după cum urmează:</w:t>
            </w:r>
          </w:p>
          <w:p w14:paraId="5F61C63E" w14:textId="77777777" w:rsidR="00C45D59" w:rsidRDefault="009B0962">
            <w:pPr>
              <w:pStyle w:val="P68B1DB1-Normal12"/>
              <w:spacing w:after="0" w:line="240" w:lineRule="auto"/>
              <w:rPr>
                <w:noProof/>
              </w:rPr>
            </w:pPr>
            <w:r>
              <w:rPr>
                <w:noProof/>
              </w:rPr>
              <w:t>șoseaua de centură Chania (1Y, 2Y), lungimea secțiunilor: 8,0 km;</w:t>
            </w:r>
          </w:p>
          <w:p w14:paraId="44FF33A1" w14:textId="77777777" w:rsidR="00C45D59" w:rsidRDefault="009B0962">
            <w:pPr>
              <w:pStyle w:val="P68B1DB1-Normal12"/>
              <w:spacing w:after="0" w:line="240" w:lineRule="auto"/>
              <w:rPr>
                <w:noProof/>
              </w:rPr>
            </w:pPr>
            <w:r>
              <w:rPr>
                <w:noProof/>
              </w:rPr>
              <w:t xml:space="preserve">b) Rethymnon Bypass (10Y, 11Y), lungimea secțiunilor: 6,8 km și </w:t>
            </w:r>
          </w:p>
          <w:p w14:paraId="0D6C920A" w14:textId="77777777" w:rsidR="00C45D59" w:rsidRDefault="009B0962">
            <w:pPr>
              <w:pStyle w:val="P68B1DB1-Normal12"/>
              <w:spacing w:after="0" w:line="240" w:lineRule="auto"/>
              <w:rPr>
                <w:noProof/>
              </w:rPr>
            </w:pPr>
            <w:r>
              <w:rPr>
                <w:noProof/>
              </w:rPr>
              <w:t xml:space="preserve">șoseaua de centură Heraklion (23Y), lungimea secțiunii: 8,5 km. </w:t>
            </w:r>
          </w:p>
          <w:p w14:paraId="192B485A" w14:textId="77777777" w:rsidR="00C45D59" w:rsidRDefault="009B0962">
            <w:pPr>
              <w:pStyle w:val="P68B1DB1-Normal12"/>
              <w:spacing w:after="0" w:line="240" w:lineRule="auto"/>
              <w:rPr>
                <w:noProof/>
              </w:rPr>
            </w:pPr>
            <w:r>
              <w:rPr>
                <w:noProof/>
              </w:rPr>
              <w:t>Lucrările la unitatea geografică 23Y nu includ construcția tunelului Kako Oros.</w:t>
            </w:r>
          </w:p>
          <w:p w14:paraId="2C835972" w14:textId="5345BB89" w:rsidR="00C45D59" w:rsidRDefault="00C45D59">
            <w:pPr>
              <w:spacing w:after="0" w:line="240" w:lineRule="auto"/>
              <w:rPr>
                <w:rFonts w:ascii="Times New Roman" w:hAnsi="Times New Roman" w:cs="Times New Roman"/>
                <w:noProof/>
                <w:color w:val="006100"/>
                <w:sz w:val="18"/>
                <w:szCs w:val="18"/>
              </w:rPr>
            </w:pPr>
          </w:p>
          <w:p w14:paraId="460B3F75" w14:textId="643E55E3" w:rsidR="00C45D59" w:rsidRDefault="009B0962">
            <w:pPr>
              <w:pStyle w:val="P68B1DB1-Normal12"/>
              <w:spacing w:after="0" w:line="240" w:lineRule="auto"/>
              <w:rPr>
                <w:rFonts w:eastAsia="Times New Roman"/>
                <w:noProof/>
              </w:rPr>
            </w:pPr>
            <w:r>
              <w:rPr>
                <w:noProof/>
              </w:rPr>
              <w:t>2. Intervenții în domeniul siguranței rutiere în 412 de locații.</w:t>
            </w:r>
          </w:p>
        </w:tc>
      </w:tr>
      <w:tr w:rsidR="00C45D59" w14:paraId="186503E5" w14:textId="77777777">
        <w:trPr>
          <w:trHeight w:val="313"/>
          <w:jc w:val="center"/>
        </w:trPr>
        <w:tc>
          <w:tcPr>
            <w:tcW w:w="566" w:type="dxa"/>
            <w:shd w:val="clear" w:color="auto" w:fill="C6EFCE"/>
            <w:noWrap/>
          </w:tcPr>
          <w:p w14:paraId="45F5A7E8" w14:textId="77777777" w:rsidR="00C45D59" w:rsidRDefault="009B0962">
            <w:pPr>
              <w:pStyle w:val="P68B1DB1-Normal12"/>
              <w:spacing w:after="0" w:line="240" w:lineRule="auto"/>
              <w:rPr>
                <w:noProof/>
              </w:rPr>
            </w:pPr>
            <w:r>
              <w:rPr>
                <w:noProof/>
              </w:rPr>
              <w:t>262a</w:t>
            </w:r>
          </w:p>
        </w:tc>
        <w:tc>
          <w:tcPr>
            <w:tcW w:w="1680" w:type="dxa"/>
            <w:shd w:val="clear" w:color="auto" w:fill="C6EFCE"/>
            <w:noWrap/>
          </w:tcPr>
          <w:p w14:paraId="7C374BE4" w14:textId="77777777" w:rsidR="00C45D59" w:rsidRDefault="009B0962">
            <w:pPr>
              <w:pStyle w:val="P68B1DB1-Normal12"/>
              <w:spacing w:after="0" w:line="240" w:lineRule="auto"/>
              <w:rPr>
                <w:noProof/>
              </w:rPr>
            </w:pPr>
            <w:r>
              <w:rPr>
                <w:noProof/>
              </w:rPr>
              <w:t>17-4.6. Modernizarea și îmbunătățirea rezilienței sectoarelor economice esențiale – autostrada nordică 16630_Cretan (Β.Ο.Α.Κ.)</w:t>
            </w:r>
          </w:p>
        </w:tc>
        <w:tc>
          <w:tcPr>
            <w:tcW w:w="1080" w:type="dxa"/>
            <w:shd w:val="clear" w:color="auto" w:fill="C6EFCE"/>
            <w:noWrap/>
          </w:tcPr>
          <w:p w14:paraId="70675725" w14:textId="77777777" w:rsidR="00C45D59" w:rsidRDefault="009B0962">
            <w:pPr>
              <w:pStyle w:val="P68B1DB1-Normal12"/>
              <w:spacing w:after="0" w:line="240" w:lineRule="auto"/>
              <w:rPr>
                <w:noProof/>
              </w:rPr>
            </w:pPr>
            <w:r>
              <w:rPr>
                <w:noProof/>
              </w:rPr>
              <w:t>Etapă</w:t>
            </w:r>
          </w:p>
        </w:tc>
        <w:tc>
          <w:tcPr>
            <w:tcW w:w="1299" w:type="dxa"/>
            <w:shd w:val="clear" w:color="auto" w:fill="C6EFCE"/>
            <w:noWrap/>
          </w:tcPr>
          <w:p w14:paraId="4787273E" w14:textId="77777777" w:rsidR="00C45D59" w:rsidRDefault="009B0962">
            <w:pPr>
              <w:pStyle w:val="P68B1DB1-Normal12"/>
              <w:spacing w:after="0" w:line="240" w:lineRule="auto"/>
              <w:rPr>
                <w:noProof/>
              </w:rPr>
            </w:pPr>
            <w:r>
              <w:rPr>
                <w:noProof/>
              </w:rPr>
              <w:t>Lucrări executate finanțate prin MRR</w:t>
            </w:r>
          </w:p>
        </w:tc>
        <w:tc>
          <w:tcPr>
            <w:tcW w:w="1461" w:type="dxa"/>
            <w:shd w:val="clear" w:color="auto" w:fill="C6EFCE"/>
            <w:noWrap/>
          </w:tcPr>
          <w:p w14:paraId="26F958A8" w14:textId="77777777" w:rsidR="00C45D59" w:rsidRDefault="009B0962">
            <w:pPr>
              <w:pStyle w:val="P68B1DB1-Normal12"/>
              <w:spacing w:after="0" w:line="240" w:lineRule="auto"/>
              <w:rPr>
                <w:noProof/>
              </w:rPr>
            </w:pPr>
            <w:r>
              <w:rPr>
                <w:noProof/>
              </w:rPr>
              <w:t>Lucrări predefinite executate pe tronsonul Hersonisos – Neapolis</w:t>
            </w:r>
          </w:p>
        </w:tc>
        <w:tc>
          <w:tcPr>
            <w:tcW w:w="1374" w:type="dxa"/>
            <w:shd w:val="clear" w:color="auto" w:fill="C6EFCE"/>
            <w:noWrap/>
          </w:tcPr>
          <w:p w14:paraId="46CAE46C"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249" w:type="dxa"/>
            <w:shd w:val="clear" w:color="auto" w:fill="C6EFCE"/>
            <w:noWrap/>
          </w:tcPr>
          <w:p w14:paraId="70A9D055"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587" w:type="dxa"/>
            <w:shd w:val="clear" w:color="auto" w:fill="C6EFCE"/>
            <w:noWrap/>
          </w:tcPr>
          <w:p w14:paraId="3DAA498F"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350" w:type="dxa"/>
            <w:shd w:val="clear" w:color="auto" w:fill="C6EFCE"/>
            <w:noWrap/>
          </w:tcPr>
          <w:p w14:paraId="48D4D661" w14:textId="77777777" w:rsidR="00C45D59" w:rsidRDefault="009B0962">
            <w:pPr>
              <w:pStyle w:val="P68B1DB1-Normal12"/>
              <w:spacing w:after="0" w:line="240" w:lineRule="auto"/>
              <w:rPr>
                <w:noProof/>
              </w:rPr>
            </w:pPr>
            <w:r>
              <w:rPr>
                <w:noProof/>
              </w:rPr>
              <w:t>Î4</w:t>
            </w:r>
          </w:p>
        </w:tc>
        <w:tc>
          <w:tcPr>
            <w:tcW w:w="1166" w:type="dxa"/>
            <w:shd w:val="clear" w:color="auto" w:fill="C6EFCE"/>
            <w:noWrap/>
          </w:tcPr>
          <w:p w14:paraId="28312281" w14:textId="77777777" w:rsidR="00C45D59" w:rsidRDefault="009B0962">
            <w:pPr>
              <w:pStyle w:val="P68B1DB1-Normal12"/>
              <w:spacing w:after="0" w:line="240" w:lineRule="auto"/>
              <w:rPr>
                <w:noProof/>
              </w:rPr>
            </w:pPr>
            <w:r>
              <w:rPr>
                <w:noProof/>
              </w:rPr>
              <w:t>2025</w:t>
            </w:r>
          </w:p>
        </w:tc>
        <w:tc>
          <w:tcPr>
            <w:tcW w:w="3582" w:type="dxa"/>
            <w:shd w:val="clear" w:color="auto" w:fill="C6EFCE"/>
            <w:noWrap/>
          </w:tcPr>
          <w:p w14:paraId="00056B7C" w14:textId="77777777" w:rsidR="00C45D59" w:rsidRDefault="009B0962">
            <w:pPr>
              <w:pStyle w:val="P68B1DB1-Normal12"/>
              <w:spacing w:after="0" w:line="240" w:lineRule="auto"/>
              <w:rPr>
                <w:noProof/>
              </w:rPr>
            </w:pPr>
            <w:r>
              <w:rPr>
                <w:noProof/>
              </w:rPr>
              <w:t>Subproiectul 2 (Hersonisos – Neapolis): următoarele lucrări executate:</w:t>
            </w:r>
          </w:p>
          <w:p w14:paraId="6AF9257F" w14:textId="77777777" w:rsidR="00C45D59" w:rsidRDefault="009B0962">
            <w:pPr>
              <w:pStyle w:val="P68B1DB1-Normal12"/>
              <w:spacing w:after="0" w:line="240" w:lineRule="auto"/>
              <w:rPr>
                <w:noProof/>
              </w:rPr>
            </w:pPr>
            <w:r>
              <w:rPr>
                <w:noProof/>
              </w:rPr>
              <w:t>a) toate proiectele și investigațiile pentru subproiect;</w:t>
            </w:r>
          </w:p>
          <w:p w14:paraId="732074D8" w14:textId="160C9644" w:rsidR="00C45D59" w:rsidRDefault="009B0962">
            <w:pPr>
              <w:pStyle w:val="P68B1DB1-Normal12"/>
              <w:spacing w:after="0" w:line="240" w:lineRule="auto"/>
              <w:rPr>
                <w:noProof/>
              </w:rPr>
            </w:pPr>
            <w:r>
              <w:rPr>
                <w:noProof/>
              </w:rPr>
              <w:t>b) Faza A și Faza B ale lucrărilor de excavare și de susținere temporară a tunelului T1;</w:t>
            </w:r>
          </w:p>
          <w:p w14:paraId="3F2F65E6" w14:textId="77777777" w:rsidR="00C45D59" w:rsidRDefault="009B0962">
            <w:pPr>
              <w:pStyle w:val="P68B1DB1-Normal12"/>
              <w:spacing w:after="0" w:line="240" w:lineRule="auto"/>
              <w:rPr>
                <w:noProof/>
              </w:rPr>
            </w:pPr>
            <w:r>
              <w:rPr>
                <w:noProof/>
              </w:rPr>
              <w:t>(c) podul C6.</w:t>
            </w:r>
          </w:p>
        </w:tc>
      </w:tr>
    </w:tbl>
    <w:p w14:paraId="76532BC6" w14:textId="77777777" w:rsidR="00C45D59" w:rsidRDefault="00C45D59">
      <w:pPr>
        <w:spacing w:before="120" w:after="0" w:line="240" w:lineRule="auto"/>
        <w:jc w:val="both"/>
        <w:rPr>
          <w:rFonts w:ascii="Times New Roman" w:hAnsi="Times New Roman" w:cs="Times New Roman"/>
          <w:noProof/>
          <w:sz w:val="24"/>
        </w:rPr>
      </w:pPr>
    </w:p>
    <w:p w14:paraId="6FC344FC" w14:textId="77777777" w:rsidR="00C45D59" w:rsidRDefault="009B0962">
      <w:pPr>
        <w:pStyle w:val="P68B1DB1-Normal50"/>
        <w:rPr>
          <w:noProof/>
        </w:rPr>
      </w:pPr>
      <w:r>
        <w:rPr>
          <w:noProof/>
        </w:rPr>
        <w:br w:type="page"/>
      </w:r>
    </w:p>
    <w:p w14:paraId="313A73B4" w14:textId="77777777" w:rsidR="00C45D59" w:rsidRDefault="009B0962">
      <w:pPr>
        <w:pStyle w:val="P68B1DB1-Normal9"/>
        <w:keepNext/>
        <w:keepLines/>
        <w:spacing w:before="40" w:after="0" w:line="240" w:lineRule="auto"/>
        <w:jc w:val="both"/>
        <w:outlineLvl w:val="4"/>
        <w:rPr>
          <w:rFonts w:eastAsia="Times New Roman"/>
          <w:noProof/>
        </w:rPr>
      </w:pPr>
      <w:r>
        <w:rPr>
          <w:noProof/>
        </w:rPr>
        <w:t>Grupul 24: Infrastructură</w:t>
      </w:r>
    </w:p>
    <w:p w14:paraId="2A75997B" w14:textId="77777777" w:rsidR="00C45D59" w:rsidRDefault="009B0962">
      <w:pPr>
        <w:pStyle w:val="P68B1DB1-Normal51"/>
        <w:spacing w:after="0" w:line="240" w:lineRule="auto"/>
        <w:rPr>
          <w:rFonts w:cs="Times New Roman"/>
          <w:noProof/>
          <w:sz w:val="28"/>
          <w:szCs w:val="28"/>
        </w:rPr>
      </w:pPr>
      <w:r>
        <w:rPr>
          <w:noProof/>
        </w:rPr>
        <w:t>Subgrupul 1 (transformarea digitală)</w:t>
      </w:r>
    </w:p>
    <w:p w14:paraId="7C8DDC65" w14:textId="77777777" w:rsidR="00C45D59" w:rsidRDefault="009B0962">
      <w:pPr>
        <w:pStyle w:val="P68B1DB1-Normal52"/>
        <w:numPr>
          <w:ilvl w:val="0"/>
          <w:numId w:val="77"/>
        </w:numPr>
        <w:spacing w:before="120" w:after="0" w:line="240" w:lineRule="auto"/>
        <w:jc w:val="both"/>
        <w:rPr>
          <w:rFonts w:cs="Times New Roman"/>
          <w:noProof/>
        </w:rPr>
      </w:pPr>
      <w:r>
        <w:rPr>
          <w:noProof/>
        </w:rPr>
        <w:t>Infrastructură inteligentă axată pe mediu și cultură (ID: 16960)</w:t>
      </w:r>
    </w:p>
    <w:p w14:paraId="694D114A" w14:textId="77777777" w:rsidR="00C45D59" w:rsidRDefault="009B0962">
      <w:pPr>
        <w:pStyle w:val="P68B1DB1-Normal52"/>
        <w:numPr>
          <w:ilvl w:val="0"/>
          <w:numId w:val="77"/>
        </w:numPr>
        <w:spacing w:before="120" w:after="0" w:line="240" w:lineRule="auto"/>
        <w:jc w:val="both"/>
        <w:rPr>
          <w:rFonts w:cs="Times New Roman"/>
          <w:noProof/>
        </w:rPr>
      </w:pPr>
      <w:r>
        <w:rPr>
          <w:noProof/>
        </w:rPr>
        <w:t>Punți inteligente (ID: 16949)</w:t>
      </w:r>
    </w:p>
    <w:p w14:paraId="4C9D34CD" w14:textId="77777777" w:rsidR="00C45D59" w:rsidRDefault="009B0962">
      <w:pPr>
        <w:pStyle w:val="P68B1DB1-Normal52"/>
        <w:numPr>
          <w:ilvl w:val="0"/>
          <w:numId w:val="77"/>
        </w:numPr>
        <w:spacing w:before="120" w:after="0" w:line="240" w:lineRule="auto"/>
        <w:ind w:left="714" w:hanging="357"/>
        <w:jc w:val="both"/>
        <w:rPr>
          <w:rFonts w:cs="Times New Roman"/>
          <w:noProof/>
        </w:rPr>
      </w:pPr>
      <w:r>
        <w:rPr>
          <w:noProof/>
        </w:rPr>
        <w:t>Simplificarea procedurilor Ministerului Infrastructurii &amp; Transporturilor (ID: 16786)</w:t>
      </w:r>
    </w:p>
    <w:p w14:paraId="45FF6C0C" w14:textId="77777777" w:rsidR="00C45D59" w:rsidRDefault="009B0962">
      <w:pPr>
        <w:pStyle w:val="P68B1DB1-Normal52"/>
        <w:numPr>
          <w:ilvl w:val="0"/>
          <w:numId w:val="77"/>
        </w:numPr>
        <w:spacing w:before="120" w:after="120" w:line="240" w:lineRule="auto"/>
        <w:jc w:val="both"/>
        <w:rPr>
          <w:rFonts w:cs="Times New Roman"/>
          <w:noProof/>
        </w:rPr>
      </w:pPr>
      <w:r>
        <w:rPr>
          <w:noProof/>
        </w:rPr>
        <w:t>Sistemul digital integrat de gestionare a programelor pentru administrarea lucrărilor tehnice și a activelor structurale al Ministerului Infrastructurii și Transporturilor (ID: 16937)</w:t>
      </w:r>
    </w:p>
    <w:p w14:paraId="72E0DE73" w14:textId="77777777" w:rsidR="00C45D59" w:rsidRDefault="009B0962">
      <w:pPr>
        <w:pStyle w:val="P68B1DB1-Normal51"/>
        <w:spacing w:after="0" w:line="240" w:lineRule="auto"/>
        <w:rPr>
          <w:rFonts w:cs="Times New Roman"/>
          <w:noProof/>
          <w:sz w:val="28"/>
          <w:szCs w:val="28"/>
        </w:rPr>
      </w:pPr>
      <w:r>
        <w:rPr>
          <w:noProof/>
        </w:rPr>
        <w:t>Subgrupul 2 (căi ferate și aeroporturi)</w:t>
      </w:r>
    </w:p>
    <w:p w14:paraId="37C2D6AB" w14:textId="61209F3D" w:rsidR="00C45D59" w:rsidRDefault="009B0962">
      <w:pPr>
        <w:pStyle w:val="P68B1DB1-Normal52"/>
        <w:numPr>
          <w:ilvl w:val="0"/>
          <w:numId w:val="78"/>
        </w:numPr>
        <w:spacing w:before="120" w:after="0" w:line="240" w:lineRule="auto"/>
        <w:jc w:val="both"/>
        <w:rPr>
          <w:rFonts w:cs="Times New Roman"/>
          <w:noProof/>
        </w:rPr>
      </w:pPr>
      <w:r>
        <w:rPr>
          <w:noProof/>
        </w:rPr>
        <w:t>Lucrări de restaurare în urma efectelor devastatoare ale furtunilor „DANIEL”, „ELIAS” și „IANOS” (măsura ID 16999)</w:t>
      </w:r>
    </w:p>
    <w:p w14:paraId="48B21F62" w14:textId="77777777" w:rsidR="00C45D59" w:rsidRDefault="009B0962">
      <w:pPr>
        <w:pStyle w:val="P68B1DB1-Normal52"/>
        <w:numPr>
          <w:ilvl w:val="0"/>
          <w:numId w:val="78"/>
        </w:numPr>
        <w:spacing w:before="120" w:after="0" w:line="240" w:lineRule="auto"/>
        <w:jc w:val="both"/>
        <w:rPr>
          <w:rFonts w:cs="Times New Roman"/>
          <w:noProof/>
        </w:rPr>
      </w:pPr>
      <w:r>
        <w:rPr>
          <w:noProof/>
        </w:rPr>
        <w:t>Reforma organizațională în sectorul feroviar (ID: 16982)</w:t>
      </w:r>
    </w:p>
    <w:p w14:paraId="746AD474" w14:textId="77777777" w:rsidR="00C45D59" w:rsidRDefault="009B0962">
      <w:pPr>
        <w:pStyle w:val="P68B1DB1-Normal52"/>
        <w:numPr>
          <w:ilvl w:val="0"/>
          <w:numId w:val="78"/>
        </w:numPr>
        <w:spacing w:before="120" w:after="0" w:line="240" w:lineRule="auto"/>
        <w:jc w:val="both"/>
        <w:rPr>
          <w:rFonts w:cs="Times New Roman"/>
          <w:noProof/>
        </w:rPr>
      </w:pPr>
      <w:r>
        <w:rPr>
          <w:noProof/>
        </w:rPr>
        <w:t>Transformarea digitală a căilor ferate elene (ID: 16959)</w:t>
      </w:r>
    </w:p>
    <w:p w14:paraId="6B5BC0F8" w14:textId="2FAE7C41" w:rsidR="00C45D59" w:rsidRDefault="009B0962">
      <w:pPr>
        <w:pStyle w:val="P68B1DB1-Normal52"/>
        <w:numPr>
          <w:ilvl w:val="0"/>
          <w:numId w:val="78"/>
        </w:numPr>
        <w:spacing w:before="120" w:after="0" w:line="240" w:lineRule="auto"/>
        <w:jc w:val="both"/>
        <w:rPr>
          <w:rFonts w:cs="Times New Roman"/>
          <w:noProof/>
        </w:rPr>
      </w:pPr>
      <w:r>
        <w:rPr>
          <w:noProof/>
        </w:rPr>
        <w:t>Modernizarea aeroporturilor regionale – retragerea DAAD (ID: 16833)</w:t>
      </w:r>
    </w:p>
    <w:tbl>
      <w:tblPr>
        <w:tblpPr w:leftFromText="180" w:rightFromText="180" w:vertAnchor="text" w:tblpXSpec="center" w:tblpY="1"/>
        <w:tblOverlap w:val="never"/>
        <w:tblW w:w="160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1"/>
        <w:gridCol w:w="2665"/>
        <w:gridCol w:w="1376"/>
        <w:gridCol w:w="1842"/>
        <w:gridCol w:w="2127"/>
        <w:gridCol w:w="992"/>
        <w:gridCol w:w="896"/>
        <w:gridCol w:w="866"/>
        <w:gridCol w:w="1006"/>
        <w:gridCol w:w="713"/>
        <w:gridCol w:w="3402"/>
      </w:tblGrid>
      <w:tr w:rsidR="00C45D59" w14:paraId="3AFA13A0" w14:textId="77777777" w:rsidTr="00892E7E">
        <w:trPr>
          <w:trHeight w:val="659"/>
          <w:tblHeader/>
        </w:trPr>
        <w:tc>
          <w:tcPr>
            <w:tcW w:w="591" w:type="dxa"/>
            <w:vMerge w:val="restart"/>
            <w:shd w:val="clear" w:color="auto" w:fill="BDD7EE"/>
            <w:vAlign w:val="center"/>
            <w:hideMark/>
          </w:tcPr>
          <w:p w14:paraId="3A06E760" w14:textId="226A8D95" w:rsidR="00C45D59" w:rsidRDefault="00892E7E" w:rsidP="00892E7E">
            <w:pPr>
              <w:pStyle w:val="P68B1DB1-Normal15"/>
              <w:spacing w:after="0" w:line="240" w:lineRule="auto"/>
              <w:rPr>
                <w:rFonts w:eastAsia="Times New Roman"/>
                <w:noProof/>
              </w:rPr>
            </w:pPr>
            <w:r>
              <w:rPr>
                <w:noProof/>
              </w:rPr>
              <w:t>Nr. crt.</w:t>
            </w:r>
          </w:p>
        </w:tc>
        <w:tc>
          <w:tcPr>
            <w:tcW w:w="2665" w:type="dxa"/>
            <w:vMerge w:val="restart"/>
            <w:shd w:val="clear" w:color="auto" w:fill="BDD7EE"/>
            <w:vAlign w:val="center"/>
            <w:hideMark/>
          </w:tcPr>
          <w:p w14:paraId="35E71C53" w14:textId="77777777" w:rsidR="00C45D59" w:rsidRDefault="009B0962" w:rsidP="00892E7E">
            <w:pPr>
              <w:pStyle w:val="P68B1DB1-Normal10"/>
              <w:spacing w:after="0" w:line="240" w:lineRule="auto"/>
              <w:jc w:val="center"/>
              <w:rPr>
                <w:rFonts w:eastAsia="Times New Roman" w:cs="Times New Roman"/>
                <w:noProof/>
                <w:szCs w:val="18"/>
              </w:rPr>
            </w:pPr>
            <w:r>
              <w:rPr>
                <w:noProof/>
              </w:rPr>
              <w:t>Măsură conexă (reformă sau investiții)</w:t>
            </w:r>
          </w:p>
        </w:tc>
        <w:tc>
          <w:tcPr>
            <w:tcW w:w="1134" w:type="dxa"/>
            <w:vMerge w:val="restart"/>
            <w:shd w:val="clear" w:color="auto" w:fill="BDD7EE"/>
            <w:vAlign w:val="center"/>
            <w:hideMark/>
          </w:tcPr>
          <w:p w14:paraId="7E367CCE" w14:textId="77777777" w:rsidR="00C45D59" w:rsidRDefault="009B0962" w:rsidP="00892E7E">
            <w:pPr>
              <w:pStyle w:val="P68B1DB1-Normal10"/>
              <w:spacing w:after="0" w:line="240" w:lineRule="auto"/>
              <w:jc w:val="center"/>
              <w:rPr>
                <w:rFonts w:eastAsia="Times New Roman" w:cs="Times New Roman"/>
                <w:noProof/>
                <w:szCs w:val="18"/>
              </w:rPr>
            </w:pPr>
            <w:r>
              <w:rPr>
                <w:noProof/>
              </w:rPr>
              <w:t>Etapă/Obiectiv</w:t>
            </w:r>
          </w:p>
        </w:tc>
        <w:tc>
          <w:tcPr>
            <w:tcW w:w="1842" w:type="dxa"/>
            <w:vMerge w:val="restart"/>
            <w:shd w:val="clear" w:color="auto" w:fill="BDD7EE"/>
            <w:vAlign w:val="center"/>
            <w:hideMark/>
          </w:tcPr>
          <w:p w14:paraId="0B5EF72E" w14:textId="108BDF3D" w:rsidR="00C45D59" w:rsidRDefault="00892E7E" w:rsidP="00892E7E">
            <w:pPr>
              <w:pStyle w:val="P68B1DB1-Normal10"/>
              <w:spacing w:after="0" w:line="240" w:lineRule="auto"/>
              <w:jc w:val="center"/>
              <w:rPr>
                <w:rFonts w:eastAsia="Times New Roman" w:cs="Times New Roman"/>
                <w:noProof/>
                <w:szCs w:val="18"/>
              </w:rPr>
            </w:pPr>
            <w:r>
              <w:rPr>
                <w:noProof/>
              </w:rPr>
              <w:t>Denumire</w:t>
            </w:r>
          </w:p>
        </w:tc>
        <w:tc>
          <w:tcPr>
            <w:tcW w:w="2127" w:type="dxa"/>
            <w:vMerge w:val="restart"/>
            <w:shd w:val="clear" w:color="auto" w:fill="BDD7EE"/>
            <w:vAlign w:val="center"/>
            <w:hideMark/>
          </w:tcPr>
          <w:p w14:paraId="553D5B6E" w14:textId="77777777" w:rsidR="00C45D59" w:rsidRDefault="009B0962" w:rsidP="00892E7E">
            <w:pPr>
              <w:pStyle w:val="P68B1DB1-Normal10"/>
              <w:spacing w:after="0" w:line="240" w:lineRule="auto"/>
              <w:jc w:val="center"/>
              <w:rPr>
                <w:rFonts w:eastAsia="Times New Roman" w:cs="Times New Roman"/>
                <w:noProof/>
                <w:szCs w:val="18"/>
              </w:rPr>
            </w:pPr>
            <w:r>
              <w:rPr>
                <w:noProof/>
              </w:rPr>
              <w:t>Indicatori calitativi (pentru obiectivele de etapă)</w:t>
            </w:r>
          </w:p>
        </w:tc>
        <w:tc>
          <w:tcPr>
            <w:tcW w:w="2693" w:type="dxa"/>
            <w:gridSpan w:val="3"/>
            <w:shd w:val="clear" w:color="auto" w:fill="BDD7EE"/>
            <w:vAlign w:val="center"/>
            <w:hideMark/>
          </w:tcPr>
          <w:p w14:paraId="2DE95BE3" w14:textId="77777777" w:rsidR="00C45D59" w:rsidRDefault="009B0962" w:rsidP="00892E7E">
            <w:pPr>
              <w:pStyle w:val="P68B1DB1-Normal10"/>
              <w:spacing w:after="0" w:line="240" w:lineRule="auto"/>
              <w:jc w:val="center"/>
              <w:rPr>
                <w:rFonts w:eastAsia="Times New Roman" w:cs="Times New Roman"/>
                <w:noProof/>
                <w:szCs w:val="18"/>
              </w:rPr>
            </w:pPr>
            <w:r>
              <w:rPr>
                <w:noProof/>
              </w:rPr>
              <w:t>Indicatori cantitativi (pentru ținte)</w:t>
            </w:r>
          </w:p>
        </w:tc>
        <w:tc>
          <w:tcPr>
            <w:tcW w:w="1559" w:type="dxa"/>
            <w:gridSpan w:val="2"/>
            <w:shd w:val="clear" w:color="auto" w:fill="BDD7EE"/>
            <w:vAlign w:val="center"/>
            <w:hideMark/>
          </w:tcPr>
          <w:p w14:paraId="6C76CD88" w14:textId="77777777" w:rsidR="00C45D59" w:rsidRDefault="009B0962" w:rsidP="00892E7E">
            <w:pPr>
              <w:pStyle w:val="P68B1DB1-Normal10"/>
              <w:spacing w:after="0" w:line="240" w:lineRule="auto"/>
              <w:jc w:val="center"/>
              <w:rPr>
                <w:rFonts w:eastAsia="Times New Roman" w:cs="Times New Roman"/>
                <w:noProof/>
                <w:szCs w:val="18"/>
              </w:rPr>
            </w:pPr>
            <w:r>
              <w:rPr>
                <w:noProof/>
              </w:rPr>
              <w:t xml:space="preserve">Calendar orientativ pentru finalizare </w:t>
            </w:r>
          </w:p>
        </w:tc>
        <w:tc>
          <w:tcPr>
            <w:tcW w:w="3402" w:type="dxa"/>
            <w:vMerge w:val="restart"/>
            <w:shd w:val="clear" w:color="auto" w:fill="BDD7EE"/>
            <w:vAlign w:val="center"/>
            <w:hideMark/>
          </w:tcPr>
          <w:p w14:paraId="24B7D1D8" w14:textId="77777777" w:rsidR="00C45D59" w:rsidRDefault="009B0962" w:rsidP="00892E7E">
            <w:pPr>
              <w:pStyle w:val="P68B1DB1-Normal10"/>
              <w:spacing w:after="0" w:line="240" w:lineRule="auto"/>
              <w:jc w:val="center"/>
              <w:rPr>
                <w:rFonts w:eastAsia="Times New Roman" w:cs="Times New Roman"/>
                <w:noProof/>
                <w:szCs w:val="18"/>
              </w:rPr>
            </w:pPr>
            <w:r>
              <w:rPr>
                <w:noProof/>
              </w:rPr>
              <w:t>Descrierea fiecărui jalon și a fiecărei ținte</w:t>
            </w:r>
          </w:p>
        </w:tc>
      </w:tr>
      <w:tr w:rsidR="00C45D59" w14:paraId="183FC853" w14:textId="77777777" w:rsidTr="00892E7E">
        <w:trPr>
          <w:trHeight w:val="701"/>
          <w:tblHeader/>
        </w:trPr>
        <w:tc>
          <w:tcPr>
            <w:tcW w:w="591" w:type="dxa"/>
            <w:vMerge/>
            <w:vAlign w:val="center"/>
            <w:hideMark/>
          </w:tcPr>
          <w:p w14:paraId="26CFB7E5" w14:textId="77777777" w:rsidR="00C45D59" w:rsidRDefault="00C45D59" w:rsidP="00892E7E">
            <w:pPr>
              <w:spacing w:after="0" w:line="240" w:lineRule="auto"/>
              <w:rPr>
                <w:rFonts w:ascii="Times New Roman" w:eastAsia="Times New Roman" w:hAnsi="Times New Roman" w:cs="Times New Roman"/>
                <w:b/>
                <w:bCs/>
                <w:noProof/>
                <w:sz w:val="18"/>
                <w:szCs w:val="18"/>
              </w:rPr>
            </w:pPr>
          </w:p>
        </w:tc>
        <w:tc>
          <w:tcPr>
            <w:tcW w:w="2665" w:type="dxa"/>
            <w:vMerge/>
            <w:vAlign w:val="center"/>
            <w:hideMark/>
          </w:tcPr>
          <w:p w14:paraId="09CE8CB5" w14:textId="77777777" w:rsidR="00C45D59" w:rsidRDefault="00C45D59" w:rsidP="00892E7E">
            <w:pPr>
              <w:spacing w:after="0" w:line="240" w:lineRule="auto"/>
              <w:rPr>
                <w:rFonts w:ascii="Times New Roman" w:eastAsia="Times New Roman" w:hAnsi="Times New Roman" w:cs="Times New Roman"/>
                <w:b/>
                <w:bCs/>
                <w:noProof/>
                <w:sz w:val="18"/>
                <w:szCs w:val="18"/>
              </w:rPr>
            </w:pPr>
          </w:p>
        </w:tc>
        <w:tc>
          <w:tcPr>
            <w:tcW w:w="1134" w:type="dxa"/>
            <w:vMerge/>
            <w:vAlign w:val="center"/>
            <w:hideMark/>
          </w:tcPr>
          <w:p w14:paraId="53F8BE4A" w14:textId="77777777" w:rsidR="00C45D59" w:rsidRDefault="00C45D59" w:rsidP="00892E7E">
            <w:pPr>
              <w:spacing w:after="0" w:line="240" w:lineRule="auto"/>
              <w:rPr>
                <w:rFonts w:ascii="Times New Roman" w:eastAsia="Times New Roman" w:hAnsi="Times New Roman" w:cs="Times New Roman"/>
                <w:b/>
                <w:bCs/>
                <w:noProof/>
                <w:sz w:val="18"/>
                <w:szCs w:val="18"/>
              </w:rPr>
            </w:pPr>
          </w:p>
        </w:tc>
        <w:tc>
          <w:tcPr>
            <w:tcW w:w="1842" w:type="dxa"/>
            <w:vMerge/>
            <w:vAlign w:val="center"/>
            <w:hideMark/>
          </w:tcPr>
          <w:p w14:paraId="08A9021D" w14:textId="77777777" w:rsidR="00C45D59" w:rsidRDefault="00C45D59" w:rsidP="00892E7E">
            <w:pPr>
              <w:spacing w:after="0" w:line="240" w:lineRule="auto"/>
              <w:rPr>
                <w:rFonts w:ascii="Times New Roman" w:eastAsia="Times New Roman" w:hAnsi="Times New Roman" w:cs="Times New Roman"/>
                <w:b/>
                <w:bCs/>
                <w:noProof/>
                <w:sz w:val="18"/>
                <w:szCs w:val="18"/>
              </w:rPr>
            </w:pPr>
          </w:p>
        </w:tc>
        <w:tc>
          <w:tcPr>
            <w:tcW w:w="2127" w:type="dxa"/>
            <w:vMerge/>
            <w:vAlign w:val="center"/>
            <w:hideMark/>
          </w:tcPr>
          <w:p w14:paraId="56C2D538" w14:textId="77777777" w:rsidR="00C45D59" w:rsidRDefault="00C45D59" w:rsidP="00892E7E">
            <w:pPr>
              <w:spacing w:after="0" w:line="240" w:lineRule="auto"/>
              <w:rPr>
                <w:rFonts w:ascii="Times New Roman" w:eastAsia="Times New Roman" w:hAnsi="Times New Roman" w:cs="Times New Roman"/>
                <w:b/>
                <w:bCs/>
                <w:noProof/>
                <w:sz w:val="18"/>
                <w:szCs w:val="18"/>
              </w:rPr>
            </w:pPr>
          </w:p>
        </w:tc>
        <w:tc>
          <w:tcPr>
            <w:tcW w:w="992" w:type="dxa"/>
            <w:shd w:val="clear" w:color="auto" w:fill="BDD7EE"/>
            <w:vAlign w:val="center"/>
            <w:hideMark/>
          </w:tcPr>
          <w:p w14:paraId="0B7AB883" w14:textId="77777777" w:rsidR="00C45D59" w:rsidRDefault="009B0962" w:rsidP="00892E7E">
            <w:pPr>
              <w:pStyle w:val="P68B1DB1-Normal10"/>
              <w:spacing w:after="0" w:line="240" w:lineRule="auto"/>
              <w:jc w:val="center"/>
              <w:rPr>
                <w:rFonts w:eastAsia="Times New Roman" w:cs="Times New Roman"/>
                <w:noProof/>
                <w:szCs w:val="18"/>
              </w:rPr>
            </w:pPr>
            <w:r>
              <w:rPr>
                <w:noProof/>
              </w:rPr>
              <w:t>Unitatea de măsură</w:t>
            </w:r>
          </w:p>
        </w:tc>
        <w:tc>
          <w:tcPr>
            <w:tcW w:w="857" w:type="dxa"/>
            <w:shd w:val="clear" w:color="auto" w:fill="BDD7EE"/>
            <w:vAlign w:val="center"/>
            <w:hideMark/>
          </w:tcPr>
          <w:p w14:paraId="7E053408" w14:textId="77777777" w:rsidR="00C45D59" w:rsidRDefault="009B0962" w:rsidP="00892E7E">
            <w:pPr>
              <w:pStyle w:val="P68B1DB1-Normal10"/>
              <w:spacing w:after="0" w:line="240" w:lineRule="auto"/>
              <w:jc w:val="center"/>
              <w:rPr>
                <w:rFonts w:eastAsia="Times New Roman" w:cs="Times New Roman"/>
                <w:noProof/>
                <w:szCs w:val="18"/>
              </w:rPr>
            </w:pPr>
            <w:r>
              <w:rPr>
                <w:noProof/>
              </w:rPr>
              <w:t xml:space="preserve">Situația de referință </w:t>
            </w:r>
          </w:p>
        </w:tc>
        <w:tc>
          <w:tcPr>
            <w:tcW w:w="844" w:type="dxa"/>
            <w:shd w:val="clear" w:color="auto" w:fill="BDD7EE"/>
            <w:vAlign w:val="center"/>
            <w:hideMark/>
          </w:tcPr>
          <w:p w14:paraId="28AA0AD2" w14:textId="77777777" w:rsidR="00C45D59" w:rsidRDefault="009B0962" w:rsidP="00892E7E">
            <w:pPr>
              <w:pStyle w:val="P68B1DB1-Normal10"/>
              <w:spacing w:after="0" w:line="240" w:lineRule="auto"/>
              <w:jc w:val="center"/>
              <w:rPr>
                <w:rFonts w:eastAsia="Times New Roman" w:cs="Times New Roman"/>
                <w:noProof/>
                <w:szCs w:val="18"/>
              </w:rPr>
            </w:pPr>
            <w:r>
              <w:rPr>
                <w:noProof/>
              </w:rPr>
              <w:t xml:space="preserve">Obiectiv </w:t>
            </w:r>
          </w:p>
        </w:tc>
        <w:tc>
          <w:tcPr>
            <w:tcW w:w="846" w:type="dxa"/>
            <w:shd w:val="clear" w:color="auto" w:fill="BDD7EE"/>
            <w:vAlign w:val="center"/>
            <w:hideMark/>
          </w:tcPr>
          <w:p w14:paraId="1E6DF421" w14:textId="77777777" w:rsidR="00C45D59" w:rsidRDefault="009B0962" w:rsidP="00892E7E">
            <w:pPr>
              <w:pStyle w:val="P68B1DB1-Normal10"/>
              <w:spacing w:after="0" w:line="240" w:lineRule="auto"/>
              <w:jc w:val="center"/>
              <w:rPr>
                <w:rFonts w:eastAsia="Times New Roman" w:cs="Times New Roman"/>
                <w:noProof/>
                <w:szCs w:val="18"/>
              </w:rPr>
            </w:pPr>
            <w:r>
              <w:rPr>
                <w:noProof/>
              </w:rPr>
              <w:t>Trimestru</w:t>
            </w:r>
          </w:p>
        </w:tc>
        <w:tc>
          <w:tcPr>
            <w:tcW w:w="713" w:type="dxa"/>
            <w:shd w:val="clear" w:color="auto" w:fill="BDD7EE"/>
            <w:vAlign w:val="center"/>
            <w:hideMark/>
          </w:tcPr>
          <w:p w14:paraId="7B3B67A8" w14:textId="77777777" w:rsidR="00C45D59" w:rsidRDefault="009B0962" w:rsidP="00892E7E">
            <w:pPr>
              <w:pStyle w:val="P68B1DB1-Normal10"/>
              <w:spacing w:after="0" w:line="240" w:lineRule="auto"/>
              <w:jc w:val="center"/>
              <w:rPr>
                <w:rFonts w:eastAsia="Times New Roman" w:cs="Times New Roman"/>
                <w:noProof/>
                <w:szCs w:val="18"/>
              </w:rPr>
            </w:pPr>
            <w:r>
              <w:rPr>
                <w:noProof/>
              </w:rPr>
              <w:t>Anul</w:t>
            </w:r>
          </w:p>
        </w:tc>
        <w:tc>
          <w:tcPr>
            <w:tcW w:w="3402" w:type="dxa"/>
            <w:vMerge/>
            <w:vAlign w:val="center"/>
            <w:hideMark/>
          </w:tcPr>
          <w:p w14:paraId="310497C9" w14:textId="77777777" w:rsidR="00C45D59" w:rsidRDefault="00C45D59" w:rsidP="00892E7E">
            <w:pPr>
              <w:spacing w:after="0" w:line="240" w:lineRule="auto"/>
              <w:rPr>
                <w:rFonts w:ascii="Times New Roman" w:eastAsia="Times New Roman" w:hAnsi="Times New Roman" w:cs="Times New Roman"/>
                <w:b/>
                <w:bCs/>
                <w:noProof/>
                <w:sz w:val="18"/>
                <w:szCs w:val="18"/>
              </w:rPr>
            </w:pPr>
          </w:p>
        </w:tc>
      </w:tr>
      <w:tr w:rsidR="00C45D59" w14:paraId="145E7A64" w14:textId="77777777" w:rsidTr="00892E7E">
        <w:trPr>
          <w:trHeight w:val="313"/>
        </w:trPr>
        <w:tc>
          <w:tcPr>
            <w:tcW w:w="591" w:type="dxa"/>
            <w:shd w:val="clear" w:color="auto" w:fill="C6EFCE"/>
            <w:noWrap/>
          </w:tcPr>
          <w:p w14:paraId="61F4C482" w14:textId="77777777" w:rsidR="00C45D59" w:rsidRDefault="009B0962" w:rsidP="00892E7E">
            <w:pPr>
              <w:pStyle w:val="P68B1DB1-Normal12"/>
              <w:spacing w:after="0" w:line="240" w:lineRule="auto"/>
              <w:rPr>
                <w:rFonts w:eastAsia="Times New Roman"/>
                <w:noProof/>
              </w:rPr>
            </w:pPr>
            <w:r>
              <w:rPr>
                <w:noProof/>
              </w:rPr>
              <w:t>263</w:t>
            </w:r>
          </w:p>
        </w:tc>
        <w:tc>
          <w:tcPr>
            <w:tcW w:w="2665" w:type="dxa"/>
            <w:shd w:val="clear" w:color="auto" w:fill="C6EFCE"/>
            <w:noWrap/>
          </w:tcPr>
          <w:p w14:paraId="06239D73" w14:textId="77777777" w:rsidR="00C45D59" w:rsidRDefault="009B0962" w:rsidP="00892E7E">
            <w:pPr>
              <w:pStyle w:val="P68B1DB1-Normal12"/>
              <w:spacing w:after="0" w:line="240" w:lineRule="auto"/>
              <w:rPr>
                <w:rFonts w:eastAsia="Times New Roman"/>
                <w:noProof/>
              </w:rPr>
            </w:pPr>
            <w:r>
              <w:rPr>
                <w:noProof/>
              </w:rPr>
              <w:t>17-4.6. Modernizarea și îmbunătățirea rezilienței sectoarelor economice cheie – 16982_Reforma organizațională în sectorul feroviar</w:t>
            </w:r>
          </w:p>
        </w:tc>
        <w:tc>
          <w:tcPr>
            <w:tcW w:w="1134" w:type="dxa"/>
            <w:shd w:val="clear" w:color="auto" w:fill="C6EFCE"/>
            <w:noWrap/>
          </w:tcPr>
          <w:p w14:paraId="1F5BFFAC" w14:textId="77777777" w:rsidR="00C45D59" w:rsidRDefault="009B0962" w:rsidP="00892E7E">
            <w:pPr>
              <w:pStyle w:val="P68B1DB1-Normal12"/>
              <w:spacing w:after="0" w:line="240" w:lineRule="auto"/>
              <w:rPr>
                <w:rFonts w:eastAsia="Times New Roman"/>
                <w:noProof/>
              </w:rPr>
            </w:pPr>
            <w:r>
              <w:rPr>
                <w:noProof/>
              </w:rPr>
              <w:t>Etapă</w:t>
            </w:r>
          </w:p>
        </w:tc>
        <w:tc>
          <w:tcPr>
            <w:tcW w:w="1842" w:type="dxa"/>
            <w:shd w:val="clear" w:color="auto" w:fill="C6EFCE"/>
            <w:noWrap/>
          </w:tcPr>
          <w:p w14:paraId="276C3A7C" w14:textId="77777777" w:rsidR="00C45D59" w:rsidRDefault="009B0962" w:rsidP="00892E7E">
            <w:pPr>
              <w:pStyle w:val="P68B1DB1-Normal12"/>
              <w:spacing w:after="0" w:line="240" w:lineRule="auto"/>
              <w:rPr>
                <w:rFonts w:eastAsia="Times New Roman"/>
                <w:noProof/>
              </w:rPr>
            </w:pPr>
            <w:r>
              <w:rPr>
                <w:noProof/>
              </w:rPr>
              <w:t>Foaie de parcurs pentru reforma sectorului feroviar</w:t>
            </w:r>
          </w:p>
        </w:tc>
        <w:tc>
          <w:tcPr>
            <w:tcW w:w="2127" w:type="dxa"/>
            <w:shd w:val="clear" w:color="auto" w:fill="C6EFCE"/>
            <w:noWrap/>
          </w:tcPr>
          <w:p w14:paraId="7E0C6815" w14:textId="77777777" w:rsidR="00C45D59" w:rsidRDefault="009B0962" w:rsidP="00892E7E">
            <w:pPr>
              <w:pStyle w:val="P68B1DB1-Normal12"/>
              <w:spacing w:after="0" w:line="240" w:lineRule="auto"/>
              <w:rPr>
                <w:rFonts w:eastAsia="Times New Roman"/>
                <w:noProof/>
              </w:rPr>
            </w:pPr>
            <w:r>
              <w:rPr>
                <w:noProof/>
              </w:rPr>
              <w:t>Foaie de parcurs</w:t>
            </w:r>
          </w:p>
        </w:tc>
        <w:tc>
          <w:tcPr>
            <w:tcW w:w="992" w:type="dxa"/>
            <w:shd w:val="clear" w:color="auto" w:fill="C6EFCE"/>
            <w:noWrap/>
          </w:tcPr>
          <w:p w14:paraId="3D01E0F2" w14:textId="77777777" w:rsidR="00C45D59" w:rsidRDefault="00C45D59" w:rsidP="00892E7E">
            <w:pPr>
              <w:spacing w:after="0" w:line="240" w:lineRule="auto"/>
              <w:rPr>
                <w:rFonts w:ascii="Times New Roman" w:eastAsia="Times New Roman" w:hAnsi="Times New Roman" w:cs="Times New Roman"/>
                <w:noProof/>
                <w:color w:val="006100"/>
                <w:sz w:val="18"/>
                <w:szCs w:val="18"/>
              </w:rPr>
            </w:pPr>
          </w:p>
        </w:tc>
        <w:tc>
          <w:tcPr>
            <w:tcW w:w="857" w:type="dxa"/>
            <w:shd w:val="clear" w:color="auto" w:fill="C6EFCE"/>
            <w:noWrap/>
          </w:tcPr>
          <w:p w14:paraId="0C1F6C60" w14:textId="77777777" w:rsidR="00C45D59" w:rsidRDefault="00C45D59" w:rsidP="00892E7E">
            <w:pPr>
              <w:spacing w:after="0" w:line="240" w:lineRule="auto"/>
              <w:rPr>
                <w:rFonts w:ascii="Times New Roman" w:eastAsia="Times New Roman" w:hAnsi="Times New Roman" w:cs="Times New Roman"/>
                <w:noProof/>
                <w:color w:val="006100"/>
                <w:sz w:val="18"/>
                <w:szCs w:val="18"/>
              </w:rPr>
            </w:pPr>
          </w:p>
        </w:tc>
        <w:tc>
          <w:tcPr>
            <w:tcW w:w="844" w:type="dxa"/>
            <w:shd w:val="clear" w:color="auto" w:fill="C6EFCE"/>
            <w:noWrap/>
          </w:tcPr>
          <w:p w14:paraId="2C8D44CA" w14:textId="77777777" w:rsidR="00C45D59" w:rsidRDefault="00C45D59" w:rsidP="00892E7E">
            <w:pPr>
              <w:spacing w:after="0" w:line="240" w:lineRule="auto"/>
              <w:rPr>
                <w:rFonts w:ascii="Times New Roman" w:eastAsia="Times New Roman" w:hAnsi="Times New Roman" w:cs="Times New Roman"/>
                <w:noProof/>
                <w:color w:val="006100"/>
                <w:sz w:val="18"/>
                <w:szCs w:val="18"/>
              </w:rPr>
            </w:pPr>
          </w:p>
        </w:tc>
        <w:tc>
          <w:tcPr>
            <w:tcW w:w="846" w:type="dxa"/>
            <w:shd w:val="clear" w:color="auto" w:fill="C6EFCE"/>
            <w:noWrap/>
          </w:tcPr>
          <w:p w14:paraId="4294CFC6" w14:textId="77777777" w:rsidR="00C45D59" w:rsidRDefault="009B0962" w:rsidP="00892E7E">
            <w:pPr>
              <w:pStyle w:val="P68B1DB1-Normal12"/>
              <w:spacing w:after="0" w:line="240" w:lineRule="auto"/>
              <w:rPr>
                <w:rFonts w:eastAsia="Times New Roman"/>
                <w:noProof/>
              </w:rPr>
            </w:pPr>
            <w:r>
              <w:rPr>
                <w:noProof/>
              </w:rPr>
              <w:t>Î3</w:t>
            </w:r>
          </w:p>
        </w:tc>
        <w:tc>
          <w:tcPr>
            <w:tcW w:w="713" w:type="dxa"/>
            <w:shd w:val="clear" w:color="auto" w:fill="C6EFCE"/>
            <w:noWrap/>
          </w:tcPr>
          <w:p w14:paraId="61F3C953" w14:textId="77777777" w:rsidR="00C45D59" w:rsidRDefault="009B0962" w:rsidP="00892E7E">
            <w:pPr>
              <w:pStyle w:val="P68B1DB1-Normal12"/>
              <w:spacing w:after="0" w:line="240" w:lineRule="auto"/>
              <w:rPr>
                <w:rFonts w:eastAsia="Times New Roman"/>
                <w:noProof/>
              </w:rPr>
            </w:pPr>
            <w:r>
              <w:rPr>
                <w:noProof/>
              </w:rPr>
              <w:t>2021</w:t>
            </w:r>
          </w:p>
        </w:tc>
        <w:tc>
          <w:tcPr>
            <w:tcW w:w="3402" w:type="dxa"/>
            <w:shd w:val="clear" w:color="auto" w:fill="C6EFCE"/>
            <w:noWrap/>
          </w:tcPr>
          <w:p w14:paraId="607F72A8" w14:textId="77777777" w:rsidR="00C45D59" w:rsidRDefault="009B0962" w:rsidP="00892E7E">
            <w:pPr>
              <w:pStyle w:val="P68B1DB1-Normal12"/>
              <w:spacing w:after="0" w:line="240" w:lineRule="auto"/>
              <w:rPr>
                <w:rFonts w:eastAsia="Times New Roman"/>
                <w:noProof/>
              </w:rPr>
            </w:pPr>
            <w:r>
              <w:rPr>
                <w:noProof/>
              </w:rPr>
              <w:t>Foaie de parcurs cu etapele pentru reorganizarea completă a societăților OSE și ERGOSE.</w:t>
            </w:r>
          </w:p>
        </w:tc>
      </w:tr>
      <w:tr w:rsidR="00C45D59" w14:paraId="1824A7E7" w14:textId="77777777" w:rsidTr="00892E7E">
        <w:trPr>
          <w:trHeight w:val="313"/>
        </w:trPr>
        <w:tc>
          <w:tcPr>
            <w:tcW w:w="591" w:type="dxa"/>
            <w:shd w:val="clear" w:color="auto" w:fill="C6EFCE"/>
            <w:noWrap/>
          </w:tcPr>
          <w:p w14:paraId="0789FC43" w14:textId="77777777" w:rsidR="00C45D59" w:rsidRDefault="009B0962" w:rsidP="00892E7E">
            <w:pPr>
              <w:pStyle w:val="P68B1DB1-Normal12"/>
              <w:spacing w:after="0" w:line="240" w:lineRule="auto"/>
              <w:rPr>
                <w:rFonts w:eastAsia="Times New Roman"/>
                <w:noProof/>
              </w:rPr>
            </w:pPr>
            <w:r>
              <w:rPr>
                <w:noProof/>
              </w:rPr>
              <w:t>264</w:t>
            </w:r>
          </w:p>
        </w:tc>
        <w:tc>
          <w:tcPr>
            <w:tcW w:w="2665" w:type="dxa"/>
            <w:shd w:val="clear" w:color="auto" w:fill="C6EFCE"/>
            <w:noWrap/>
          </w:tcPr>
          <w:p w14:paraId="539F5714" w14:textId="77777777" w:rsidR="00C45D59" w:rsidRDefault="009B0962" w:rsidP="00892E7E">
            <w:pPr>
              <w:pStyle w:val="P68B1DB1-Normal12"/>
              <w:spacing w:after="0" w:line="240" w:lineRule="auto"/>
              <w:rPr>
                <w:rFonts w:eastAsia="Times New Roman"/>
                <w:noProof/>
              </w:rPr>
            </w:pPr>
            <w:r>
              <w:rPr>
                <w:noProof/>
              </w:rPr>
              <w:t>17-4.6. Modernizarea și îmbunătățirea rezilienței sectoarelor economice cheie – 16982_Reforma organizațională în sectorul feroviar</w:t>
            </w:r>
          </w:p>
        </w:tc>
        <w:tc>
          <w:tcPr>
            <w:tcW w:w="1134" w:type="dxa"/>
            <w:shd w:val="clear" w:color="auto" w:fill="C6EFCE"/>
            <w:noWrap/>
          </w:tcPr>
          <w:p w14:paraId="22DC71B6" w14:textId="77777777" w:rsidR="00C45D59" w:rsidRDefault="009B0962" w:rsidP="00892E7E">
            <w:pPr>
              <w:pStyle w:val="P68B1DB1-Normal12"/>
              <w:spacing w:after="0" w:line="240" w:lineRule="auto"/>
              <w:rPr>
                <w:rFonts w:eastAsia="Times New Roman"/>
                <w:noProof/>
              </w:rPr>
            </w:pPr>
            <w:r>
              <w:rPr>
                <w:noProof/>
              </w:rPr>
              <w:t>Etapă</w:t>
            </w:r>
          </w:p>
        </w:tc>
        <w:tc>
          <w:tcPr>
            <w:tcW w:w="1842" w:type="dxa"/>
            <w:shd w:val="clear" w:color="auto" w:fill="C6EFCE"/>
            <w:noWrap/>
          </w:tcPr>
          <w:p w14:paraId="7E03059E" w14:textId="77777777" w:rsidR="00C45D59" w:rsidRDefault="009B0962" w:rsidP="00892E7E">
            <w:pPr>
              <w:pStyle w:val="P68B1DB1-Normal12"/>
              <w:spacing w:after="0" w:line="240" w:lineRule="auto"/>
              <w:rPr>
                <w:rFonts w:eastAsia="Times New Roman"/>
                <w:noProof/>
              </w:rPr>
            </w:pPr>
            <w:r>
              <w:rPr>
                <w:noProof/>
              </w:rPr>
              <w:t>Legea privind reforma căilor ferate</w:t>
            </w:r>
          </w:p>
        </w:tc>
        <w:tc>
          <w:tcPr>
            <w:tcW w:w="2127" w:type="dxa"/>
            <w:shd w:val="clear" w:color="auto" w:fill="C6EFCE"/>
            <w:noWrap/>
          </w:tcPr>
          <w:p w14:paraId="54FB6892" w14:textId="77777777" w:rsidR="00C45D59" w:rsidRDefault="009B0962" w:rsidP="00892E7E">
            <w:pPr>
              <w:pStyle w:val="P68B1DB1-Normal12"/>
              <w:spacing w:after="0" w:line="240" w:lineRule="auto"/>
              <w:rPr>
                <w:rFonts w:eastAsia="Times New Roman"/>
                <w:noProof/>
              </w:rPr>
            </w:pPr>
            <w:r>
              <w:rPr>
                <w:noProof/>
              </w:rPr>
              <w:t xml:space="preserve">Intrarea în vigoare a legislației primare și secundare </w:t>
            </w:r>
          </w:p>
        </w:tc>
        <w:tc>
          <w:tcPr>
            <w:tcW w:w="992" w:type="dxa"/>
            <w:shd w:val="clear" w:color="auto" w:fill="C6EFCE"/>
            <w:noWrap/>
          </w:tcPr>
          <w:p w14:paraId="4BE791B7" w14:textId="77777777" w:rsidR="00C45D59" w:rsidRDefault="00C45D59" w:rsidP="00892E7E">
            <w:pPr>
              <w:spacing w:after="0" w:line="240" w:lineRule="auto"/>
              <w:rPr>
                <w:rFonts w:ascii="Times New Roman" w:eastAsia="Times New Roman" w:hAnsi="Times New Roman" w:cs="Times New Roman"/>
                <w:noProof/>
                <w:color w:val="006100"/>
                <w:sz w:val="18"/>
                <w:szCs w:val="18"/>
              </w:rPr>
            </w:pPr>
          </w:p>
        </w:tc>
        <w:tc>
          <w:tcPr>
            <w:tcW w:w="857" w:type="dxa"/>
            <w:shd w:val="clear" w:color="auto" w:fill="C6EFCE"/>
            <w:noWrap/>
          </w:tcPr>
          <w:p w14:paraId="0DCDE9CF" w14:textId="77777777" w:rsidR="00C45D59" w:rsidRDefault="00C45D59" w:rsidP="00892E7E">
            <w:pPr>
              <w:spacing w:after="0" w:line="240" w:lineRule="auto"/>
              <w:rPr>
                <w:rFonts w:ascii="Times New Roman" w:eastAsia="Times New Roman" w:hAnsi="Times New Roman" w:cs="Times New Roman"/>
                <w:noProof/>
                <w:color w:val="006100"/>
                <w:sz w:val="18"/>
                <w:szCs w:val="18"/>
              </w:rPr>
            </w:pPr>
          </w:p>
        </w:tc>
        <w:tc>
          <w:tcPr>
            <w:tcW w:w="844" w:type="dxa"/>
            <w:shd w:val="clear" w:color="auto" w:fill="C6EFCE"/>
            <w:noWrap/>
          </w:tcPr>
          <w:p w14:paraId="2F8F52E3" w14:textId="77777777" w:rsidR="00C45D59" w:rsidRDefault="00C45D59" w:rsidP="00892E7E">
            <w:pPr>
              <w:spacing w:after="0" w:line="240" w:lineRule="auto"/>
              <w:rPr>
                <w:rFonts w:ascii="Times New Roman" w:eastAsia="Times New Roman" w:hAnsi="Times New Roman" w:cs="Times New Roman"/>
                <w:noProof/>
                <w:color w:val="006100"/>
                <w:sz w:val="18"/>
                <w:szCs w:val="18"/>
              </w:rPr>
            </w:pPr>
          </w:p>
        </w:tc>
        <w:tc>
          <w:tcPr>
            <w:tcW w:w="846" w:type="dxa"/>
            <w:shd w:val="clear" w:color="auto" w:fill="C6EFCE"/>
            <w:noWrap/>
          </w:tcPr>
          <w:p w14:paraId="286B9A25" w14:textId="77777777" w:rsidR="00C45D59" w:rsidRDefault="009B0962" w:rsidP="00892E7E">
            <w:pPr>
              <w:pStyle w:val="P68B1DB1-Normal12"/>
              <w:spacing w:after="0" w:line="240" w:lineRule="auto"/>
              <w:rPr>
                <w:rFonts w:eastAsia="Times New Roman"/>
                <w:noProof/>
              </w:rPr>
            </w:pPr>
            <w:r>
              <w:rPr>
                <w:noProof/>
              </w:rPr>
              <w:t>Î2</w:t>
            </w:r>
          </w:p>
        </w:tc>
        <w:tc>
          <w:tcPr>
            <w:tcW w:w="713" w:type="dxa"/>
            <w:shd w:val="clear" w:color="auto" w:fill="C6EFCE"/>
            <w:noWrap/>
          </w:tcPr>
          <w:p w14:paraId="43054273" w14:textId="77777777" w:rsidR="00C45D59" w:rsidRDefault="009B0962" w:rsidP="00892E7E">
            <w:pPr>
              <w:pStyle w:val="P68B1DB1-Normal12"/>
              <w:spacing w:after="0" w:line="240" w:lineRule="auto"/>
              <w:rPr>
                <w:rFonts w:eastAsia="Times New Roman"/>
                <w:noProof/>
              </w:rPr>
            </w:pPr>
            <w:r>
              <w:rPr>
                <w:noProof/>
              </w:rPr>
              <w:t>2022</w:t>
            </w:r>
          </w:p>
        </w:tc>
        <w:tc>
          <w:tcPr>
            <w:tcW w:w="3402" w:type="dxa"/>
            <w:shd w:val="clear" w:color="auto" w:fill="C6EFCE"/>
            <w:noWrap/>
          </w:tcPr>
          <w:p w14:paraId="3BD31AC8" w14:textId="77777777" w:rsidR="00C45D59" w:rsidRDefault="009B0962" w:rsidP="00892E7E">
            <w:pPr>
              <w:pStyle w:val="P68B1DB1-Normal12"/>
              <w:spacing w:after="0" w:line="240" w:lineRule="auto"/>
              <w:rPr>
                <w:rFonts w:eastAsia="Times New Roman"/>
                <w:noProof/>
              </w:rPr>
            </w:pPr>
            <w:r>
              <w:rPr>
                <w:noProof/>
              </w:rPr>
              <w:t>Reforma organizațională în sectorul feroviar;</w:t>
            </w:r>
          </w:p>
          <w:p w14:paraId="2CB73ECD" w14:textId="77777777" w:rsidR="00C45D59" w:rsidRDefault="00C45D59" w:rsidP="00892E7E">
            <w:pPr>
              <w:spacing w:after="0" w:line="240" w:lineRule="auto"/>
              <w:rPr>
                <w:rFonts w:ascii="Times New Roman" w:eastAsia="Times New Roman" w:hAnsi="Times New Roman" w:cs="Times New Roman"/>
                <w:noProof/>
                <w:color w:val="006100"/>
                <w:sz w:val="18"/>
                <w:szCs w:val="18"/>
              </w:rPr>
            </w:pPr>
          </w:p>
          <w:p w14:paraId="0CF117A4" w14:textId="77777777" w:rsidR="00C45D59" w:rsidRDefault="009B0962" w:rsidP="00892E7E">
            <w:pPr>
              <w:pStyle w:val="P68B1DB1-Normal12"/>
              <w:spacing w:after="0" w:line="240" w:lineRule="auto"/>
              <w:rPr>
                <w:rFonts w:eastAsia="Times New Roman"/>
                <w:noProof/>
              </w:rPr>
            </w:pPr>
            <w:r>
              <w:rPr>
                <w:noProof/>
              </w:rPr>
              <w:t>Intrarea în vigoare a legislației primare și secundare pentru reforma celor două societăți, care să le permită să dezvolte, să exploateze și să întrețină o rețea feroviară modernă.</w:t>
            </w:r>
          </w:p>
        </w:tc>
      </w:tr>
      <w:tr w:rsidR="00C45D59" w14:paraId="01736EA8" w14:textId="77777777" w:rsidTr="00892E7E">
        <w:trPr>
          <w:trHeight w:val="313"/>
        </w:trPr>
        <w:tc>
          <w:tcPr>
            <w:tcW w:w="591" w:type="dxa"/>
            <w:shd w:val="clear" w:color="auto" w:fill="C6EFCE"/>
            <w:noWrap/>
          </w:tcPr>
          <w:p w14:paraId="5149FAAB" w14:textId="77777777" w:rsidR="00C45D59" w:rsidRDefault="009B0962" w:rsidP="00892E7E">
            <w:pPr>
              <w:pStyle w:val="P68B1DB1-Normal12"/>
              <w:spacing w:after="0" w:line="240" w:lineRule="auto"/>
              <w:rPr>
                <w:rFonts w:eastAsia="Times New Roman"/>
                <w:noProof/>
              </w:rPr>
            </w:pPr>
            <w:r>
              <w:rPr>
                <w:noProof/>
              </w:rPr>
              <w:t>267</w:t>
            </w:r>
          </w:p>
        </w:tc>
        <w:tc>
          <w:tcPr>
            <w:tcW w:w="2665" w:type="dxa"/>
            <w:shd w:val="clear" w:color="auto" w:fill="C6EFCE"/>
            <w:noWrap/>
          </w:tcPr>
          <w:p w14:paraId="1E226357" w14:textId="77777777" w:rsidR="00C45D59" w:rsidRDefault="009B0962" w:rsidP="00892E7E">
            <w:pPr>
              <w:pStyle w:val="P68B1DB1-Normal12"/>
              <w:spacing w:after="0" w:line="240" w:lineRule="auto"/>
              <w:rPr>
                <w:rFonts w:eastAsia="Times New Roman"/>
                <w:noProof/>
              </w:rPr>
            </w:pPr>
            <w:r>
              <w:rPr>
                <w:noProof/>
              </w:rPr>
              <w:t>17-4.6. Modernizarea și îmbunătățirea rezilienței sectoarelor economice esențiale – 16833_Punerea în aplicare a lucrărilor AESA de rectificare a conformității</w:t>
            </w:r>
          </w:p>
        </w:tc>
        <w:tc>
          <w:tcPr>
            <w:tcW w:w="1134" w:type="dxa"/>
            <w:shd w:val="clear" w:color="auto" w:fill="C6EFCE"/>
            <w:noWrap/>
          </w:tcPr>
          <w:p w14:paraId="2849C5B1" w14:textId="77777777" w:rsidR="00C45D59" w:rsidRDefault="009B0962" w:rsidP="00892E7E">
            <w:pPr>
              <w:pStyle w:val="P68B1DB1-Normal12"/>
              <w:spacing w:after="0" w:line="240" w:lineRule="auto"/>
              <w:rPr>
                <w:rFonts w:eastAsia="Times New Roman"/>
                <w:noProof/>
              </w:rPr>
            </w:pPr>
            <w:r>
              <w:rPr>
                <w:noProof/>
              </w:rPr>
              <w:t>Etapă</w:t>
            </w:r>
          </w:p>
        </w:tc>
        <w:tc>
          <w:tcPr>
            <w:tcW w:w="1842" w:type="dxa"/>
            <w:shd w:val="clear" w:color="auto" w:fill="C6EFCE"/>
            <w:noWrap/>
          </w:tcPr>
          <w:p w14:paraId="3131DCE9" w14:textId="77777777" w:rsidR="00C45D59" w:rsidRDefault="009B0962" w:rsidP="00892E7E">
            <w:pPr>
              <w:pStyle w:val="P68B1DB1-Normal12"/>
              <w:spacing w:after="0" w:line="240" w:lineRule="auto"/>
              <w:rPr>
                <w:rFonts w:eastAsia="Times New Roman"/>
                <w:noProof/>
              </w:rPr>
            </w:pPr>
            <w:r>
              <w:rPr>
                <w:noProof/>
              </w:rPr>
              <w:t>Notificarea atribuirii lucrărilor Agenției Uniunii Europene pentru Siguranța Aviației (AESA) în aeroporturile regionale</w:t>
            </w:r>
          </w:p>
        </w:tc>
        <w:tc>
          <w:tcPr>
            <w:tcW w:w="2127" w:type="dxa"/>
            <w:shd w:val="clear" w:color="auto" w:fill="C6EFCE"/>
            <w:noWrap/>
          </w:tcPr>
          <w:p w14:paraId="60F4A6AB" w14:textId="77777777" w:rsidR="00C45D59" w:rsidRDefault="009B0962" w:rsidP="00892E7E">
            <w:pPr>
              <w:pStyle w:val="P68B1DB1-Normal12"/>
              <w:spacing w:after="0" w:line="240" w:lineRule="auto"/>
              <w:rPr>
                <w:rFonts w:eastAsia="Times New Roman"/>
                <w:noProof/>
              </w:rPr>
            </w:pPr>
            <w:r>
              <w:rPr>
                <w:noProof/>
              </w:rPr>
              <w:t>Notificarea atribuirii contractelor</w:t>
            </w:r>
          </w:p>
        </w:tc>
        <w:tc>
          <w:tcPr>
            <w:tcW w:w="992" w:type="dxa"/>
            <w:shd w:val="clear" w:color="auto" w:fill="C6EFCE"/>
            <w:noWrap/>
          </w:tcPr>
          <w:p w14:paraId="24AAC7AA" w14:textId="77777777" w:rsidR="00C45D59" w:rsidRDefault="00C45D59" w:rsidP="00892E7E">
            <w:pPr>
              <w:spacing w:after="0" w:line="240" w:lineRule="auto"/>
              <w:rPr>
                <w:rFonts w:ascii="Times New Roman" w:eastAsia="Times New Roman" w:hAnsi="Times New Roman" w:cs="Times New Roman"/>
                <w:noProof/>
                <w:color w:val="006100"/>
                <w:sz w:val="18"/>
                <w:szCs w:val="18"/>
              </w:rPr>
            </w:pPr>
          </w:p>
        </w:tc>
        <w:tc>
          <w:tcPr>
            <w:tcW w:w="857" w:type="dxa"/>
            <w:shd w:val="clear" w:color="auto" w:fill="C6EFCE"/>
            <w:noWrap/>
          </w:tcPr>
          <w:p w14:paraId="46BA7A8E" w14:textId="77777777" w:rsidR="00C45D59" w:rsidRDefault="00C45D59" w:rsidP="00892E7E">
            <w:pPr>
              <w:spacing w:after="0" w:line="240" w:lineRule="auto"/>
              <w:rPr>
                <w:rFonts w:ascii="Times New Roman" w:eastAsia="Times New Roman" w:hAnsi="Times New Roman" w:cs="Times New Roman"/>
                <w:noProof/>
                <w:color w:val="006100"/>
                <w:sz w:val="18"/>
                <w:szCs w:val="18"/>
              </w:rPr>
            </w:pPr>
          </w:p>
        </w:tc>
        <w:tc>
          <w:tcPr>
            <w:tcW w:w="844" w:type="dxa"/>
            <w:shd w:val="clear" w:color="auto" w:fill="C6EFCE"/>
            <w:noWrap/>
          </w:tcPr>
          <w:p w14:paraId="7AFC8375" w14:textId="77777777" w:rsidR="00C45D59" w:rsidRDefault="00C45D59" w:rsidP="00892E7E">
            <w:pPr>
              <w:spacing w:after="0" w:line="240" w:lineRule="auto"/>
              <w:rPr>
                <w:rFonts w:ascii="Times New Roman" w:eastAsia="Times New Roman" w:hAnsi="Times New Roman" w:cs="Times New Roman"/>
                <w:noProof/>
                <w:color w:val="006100"/>
                <w:sz w:val="18"/>
                <w:szCs w:val="18"/>
              </w:rPr>
            </w:pPr>
          </w:p>
        </w:tc>
        <w:tc>
          <w:tcPr>
            <w:tcW w:w="846" w:type="dxa"/>
            <w:shd w:val="clear" w:color="auto" w:fill="C6EFCE"/>
            <w:noWrap/>
          </w:tcPr>
          <w:p w14:paraId="444C1298" w14:textId="77777777" w:rsidR="00C45D59" w:rsidRDefault="009B0962" w:rsidP="00892E7E">
            <w:pPr>
              <w:pStyle w:val="P68B1DB1-Normal12"/>
              <w:spacing w:after="0" w:line="240" w:lineRule="auto"/>
              <w:rPr>
                <w:rFonts w:eastAsia="Times New Roman"/>
                <w:noProof/>
              </w:rPr>
            </w:pPr>
            <w:r>
              <w:rPr>
                <w:noProof/>
              </w:rPr>
              <w:t>Î2</w:t>
            </w:r>
          </w:p>
        </w:tc>
        <w:tc>
          <w:tcPr>
            <w:tcW w:w="713" w:type="dxa"/>
            <w:shd w:val="clear" w:color="auto" w:fill="C6EFCE"/>
            <w:noWrap/>
          </w:tcPr>
          <w:p w14:paraId="35722B0F" w14:textId="77777777" w:rsidR="00C45D59" w:rsidRDefault="009B0962" w:rsidP="00892E7E">
            <w:pPr>
              <w:pStyle w:val="P68B1DB1-Normal12"/>
              <w:spacing w:after="0" w:line="240" w:lineRule="auto"/>
              <w:rPr>
                <w:rFonts w:eastAsia="Times New Roman"/>
                <w:noProof/>
              </w:rPr>
            </w:pPr>
            <w:r>
              <w:rPr>
                <w:noProof/>
              </w:rPr>
              <w:t>2023</w:t>
            </w:r>
          </w:p>
        </w:tc>
        <w:tc>
          <w:tcPr>
            <w:tcW w:w="3402" w:type="dxa"/>
            <w:shd w:val="clear" w:color="auto" w:fill="C6EFCE"/>
            <w:noWrap/>
          </w:tcPr>
          <w:p w14:paraId="77EAB01E" w14:textId="77777777" w:rsidR="00C45D59" w:rsidRDefault="009B0962" w:rsidP="00892E7E">
            <w:pPr>
              <w:pStyle w:val="P68B1DB1-Normal12"/>
              <w:spacing w:after="0" w:line="240" w:lineRule="auto"/>
              <w:rPr>
                <w:rFonts w:eastAsia="Times New Roman"/>
                <w:noProof/>
              </w:rPr>
            </w:pPr>
            <w:r>
              <w:rPr>
                <w:noProof/>
              </w:rPr>
              <w:t>Programul de conformitate al Agenției Uniunii Europene pentru Siguranța Aviației (AESA): Toate contractele de lucrări de rectificare a 13 aeroporturi regionale pentru a se conforma noului Regulament (UE) 2018/1139 semnate.</w:t>
            </w:r>
          </w:p>
        </w:tc>
      </w:tr>
      <w:tr w:rsidR="00C45D59" w14:paraId="49F2F88D" w14:textId="77777777" w:rsidTr="00892E7E">
        <w:trPr>
          <w:trHeight w:val="1607"/>
        </w:trPr>
        <w:tc>
          <w:tcPr>
            <w:tcW w:w="591" w:type="dxa"/>
            <w:shd w:val="clear" w:color="auto" w:fill="C6EFCE"/>
            <w:noWrap/>
          </w:tcPr>
          <w:p w14:paraId="4468CAF8" w14:textId="77777777" w:rsidR="00C45D59" w:rsidRDefault="009B0962" w:rsidP="00892E7E">
            <w:pPr>
              <w:pStyle w:val="P68B1DB1-Normal12"/>
              <w:spacing w:after="0" w:line="240" w:lineRule="auto"/>
              <w:rPr>
                <w:rFonts w:eastAsia="Times New Roman"/>
                <w:noProof/>
              </w:rPr>
            </w:pPr>
            <w:r>
              <w:rPr>
                <w:noProof/>
              </w:rPr>
              <w:t>268</w:t>
            </w:r>
          </w:p>
        </w:tc>
        <w:tc>
          <w:tcPr>
            <w:tcW w:w="2665" w:type="dxa"/>
            <w:shd w:val="clear" w:color="auto" w:fill="C6EFCE"/>
            <w:noWrap/>
          </w:tcPr>
          <w:p w14:paraId="033F5ED2" w14:textId="77777777" w:rsidR="00C45D59" w:rsidRDefault="009B0962" w:rsidP="00892E7E">
            <w:pPr>
              <w:pStyle w:val="P68B1DB1-Normal12"/>
              <w:spacing w:after="0" w:line="240" w:lineRule="auto"/>
              <w:rPr>
                <w:rFonts w:eastAsia="Times New Roman"/>
                <w:noProof/>
              </w:rPr>
            </w:pPr>
            <w:r>
              <w:rPr>
                <w:noProof/>
              </w:rPr>
              <w:t>17-4.6. Modernizarea și îmbunătățirea rezilienței sectoarelor economice cheie – 16982_Reforma organizațională în sectorul feroviar</w:t>
            </w:r>
          </w:p>
        </w:tc>
        <w:tc>
          <w:tcPr>
            <w:tcW w:w="1134" w:type="dxa"/>
            <w:shd w:val="clear" w:color="auto" w:fill="C6EFCE"/>
            <w:noWrap/>
          </w:tcPr>
          <w:p w14:paraId="31254B3F" w14:textId="77777777" w:rsidR="00C45D59" w:rsidRDefault="009B0962" w:rsidP="00892E7E">
            <w:pPr>
              <w:pStyle w:val="P68B1DB1-Normal12"/>
              <w:spacing w:after="0" w:line="240" w:lineRule="auto"/>
              <w:rPr>
                <w:rFonts w:eastAsia="Times New Roman"/>
                <w:noProof/>
              </w:rPr>
            </w:pPr>
            <w:r>
              <w:rPr>
                <w:noProof/>
              </w:rPr>
              <w:t>Etapă</w:t>
            </w:r>
          </w:p>
        </w:tc>
        <w:tc>
          <w:tcPr>
            <w:tcW w:w="1842" w:type="dxa"/>
            <w:shd w:val="clear" w:color="auto" w:fill="C6EFCE"/>
            <w:noWrap/>
          </w:tcPr>
          <w:p w14:paraId="7EC48920" w14:textId="77777777" w:rsidR="00C45D59" w:rsidRDefault="009B0962" w:rsidP="00892E7E">
            <w:pPr>
              <w:pStyle w:val="P68B1DB1-Normal12"/>
              <w:spacing w:after="0" w:line="240" w:lineRule="auto"/>
              <w:rPr>
                <w:rFonts w:eastAsia="Times New Roman"/>
                <w:noProof/>
              </w:rPr>
            </w:pPr>
            <w:r>
              <w:rPr>
                <w:noProof/>
              </w:rPr>
              <w:t>Planul de implementare a Căilor Ferate Elene</w:t>
            </w:r>
          </w:p>
        </w:tc>
        <w:tc>
          <w:tcPr>
            <w:tcW w:w="2127" w:type="dxa"/>
            <w:shd w:val="clear" w:color="auto" w:fill="C6EFCE"/>
            <w:noWrap/>
          </w:tcPr>
          <w:p w14:paraId="54CD8E47" w14:textId="77777777" w:rsidR="00C45D59" w:rsidRDefault="009B0962" w:rsidP="00892E7E">
            <w:pPr>
              <w:pStyle w:val="P68B1DB1-Normal12"/>
              <w:spacing w:after="0" w:line="240" w:lineRule="auto"/>
              <w:rPr>
                <w:rFonts w:eastAsia="Times New Roman"/>
                <w:noProof/>
              </w:rPr>
            </w:pPr>
            <w:r>
              <w:rPr>
                <w:noProof/>
              </w:rPr>
              <w:t xml:space="preserve">Publicarea planului de punere în aplicare pentru căile ferate elene </w:t>
            </w:r>
          </w:p>
        </w:tc>
        <w:tc>
          <w:tcPr>
            <w:tcW w:w="992" w:type="dxa"/>
            <w:shd w:val="clear" w:color="auto" w:fill="C6EFCE"/>
            <w:noWrap/>
          </w:tcPr>
          <w:p w14:paraId="6CD82B28" w14:textId="77777777" w:rsidR="00C45D59" w:rsidRDefault="00C45D59" w:rsidP="00892E7E">
            <w:pPr>
              <w:spacing w:after="0" w:line="240" w:lineRule="auto"/>
              <w:rPr>
                <w:rFonts w:ascii="Times New Roman" w:eastAsia="Times New Roman" w:hAnsi="Times New Roman" w:cs="Times New Roman"/>
                <w:noProof/>
                <w:color w:val="006100"/>
                <w:sz w:val="18"/>
                <w:szCs w:val="18"/>
              </w:rPr>
            </w:pPr>
          </w:p>
        </w:tc>
        <w:tc>
          <w:tcPr>
            <w:tcW w:w="857" w:type="dxa"/>
            <w:shd w:val="clear" w:color="auto" w:fill="C6EFCE"/>
            <w:noWrap/>
          </w:tcPr>
          <w:p w14:paraId="3BFC96EA" w14:textId="77777777" w:rsidR="00C45D59" w:rsidRDefault="00C45D59" w:rsidP="00892E7E">
            <w:pPr>
              <w:spacing w:after="0" w:line="240" w:lineRule="auto"/>
              <w:rPr>
                <w:rFonts w:ascii="Times New Roman" w:eastAsia="Times New Roman" w:hAnsi="Times New Roman" w:cs="Times New Roman"/>
                <w:noProof/>
                <w:color w:val="006100"/>
                <w:sz w:val="18"/>
                <w:szCs w:val="18"/>
              </w:rPr>
            </w:pPr>
          </w:p>
        </w:tc>
        <w:tc>
          <w:tcPr>
            <w:tcW w:w="844" w:type="dxa"/>
            <w:shd w:val="clear" w:color="auto" w:fill="C6EFCE"/>
            <w:noWrap/>
          </w:tcPr>
          <w:p w14:paraId="643672BC" w14:textId="77777777" w:rsidR="00C45D59" w:rsidRDefault="00C45D59" w:rsidP="00892E7E">
            <w:pPr>
              <w:spacing w:after="0" w:line="240" w:lineRule="auto"/>
              <w:rPr>
                <w:rFonts w:ascii="Times New Roman" w:eastAsia="Times New Roman" w:hAnsi="Times New Roman" w:cs="Times New Roman"/>
                <w:noProof/>
                <w:color w:val="006100"/>
                <w:sz w:val="18"/>
                <w:szCs w:val="18"/>
              </w:rPr>
            </w:pPr>
          </w:p>
        </w:tc>
        <w:tc>
          <w:tcPr>
            <w:tcW w:w="846" w:type="dxa"/>
            <w:shd w:val="clear" w:color="auto" w:fill="C6EFCE"/>
            <w:noWrap/>
          </w:tcPr>
          <w:p w14:paraId="17DC8D70" w14:textId="77777777" w:rsidR="00C45D59" w:rsidRDefault="009B0962" w:rsidP="00892E7E">
            <w:pPr>
              <w:pStyle w:val="P68B1DB1-Normal12"/>
              <w:spacing w:after="0" w:line="240" w:lineRule="auto"/>
              <w:rPr>
                <w:rFonts w:eastAsia="Times New Roman"/>
                <w:noProof/>
              </w:rPr>
            </w:pPr>
            <w:r>
              <w:rPr>
                <w:noProof/>
              </w:rPr>
              <w:t>Î2</w:t>
            </w:r>
          </w:p>
          <w:p w14:paraId="032AADD3" w14:textId="77777777" w:rsidR="00C45D59" w:rsidRDefault="00C45D59" w:rsidP="00892E7E">
            <w:pPr>
              <w:spacing w:after="0" w:line="240" w:lineRule="auto"/>
              <w:rPr>
                <w:rFonts w:ascii="Times New Roman" w:eastAsia="Times New Roman" w:hAnsi="Times New Roman" w:cs="Times New Roman"/>
                <w:noProof/>
                <w:color w:val="006100"/>
                <w:sz w:val="18"/>
                <w:szCs w:val="18"/>
              </w:rPr>
            </w:pPr>
          </w:p>
        </w:tc>
        <w:tc>
          <w:tcPr>
            <w:tcW w:w="713" w:type="dxa"/>
            <w:shd w:val="clear" w:color="auto" w:fill="C6EFCE"/>
            <w:noWrap/>
          </w:tcPr>
          <w:p w14:paraId="175B2A9B" w14:textId="77777777" w:rsidR="00C45D59" w:rsidRDefault="009B0962" w:rsidP="00892E7E">
            <w:pPr>
              <w:pStyle w:val="P68B1DB1-Normal12"/>
              <w:spacing w:after="0" w:line="240" w:lineRule="auto"/>
              <w:rPr>
                <w:rFonts w:eastAsia="Times New Roman"/>
                <w:noProof/>
              </w:rPr>
            </w:pPr>
            <w:r>
              <w:rPr>
                <w:noProof/>
              </w:rPr>
              <w:t>2024</w:t>
            </w:r>
          </w:p>
        </w:tc>
        <w:tc>
          <w:tcPr>
            <w:tcW w:w="3402" w:type="dxa"/>
            <w:shd w:val="clear" w:color="auto" w:fill="C6EFCE"/>
            <w:noWrap/>
          </w:tcPr>
          <w:p w14:paraId="1F7E4392" w14:textId="77777777" w:rsidR="00C45D59" w:rsidRDefault="009B0962" w:rsidP="00892E7E">
            <w:pPr>
              <w:pStyle w:val="P68B1DB1-Normal12"/>
              <w:spacing w:after="0" w:line="240" w:lineRule="auto"/>
              <w:rPr>
                <w:rFonts w:eastAsia="Times New Roman"/>
                <w:noProof/>
              </w:rPr>
            </w:pPr>
            <w:r>
              <w:rPr>
                <w:noProof/>
              </w:rPr>
              <w:t xml:space="preserve">Publicarea unui plan de punere în aplicare pentru noua companie de infrastructură feroviară unificată (Căile Ferate Elene) </w:t>
            </w:r>
          </w:p>
        </w:tc>
      </w:tr>
      <w:tr w:rsidR="00C45D59" w14:paraId="406509F1" w14:textId="77777777" w:rsidTr="00892E7E">
        <w:trPr>
          <w:trHeight w:val="313"/>
        </w:trPr>
        <w:tc>
          <w:tcPr>
            <w:tcW w:w="591" w:type="dxa"/>
            <w:shd w:val="clear" w:color="auto" w:fill="C6EFCE"/>
            <w:noWrap/>
          </w:tcPr>
          <w:p w14:paraId="09362220" w14:textId="77777777" w:rsidR="00C45D59" w:rsidRDefault="009B0962" w:rsidP="00892E7E">
            <w:pPr>
              <w:pStyle w:val="P68B1DB1-Normal12"/>
              <w:spacing w:line="240" w:lineRule="auto"/>
              <w:rPr>
                <w:rFonts w:eastAsia="Times New Roman"/>
                <w:noProof/>
              </w:rPr>
            </w:pPr>
            <w:r>
              <w:rPr>
                <w:noProof/>
              </w:rPr>
              <w:t>268a</w:t>
            </w:r>
          </w:p>
        </w:tc>
        <w:tc>
          <w:tcPr>
            <w:tcW w:w="2665" w:type="dxa"/>
            <w:shd w:val="clear" w:color="auto" w:fill="C6EFCE"/>
            <w:noWrap/>
          </w:tcPr>
          <w:p w14:paraId="7CC7E47D" w14:textId="77777777" w:rsidR="00C45D59" w:rsidRDefault="009B0962" w:rsidP="00892E7E">
            <w:pPr>
              <w:pStyle w:val="P68B1DB1-Normal12"/>
              <w:spacing w:after="0" w:line="240" w:lineRule="auto"/>
              <w:rPr>
                <w:rFonts w:eastAsia="Times New Roman"/>
                <w:noProof/>
              </w:rPr>
            </w:pPr>
            <w:r>
              <w:rPr>
                <w:noProof/>
              </w:rPr>
              <w:t>17-4.6. Modernizarea și îmbunătățirea rezilienței sectoarelor economice cheie – 16982_Reforma organizațională în sectorul feroviar</w:t>
            </w:r>
          </w:p>
        </w:tc>
        <w:tc>
          <w:tcPr>
            <w:tcW w:w="1134" w:type="dxa"/>
            <w:shd w:val="clear" w:color="auto" w:fill="C6EFCE"/>
            <w:noWrap/>
          </w:tcPr>
          <w:p w14:paraId="1B957876" w14:textId="77777777" w:rsidR="00C45D59" w:rsidRDefault="009B0962" w:rsidP="00892E7E">
            <w:pPr>
              <w:pStyle w:val="P68B1DB1-Normal12"/>
              <w:spacing w:line="240" w:lineRule="auto"/>
              <w:rPr>
                <w:rFonts w:eastAsia="Times New Roman"/>
                <w:noProof/>
              </w:rPr>
            </w:pPr>
            <w:r>
              <w:rPr>
                <w:noProof/>
              </w:rPr>
              <w:t>Etapă</w:t>
            </w:r>
          </w:p>
        </w:tc>
        <w:tc>
          <w:tcPr>
            <w:tcW w:w="1842" w:type="dxa"/>
            <w:shd w:val="clear" w:color="auto" w:fill="C6EFCE"/>
            <w:noWrap/>
          </w:tcPr>
          <w:p w14:paraId="503B13D1" w14:textId="77777777" w:rsidR="00C45D59" w:rsidRDefault="009B0962" w:rsidP="00892E7E">
            <w:pPr>
              <w:pStyle w:val="P68B1DB1-Normal12"/>
              <w:spacing w:line="240" w:lineRule="auto"/>
              <w:rPr>
                <w:noProof/>
              </w:rPr>
            </w:pPr>
            <w:r>
              <w:rPr>
                <w:noProof/>
              </w:rPr>
              <w:t xml:space="preserve">Acte juridice pentru Căile Ferate Elene </w:t>
            </w:r>
          </w:p>
        </w:tc>
        <w:tc>
          <w:tcPr>
            <w:tcW w:w="2127" w:type="dxa"/>
            <w:shd w:val="clear" w:color="auto" w:fill="C6EFCE"/>
            <w:noWrap/>
          </w:tcPr>
          <w:p w14:paraId="057427AC" w14:textId="77777777" w:rsidR="00C45D59" w:rsidRDefault="009B0962" w:rsidP="00892E7E">
            <w:pPr>
              <w:pStyle w:val="P68B1DB1-Normal12"/>
              <w:spacing w:line="240" w:lineRule="auto"/>
              <w:rPr>
                <w:noProof/>
              </w:rPr>
            </w:pPr>
            <w:r>
              <w:rPr>
                <w:noProof/>
              </w:rPr>
              <w:t>Intrarea în vigoare a actelor juridice privind căile ferate elene</w:t>
            </w:r>
          </w:p>
          <w:p w14:paraId="5422B6CB" w14:textId="77777777" w:rsidR="00C45D59" w:rsidRDefault="00C45D59" w:rsidP="00892E7E">
            <w:pPr>
              <w:spacing w:line="240" w:lineRule="auto"/>
              <w:rPr>
                <w:rFonts w:ascii="Times New Roman" w:hAnsi="Times New Roman" w:cs="Times New Roman"/>
                <w:noProof/>
                <w:color w:val="006100"/>
                <w:sz w:val="18"/>
                <w:szCs w:val="18"/>
              </w:rPr>
            </w:pPr>
          </w:p>
        </w:tc>
        <w:tc>
          <w:tcPr>
            <w:tcW w:w="992" w:type="dxa"/>
            <w:shd w:val="clear" w:color="auto" w:fill="C6EFCE"/>
            <w:noWrap/>
          </w:tcPr>
          <w:p w14:paraId="52CB6442" w14:textId="77777777" w:rsidR="00C45D59" w:rsidRDefault="00C45D59" w:rsidP="00892E7E">
            <w:pPr>
              <w:spacing w:line="240" w:lineRule="auto"/>
              <w:rPr>
                <w:rFonts w:ascii="Times New Roman" w:eastAsia="Times New Roman" w:hAnsi="Times New Roman" w:cs="Times New Roman"/>
                <w:noProof/>
                <w:color w:val="006100"/>
                <w:sz w:val="18"/>
                <w:szCs w:val="18"/>
              </w:rPr>
            </w:pPr>
          </w:p>
        </w:tc>
        <w:tc>
          <w:tcPr>
            <w:tcW w:w="857" w:type="dxa"/>
            <w:shd w:val="clear" w:color="auto" w:fill="C6EFCE"/>
            <w:noWrap/>
          </w:tcPr>
          <w:p w14:paraId="5FD22200" w14:textId="77777777" w:rsidR="00C45D59" w:rsidRDefault="00C45D59" w:rsidP="00892E7E">
            <w:pPr>
              <w:spacing w:line="240" w:lineRule="auto"/>
              <w:rPr>
                <w:rFonts w:ascii="Times New Roman" w:eastAsia="Times New Roman" w:hAnsi="Times New Roman" w:cs="Times New Roman"/>
                <w:noProof/>
                <w:color w:val="006100"/>
                <w:sz w:val="18"/>
                <w:szCs w:val="18"/>
              </w:rPr>
            </w:pPr>
          </w:p>
        </w:tc>
        <w:tc>
          <w:tcPr>
            <w:tcW w:w="844" w:type="dxa"/>
            <w:shd w:val="clear" w:color="auto" w:fill="C6EFCE"/>
            <w:noWrap/>
          </w:tcPr>
          <w:p w14:paraId="1B6F34AA" w14:textId="77777777" w:rsidR="00C45D59" w:rsidRDefault="00C45D59" w:rsidP="00892E7E">
            <w:pPr>
              <w:spacing w:line="240" w:lineRule="auto"/>
              <w:rPr>
                <w:rFonts w:ascii="Times New Roman" w:eastAsia="Times New Roman" w:hAnsi="Times New Roman" w:cs="Times New Roman"/>
                <w:noProof/>
                <w:color w:val="006100"/>
                <w:sz w:val="18"/>
                <w:szCs w:val="18"/>
              </w:rPr>
            </w:pPr>
          </w:p>
        </w:tc>
        <w:tc>
          <w:tcPr>
            <w:tcW w:w="846" w:type="dxa"/>
            <w:shd w:val="clear" w:color="auto" w:fill="C6EFCE"/>
            <w:noWrap/>
          </w:tcPr>
          <w:p w14:paraId="14442F5C" w14:textId="77777777" w:rsidR="00C45D59" w:rsidRDefault="009B0962" w:rsidP="00892E7E">
            <w:pPr>
              <w:pStyle w:val="P68B1DB1-Normal12"/>
              <w:spacing w:line="240" w:lineRule="auto"/>
              <w:rPr>
                <w:rFonts w:eastAsia="Times New Roman"/>
                <w:noProof/>
              </w:rPr>
            </w:pPr>
            <w:r>
              <w:rPr>
                <w:noProof/>
              </w:rPr>
              <w:t>Î4</w:t>
            </w:r>
          </w:p>
        </w:tc>
        <w:tc>
          <w:tcPr>
            <w:tcW w:w="713" w:type="dxa"/>
            <w:shd w:val="clear" w:color="auto" w:fill="C6EFCE"/>
            <w:noWrap/>
          </w:tcPr>
          <w:p w14:paraId="16D9887C" w14:textId="77777777" w:rsidR="00C45D59" w:rsidRDefault="009B0962" w:rsidP="00892E7E">
            <w:pPr>
              <w:pStyle w:val="P68B1DB1-Normal12"/>
              <w:spacing w:line="240" w:lineRule="auto"/>
              <w:rPr>
                <w:noProof/>
              </w:rPr>
            </w:pPr>
            <w:r>
              <w:rPr>
                <w:noProof/>
              </w:rPr>
              <w:t>2024</w:t>
            </w:r>
          </w:p>
        </w:tc>
        <w:tc>
          <w:tcPr>
            <w:tcW w:w="3402" w:type="dxa"/>
            <w:shd w:val="clear" w:color="auto" w:fill="C6EFCE"/>
            <w:noWrap/>
          </w:tcPr>
          <w:p w14:paraId="3255A908" w14:textId="77777777" w:rsidR="00C45D59" w:rsidRDefault="009B0962" w:rsidP="00892E7E">
            <w:pPr>
              <w:pStyle w:val="P68B1DB1-Normal12"/>
              <w:spacing w:after="0"/>
              <w:rPr>
                <w:noProof/>
              </w:rPr>
            </w:pPr>
            <w:r>
              <w:rPr>
                <w:noProof/>
              </w:rPr>
              <w:t xml:space="preserve">Intrarea în vigoare a actelor juridice pentru o nouă societate unificată de infrastructură feroviară în condiții de concurență deplină („Căile Ferate Elene”), cu excepția actului juridic pentru adoptarea Regulamentului general privind traficul (RTM) și a actelor juridice care depind de RTM. </w:t>
            </w:r>
          </w:p>
          <w:p w14:paraId="1B426349" w14:textId="77777777" w:rsidR="00C45D59" w:rsidRDefault="00C45D59" w:rsidP="00892E7E">
            <w:pPr>
              <w:spacing w:after="0"/>
              <w:rPr>
                <w:rFonts w:ascii="Times New Roman" w:hAnsi="Times New Roman" w:cs="Times New Roman"/>
                <w:noProof/>
                <w:color w:val="006100"/>
                <w:sz w:val="18"/>
                <w:szCs w:val="18"/>
              </w:rPr>
            </w:pPr>
          </w:p>
          <w:p w14:paraId="5CE7B704" w14:textId="77777777" w:rsidR="00C45D59" w:rsidRDefault="009B0962" w:rsidP="00892E7E">
            <w:pPr>
              <w:pStyle w:val="P68B1DB1-Normal12"/>
              <w:spacing w:after="0"/>
              <w:rPr>
                <w:rFonts w:eastAsiaTheme="minorEastAsia"/>
                <w:noProof/>
              </w:rPr>
            </w:pPr>
            <w:r>
              <w:rPr>
                <w:noProof/>
              </w:rPr>
              <w:t>Noua companie își va asuma responsabilitatea pentru aspectele legate de siguranța feroviară a infrastructurii și va colabora cu întreprinderile feroviare la punerea în aplicare a măsurilor de control al riscurilor.</w:t>
            </w:r>
          </w:p>
        </w:tc>
      </w:tr>
      <w:tr w:rsidR="00C45D59" w14:paraId="23B7C4DB" w14:textId="77777777" w:rsidTr="00892E7E">
        <w:trPr>
          <w:trHeight w:val="313"/>
        </w:trPr>
        <w:tc>
          <w:tcPr>
            <w:tcW w:w="591" w:type="dxa"/>
            <w:shd w:val="clear" w:color="auto" w:fill="C6EFCE"/>
            <w:noWrap/>
          </w:tcPr>
          <w:p w14:paraId="7F3B3531" w14:textId="77777777" w:rsidR="00C45D59" w:rsidRDefault="009B0962" w:rsidP="00892E7E">
            <w:pPr>
              <w:pStyle w:val="P68B1DB1-Normal12"/>
              <w:spacing w:line="240" w:lineRule="auto"/>
              <w:rPr>
                <w:rFonts w:eastAsia="Times New Roman"/>
                <w:noProof/>
              </w:rPr>
            </w:pPr>
            <w:r>
              <w:rPr>
                <w:noProof/>
              </w:rPr>
              <w:t>268b</w:t>
            </w:r>
          </w:p>
        </w:tc>
        <w:tc>
          <w:tcPr>
            <w:tcW w:w="2665" w:type="dxa"/>
            <w:shd w:val="clear" w:color="auto" w:fill="C6EFCE"/>
            <w:noWrap/>
          </w:tcPr>
          <w:p w14:paraId="1D74A66B" w14:textId="77777777" w:rsidR="00C45D59" w:rsidRDefault="009B0962" w:rsidP="00892E7E">
            <w:pPr>
              <w:pStyle w:val="P68B1DB1-Normal12"/>
              <w:spacing w:after="0" w:line="240" w:lineRule="auto"/>
              <w:rPr>
                <w:rFonts w:eastAsia="Times New Roman"/>
                <w:noProof/>
              </w:rPr>
            </w:pPr>
            <w:r>
              <w:rPr>
                <w:noProof/>
              </w:rPr>
              <w:t>17-4.6. Modernizarea și îmbunătățirea rezilienței sectoarelor economice cheie – 16982_Reforma organizațională în sectorul feroviar</w:t>
            </w:r>
          </w:p>
          <w:p w14:paraId="1F21160A" w14:textId="77777777" w:rsidR="00C45D59" w:rsidRDefault="00C45D59" w:rsidP="00892E7E">
            <w:pPr>
              <w:spacing w:line="240" w:lineRule="auto"/>
              <w:rPr>
                <w:rFonts w:ascii="Times New Roman" w:eastAsia="Times New Roman" w:hAnsi="Times New Roman" w:cs="Times New Roman"/>
                <w:noProof/>
                <w:color w:val="006100"/>
                <w:sz w:val="18"/>
                <w:szCs w:val="18"/>
              </w:rPr>
            </w:pPr>
          </w:p>
        </w:tc>
        <w:tc>
          <w:tcPr>
            <w:tcW w:w="1134" w:type="dxa"/>
            <w:shd w:val="clear" w:color="auto" w:fill="C6EFCE"/>
            <w:noWrap/>
          </w:tcPr>
          <w:p w14:paraId="535735D4" w14:textId="77777777" w:rsidR="00C45D59" w:rsidRDefault="009B0962" w:rsidP="00892E7E">
            <w:pPr>
              <w:pStyle w:val="P68B1DB1-Normal12"/>
              <w:spacing w:line="240" w:lineRule="auto"/>
              <w:rPr>
                <w:rFonts w:eastAsia="Times New Roman"/>
                <w:noProof/>
              </w:rPr>
            </w:pPr>
            <w:r>
              <w:rPr>
                <w:noProof/>
              </w:rPr>
              <w:t>Etapă</w:t>
            </w:r>
          </w:p>
        </w:tc>
        <w:tc>
          <w:tcPr>
            <w:tcW w:w="1842" w:type="dxa"/>
            <w:shd w:val="clear" w:color="auto" w:fill="C6EFCE"/>
            <w:noWrap/>
          </w:tcPr>
          <w:p w14:paraId="53B8E8B2" w14:textId="77777777" w:rsidR="00C45D59" w:rsidRDefault="009B0962" w:rsidP="00892E7E">
            <w:pPr>
              <w:pStyle w:val="P68B1DB1-Normal12"/>
              <w:spacing w:line="240" w:lineRule="auto"/>
              <w:rPr>
                <w:noProof/>
              </w:rPr>
            </w:pPr>
            <w:r>
              <w:rPr>
                <w:noProof/>
              </w:rPr>
              <w:t>Programul multianual de investiții, noul acord contractual și directorul tehnic</w:t>
            </w:r>
          </w:p>
          <w:p w14:paraId="77C3D6F8" w14:textId="77777777" w:rsidR="00C45D59" w:rsidRDefault="00C45D59" w:rsidP="00892E7E">
            <w:pPr>
              <w:spacing w:line="240" w:lineRule="auto"/>
              <w:rPr>
                <w:rFonts w:ascii="Times New Roman" w:eastAsia="Times New Roman" w:hAnsi="Times New Roman" w:cs="Times New Roman"/>
                <w:noProof/>
                <w:color w:val="006100"/>
                <w:sz w:val="18"/>
                <w:szCs w:val="18"/>
              </w:rPr>
            </w:pPr>
          </w:p>
        </w:tc>
        <w:tc>
          <w:tcPr>
            <w:tcW w:w="2127" w:type="dxa"/>
            <w:shd w:val="clear" w:color="auto" w:fill="C6EFCE"/>
            <w:noWrap/>
          </w:tcPr>
          <w:p w14:paraId="2F1ACDEC" w14:textId="32732580" w:rsidR="00C45D59" w:rsidRDefault="009B0962" w:rsidP="00892E7E">
            <w:pPr>
              <w:pStyle w:val="P68B1DB1-Normal12"/>
              <w:spacing w:line="240" w:lineRule="auto"/>
              <w:rPr>
                <w:noProof/>
              </w:rPr>
            </w:pPr>
            <w:r>
              <w:rPr>
                <w:noProof/>
              </w:rPr>
              <w:t>Intrarea în vigoare a unui nou registru de semnale.</w:t>
            </w:r>
          </w:p>
          <w:p w14:paraId="325AAAE1" w14:textId="77777777" w:rsidR="00C45D59" w:rsidRDefault="009B0962" w:rsidP="00892E7E">
            <w:pPr>
              <w:pStyle w:val="P68B1DB1-Normal12"/>
              <w:spacing w:line="240" w:lineRule="auto"/>
              <w:rPr>
                <w:noProof/>
              </w:rPr>
            </w:pPr>
            <w:r>
              <w:rPr>
                <w:noProof/>
              </w:rPr>
              <w:t>A fost adoptat programul multianual de investiții.</w:t>
            </w:r>
          </w:p>
          <w:p w14:paraId="5B5A52E7" w14:textId="77777777" w:rsidR="00C45D59" w:rsidRDefault="009B0962" w:rsidP="00892E7E">
            <w:pPr>
              <w:pStyle w:val="P68B1DB1-Normal12"/>
              <w:spacing w:line="240" w:lineRule="auto"/>
              <w:rPr>
                <w:noProof/>
              </w:rPr>
            </w:pPr>
            <w:r>
              <w:rPr>
                <w:noProof/>
              </w:rPr>
              <w:t>Semnarea unui nou acord contractual.</w:t>
            </w:r>
          </w:p>
          <w:p w14:paraId="332B479A" w14:textId="77777777" w:rsidR="00C45D59" w:rsidRDefault="009B0962" w:rsidP="00892E7E">
            <w:pPr>
              <w:pStyle w:val="P68B1DB1-Normal12"/>
              <w:spacing w:line="240" w:lineRule="auto"/>
              <w:rPr>
                <w:rFonts w:eastAsia="Times New Roman"/>
                <w:noProof/>
              </w:rPr>
            </w:pPr>
            <w:r>
              <w:rPr>
                <w:noProof/>
              </w:rPr>
              <w:t>Este numit un director tehnic.</w:t>
            </w:r>
          </w:p>
        </w:tc>
        <w:tc>
          <w:tcPr>
            <w:tcW w:w="992" w:type="dxa"/>
            <w:shd w:val="clear" w:color="auto" w:fill="C6EFCE"/>
            <w:noWrap/>
          </w:tcPr>
          <w:p w14:paraId="1E66B710" w14:textId="77777777" w:rsidR="00C45D59" w:rsidRDefault="00C45D59" w:rsidP="00892E7E">
            <w:pPr>
              <w:spacing w:line="240" w:lineRule="auto"/>
              <w:rPr>
                <w:rFonts w:ascii="Times New Roman" w:eastAsia="Times New Roman" w:hAnsi="Times New Roman" w:cs="Times New Roman"/>
                <w:noProof/>
                <w:color w:val="006100"/>
                <w:sz w:val="18"/>
                <w:szCs w:val="18"/>
              </w:rPr>
            </w:pPr>
          </w:p>
        </w:tc>
        <w:tc>
          <w:tcPr>
            <w:tcW w:w="857" w:type="dxa"/>
            <w:shd w:val="clear" w:color="auto" w:fill="C6EFCE"/>
            <w:noWrap/>
          </w:tcPr>
          <w:p w14:paraId="6589ABAA" w14:textId="77777777" w:rsidR="00C45D59" w:rsidRDefault="00C45D59" w:rsidP="00892E7E">
            <w:pPr>
              <w:spacing w:line="240" w:lineRule="auto"/>
              <w:rPr>
                <w:rFonts w:ascii="Times New Roman" w:eastAsia="Times New Roman" w:hAnsi="Times New Roman" w:cs="Times New Roman"/>
                <w:noProof/>
                <w:color w:val="006100"/>
                <w:sz w:val="18"/>
                <w:szCs w:val="18"/>
              </w:rPr>
            </w:pPr>
          </w:p>
        </w:tc>
        <w:tc>
          <w:tcPr>
            <w:tcW w:w="844" w:type="dxa"/>
            <w:shd w:val="clear" w:color="auto" w:fill="C6EFCE"/>
            <w:noWrap/>
          </w:tcPr>
          <w:p w14:paraId="6D8B8434" w14:textId="77777777" w:rsidR="00C45D59" w:rsidRDefault="00C45D59" w:rsidP="00892E7E">
            <w:pPr>
              <w:spacing w:line="240" w:lineRule="auto"/>
              <w:rPr>
                <w:rFonts w:ascii="Times New Roman" w:eastAsia="Times New Roman" w:hAnsi="Times New Roman" w:cs="Times New Roman"/>
                <w:noProof/>
                <w:color w:val="006100"/>
                <w:sz w:val="18"/>
                <w:szCs w:val="18"/>
              </w:rPr>
            </w:pPr>
          </w:p>
        </w:tc>
        <w:tc>
          <w:tcPr>
            <w:tcW w:w="846" w:type="dxa"/>
            <w:shd w:val="clear" w:color="auto" w:fill="C6EFCE"/>
            <w:noWrap/>
          </w:tcPr>
          <w:p w14:paraId="1C5BAADD" w14:textId="77777777" w:rsidR="00C45D59" w:rsidRDefault="009B0962" w:rsidP="00892E7E">
            <w:pPr>
              <w:pStyle w:val="P68B1DB1-Normal12"/>
              <w:spacing w:line="240" w:lineRule="auto"/>
              <w:rPr>
                <w:rFonts w:eastAsia="Times New Roman"/>
                <w:noProof/>
              </w:rPr>
            </w:pPr>
            <w:r>
              <w:rPr>
                <w:noProof/>
              </w:rPr>
              <w:t>Î2</w:t>
            </w:r>
          </w:p>
        </w:tc>
        <w:tc>
          <w:tcPr>
            <w:tcW w:w="713" w:type="dxa"/>
            <w:shd w:val="clear" w:color="auto" w:fill="C6EFCE"/>
            <w:noWrap/>
          </w:tcPr>
          <w:p w14:paraId="03B6B063" w14:textId="77777777" w:rsidR="00C45D59" w:rsidRDefault="009B0962" w:rsidP="00892E7E">
            <w:pPr>
              <w:pStyle w:val="P68B1DB1-Normal12"/>
              <w:spacing w:line="240" w:lineRule="auto"/>
              <w:rPr>
                <w:rFonts w:eastAsia="Times New Roman"/>
                <w:noProof/>
              </w:rPr>
            </w:pPr>
            <w:r>
              <w:rPr>
                <w:noProof/>
              </w:rPr>
              <w:t>2025</w:t>
            </w:r>
          </w:p>
        </w:tc>
        <w:tc>
          <w:tcPr>
            <w:tcW w:w="3402" w:type="dxa"/>
            <w:shd w:val="clear" w:color="auto" w:fill="C6EFCE"/>
            <w:noWrap/>
          </w:tcPr>
          <w:p w14:paraId="25D48A37" w14:textId="46886946" w:rsidR="00C45D59" w:rsidRDefault="009B0962" w:rsidP="00892E7E">
            <w:pPr>
              <w:pStyle w:val="P68B1DB1-Normal12"/>
              <w:spacing w:line="240" w:lineRule="auto"/>
              <w:rPr>
                <w:rFonts w:eastAsia="Times New Roman"/>
                <w:noProof/>
              </w:rPr>
            </w:pPr>
            <w:r>
              <w:rPr>
                <w:noProof/>
              </w:rPr>
              <w:t>Intrarea în vigoare a carnetului de semnale necesar în temeiul deciziei ministeriale de adoptare a unor norme uniforme de circulație pentru rețeaua feroviară elenă. Adoptarea de către Consiliul de administrație al Căilor Ferate Elene a programului multianual cu investiții strategice preconizate și lucrări de întreținere; semnarea unui acord contractual, cu etape specifice și indicatori-cheie de performanță pentru finalizarea investițiilor în sisteme și infrastructuri de siguranță esențiale, pentru întreținerea periodică, pentru satisfacția clienților, pentru consolidarea calității recrutării și a guvernanței corporative a întreprinderii.</w:t>
            </w:r>
          </w:p>
          <w:p w14:paraId="65C723DD" w14:textId="77777777" w:rsidR="00C45D59" w:rsidRDefault="009B0962" w:rsidP="00892E7E">
            <w:pPr>
              <w:pStyle w:val="P68B1DB1-Normal27"/>
              <w:spacing w:after="0" w:line="240" w:lineRule="auto"/>
              <w:rPr>
                <w:noProof/>
              </w:rPr>
            </w:pPr>
            <w:r>
              <w:rPr>
                <w:noProof/>
              </w:rPr>
              <w:t>Numirea contractuală a unui director tehnic pentru a sprijini înființarea operațională a „Căilor Ferate Elene”.</w:t>
            </w:r>
          </w:p>
        </w:tc>
      </w:tr>
      <w:tr w:rsidR="00C45D59" w14:paraId="51849B2F" w14:textId="77777777" w:rsidTr="00892E7E">
        <w:trPr>
          <w:trHeight w:val="1185"/>
        </w:trPr>
        <w:tc>
          <w:tcPr>
            <w:tcW w:w="591" w:type="dxa"/>
            <w:shd w:val="clear" w:color="auto" w:fill="C6EFCE"/>
            <w:noWrap/>
          </w:tcPr>
          <w:p w14:paraId="5C07CACA" w14:textId="77777777" w:rsidR="00C45D59" w:rsidRDefault="009B0962" w:rsidP="00892E7E">
            <w:pPr>
              <w:pStyle w:val="P68B1DB1-Normal12"/>
              <w:spacing w:line="240" w:lineRule="auto"/>
              <w:rPr>
                <w:rFonts w:eastAsia="Times New Roman"/>
                <w:noProof/>
              </w:rPr>
            </w:pPr>
            <w:r>
              <w:rPr>
                <w:noProof/>
              </w:rPr>
              <w:t>268c</w:t>
            </w:r>
          </w:p>
        </w:tc>
        <w:tc>
          <w:tcPr>
            <w:tcW w:w="2665" w:type="dxa"/>
            <w:shd w:val="clear" w:color="auto" w:fill="C6EFCE"/>
            <w:noWrap/>
          </w:tcPr>
          <w:p w14:paraId="31FBA14B" w14:textId="77777777" w:rsidR="00C45D59" w:rsidRDefault="009B0962" w:rsidP="00892E7E">
            <w:pPr>
              <w:pStyle w:val="P68B1DB1-Normal12"/>
              <w:spacing w:after="0" w:line="240" w:lineRule="auto"/>
              <w:rPr>
                <w:rFonts w:eastAsia="Times New Roman"/>
                <w:noProof/>
              </w:rPr>
            </w:pPr>
            <w:r>
              <w:rPr>
                <w:noProof/>
              </w:rPr>
              <w:t>17-4.6. Modernizarea și îmbunătățirea rezilienței sectoarelor economice cheie – 16982_Reforma organizațională în sectorul feroviar</w:t>
            </w:r>
          </w:p>
          <w:p w14:paraId="1D678208" w14:textId="77777777" w:rsidR="00C45D59" w:rsidRDefault="00C45D59" w:rsidP="00892E7E">
            <w:pPr>
              <w:spacing w:line="240" w:lineRule="auto"/>
              <w:rPr>
                <w:rFonts w:ascii="Times New Roman" w:eastAsia="Times New Roman" w:hAnsi="Times New Roman" w:cs="Times New Roman"/>
                <w:noProof/>
                <w:color w:val="006100"/>
                <w:sz w:val="18"/>
                <w:szCs w:val="18"/>
              </w:rPr>
            </w:pPr>
          </w:p>
        </w:tc>
        <w:tc>
          <w:tcPr>
            <w:tcW w:w="1134" w:type="dxa"/>
            <w:shd w:val="clear" w:color="auto" w:fill="C6EFCE"/>
            <w:noWrap/>
          </w:tcPr>
          <w:p w14:paraId="26F420D5" w14:textId="77777777" w:rsidR="00C45D59" w:rsidRDefault="009B0962" w:rsidP="00892E7E">
            <w:pPr>
              <w:pStyle w:val="P68B1DB1-Normal12"/>
              <w:spacing w:line="240" w:lineRule="auto"/>
              <w:rPr>
                <w:rFonts w:eastAsia="Times New Roman"/>
                <w:noProof/>
              </w:rPr>
            </w:pPr>
            <w:r>
              <w:rPr>
                <w:noProof/>
              </w:rPr>
              <w:t>Etapă</w:t>
            </w:r>
          </w:p>
        </w:tc>
        <w:tc>
          <w:tcPr>
            <w:tcW w:w="1842" w:type="dxa"/>
            <w:shd w:val="clear" w:color="auto" w:fill="C6EFCE"/>
            <w:noWrap/>
          </w:tcPr>
          <w:p w14:paraId="7E9C607E" w14:textId="6BB7F603" w:rsidR="00C45D59" w:rsidRDefault="009B0962" w:rsidP="00892E7E">
            <w:pPr>
              <w:pStyle w:val="P68B1DB1-Normal23"/>
              <w:spacing w:line="240" w:lineRule="auto"/>
              <w:rPr>
                <w:noProof/>
              </w:rPr>
            </w:pPr>
            <w:r>
              <w:rPr>
                <w:noProof/>
              </w:rPr>
              <w:t>Noua structură organizațională</w:t>
            </w:r>
          </w:p>
        </w:tc>
        <w:tc>
          <w:tcPr>
            <w:tcW w:w="2127" w:type="dxa"/>
            <w:shd w:val="clear" w:color="auto" w:fill="C6EFCE"/>
            <w:noWrap/>
          </w:tcPr>
          <w:p w14:paraId="3BB218CA" w14:textId="1343F102" w:rsidR="00C45D59" w:rsidRDefault="009B0962" w:rsidP="00892E7E">
            <w:pPr>
              <w:pStyle w:val="P68B1DB1-Normal12"/>
              <w:spacing w:after="0" w:line="240" w:lineRule="auto"/>
              <w:rPr>
                <w:noProof/>
              </w:rPr>
            </w:pPr>
            <w:r>
              <w:rPr>
                <w:noProof/>
              </w:rPr>
              <w:t>Se aprobă noua structură organizatorică.</w:t>
            </w:r>
          </w:p>
        </w:tc>
        <w:tc>
          <w:tcPr>
            <w:tcW w:w="992" w:type="dxa"/>
            <w:shd w:val="clear" w:color="auto" w:fill="C6EFCE"/>
            <w:noWrap/>
          </w:tcPr>
          <w:p w14:paraId="3A6DE310" w14:textId="77777777" w:rsidR="00C45D59" w:rsidRDefault="00C45D59" w:rsidP="00892E7E">
            <w:pPr>
              <w:spacing w:line="240" w:lineRule="auto"/>
              <w:rPr>
                <w:rFonts w:ascii="Times New Roman" w:eastAsia="Times New Roman" w:hAnsi="Times New Roman" w:cs="Times New Roman"/>
                <w:noProof/>
                <w:color w:val="006100"/>
                <w:sz w:val="18"/>
                <w:szCs w:val="18"/>
              </w:rPr>
            </w:pPr>
          </w:p>
        </w:tc>
        <w:tc>
          <w:tcPr>
            <w:tcW w:w="857" w:type="dxa"/>
            <w:shd w:val="clear" w:color="auto" w:fill="C6EFCE"/>
            <w:noWrap/>
          </w:tcPr>
          <w:p w14:paraId="24ACA2F3" w14:textId="77777777" w:rsidR="00C45D59" w:rsidRDefault="00C45D59" w:rsidP="00892E7E">
            <w:pPr>
              <w:spacing w:line="240" w:lineRule="auto"/>
              <w:rPr>
                <w:rFonts w:ascii="Times New Roman" w:eastAsia="Times New Roman" w:hAnsi="Times New Roman" w:cs="Times New Roman"/>
                <w:noProof/>
                <w:color w:val="006100"/>
                <w:sz w:val="18"/>
                <w:szCs w:val="18"/>
              </w:rPr>
            </w:pPr>
          </w:p>
        </w:tc>
        <w:tc>
          <w:tcPr>
            <w:tcW w:w="844" w:type="dxa"/>
            <w:shd w:val="clear" w:color="auto" w:fill="C6EFCE"/>
            <w:noWrap/>
          </w:tcPr>
          <w:p w14:paraId="0DF3F85B" w14:textId="77777777" w:rsidR="00C45D59" w:rsidRDefault="00C45D59" w:rsidP="00892E7E">
            <w:pPr>
              <w:spacing w:line="240" w:lineRule="auto"/>
              <w:rPr>
                <w:rFonts w:ascii="Times New Roman" w:eastAsia="Times New Roman" w:hAnsi="Times New Roman" w:cs="Times New Roman"/>
                <w:noProof/>
                <w:color w:val="006100"/>
                <w:sz w:val="18"/>
                <w:szCs w:val="18"/>
              </w:rPr>
            </w:pPr>
          </w:p>
        </w:tc>
        <w:tc>
          <w:tcPr>
            <w:tcW w:w="846" w:type="dxa"/>
            <w:shd w:val="clear" w:color="auto" w:fill="C6EFCE"/>
            <w:noWrap/>
          </w:tcPr>
          <w:p w14:paraId="638B77C0" w14:textId="77777777" w:rsidR="00C45D59" w:rsidRDefault="009B0962" w:rsidP="00892E7E">
            <w:pPr>
              <w:pStyle w:val="P68B1DB1-Normal12"/>
              <w:spacing w:line="240" w:lineRule="auto"/>
              <w:rPr>
                <w:rFonts w:eastAsia="Times New Roman"/>
                <w:noProof/>
              </w:rPr>
            </w:pPr>
            <w:r>
              <w:rPr>
                <w:noProof/>
              </w:rPr>
              <w:t>Î4</w:t>
            </w:r>
          </w:p>
        </w:tc>
        <w:tc>
          <w:tcPr>
            <w:tcW w:w="713" w:type="dxa"/>
            <w:shd w:val="clear" w:color="auto" w:fill="C6EFCE"/>
            <w:noWrap/>
          </w:tcPr>
          <w:p w14:paraId="787DDF88" w14:textId="77777777" w:rsidR="00C45D59" w:rsidRDefault="009B0962" w:rsidP="00892E7E">
            <w:pPr>
              <w:pStyle w:val="P68B1DB1-Normal12"/>
              <w:spacing w:line="240" w:lineRule="auto"/>
              <w:rPr>
                <w:rFonts w:eastAsia="Times New Roman"/>
                <w:noProof/>
              </w:rPr>
            </w:pPr>
            <w:r>
              <w:rPr>
                <w:noProof/>
              </w:rPr>
              <w:t>2025</w:t>
            </w:r>
          </w:p>
        </w:tc>
        <w:tc>
          <w:tcPr>
            <w:tcW w:w="3402" w:type="dxa"/>
            <w:shd w:val="clear" w:color="auto" w:fill="C6EFCE"/>
            <w:noWrap/>
          </w:tcPr>
          <w:p w14:paraId="2C07B8B2" w14:textId="45E137C5" w:rsidR="00C45D59" w:rsidRDefault="009B0962" w:rsidP="00892E7E">
            <w:pPr>
              <w:pStyle w:val="P68B1DB1-Normal27"/>
              <w:spacing w:after="0" w:line="240" w:lineRule="auto"/>
              <w:rPr>
                <w:noProof/>
              </w:rPr>
            </w:pPr>
            <w:r>
              <w:rPr>
                <w:noProof/>
              </w:rPr>
              <w:t xml:space="preserve">Aprobarea de către Consiliul de administrație al Căilor Ferate Elene a noii structuri organizaționale și a responsabilităților privind rolurile. </w:t>
            </w:r>
          </w:p>
          <w:p w14:paraId="40E3D8FB" w14:textId="563DBF46" w:rsidR="00C45D59" w:rsidRDefault="009B0962" w:rsidP="00892E7E">
            <w:pPr>
              <w:pStyle w:val="P68B1DB1-Normal27"/>
              <w:spacing w:after="0" w:line="240" w:lineRule="auto"/>
              <w:rPr>
                <w:noProof/>
              </w:rPr>
            </w:pPr>
            <w:r>
              <w:rPr>
                <w:noProof/>
              </w:rPr>
              <w:t>Alegerea noului consiliu de administrație al Căilor Ferate Elene.</w:t>
            </w:r>
          </w:p>
          <w:p w14:paraId="6A65769F" w14:textId="299656D5" w:rsidR="00C45D59" w:rsidRDefault="00C45D59" w:rsidP="00892E7E">
            <w:pPr>
              <w:spacing w:after="0" w:line="240" w:lineRule="auto"/>
              <w:rPr>
                <w:rFonts w:ascii="Times New Roman" w:eastAsiaTheme="minorEastAsia" w:hAnsi="Times New Roman" w:cs="Times New Roman"/>
                <w:noProof/>
                <w:color w:val="006100"/>
                <w:sz w:val="18"/>
                <w:szCs w:val="18"/>
              </w:rPr>
            </w:pPr>
          </w:p>
        </w:tc>
      </w:tr>
      <w:tr w:rsidR="00C45D59" w14:paraId="72BBE501" w14:textId="77777777" w:rsidTr="00892E7E">
        <w:trPr>
          <w:trHeight w:val="313"/>
        </w:trPr>
        <w:tc>
          <w:tcPr>
            <w:tcW w:w="591" w:type="dxa"/>
            <w:shd w:val="clear" w:color="auto" w:fill="C6EFCE"/>
            <w:noWrap/>
          </w:tcPr>
          <w:p w14:paraId="674249B7" w14:textId="77777777" w:rsidR="00C45D59" w:rsidRDefault="009B0962" w:rsidP="00892E7E">
            <w:pPr>
              <w:pStyle w:val="P68B1DB1-Normal12"/>
              <w:spacing w:after="0" w:line="240" w:lineRule="auto"/>
              <w:rPr>
                <w:rFonts w:eastAsia="Times New Roman"/>
                <w:noProof/>
              </w:rPr>
            </w:pPr>
            <w:r>
              <w:rPr>
                <w:noProof/>
              </w:rPr>
              <w:t>269</w:t>
            </w:r>
          </w:p>
        </w:tc>
        <w:tc>
          <w:tcPr>
            <w:tcW w:w="2665" w:type="dxa"/>
            <w:shd w:val="clear" w:color="auto" w:fill="C6EFCE"/>
            <w:noWrap/>
          </w:tcPr>
          <w:p w14:paraId="7512E40B" w14:textId="77777777" w:rsidR="00C45D59" w:rsidRDefault="009B0962" w:rsidP="00892E7E">
            <w:pPr>
              <w:pStyle w:val="P68B1DB1-Normal12"/>
              <w:spacing w:after="0" w:line="240" w:lineRule="auto"/>
              <w:rPr>
                <w:rFonts w:eastAsia="Times New Roman"/>
                <w:noProof/>
              </w:rPr>
            </w:pPr>
            <w:r>
              <w:rPr>
                <w:noProof/>
              </w:rPr>
              <w:t xml:space="preserve">17-4.6. Modernizarea și îmbunătățirea rezilienței sectoarelor economice cheie — </w:t>
            </w:r>
          </w:p>
          <w:p w14:paraId="70C36FC8" w14:textId="19DFC6DC" w:rsidR="00C45D59" w:rsidRDefault="009B0962" w:rsidP="00892E7E">
            <w:pPr>
              <w:pStyle w:val="P68B1DB1-Normal12"/>
              <w:spacing w:after="0" w:line="240" w:lineRule="auto"/>
              <w:rPr>
                <w:rFonts w:eastAsia="Times New Roman"/>
                <w:noProof/>
              </w:rPr>
            </w:pPr>
            <w:r>
              <w:rPr>
                <w:noProof/>
              </w:rPr>
              <w:t>16833_Modernizări ale aeroporturilor regionale – retragerea DAAD</w:t>
            </w:r>
          </w:p>
        </w:tc>
        <w:tc>
          <w:tcPr>
            <w:tcW w:w="1134" w:type="dxa"/>
            <w:shd w:val="clear" w:color="auto" w:fill="C6EFCE"/>
            <w:noWrap/>
          </w:tcPr>
          <w:p w14:paraId="14A43A2E" w14:textId="77777777" w:rsidR="00C45D59" w:rsidRDefault="009B0962" w:rsidP="00892E7E">
            <w:pPr>
              <w:pStyle w:val="P68B1DB1-Normal12"/>
              <w:spacing w:after="0" w:line="240" w:lineRule="auto"/>
              <w:rPr>
                <w:rFonts w:eastAsia="Times New Roman"/>
                <w:noProof/>
              </w:rPr>
            </w:pPr>
            <w:r>
              <w:rPr>
                <w:noProof/>
              </w:rPr>
              <w:t>Etapă</w:t>
            </w:r>
          </w:p>
        </w:tc>
        <w:tc>
          <w:tcPr>
            <w:tcW w:w="1842" w:type="dxa"/>
            <w:shd w:val="clear" w:color="auto" w:fill="C6EFCE"/>
            <w:noWrap/>
          </w:tcPr>
          <w:p w14:paraId="7B58A730" w14:textId="77777777" w:rsidR="00C45D59" w:rsidRDefault="009B0962" w:rsidP="00892E7E">
            <w:pPr>
              <w:pStyle w:val="P68B1DB1-Normal12"/>
              <w:spacing w:after="0" w:line="240" w:lineRule="auto"/>
              <w:rPr>
                <w:noProof/>
              </w:rPr>
            </w:pPr>
            <w:r>
              <w:rPr>
                <w:noProof/>
              </w:rPr>
              <w:t>Retragerea documentelor de acceptare a abaterilor și de acțiune (DAAD)</w:t>
            </w:r>
          </w:p>
        </w:tc>
        <w:tc>
          <w:tcPr>
            <w:tcW w:w="2127" w:type="dxa"/>
            <w:shd w:val="clear" w:color="auto" w:fill="C6EFCE"/>
            <w:noWrap/>
          </w:tcPr>
          <w:p w14:paraId="1312CA49" w14:textId="38DCA503" w:rsidR="00C45D59" w:rsidRDefault="009B0962" w:rsidP="00892E7E">
            <w:pPr>
              <w:pStyle w:val="P68B1DB1-Normal12"/>
              <w:spacing w:after="0" w:line="240" w:lineRule="auto"/>
              <w:rPr>
                <w:noProof/>
              </w:rPr>
            </w:pPr>
            <w:r>
              <w:rPr>
                <w:noProof/>
              </w:rPr>
              <w:t>Retragerea a 97 documente de acceptare și de acțiune a abaterilor (DAAD)</w:t>
            </w:r>
          </w:p>
        </w:tc>
        <w:tc>
          <w:tcPr>
            <w:tcW w:w="992" w:type="dxa"/>
            <w:shd w:val="clear" w:color="auto" w:fill="C6EFCE"/>
            <w:noWrap/>
          </w:tcPr>
          <w:p w14:paraId="52E71115" w14:textId="77777777" w:rsidR="00C45D59" w:rsidRDefault="00C45D59" w:rsidP="00892E7E">
            <w:pPr>
              <w:spacing w:after="0" w:line="240" w:lineRule="auto"/>
              <w:rPr>
                <w:rFonts w:ascii="Times New Roman" w:eastAsia="Times New Roman" w:hAnsi="Times New Roman" w:cs="Times New Roman"/>
                <w:noProof/>
                <w:color w:val="006100"/>
                <w:sz w:val="18"/>
                <w:szCs w:val="18"/>
              </w:rPr>
            </w:pPr>
          </w:p>
        </w:tc>
        <w:tc>
          <w:tcPr>
            <w:tcW w:w="857" w:type="dxa"/>
            <w:shd w:val="clear" w:color="auto" w:fill="C6EFCE"/>
            <w:noWrap/>
          </w:tcPr>
          <w:p w14:paraId="0587462C" w14:textId="77777777" w:rsidR="00C45D59" w:rsidRDefault="00C45D59" w:rsidP="00892E7E">
            <w:pPr>
              <w:spacing w:after="0" w:line="240" w:lineRule="auto"/>
              <w:rPr>
                <w:rFonts w:ascii="Times New Roman" w:eastAsia="Times New Roman" w:hAnsi="Times New Roman" w:cs="Times New Roman"/>
                <w:noProof/>
                <w:color w:val="006100"/>
                <w:sz w:val="18"/>
                <w:szCs w:val="18"/>
              </w:rPr>
            </w:pPr>
          </w:p>
        </w:tc>
        <w:tc>
          <w:tcPr>
            <w:tcW w:w="844" w:type="dxa"/>
            <w:shd w:val="clear" w:color="auto" w:fill="C6EFCE"/>
            <w:noWrap/>
          </w:tcPr>
          <w:p w14:paraId="319BBCE8" w14:textId="77777777" w:rsidR="00C45D59" w:rsidRDefault="00C45D59" w:rsidP="00892E7E">
            <w:pPr>
              <w:spacing w:after="0" w:line="240" w:lineRule="auto"/>
              <w:rPr>
                <w:rFonts w:ascii="Times New Roman" w:eastAsia="Times New Roman" w:hAnsi="Times New Roman" w:cs="Times New Roman"/>
                <w:noProof/>
                <w:color w:val="006100"/>
                <w:sz w:val="18"/>
                <w:szCs w:val="18"/>
              </w:rPr>
            </w:pPr>
          </w:p>
        </w:tc>
        <w:tc>
          <w:tcPr>
            <w:tcW w:w="846" w:type="dxa"/>
            <w:shd w:val="clear" w:color="auto" w:fill="C6EFCE"/>
            <w:noWrap/>
          </w:tcPr>
          <w:p w14:paraId="3EAAEF97" w14:textId="77777777" w:rsidR="00C45D59" w:rsidRDefault="009B0962" w:rsidP="00892E7E">
            <w:pPr>
              <w:pStyle w:val="P68B1DB1-Normal12"/>
              <w:spacing w:after="0" w:line="240" w:lineRule="auto"/>
              <w:rPr>
                <w:rFonts w:eastAsia="Times New Roman"/>
                <w:noProof/>
              </w:rPr>
            </w:pPr>
            <w:r>
              <w:rPr>
                <w:noProof/>
              </w:rPr>
              <w:t>Î4</w:t>
            </w:r>
          </w:p>
        </w:tc>
        <w:tc>
          <w:tcPr>
            <w:tcW w:w="713" w:type="dxa"/>
            <w:shd w:val="clear" w:color="auto" w:fill="C6EFCE"/>
            <w:noWrap/>
          </w:tcPr>
          <w:p w14:paraId="3EB64F7E" w14:textId="77777777" w:rsidR="00C45D59" w:rsidRDefault="009B0962" w:rsidP="00892E7E">
            <w:pPr>
              <w:pStyle w:val="P68B1DB1-Normal12"/>
              <w:spacing w:after="0" w:line="240" w:lineRule="auto"/>
              <w:rPr>
                <w:rFonts w:eastAsia="Times New Roman"/>
                <w:noProof/>
              </w:rPr>
            </w:pPr>
            <w:r>
              <w:rPr>
                <w:noProof/>
              </w:rPr>
              <w:t>2025</w:t>
            </w:r>
          </w:p>
        </w:tc>
        <w:tc>
          <w:tcPr>
            <w:tcW w:w="3402" w:type="dxa"/>
            <w:shd w:val="clear" w:color="auto" w:fill="C6EFCE"/>
            <w:noWrap/>
          </w:tcPr>
          <w:p w14:paraId="7314743B" w14:textId="03B33BAF" w:rsidR="00C45D59" w:rsidRDefault="009B0962" w:rsidP="00892E7E">
            <w:pPr>
              <w:pStyle w:val="P68B1DB1-Normal12"/>
              <w:spacing w:after="0" w:line="240" w:lineRule="auto"/>
              <w:rPr>
                <w:rFonts w:eastAsia="Times New Roman"/>
                <w:noProof/>
              </w:rPr>
            </w:pPr>
            <w:r>
              <w:rPr>
                <w:noProof/>
              </w:rPr>
              <w:t>Retragerea a 97 documente de acceptare și de acțiune a abaterilor (DAAD) din 13 aeroporturi prin decizii ale Autorității Aeronautice Civile Elene (HCAA).</w:t>
            </w:r>
          </w:p>
        </w:tc>
      </w:tr>
      <w:tr w:rsidR="00C45D59" w14:paraId="268B077F" w14:textId="77777777" w:rsidTr="00892E7E">
        <w:trPr>
          <w:trHeight w:val="796"/>
        </w:trPr>
        <w:tc>
          <w:tcPr>
            <w:tcW w:w="591" w:type="dxa"/>
            <w:shd w:val="clear" w:color="auto" w:fill="C6EFCE"/>
            <w:noWrap/>
          </w:tcPr>
          <w:p w14:paraId="4435C14B" w14:textId="77777777" w:rsidR="00C45D59" w:rsidRDefault="009B0962" w:rsidP="00892E7E">
            <w:pPr>
              <w:pStyle w:val="P68B1DB1-Normal12"/>
              <w:spacing w:after="0" w:line="240" w:lineRule="auto"/>
              <w:rPr>
                <w:rFonts w:eastAsia="Times New Roman"/>
                <w:noProof/>
              </w:rPr>
            </w:pPr>
            <w:r>
              <w:rPr>
                <w:noProof/>
              </w:rPr>
              <w:t>272</w:t>
            </w:r>
          </w:p>
        </w:tc>
        <w:tc>
          <w:tcPr>
            <w:tcW w:w="2665" w:type="dxa"/>
            <w:shd w:val="clear" w:color="auto" w:fill="C6EFCE"/>
            <w:noWrap/>
          </w:tcPr>
          <w:p w14:paraId="5D4536DB" w14:textId="77777777" w:rsidR="00C45D59" w:rsidRDefault="009B0962" w:rsidP="00892E7E">
            <w:pPr>
              <w:pStyle w:val="P68B1DB1-Normal12"/>
              <w:spacing w:after="0" w:line="240" w:lineRule="auto"/>
              <w:rPr>
                <w:rFonts w:eastAsia="Times New Roman"/>
                <w:noProof/>
              </w:rPr>
            </w:pPr>
            <w:r>
              <w:rPr>
                <w:noProof/>
              </w:rPr>
              <w:t>17-4.6. Modernizarea și îmbunătățirea rezilienței sectoarelor economice esențiale – 16949_Poduri inteligente</w:t>
            </w:r>
          </w:p>
        </w:tc>
        <w:tc>
          <w:tcPr>
            <w:tcW w:w="1134" w:type="dxa"/>
            <w:shd w:val="clear" w:color="auto" w:fill="C6EFCE"/>
            <w:noWrap/>
          </w:tcPr>
          <w:p w14:paraId="43565CE1" w14:textId="77777777" w:rsidR="00C45D59" w:rsidRDefault="009B0962" w:rsidP="00892E7E">
            <w:pPr>
              <w:pStyle w:val="P68B1DB1-Normal12"/>
              <w:spacing w:after="0" w:line="240" w:lineRule="auto"/>
              <w:rPr>
                <w:rFonts w:eastAsia="Times New Roman"/>
                <w:noProof/>
              </w:rPr>
            </w:pPr>
            <w:r>
              <w:rPr>
                <w:noProof/>
              </w:rPr>
              <w:t>Etapă</w:t>
            </w:r>
          </w:p>
        </w:tc>
        <w:tc>
          <w:tcPr>
            <w:tcW w:w="1842" w:type="dxa"/>
            <w:shd w:val="clear" w:color="auto" w:fill="C6EFCE"/>
            <w:noWrap/>
          </w:tcPr>
          <w:p w14:paraId="6335FE1A" w14:textId="0E056904" w:rsidR="00C45D59" w:rsidRDefault="009B0962" w:rsidP="00892E7E">
            <w:pPr>
              <w:pStyle w:val="P68B1DB1-Normal12"/>
              <w:spacing w:after="0" w:line="240" w:lineRule="auto"/>
              <w:rPr>
                <w:rFonts w:eastAsia="Times New Roman"/>
                <w:noProof/>
              </w:rPr>
            </w:pPr>
            <w:r>
              <w:rPr>
                <w:noProof/>
              </w:rPr>
              <w:t>Instalare de echipamente pentru poduri inteligente</w:t>
            </w:r>
          </w:p>
        </w:tc>
        <w:tc>
          <w:tcPr>
            <w:tcW w:w="2127" w:type="dxa"/>
            <w:shd w:val="clear" w:color="auto" w:fill="C6EFCE"/>
            <w:noWrap/>
          </w:tcPr>
          <w:p w14:paraId="29620789" w14:textId="009A7A06" w:rsidR="00C45D59" w:rsidRDefault="009B0962" w:rsidP="00892E7E">
            <w:pPr>
              <w:pStyle w:val="P68B1DB1-Normal12"/>
              <w:spacing w:after="0" w:line="240" w:lineRule="auto"/>
              <w:rPr>
                <w:noProof/>
              </w:rPr>
            </w:pPr>
            <w:r>
              <w:rPr>
                <w:noProof/>
              </w:rPr>
              <w:t>Instalare de echipamente pentru poduri inteligente</w:t>
            </w:r>
          </w:p>
        </w:tc>
        <w:tc>
          <w:tcPr>
            <w:tcW w:w="992" w:type="dxa"/>
            <w:shd w:val="clear" w:color="auto" w:fill="C6EFCE"/>
            <w:noWrap/>
          </w:tcPr>
          <w:p w14:paraId="30C7CF50" w14:textId="77777777" w:rsidR="00C45D59" w:rsidRDefault="00C45D59" w:rsidP="00892E7E">
            <w:pPr>
              <w:spacing w:after="0" w:line="240" w:lineRule="auto"/>
              <w:rPr>
                <w:rFonts w:ascii="Times New Roman" w:eastAsia="Times New Roman" w:hAnsi="Times New Roman" w:cs="Times New Roman"/>
                <w:noProof/>
                <w:color w:val="006100"/>
                <w:sz w:val="18"/>
                <w:szCs w:val="18"/>
              </w:rPr>
            </w:pPr>
          </w:p>
        </w:tc>
        <w:tc>
          <w:tcPr>
            <w:tcW w:w="857" w:type="dxa"/>
            <w:shd w:val="clear" w:color="auto" w:fill="C6EFCE"/>
            <w:noWrap/>
          </w:tcPr>
          <w:p w14:paraId="7C6900E8" w14:textId="77777777" w:rsidR="00C45D59" w:rsidRDefault="00C45D59" w:rsidP="00892E7E">
            <w:pPr>
              <w:spacing w:after="0" w:line="240" w:lineRule="auto"/>
              <w:rPr>
                <w:rFonts w:ascii="Times New Roman" w:eastAsia="Times New Roman" w:hAnsi="Times New Roman" w:cs="Times New Roman"/>
                <w:noProof/>
                <w:color w:val="006100"/>
                <w:sz w:val="18"/>
                <w:szCs w:val="18"/>
              </w:rPr>
            </w:pPr>
          </w:p>
        </w:tc>
        <w:tc>
          <w:tcPr>
            <w:tcW w:w="844" w:type="dxa"/>
            <w:shd w:val="clear" w:color="auto" w:fill="C6EFCE"/>
            <w:noWrap/>
          </w:tcPr>
          <w:p w14:paraId="6354C41B" w14:textId="77777777" w:rsidR="00C45D59" w:rsidRDefault="00C45D59" w:rsidP="00892E7E">
            <w:pPr>
              <w:spacing w:after="0" w:line="240" w:lineRule="auto"/>
              <w:rPr>
                <w:rFonts w:ascii="Times New Roman" w:eastAsia="Times New Roman" w:hAnsi="Times New Roman" w:cs="Times New Roman"/>
                <w:noProof/>
                <w:color w:val="006100"/>
                <w:sz w:val="18"/>
                <w:szCs w:val="18"/>
              </w:rPr>
            </w:pPr>
          </w:p>
        </w:tc>
        <w:tc>
          <w:tcPr>
            <w:tcW w:w="846" w:type="dxa"/>
            <w:shd w:val="clear" w:color="auto" w:fill="C6EFCE"/>
            <w:noWrap/>
          </w:tcPr>
          <w:p w14:paraId="45F43B84" w14:textId="77777777" w:rsidR="00C45D59" w:rsidRDefault="009B0962" w:rsidP="00892E7E">
            <w:pPr>
              <w:pStyle w:val="P68B1DB1-Normal12"/>
              <w:spacing w:after="0" w:line="240" w:lineRule="auto"/>
              <w:rPr>
                <w:rFonts w:eastAsia="Times New Roman"/>
                <w:noProof/>
              </w:rPr>
            </w:pPr>
            <w:r>
              <w:rPr>
                <w:noProof/>
              </w:rPr>
              <w:t>Î4</w:t>
            </w:r>
          </w:p>
        </w:tc>
        <w:tc>
          <w:tcPr>
            <w:tcW w:w="713" w:type="dxa"/>
            <w:shd w:val="clear" w:color="auto" w:fill="C6EFCE"/>
            <w:noWrap/>
          </w:tcPr>
          <w:p w14:paraId="459C0C85" w14:textId="77777777" w:rsidR="00C45D59" w:rsidRDefault="009B0962" w:rsidP="00892E7E">
            <w:pPr>
              <w:pStyle w:val="P68B1DB1-Normal12"/>
              <w:spacing w:after="0" w:line="240" w:lineRule="auto"/>
              <w:rPr>
                <w:rFonts w:eastAsia="Times New Roman"/>
                <w:noProof/>
              </w:rPr>
            </w:pPr>
            <w:r>
              <w:rPr>
                <w:noProof/>
              </w:rPr>
              <w:t>2025</w:t>
            </w:r>
          </w:p>
        </w:tc>
        <w:tc>
          <w:tcPr>
            <w:tcW w:w="3402" w:type="dxa"/>
            <w:shd w:val="clear" w:color="auto" w:fill="C6EFCE"/>
            <w:noWrap/>
          </w:tcPr>
          <w:p w14:paraId="25ABF821" w14:textId="77777777" w:rsidR="00C45D59" w:rsidRDefault="009B0962" w:rsidP="00892E7E">
            <w:pPr>
              <w:pStyle w:val="P68B1DB1-Normal12"/>
              <w:spacing w:after="0" w:line="240" w:lineRule="auto"/>
              <w:rPr>
                <w:noProof/>
              </w:rPr>
            </w:pPr>
            <w:r>
              <w:rPr>
                <w:noProof/>
              </w:rPr>
              <w:t>Instalarea de sisteme de monitorizare a stării de sănătate în timp real (RTSHM) pe poduri cu:</w:t>
            </w:r>
          </w:p>
          <w:p w14:paraId="515ACF25" w14:textId="3499F8C1" w:rsidR="00C45D59" w:rsidRDefault="009B0962" w:rsidP="00892E7E">
            <w:pPr>
              <w:pStyle w:val="P68B1DB1-Normal12"/>
              <w:spacing w:after="0" w:line="240" w:lineRule="auto"/>
              <w:rPr>
                <w:noProof/>
              </w:rPr>
            </w:pPr>
            <w:r>
              <w:rPr>
                <w:noProof/>
              </w:rPr>
              <w:t xml:space="preserve">(I) Senzori de deformare din fibre optice și alți senzori de monitorizare structurală pe 271 de poduri; </w:t>
            </w:r>
          </w:p>
          <w:p w14:paraId="0E9934CB" w14:textId="4FE8C664" w:rsidR="00C45D59" w:rsidRDefault="009B0962" w:rsidP="00892E7E">
            <w:pPr>
              <w:pStyle w:val="P68B1DB1-Normal12"/>
              <w:spacing w:after="0" w:line="240" w:lineRule="auto"/>
              <w:rPr>
                <w:noProof/>
              </w:rPr>
            </w:pPr>
            <w:r>
              <w:rPr>
                <w:noProof/>
              </w:rPr>
              <w:t>(II) Senzori autonomi fără fir pentru internetul obiectelor (IoT) care funcționează cu baterii sau energie solară pe 380 de poduri.</w:t>
            </w:r>
          </w:p>
        </w:tc>
      </w:tr>
      <w:tr w:rsidR="00C45D59" w14:paraId="3E6F5278" w14:textId="77777777" w:rsidTr="00892E7E">
        <w:trPr>
          <w:trHeight w:val="313"/>
        </w:trPr>
        <w:tc>
          <w:tcPr>
            <w:tcW w:w="591" w:type="dxa"/>
            <w:shd w:val="clear" w:color="auto" w:fill="C6EFCE"/>
            <w:noWrap/>
          </w:tcPr>
          <w:p w14:paraId="2C2C832B" w14:textId="77777777" w:rsidR="00C45D59" w:rsidRDefault="009B0962" w:rsidP="00892E7E">
            <w:pPr>
              <w:pStyle w:val="P68B1DB1-Normal12"/>
              <w:spacing w:after="0" w:line="240" w:lineRule="auto"/>
              <w:rPr>
                <w:rFonts w:eastAsia="Times New Roman"/>
                <w:noProof/>
              </w:rPr>
            </w:pPr>
            <w:r>
              <w:rPr>
                <w:noProof/>
              </w:rPr>
              <w:t>274</w:t>
            </w:r>
          </w:p>
        </w:tc>
        <w:tc>
          <w:tcPr>
            <w:tcW w:w="2665" w:type="dxa"/>
            <w:shd w:val="clear" w:color="auto" w:fill="C6EFCE"/>
            <w:noWrap/>
          </w:tcPr>
          <w:p w14:paraId="42B0DFA7" w14:textId="77777777" w:rsidR="00C45D59" w:rsidRDefault="009B0962" w:rsidP="00892E7E">
            <w:pPr>
              <w:pStyle w:val="P68B1DB1-Normal12"/>
              <w:spacing w:after="0" w:line="240" w:lineRule="auto"/>
              <w:rPr>
                <w:rFonts w:eastAsia="Times New Roman"/>
                <w:noProof/>
              </w:rPr>
            </w:pPr>
            <w:r>
              <w:rPr>
                <w:noProof/>
              </w:rPr>
              <w:t xml:space="preserve">17-4.6. Modernizarea și îmbunătățirea rezilienței sectoarelor economice esențiale – 16959_Transformarea digitală a căilor ferate elene </w:t>
            </w:r>
          </w:p>
        </w:tc>
        <w:tc>
          <w:tcPr>
            <w:tcW w:w="1134" w:type="dxa"/>
            <w:shd w:val="clear" w:color="auto" w:fill="C6EFCE"/>
            <w:noWrap/>
          </w:tcPr>
          <w:p w14:paraId="1680CF64" w14:textId="77777777" w:rsidR="00C45D59" w:rsidRDefault="009B0962" w:rsidP="00892E7E">
            <w:pPr>
              <w:pStyle w:val="P68B1DB1-Normal12"/>
              <w:spacing w:after="0" w:line="240" w:lineRule="auto"/>
              <w:rPr>
                <w:rFonts w:eastAsia="Times New Roman"/>
                <w:noProof/>
              </w:rPr>
            </w:pPr>
            <w:r>
              <w:rPr>
                <w:noProof/>
              </w:rPr>
              <w:t>Etapă</w:t>
            </w:r>
          </w:p>
        </w:tc>
        <w:tc>
          <w:tcPr>
            <w:tcW w:w="1842" w:type="dxa"/>
            <w:shd w:val="clear" w:color="auto" w:fill="C6EFCE"/>
            <w:noWrap/>
          </w:tcPr>
          <w:p w14:paraId="66A0F6A8" w14:textId="77777777" w:rsidR="00C45D59" w:rsidRDefault="009B0962" w:rsidP="00892E7E">
            <w:pPr>
              <w:pStyle w:val="P68B1DB1-Normal12"/>
              <w:spacing w:after="0" w:line="240" w:lineRule="auto"/>
              <w:rPr>
                <w:noProof/>
              </w:rPr>
            </w:pPr>
            <w:r>
              <w:rPr>
                <w:noProof/>
              </w:rPr>
              <w:t>Proiecte, sisteme, echipamente și servicii digitale</w:t>
            </w:r>
          </w:p>
        </w:tc>
        <w:tc>
          <w:tcPr>
            <w:tcW w:w="2127" w:type="dxa"/>
            <w:shd w:val="clear" w:color="auto" w:fill="C6EFCE"/>
            <w:noWrap/>
          </w:tcPr>
          <w:p w14:paraId="4823883C" w14:textId="77777777" w:rsidR="00C45D59" w:rsidRDefault="009B0962" w:rsidP="00892E7E">
            <w:pPr>
              <w:pStyle w:val="P68B1DB1-Normal12"/>
              <w:spacing w:after="0" w:line="240" w:lineRule="auto"/>
              <w:rPr>
                <w:rFonts w:eastAsia="Times New Roman"/>
                <w:noProof/>
              </w:rPr>
            </w:pPr>
            <w:r>
              <w:rPr>
                <w:noProof/>
              </w:rPr>
              <w:t>Proiecte, sisteme, echipamente și servicii digitale furnizate</w:t>
            </w:r>
          </w:p>
        </w:tc>
        <w:tc>
          <w:tcPr>
            <w:tcW w:w="992" w:type="dxa"/>
            <w:shd w:val="clear" w:color="auto" w:fill="C6EFCE"/>
            <w:noWrap/>
          </w:tcPr>
          <w:p w14:paraId="162E53A5" w14:textId="77777777" w:rsidR="00C45D59" w:rsidRDefault="00C45D59" w:rsidP="00892E7E">
            <w:pPr>
              <w:spacing w:after="0" w:line="240" w:lineRule="auto"/>
              <w:rPr>
                <w:rFonts w:ascii="Times New Roman" w:eastAsia="Times New Roman" w:hAnsi="Times New Roman" w:cs="Times New Roman"/>
                <w:noProof/>
                <w:color w:val="006100"/>
                <w:sz w:val="18"/>
                <w:szCs w:val="18"/>
              </w:rPr>
            </w:pPr>
          </w:p>
        </w:tc>
        <w:tc>
          <w:tcPr>
            <w:tcW w:w="857" w:type="dxa"/>
            <w:shd w:val="clear" w:color="auto" w:fill="C6EFCE"/>
            <w:noWrap/>
          </w:tcPr>
          <w:p w14:paraId="0A4B9F5C" w14:textId="77777777" w:rsidR="00C45D59" w:rsidRDefault="00C45D59" w:rsidP="00892E7E">
            <w:pPr>
              <w:spacing w:after="0" w:line="240" w:lineRule="auto"/>
              <w:rPr>
                <w:rFonts w:ascii="Times New Roman" w:eastAsia="Times New Roman" w:hAnsi="Times New Roman" w:cs="Times New Roman"/>
                <w:noProof/>
                <w:color w:val="006100"/>
                <w:sz w:val="18"/>
                <w:szCs w:val="18"/>
              </w:rPr>
            </w:pPr>
          </w:p>
        </w:tc>
        <w:tc>
          <w:tcPr>
            <w:tcW w:w="844" w:type="dxa"/>
            <w:shd w:val="clear" w:color="auto" w:fill="C6EFCE"/>
            <w:noWrap/>
          </w:tcPr>
          <w:p w14:paraId="122D4BAA" w14:textId="77777777" w:rsidR="00C45D59" w:rsidRDefault="00C45D59" w:rsidP="00892E7E">
            <w:pPr>
              <w:spacing w:after="0" w:line="240" w:lineRule="auto"/>
              <w:rPr>
                <w:rFonts w:ascii="Times New Roman" w:eastAsia="Times New Roman" w:hAnsi="Times New Roman" w:cs="Times New Roman"/>
                <w:noProof/>
                <w:color w:val="006100"/>
                <w:sz w:val="18"/>
                <w:szCs w:val="18"/>
              </w:rPr>
            </w:pPr>
          </w:p>
        </w:tc>
        <w:tc>
          <w:tcPr>
            <w:tcW w:w="846" w:type="dxa"/>
            <w:shd w:val="clear" w:color="auto" w:fill="C6EFCE"/>
            <w:noWrap/>
          </w:tcPr>
          <w:p w14:paraId="6EBC77EB" w14:textId="77777777" w:rsidR="00C45D59" w:rsidRDefault="009B0962" w:rsidP="00892E7E">
            <w:pPr>
              <w:pStyle w:val="P68B1DB1-Normal12"/>
              <w:spacing w:after="0" w:line="240" w:lineRule="auto"/>
              <w:rPr>
                <w:rFonts w:eastAsia="Times New Roman"/>
                <w:noProof/>
              </w:rPr>
            </w:pPr>
            <w:r>
              <w:rPr>
                <w:noProof/>
              </w:rPr>
              <w:t>Î4</w:t>
            </w:r>
          </w:p>
        </w:tc>
        <w:tc>
          <w:tcPr>
            <w:tcW w:w="713" w:type="dxa"/>
            <w:shd w:val="clear" w:color="auto" w:fill="C6EFCE"/>
            <w:noWrap/>
          </w:tcPr>
          <w:p w14:paraId="4F51774B" w14:textId="77777777" w:rsidR="00C45D59" w:rsidRDefault="009B0962" w:rsidP="00892E7E">
            <w:pPr>
              <w:pStyle w:val="P68B1DB1-Normal12"/>
              <w:spacing w:after="0" w:line="240" w:lineRule="auto"/>
              <w:rPr>
                <w:rFonts w:eastAsia="Times New Roman"/>
                <w:noProof/>
              </w:rPr>
            </w:pPr>
            <w:r>
              <w:rPr>
                <w:noProof/>
              </w:rPr>
              <w:t>2025</w:t>
            </w:r>
          </w:p>
        </w:tc>
        <w:tc>
          <w:tcPr>
            <w:tcW w:w="3402" w:type="dxa"/>
            <w:shd w:val="clear" w:color="auto" w:fill="C6EFCE"/>
            <w:noWrap/>
          </w:tcPr>
          <w:p w14:paraId="035A5B15" w14:textId="77777777" w:rsidR="00C45D59" w:rsidRDefault="009B0962" w:rsidP="00892E7E">
            <w:pPr>
              <w:pStyle w:val="P68B1DB1-Normal12"/>
              <w:spacing w:after="0" w:line="240" w:lineRule="auto"/>
              <w:rPr>
                <w:noProof/>
              </w:rPr>
            </w:pPr>
            <w:r>
              <w:rPr>
                <w:noProof/>
              </w:rPr>
              <w:t>Furnizarea următoarelor proiecte, sisteme, echipamente și servicii digitale:</w:t>
            </w:r>
          </w:p>
          <w:p w14:paraId="3C64D825" w14:textId="2B48E5E1" w:rsidR="00C45D59" w:rsidRDefault="009B0962" w:rsidP="00892E7E">
            <w:pPr>
              <w:pStyle w:val="P68B1DB1-Normal12"/>
              <w:spacing w:after="0" w:line="240" w:lineRule="auto"/>
              <w:rPr>
                <w:rFonts w:eastAsia="Times New Roman"/>
                <w:noProof/>
              </w:rPr>
            </w:pPr>
            <w:r>
              <w:rPr>
                <w:noProof/>
              </w:rPr>
              <w:t>1. Sistemul central de gestionare a biletelor și telematică;</w:t>
            </w:r>
          </w:p>
          <w:p w14:paraId="03C4E108" w14:textId="77777777" w:rsidR="00C45D59" w:rsidRDefault="009B0962" w:rsidP="00892E7E">
            <w:pPr>
              <w:pStyle w:val="P68B1DB1-Normal12"/>
              <w:spacing w:after="0" w:line="240" w:lineRule="auto"/>
              <w:rPr>
                <w:rFonts w:eastAsia="Times New Roman"/>
                <w:noProof/>
              </w:rPr>
            </w:pPr>
            <w:r>
              <w:rPr>
                <w:noProof/>
              </w:rPr>
              <w:t>2. Infrastructura stațiilor inteligente;</w:t>
            </w:r>
          </w:p>
          <w:p w14:paraId="1D257826" w14:textId="5A824E39" w:rsidR="00C45D59" w:rsidRDefault="009B0962" w:rsidP="00892E7E">
            <w:pPr>
              <w:pStyle w:val="P68B1DB1-Normal12"/>
              <w:spacing w:after="0" w:line="240" w:lineRule="auto"/>
              <w:rPr>
                <w:rFonts w:eastAsia="Times New Roman"/>
                <w:noProof/>
              </w:rPr>
            </w:pPr>
            <w:r>
              <w:rPr>
                <w:noProof/>
              </w:rPr>
              <w:t>3. Servicii de experiență pentru clienți;</w:t>
            </w:r>
          </w:p>
          <w:p w14:paraId="417EFEEE" w14:textId="1A9E096A" w:rsidR="00C45D59" w:rsidRDefault="009B0962" w:rsidP="00892E7E">
            <w:pPr>
              <w:pStyle w:val="P68B1DB1-Normal12"/>
              <w:spacing w:after="0" w:line="240" w:lineRule="auto"/>
              <w:rPr>
                <w:rFonts w:eastAsia="Times New Roman"/>
                <w:noProof/>
              </w:rPr>
            </w:pPr>
            <w:r>
              <w:rPr>
                <w:noProof/>
              </w:rPr>
              <w:t>4. Servicii de formare; și</w:t>
            </w:r>
          </w:p>
          <w:p w14:paraId="5E4CAC00" w14:textId="7BFF8C21" w:rsidR="00C45D59" w:rsidRDefault="009B0962" w:rsidP="00892E7E">
            <w:pPr>
              <w:pStyle w:val="P68B1DB1-Normal27"/>
              <w:spacing w:after="0" w:line="240" w:lineRule="auto"/>
              <w:rPr>
                <w:noProof/>
              </w:rPr>
            </w:pPr>
            <w:r>
              <w:rPr>
                <w:noProof/>
              </w:rPr>
              <w:t>5. Infrastructură de siguranță pentru șase tuneluri feroviare care utilizează sisteme inteligente.</w:t>
            </w:r>
          </w:p>
        </w:tc>
      </w:tr>
      <w:tr w:rsidR="00C45D59" w14:paraId="3C53F718" w14:textId="77777777" w:rsidTr="00892E7E">
        <w:trPr>
          <w:trHeight w:val="313"/>
        </w:trPr>
        <w:tc>
          <w:tcPr>
            <w:tcW w:w="591" w:type="dxa"/>
            <w:shd w:val="clear" w:color="auto" w:fill="C6EFCE"/>
            <w:noWrap/>
          </w:tcPr>
          <w:p w14:paraId="4FBB9099" w14:textId="77777777" w:rsidR="00C45D59" w:rsidRDefault="009B0962" w:rsidP="00892E7E">
            <w:pPr>
              <w:pStyle w:val="P68B1DB1-Normal12"/>
              <w:spacing w:after="0" w:line="240" w:lineRule="auto"/>
              <w:rPr>
                <w:rFonts w:eastAsia="Times New Roman"/>
                <w:noProof/>
              </w:rPr>
            </w:pPr>
            <w:r>
              <w:rPr>
                <w:noProof/>
              </w:rPr>
              <w:t>275</w:t>
            </w:r>
          </w:p>
        </w:tc>
        <w:tc>
          <w:tcPr>
            <w:tcW w:w="2665" w:type="dxa"/>
            <w:shd w:val="clear" w:color="auto" w:fill="C6EFCE"/>
            <w:noWrap/>
          </w:tcPr>
          <w:p w14:paraId="69A7109A" w14:textId="77777777" w:rsidR="00C45D59" w:rsidRDefault="009B0962" w:rsidP="00892E7E">
            <w:pPr>
              <w:pStyle w:val="P68B1DB1-Normal12"/>
              <w:spacing w:after="0" w:line="240" w:lineRule="auto"/>
              <w:rPr>
                <w:rFonts w:eastAsia="Times New Roman"/>
                <w:noProof/>
              </w:rPr>
            </w:pPr>
            <w:r>
              <w:rPr>
                <w:noProof/>
              </w:rPr>
              <w:t>17-4.6. Modernizarea și îmbunătățirea rezilienței sectoarelor economice esențiale – 16960_Infrastructură inteligentă cu accent pe mediu și cultură</w:t>
            </w:r>
          </w:p>
        </w:tc>
        <w:tc>
          <w:tcPr>
            <w:tcW w:w="1134" w:type="dxa"/>
            <w:shd w:val="clear" w:color="auto" w:fill="C6EFCE"/>
            <w:noWrap/>
          </w:tcPr>
          <w:p w14:paraId="4934C7AD" w14:textId="77777777" w:rsidR="00C45D59" w:rsidRDefault="009B0962" w:rsidP="00892E7E">
            <w:pPr>
              <w:pStyle w:val="P68B1DB1-Normal12"/>
              <w:spacing w:after="0" w:line="240" w:lineRule="auto"/>
              <w:rPr>
                <w:rFonts w:eastAsia="Times New Roman"/>
                <w:noProof/>
              </w:rPr>
            </w:pPr>
            <w:r>
              <w:rPr>
                <w:noProof/>
              </w:rPr>
              <w:t>Etapă</w:t>
            </w:r>
          </w:p>
        </w:tc>
        <w:tc>
          <w:tcPr>
            <w:tcW w:w="1842" w:type="dxa"/>
            <w:shd w:val="clear" w:color="auto" w:fill="C6EFCE"/>
            <w:noWrap/>
          </w:tcPr>
          <w:p w14:paraId="08DD08A0" w14:textId="77777777" w:rsidR="00C45D59" w:rsidRDefault="009B0962" w:rsidP="00892E7E">
            <w:pPr>
              <w:pStyle w:val="P68B1DB1-Normal12"/>
              <w:spacing w:after="0" w:line="240" w:lineRule="auto"/>
              <w:rPr>
                <w:rFonts w:eastAsia="Times New Roman"/>
                <w:noProof/>
              </w:rPr>
            </w:pPr>
            <w:r>
              <w:rPr>
                <w:noProof/>
              </w:rPr>
              <w:t>Realizarea proiectului de infrastructură inteligentă</w:t>
            </w:r>
          </w:p>
        </w:tc>
        <w:tc>
          <w:tcPr>
            <w:tcW w:w="2127" w:type="dxa"/>
            <w:shd w:val="clear" w:color="auto" w:fill="C6EFCE"/>
            <w:noWrap/>
          </w:tcPr>
          <w:p w14:paraId="22A08E43" w14:textId="28FFC50C" w:rsidR="00C45D59" w:rsidRDefault="009B0962" w:rsidP="00892E7E">
            <w:pPr>
              <w:pStyle w:val="P68B1DB1-Normal12"/>
              <w:spacing w:after="0" w:line="240" w:lineRule="auto"/>
              <w:rPr>
                <w:noProof/>
              </w:rPr>
            </w:pPr>
            <w:r>
              <w:rPr>
                <w:noProof/>
              </w:rPr>
              <w:t>Realizarea subproiectelor</w:t>
            </w:r>
          </w:p>
        </w:tc>
        <w:tc>
          <w:tcPr>
            <w:tcW w:w="992" w:type="dxa"/>
            <w:shd w:val="clear" w:color="auto" w:fill="C6EFCE"/>
            <w:noWrap/>
          </w:tcPr>
          <w:p w14:paraId="047E534C" w14:textId="77777777" w:rsidR="00C45D59" w:rsidRDefault="00C45D59" w:rsidP="00892E7E">
            <w:pPr>
              <w:spacing w:after="0" w:line="240" w:lineRule="auto"/>
              <w:rPr>
                <w:rFonts w:ascii="Times New Roman" w:eastAsia="Times New Roman" w:hAnsi="Times New Roman" w:cs="Times New Roman"/>
                <w:noProof/>
                <w:color w:val="006100"/>
                <w:sz w:val="18"/>
                <w:szCs w:val="18"/>
              </w:rPr>
            </w:pPr>
          </w:p>
        </w:tc>
        <w:tc>
          <w:tcPr>
            <w:tcW w:w="857" w:type="dxa"/>
            <w:shd w:val="clear" w:color="auto" w:fill="C6EFCE"/>
            <w:noWrap/>
          </w:tcPr>
          <w:p w14:paraId="7D4E2B80" w14:textId="77777777" w:rsidR="00C45D59" w:rsidRDefault="00C45D59" w:rsidP="00892E7E">
            <w:pPr>
              <w:spacing w:after="0" w:line="240" w:lineRule="auto"/>
              <w:rPr>
                <w:rFonts w:ascii="Times New Roman" w:eastAsia="Times New Roman" w:hAnsi="Times New Roman" w:cs="Times New Roman"/>
                <w:noProof/>
                <w:color w:val="006100"/>
                <w:sz w:val="18"/>
                <w:szCs w:val="18"/>
              </w:rPr>
            </w:pPr>
          </w:p>
        </w:tc>
        <w:tc>
          <w:tcPr>
            <w:tcW w:w="844" w:type="dxa"/>
            <w:shd w:val="clear" w:color="auto" w:fill="C6EFCE"/>
            <w:noWrap/>
          </w:tcPr>
          <w:p w14:paraId="3AE7C3BD" w14:textId="77777777" w:rsidR="00C45D59" w:rsidRDefault="00C45D59" w:rsidP="00892E7E">
            <w:pPr>
              <w:spacing w:after="0" w:line="240" w:lineRule="auto"/>
              <w:rPr>
                <w:rFonts w:ascii="Times New Roman" w:eastAsia="Times New Roman" w:hAnsi="Times New Roman" w:cs="Times New Roman"/>
                <w:noProof/>
                <w:color w:val="006100"/>
                <w:sz w:val="18"/>
                <w:szCs w:val="18"/>
              </w:rPr>
            </w:pPr>
          </w:p>
        </w:tc>
        <w:tc>
          <w:tcPr>
            <w:tcW w:w="846" w:type="dxa"/>
            <w:shd w:val="clear" w:color="auto" w:fill="C6EFCE"/>
            <w:noWrap/>
          </w:tcPr>
          <w:p w14:paraId="684CF569" w14:textId="77777777" w:rsidR="00C45D59" w:rsidRDefault="009B0962" w:rsidP="00892E7E">
            <w:pPr>
              <w:pStyle w:val="P68B1DB1-Normal12"/>
              <w:spacing w:after="0" w:line="240" w:lineRule="auto"/>
              <w:rPr>
                <w:rFonts w:eastAsia="Times New Roman"/>
                <w:noProof/>
              </w:rPr>
            </w:pPr>
            <w:r>
              <w:rPr>
                <w:noProof/>
              </w:rPr>
              <w:t>Î4</w:t>
            </w:r>
          </w:p>
        </w:tc>
        <w:tc>
          <w:tcPr>
            <w:tcW w:w="713" w:type="dxa"/>
            <w:shd w:val="clear" w:color="auto" w:fill="C6EFCE"/>
            <w:noWrap/>
          </w:tcPr>
          <w:p w14:paraId="6B6FAF7C" w14:textId="77777777" w:rsidR="00C45D59" w:rsidRDefault="009B0962" w:rsidP="00892E7E">
            <w:pPr>
              <w:pStyle w:val="P68B1DB1-Normal12"/>
              <w:spacing w:after="0" w:line="240" w:lineRule="auto"/>
              <w:rPr>
                <w:rFonts w:eastAsia="Times New Roman"/>
                <w:noProof/>
              </w:rPr>
            </w:pPr>
            <w:r>
              <w:rPr>
                <w:noProof/>
              </w:rPr>
              <w:t>2025</w:t>
            </w:r>
          </w:p>
        </w:tc>
        <w:tc>
          <w:tcPr>
            <w:tcW w:w="3402" w:type="dxa"/>
            <w:shd w:val="clear" w:color="auto" w:fill="C6EFCE"/>
            <w:noWrap/>
          </w:tcPr>
          <w:p w14:paraId="36AC08EE" w14:textId="77777777" w:rsidR="00C45D59" w:rsidRDefault="009B0962" w:rsidP="00892E7E">
            <w:pPr>
              <w:pStyle w:val="P68B1DB1-Normal12"/>
              <w:spacing w:after="0" w:line="240" w:lineRule="auto"/>
              <w:rPr>
                <w:noProof/>
              </w:rPr>
            </w:pPr>
            <w:r>
              <w:rPr>
                <w:noProof/>
              </w:rPr>
              <w:t>Furnizarea de:</w:t>
            </w:r>
          </w:p>
          <w:p w14:paraId="00DF670F" w14:textId="40673103" w:rsidR="00C45D59" w:rsidRDefault="009B0962" w:rsidP="00892E7E">
            <w:pPr>
              <w:pStyle w:val="P68B1DB1-Normal12"/>
              <w:spacing w:after="0" w:line="240" w:lineRule="auto"/>
              <w:rPr>
                <w:rFonts w:eastAsia="Times New Roman"/>
                <w:noProof/>
              </w:rPr>
            </w:pPr>
            <w:r>
              <w:rPr>
                <w:noProof/>
              </w:rPr>
              <w:t>— sistem de informații pentru delimitarea cursurilor de apă și scanarea a 300 dosare de delimitare și delimitarea a 6 000 km de cursuri de apă;</w:t>
            </w:r>
          </w:p>
          <w:p w14:paraId="158160B3" w14:textId="77777777" w:rsidR="00C45D59" w:rsidRDefault="009B0962" w:rsidP="00892E7E">
            <w:pPr>
              <w:pStyle w:val="P68B1DB1-Normal12"/>
              <w:spacing w:after="0" w:line="240" w:lineRule="auto"/>
              <w:rPr>
                <w:rFonts w:eastAsia="Times New Roman"/>
                <w:noProof/>
              </w:rPr>
            </w:pPr>
            <w:r>
              <w:rPr>
                <w:noProof/>
              </w:rPr>
              <w:t>— Harta digitală unică;</w:t>
            </w:r>
          </w:p>
          <w:p w14:paraId="1F6779FD" w14:textId="77777777" w:rsidR="00C45D59" w:rsidRDefault="009B0962" w:rsidP="00892E7E">
            <w:pPr>
              <w:pStyle w:val="P68B1DB1-Normal12"/>
              <w:spacing w:after="0" w:line="240" w:lineRule="auto"/>
              <w:rPr>
                <w:rFonts w:eastAsia="Times New Roman"/>
                <w:noProof/>
              </w:rPr>
            </w:pPr>
            <w:r>
              <w:rPr>
                <w:noProof/>
              </w:rPr>
              <w:t>— echipamente pentru monitorizarea poluării aerului și a poluării marine;</w:t>
            </w:r>
          </w:p>
          <w:p w14:paraId="5FBF9E69" w14:textId="15426942" w:rsidR="00C45D59" w:rsidRDefault="009B0962" w:rsidP="00892E7E">
            <w:pPr>
              <w:pStyle w:val="P68B1DB1-Normal12"/>
              <w:spacing w:after="0" w:line="240" w:lineRule="auto"/>
              <w:rPr>
                <w:noProof/>
              </w:rPr>
            </w:pPr>
            <w:r>
              <w:rPr>
                <w:noProof/>
              </w:rPr>
              <w:t>— infrastructura și serviciile digitale pentru siturile arheologice sau muzee;</w:t>
            </w:r>
          </w:p>
          <w:p w14:paraId="552D0CE1" w14:textId="77777777" w:rsidR="00C45D59" w:rsidRDefault="009B0962" w:rsidP="00892E7E">
            <w:pPr>
              <w:pStyle w:val="P68B1DB1-Normal23"/>
              <w:spacing w:after="0" w:line="240" w:lineRule="auto"/>
              <w:rPr>
                <w:noProof/>
              </w:rPr>
            </w:pPr>
            <w:r>
              <w:rPr>
                <w:noProof/>
              </w:rPr>
              <w:t>— sistem informatic pentru urmărirea clădirilor și construcțiilor ilegale.</w:t>
            </w:r>
          </w:p>
        </w:tc>
      </w:tr>
      <w:tr w:rsidR="00C45D59" w14:paraId="0B126E64" w14:textId="77777777" w:rsidTr="00892E7E">
        <w:trPr>
          <w:trHeight w:val="313"/>
        </w:trPr>
        <w:tc>
          <w:tcPr>
            <w:tcW w:w="591" w:type="dxa"/>
            <w:shd w:val="clear" w:color="auto" w:fill="C6EFCE"/>
            <w:noWrap/>
          </w:tcPr>
          <w:p w14:paraId="7C3B2802" w14:textId="77777777" w:rsidR="00C45D59" w:rsidRDefault="009B0962" w:rsidP="00892E7E">
            <w:pPr>
              <w:pStyle w:val="P68B1DB1-Normal12"/>
              <w:spacing w:after="0" w:line="240" w:lineRule="auto"/>
              <w:rPr>
                <w:rFonts w:eastAsia="Times New Roman"/>
                <w:noProof/>
              </w:rPr>
            </w:pPr>
            <w:r>
              <w:rPr>
                <w:noProof/>
              </w:rPr>
              <w:t>276</w:t>
            </w:r>
          </w:p>
        </w:tc>
        <w:tc>
          <w:tcPr>
            <w:tcW w:w="2665" w:type="dxa"/>
            <w:shd w:val="clear" w:color="auto" w:fill="C6EFCE"/>
            <w:noWrap/>
          </w:tcPr>
          <w:p w14:paraId="047AE232" w14:textId="77777777" w:rsidR="00C45D59" w:rsidRDefault="009B0962" w:rsidP="00892E7E">
            <w:pPr>
              <w:pStyle w:val="P68B1DB1-Normal12"/>
              <w:spacing w:after="0" w:line="240" w:lineRule="auto"/>
              <w:rPr>
                <w:rFonts w:eastAsia="Times New Roman"/>
                <w:noProof/>
              </w:rPr>
            </w:pPr>
            <w:r>
              <w:rPr>
                <w:noProof/>
              </w:rPr>
              <w:t>17-4.6. Modernizarea și îmbunătățirea rezilienței sectoarelor economice cheie – 16937_Sistemul digital integrat de gestionare a programelor pentru administrarea lucrărilor tehnice și a activelor structurale al Ministerului Infrastructurii și Transporturilor</w:t>
            </w:r>
          </w:p>
        </w:tc>
        <w:tc>
          <w:tcPr>
            <w:tcW w:w="1134" w:type="dxa"/>
            <w:shd w:val="clear" w:color="auto" w:fill="C6EFCE"/>
            <w:noWrap/>
          </w:tcPr>
          <w:p w14:paraId="7944493D" w14:textId="77777777" w:rsidR="00C45D59" w:rsidRDefault="009B0962" w:rsidP="00892E7E">
            <w:pPr>
              <w:pStyle w:val="P68B1DB1-Normal12"/>
              <w:spacing w:after="0" w:line="240" w:lineRule="auto"/>
              <w:rPr>
                <w:rFonts w:eastAsia="Times New Roman"/>
                <w:noProof/>
              </w:rPr>
            </w:pPr>
            <w:r>
              <w:rPr>
                <w:noProof/>
              </w:rPr>
              <w:t>Etapă</w:t>
            </w:r>
          </w:p>
        </w:tc>
        <w:tc>
          <w:tcPr>
            <w:tcW w:w="1842" w:type="dxa"/>
            <w:shd w:val="clear" w:color="auto" w:fill="C6EFCE"/>
            <w:noWrap/>
          </w:tcPr>
          <w:p w14:paraId="4BBAA863" w14:textId="77777777" w:rsidR="00C45D59" w:rsidRDefault="009B0962" w:rsidP="00892E7E">
            <w:pPr>
              <w:pStyle w:val="P68B1DB1-Normal49"/>
              <w:spacing w:after="0" w:line="240" w:lineRule="auto"/>
              <w:rPr>
                <w:rFonts w:ascii="Times New Roman" w:hAnsi="Times New Roman" w:cs="Times New Roman"/>
                <w:noProof/>
                <w:color w:val="006100"/>
              </w:rPr>
            </w:pPr>
            <w:r>
              <w:rPr>
                <w:rFonts w:ascii="Times New Roman" w:hAnsi="Times New Roman" w:cs="Times New Roman"/>
                <w:noProof/>
                <w:color w:val="006100"/>
              </w:rPr>
              <w:t>Sistemul</w:t>
            </w:r>
            <w:r>
              <w:rPr>
                <w:rFonts w:ascii="Times New Roman" w:hAnsi="Times New Roman" w:cs="Times New Roman"/>
                <w:noProof/>
              </w:rPr>
              <w:t xml:space="preserve"> </w:t>
            </w:r>
            <w:r>
              <w:rPr>
                <w:rFonts w:ascii="Times New Roman" w:eastAsiaTheme="minorEastAsia" w:hAnsi="Times New Roman" w:cs="Times New Roman"/>
                <w:noProof/>
                <w:color w:val="006100"/>
              </w:rPr>
              <w:t>informatic de gestionare a portofoliului (PMIS)</w:t>
            </w:r>
          </w:p>
        </w:tc>
        <w:tc>
          <w:tcPr>
            <w:tcW w:w="2127" w:type="dxa"/>
            <w:shd w:val="clear" w:color="auto" w:fill="C6EFCE"/>
            <w:noWrap/>
          </w:tcPr>
          <w:p w14:paraId="52DAC84A" w14:textId="77777777" w:rsidR="00C45D59" w:rsidRDefault="009B0962" w:rsidP="00892E7E">
            <w:pPr>
              <w:pStyle w:val="P68B1DB1-Normal49"/>
              <w:spacing w:after="0" w:line="240" w:lineRule="auto"/>
              <w:rPr>
                <w:rFonts w:ascii="Times New Roman" w:hAnsi="Times New Roman" w:cs="Times New Roman"/>
                <w:noProof/>
                <w:color w:val="006100"/>
              </w:rPr>
            </w:pPr>
            <w:r>
              <w:rPr>
                <w:rFonts w:ascii="Times New Roman" w:hAnsi="Times New Roman" w:cs="Times New Roman"/>
                <w:noProof/>
                <w:color w:val="006100"/>
              </w:rPr>
              <w:t>Furnizarea</w:t>
            </w:r>
            <w:r>
              <w:rPr>
                <w:rFonts w:ascii="Times New Roman" w:hAnsi="Times New Roman" w:cs="Times New Roman"/>
                <w:noProof/>
              </w:rPr>
              <w:t xml:space="preserve"> </w:t>
            </w:r>
            <w:r>
              <w:rPr>
                <w:rFonts w:ascii="Times New Roman" w:eastAsiaTheme="minorEastAsia" w:hAnsi="Times New Roman" w:cs="Times New Roman"/>
                <w:noProof/>
                <w:color w:val="006100"/>
              </w:rPr>
              <w:t>sistemului informatic de gestionare a portofoliului (PMIS)</w:t>
            </w:r>
          </w:p>
        </w:tc>
        <w:tc>
          <w:tcPr>
            <w:tcW w:w="992" w:type="dxa"/>
            <w:shd w:val="clear" w:color="auto" w:fill="C6EFCE"/>
            <w:noWrap/>
          </w:tcPr>
          <w:p w14:paraId="2E428F0F" w14:textId="77777777" w:rsidR="00C45D59" w:rsidRDefault="00C45D59" w:rsidP="00892E7E">
            <w:pPr>
              <w:spacing w:after="0" w:line="240" w:lineRule="auto"/>
              <w:rPr>
                <w:rFonts w:ascii="Times New Roman" w:eastAsia="Times New Roman" w:hAnsi="Times New Roman" w:cs="Times New Roman"/>
                <w:noProof/>
                <w:color w:val="006100"/>
                <w:sz w:val="18"/>
                <w:szCs w:val="18"/>
              </w:rPr>
            </w:pPr>
          </w:p>
        </w:tc>
        <w:tc>
          <w:tcPr>
            <w:tcW w:w="857" w:type="dxa"/>
            <w:shd w:val="clear" w:color="auto" w:fill="C6EFCE"/>
            <w:noWrap/>
          </w:tcPr>
          <w:p w14:paraId="4A76F390" w14:textId="77777777" w:rsidR="00C45D59" w:rsidRDefault="00C45D59" w:rsidP="00892E7E">
            <w:pPr>
              <w:spacing w:after="0" w:line="240" w:lineRule="auto"/>
              <w:rPr>
                <w:rFonts w:ascii="Times New Roman" w:eastAsia="Times New Roman" w:hAnsi="Times New Roman" w:cs="Times New Roman"/>
                <w:noProof/>
                <w:color w:val="006100"/>
                <w:sz w:val="18"/>
                <w:szCs w:val="18"/>
              </w:rPr>
            </w:pPr>
          </w:p>
        </w:tc>
        <w:tc>
          <w:tcPr>
            <w:tcW w:w="844" w:type="dxa"/>
            <w:shd w:val="clear" w:color="auto" w:fill="C6EFCE"/>
            <w:noWrap/>
          </w:tcPr>
          <w:p w14:paraId="506AAF3B" w14:textId="77777777" w:rsidR="00C45D59" w:rsidRDefault="00C45D59" w:rsidP="00892E7E">
            <w:pPr>
              <w:spacing w:after="0" w:line="240" w:lineRule="auto"/>
              <w:rPr>
                <w:rFonts w:ascii="Times New Roman" w:eastAsia="Times New Roman" w:hAnsi="Times New Roman" w:cs="Times New Roman"/>
                <w:noProof/>
                <w:color w:val="006100"/>
                <w:sz w:val="18"/>
                <w:szCs w:val="18"/>
              </w:rPr>
            </w:pPr>
          </w:p>
        </w:tc>
        <w:tc>
          <w:tcPr>
            <w:tcW w:w="846" w:type="dxa"/>
            <w:shd w:val="clear" w:color="auto" w:fill="C6EFCE"/>
            <w:noWrap/>
          </w:tcPr>
          <w:p w14:paraId="27D1550F" w14:textId="77777777" w:rsidR="00C45D59" w:rsidRDefault="009B0962" w:rsidP="00892E7E">
            <w:pPr>
              <w:pStyle w:val="P68B1DB1-Normal12"/>
              <w:spacing w:after="0" w:line="240" w:lineRule="auto"/>
              <w:rPr>
                <w:rFonts w:eastAsia="Times New Roman"/>
                <w:noProof/>
              </w:rPr>
            </w:pPr>
            <w:r>
              <w:rPr>
                <w:noProof/>
              </w:rPr>
              <w:t>Î4</w:t>
            </w:r>
          </w:p>
        </w:tc>
        <w:tc>
          <w:tcPr>
            <w:tcW w:w="713" w:type="dxa"/>
            <w:shd w:val="clear" w:color="auto" w:fill="C6EFCE"/>
            <w:noWrap/>
          </w:tcPr>
          <w:p w14:paraId="24B8E622" w14:textId="77777777" w:rsidR="00C45D59" w:rsidRDefault="009B0962" w:rsidP="00892E7E">
            <w:pPr>
              <w:pStyle w:val="P68B1DB1-Normal12"/>
              <w:spacing w:after="0" w:line="240" w:lineRule="auto"/>
              <w:rPr>
                <w:rFonts w:eastAsia="Times New Roman"/>
                <w:noProof/>
              </w:rPr>
            </w:pPr>
            <w:r>
              <w:rPr>
                <w:noProof/>
              </w:rPr>
              <w:t>2025</w:t>
            </w:r>
          </w:p>
        </w:tc>
        <w:tc>
          <w:tcPr>
            <w:tcW w:w="3402" w:type="dxa"/>
            <w:shd w:val="clear" w:color="auto" w:fill="C6EFCE"/>
            <w:noWrap/>
          </w:tcPr>
          <w:p w14:paraId="64617D57" w14:textId="77777777" w:rsidR="00C45D59" w:rsidRDefault="009B0962" w:rsidP="00892E7E">
            <w:pPr>
              <w:pStyle w:val="P68B1DB1-Normal12"/>
              <w:spacing w:after="0" w:line="240" w:lineRule="auto"/>
              <w:rPr>
                <w:noProof/>
              </w:rPr>
            </w:pPr>
            <w:r>
              <w:rPr>
                <w:noProof/>
              </w:rPr>
              <w:t>Sistemul informatic de gestionare a portofoliilor (PMIS) către Ministerul Infrastructurii și Transporturilor. Sistemul furnizează informații în timp real cu privire la livrabile, costuri și calendar pe parcursul întregului ciclu de viață al lucrărilor executate, permițând ministerului să monitorizeze, să gestioneze și să administreze portofoliul său de lucrări tehnice și active.</w:t>
            </w:r>
          </w:p>
        </w:tc>
      </w:tr>
      <w:tr w:rsidR="00C45D59" w14:paraId="5F0A8958" w14:textId="77777777" w:rsidTr="00892E7E">
        <w:trPr>
          <w:trHeight w:val="313"/>
        </w:trPr>
        <w:tc>
          <w:tcPr>
            <w:tcW w:w="591" w:type="dxa"/>
            <w:shd w:val="clear" w:color="auto" w:fill="C6EFCE"/>
            <w:noWrap/>
          </w:tcPr>
          <w:p w14:paraId="5D21A880" w14:textId="77777777" w:rsidR="00C45D59" w:rsidRDefault="009B0962" w:rsidP="00892E7E">
            <w:pPr>
              <w:pStyle w:val="P68B1DB1-Normal12"/>
              <w:spacing w:after="0" w:line="240" w:lineRule="auto"/>
              <w:rPr>
                <w:rFonts w:eastAsia="Times New Roman"/>
                <w:noProof/>
              </w:rPr>
            </w:pPr>
            <w:r>
              <w:rPr>
                <w:noProof/>
              </w:rPr>
              <w:t>277</w:t>
            </w:r>
          </w:p>
        </w:tc>
        <w:tc>
          <w:tcPr>
            <w:tcW w:w="2665" w:type="dxa"/>
            <w:shd w:val="clear" w:color="auto" w:fill="C6EFCE"/>
            <w:noWrap/>
          </w:tcPr>
          <w:p w14:paraId="6F4A1CD9" w14:textId="77777777" w:rsidR="00C45D59" w:rsidRDefault="009B0962" w:rsidP="00892E7E">
            <w:pPr>
              <w:pStyle w:val="P68B1DB1-Normal12"/>
              <w:spacing w:after="0" w:line="240" w:lineRule="auto"/>
              <w:rPr>
                <w:rFonts w:eastAsia="Times New Roman"/>
                <w:noProof/>
              </w:rPr>
            </w:pPr>
            <w:r>
              <w:rPr>
                <w:noProof/>
              </w:rPr>
              <w:t>17-4.6. Modernizarea și îmbunătățirea rezilienței sectoarelor economice cheie – 16786_Simplificarea procedurilor Ministerului Infrastructurii &amp; Transporturilor</w:t>
            </w:r>
          </w:p>
        </w:tc>
        <w:tc>
          <w:tcPr>
            <w:tcW w:w="1134" w:type="dxa"/>
            <w:shd w:val="clear" w:color="auto" w:fill="C6EFCE"/>
            <w:noWrap/>
          </w:tcPr>
          <w:p w14:paraId="0941B5AF" w14:textId="77777777" w:rsidR="00C45D59" w:rsidRDefault="009B0962" w:rsidP="00892E7E">
            <w:pPr>
              <w:pStyle w:val="P68B1DB1-Normal12"/>
              <w:spacing w:after="0" w:line="240" w:lineRule="auto"/>
              <w:rPr>
                <w:rFonts w:eastAsia="Times New Roman"/>
                <w:noProof/>
              </w:rPr>
            </w:pPr>
            <w:r>
              <w:rPr>
                <w:noProof/>
              </w:rPr>
              <w:t>Etapă</w:t>
            </w:r>
          </w:p>
        </w:tc>
        <w:tc>
          <w:tcPr>
            <w:tcW w:w="1842" w:type="dxa"/>
            <w:shd w:val="clear" w:color="auto" w:fill="C6EFCE"/>
            <w:noWrap/>
          </w:tcPr>
          <w:p w14:paraId="38E3B000" w14:textId="77777777" w:rsidR="00C45D59" w:rsidRDefault="009B0962" w:rsidP="00892E7E">
            <w:pPr>
              <w:pStyle w:val="P68B1DB1-Normal12"/>
              <w:spacing w:after="0" w:line="240" w:lineRule="auto"/>
              <w:rPr>
                <w:rFonts w:eastAsia="Times New Roman"/>
                <w:noProof/>
              </w:rPr>
            </w:pPr>
            <w:r>
              <w:rPr>
                <w:noProof/>
              </w:rPr>
              <w:t>Simplificarea procedurilor pentru Ministerul Transporturilor</w:t>
            </w:r>
          </w:p>
        </w:tc>
        <w:tc>
          <w:tcPr>
            <w:tcW w:w="2127" w:type="dxa"/>
            <w:shd w:val="clear" w:color="auto" w:fill="C6EFCE"/>
            <w:noWrap/>
          </w:tcPr>
          <w:p w14:paraId="11E3B709" w14:textId="77777777" w:rsidR="00C45D59" w:rsidRDefault="009B0962" w:rsidP="00892E7E">
            <w:pPr>
              <w:pStyle w:val="P68B1DB1-Normal12"/>
              <w:spacing w:after="0" w:line="240" w:lineRule="auto"/>
              <w:rPr>
                <w:rFonts w:eastAsia="Times New Roman"/>
                <w:noProof/>
              </w:rPr>
            </w:pPr>
            <w:r>
              <w:rPr>
                <w:noProof/>
              </w:rPr>
              <w:t>Proceduri digitale în vigoare în cadrul Ministerului Infrastructurii și Transporturilor</w:t>
            </w:r>
          </w:p>
        </w:tc>
        <w:tc>
          <w:tcPr>
            <w:tcW w:w="992" w:type="dxa"/>
            <w:shd w:val="clear" w:color="auto" w:fill="C6EFCE"/>
            <w:noWrap/>
          </w:tcPr>
          <w:p w14:paraId="67F18F3C" w14:textId="77777777" w:rsidR="00C45D59" w:rsidRDefault="00C45D59" w:rsidP="00892E7E">
            <w:pPr>
              <w:spacing w:after="0" w:line="240" w:lineRule="auto"/>
              <w:rPr>
                <w:rFonts w:ascii="Times New Roman" w:eastAsia="Times New Roman" w:hAnsi="Times New Roman" w:cs="Times New Roman"/>
                <w:noProof/>
                <w:color w:val="006100"/>
                <w:sz w:val="18"/>
                <w:szCs w:val="18"/>
              </w:rPr>
            </w:pPr>
          </w:p>
        </w:tc>
        <w:tc>
          <w:tcPr>
            <w:tcW w:w="857" w:type="dxa"/>
            <w:shd w:val="clear" w:color="auto" w:fill="C6EFCE"/>
            <w:noWrap/>
          </w:tcPr>
          <w:p w14:paraId="3910EF20" w14:textId="77777777" w:rsidR="00C45D59" w:rsidRDefault="00C45D59" w:rsidP="00892E7E">
            <w:pPr>
              <w:spacing w:after="0" w:line="240" w:lineRule="auto"/>
              <w:rPr>
                <w:rFonts w:ascii="Times New Roman" w:eastAsia="Times New Roman" w:hAnsi="Times New Roman" w:cs="Times New Roman"/>
                <w:noProof/>
                <w:color w:val="006100"/>
                <w:sz w:val="18"/>
                <w:szCs w:val="18"/>
              </w:rPr>
            </w:pPr>
          </w:p>
        </w:tc>
        <w:tc>
          <w:tcPr>
            <w:tcW w:w="844" w:type="dxa"/>
            <w:shd w:val="clear" w:color="auto" w:fill="C6EFCE"/>
            <w:noWrap/>
          </w:tcPr>
          <w:p w14:paraId="59B281E7" w14:textId="77777777" w:rsidR="00C45D59" w:rsidRDefault="00C45D59" w:rsidP="00892E7E">
            <w:pPr>
              <w:spacing w:after="0" w:line="240" w:lineRule="auto"/>
              <w:rPr>
                <w:rFonts w:ascii="Times New Roman" w:eastAsia="Times New Roman" w:hAnsi="Times New Roman" w:cs="Times New Roman"/>
                <w:noProof/>
                <w:color w:val="006100"/>
                <w:sz w:val="18"/>
                <w:szCs w:val="18"/>
              </w:rPr>
            </w:pPr>
          </w:p>
        </w:tc>
        <w:tc>
          <w:tcPr>
            <w:tcW w:w="846" w:type="dxa"/>
            <w:shd w:val="clear" w:color="auto" w:fill="C6EFCE"/>
            <w:noWrap/>
          </w:tcPr>
          <w:p w14:paraId="302E6E9C" w14:textId="77777777" w:rsidR="00C45D59" w:rsidRDefault="009B0962" w:rsidP="00892E7E">
            <w:pPr>
              <w:pStyle w:val="P68B1DB1-Normal12"/>
              <w:spacing w:after="0" w:line="240" w:lineRule="auto"/>
              <w:rPr>
                <w:rFonts w:eastAsia="Times New Roman"/>
                <w:noProof/>
              </w:rPr>
            </w:pPr>
            <w:r>
              <w:rPr>
                <w:noProof/>
              </w:rPr>
              <w:t>Î4</w:t>
            </w:r>
          </w:p>
        </w:tc>
        <w:tc>
          <w:tcPr>
            <w:tcW w:w="713" w:type="dxa"/>
            <w:shd w:val="clear" w:color="auto" w:fill="C6EFCE"/>
            <w:noWrap/>
          </w:tcPr>
          <w:p w14:paraId="00561B89" w14:textId="77777777" w:rsidR="00C45D59" w:rsidRDefault="009B0962" w:rsidP="00892E7E">
            <w:pPr>
              <w:pStyle w:val="P68B1DB1-Normal12"/>
              <w:spacing w:after="0" w:line="240" w:lineRule="auto"/>
              <w:rPr>
                <w:rFonts w:eastAsia="Times New Roman"/>
                <w:noProof/>
              </w:rPr>
            </w:pPr>
            <w:r>
              <w:rPr>
                <w:noProof/>
              </w:rPr>
              <w:t>2024</w:t>
            </w:r>
          </w:p>
        </w:tc>
        <w:tc>
          <w:tcPr>
            <w:tcW w:w="3402" w:type="dxa"/>
            <w:shd w:val="clear" w:color="auto" w:fill="C6EFCE"/>
            <w:noWrap/>
          </w:tcPr>
          <w:p w14:paraId="026B077A" w14:textId="77777777" w:rsidR="00C45D59" w:rsidRDefault="009B0962" w:rsidP="00892E7E">
            <w:pPr>
              <w:pStyle w:val="P68B1DB1-Normal27"/>
              <w:spacing w:after="0" w:line="240" w:lineRule="auto"/>
              <w:rPr>
                <w:noProof/>
              </w:rPr>
            </w:pPr>
            <w:r>
              <w:rPr>
                <w:noProof/>
              </w:rPr>
              <w:t>Transformarea digitală și simplificarea procedurilor în vigoare privind a) eliberarea, înlocuirea și reînnoirea permiselor de conducere, b) transferul vehiculelor, c) eliberarea permiselor de înmatriculare și a plăcuțelor de înmatriculare rutieră și d) examenele pentru permisele de conducere.</w:t>
            </w:r>
          </w:p>
        </w:tc>
      </w:tr>
      <w:tr w:rsidR="00C45D59" w14:paraId="25459C72" w14:textId="77777777" w:rsidTr="00892E7E">
        <w:trPr>
          <w:trHeight w:val="313"/>
        </w:trPr>
        <w:tc>
          <w:tcPr>
            <w:tcW w:w="591" w:type="dxa"/>
            <w:shd w:val="clear" w:color="auto" w:fill="C6EFCE"/>
            <w:noWrap/>
          </w:tcPr>
          <w:p w14:paraId="3243DBC3" w14:textId="77777777" w:rsidR="00C45D59" w:rsidRDefault="009B0962" w:rsidP="00892E7E">
            <w:pPr>
              <w:pStyle w:val="P68B1DB1-Normal12"/>
              <w:spacing w:after="0" w:line="240" w:lineRule="auto"/>
              <w:rPr>
                <w:rFonts w:eastAsia="Times New Roman"/>
                <w:noProof/>
              </w:rPr>
            </w:pPr>
            <w:r>
              <w:rPr>
                <w:noProof/>
              </w:rPr>
              <w:t>349</w:t>
            </w:r>
          </w:p>
        </w:tc>
        <w:tc>
          <w:tcPr>
            <w:tcW w:w="2665" w:type="dxa"/>
            <w:shd w:val="clear" w:color="auto" w:fill="C6EFCE"/>
            <w:noWrap/>
          </w:tcPr>
          <w:p w14:paraId="7052837B" w14:textId="68BBD5D6" w:rsidR="00C45D59" w:rsidRDefault="009B0962" w:rsidP="00892E7E">
            <w:pPr>
              <w:pStyle w:val="P68B1DB1-Normal12"/>
              <w:spacing w:after="0" w:line="240" w:lineRule="auto"/>
              <w:rPr>
                <w:rFonts w:eastAsia="Times New Roman"/>
                <w:noProof/>
              </w:rPr>
            </w:pPr>
            <w:r>
              <w:rPr>
                <w:noProof/>
              </w:rPr>
              <w:t>17-4.6. Modernizarea și îmbunătățirea rezilienței sectoarelor economice cheie – 16999_Lucrări de refacere în urma efectelor devastatoare ale furtunilor „DANIEL”, „ELIAS” și „IANOS”</w:t>
            </w:r>
          </w:p>
        </w:tc>
        <w:tc>
          <w:tcPr>
            <w:tcW w:w="1134" w:type="dxa"/>
            <w:shd w:val="clear" w:color="auto" w:fill="C6EFCE"/>
            <w:noWrap/>
          </w:tcPr>
          <w:p w14:paraId="288AF601" w14:textId="77777777" w:rsidR="00C45D59" w:rsidRDefault="009B0962" w:rsidP="00892E7E">
            <w:pPr>
              <w:pStyle w:val="P68B1DB1-Normal12"/>
              <w:spacing w:after="0" w:line="240" w:lineRule="auto"/>
              <w:rPr>
                <w:rFonts w:eastAsia="Times New Roman"/>
                <w:noProof/>
              </w:rPr>
            </w:pPr>
            <w:r>
              <w:rPr>
                <w:noProof/>
              </w:rPr>
              <w:t>Etapă</w:t>
            </w:r>
          </w:p>
        </w:tc>
        <w:tc>
          <w:tcPr>
            <w:tcW w:w="1842" w:type="dxa"/>
            <w:shd w:val="clear" w:color="auto" w:fill="C6EFCE"/>
            <w:noWrap/>
          </w:tcPr>
          <w:p w14:paraId="760C42A0" w14:textId="77777777" w:rsidR="00C45D59" w:rsidRDefault="009B0962" w:rsidP="00892E7E">
            <w:pPr>
              <w:pStyle w:val="P68B1DB1-Normal12"/>
              <w:spacing w:after="0" w:line="240" w:lineRule="auto"/>
              <w:rPr>
                <w:rFonts w:eastAsia="Times New Roman"/>
                <w:noProof/>
              </w:rPr>
            </w:pPr>
            <w:r>
              <w:rPr>
                <w:noProof/>
              </w:rPr>
              <w:t>Proiecte de restaurare a drumurilor construite</w:t>
            </w:r>
          </w:p>
        </w:tc>
        <w:tc>
          <w:tcPr>
            <w:tcW w:w="2127" w:type="dxa"/>
            <w:shd w:val="clear" w:color="auto" w:fill="C6EFCE"/>
            <w:noWrap/>
          </w:tcPr>
          <w:p w14:paraId="4F64F227" w14:textId="77777777" w:rsidR="00C45D59" w:rsidRDefault="009B0962" w:rsidP="00892E7E">
            <w:pPr>
              <w:pStyle w:val="P68B1DB1-Normal23"/>
              <w:spacing w:after="0" w:line="240" w:lineRule="auto"/>
              <w:rPr>
                <w:noProof/>
              </w:rPr>
            </w:pPr>
            <w:r>
              <w:rPr>
                <w:noProof/>
              </w:rPr>
              <w:t>Lucrări de restaurare executate</w:t>
            </w:r>
          </w:p>
        </w:tc>
        <w:tc>
          <w:tcPr>
            <w:tcW w:w="992" w:type="dxa"/>
            <w:shd w:val="clear" w:color="auto" w:fill="C6EFCE"/>
            <w:noWrap/>
          </w:tcPr>
          <w:p w14:paraId="6EAAB016" w14:textId="77777777" w:rsidR="00C45D59" w:rsidRDefault="00C45D59" w:rsidP="00892E7E">
            <w:pPr>
              <w:spacing w:after="0" w:line="240" w:lineRule="auto"/>
              <w:rPr>
                <w:rFonts w:ascii="Times New Roman" w:eastAsia="Times New Roman" w:hAnsi="Times New Roman" w:cs="Times New Roman"/>
                <w:noProof/>
                <w:color w:val="006100"/>
                <w:sz w:val="18"/>
                <w:szCs w:val="18"/>
              </w:rPr>
            </w:pPr>
          </w:p>
        </w:tc>
        <w:tc>
          <w:tcPr>
            <w:tcW w:w="857" w:type="dxa"/>
            <w:shd w:val="clear" w:color="auto" w:fill="C6EFCE"/>
            <w:noWrap/>
          </w:tcPr>
          <w:p w14:paraId="253227BE" w14:textId="77777777" w:rsidR="00C45D59" w:rsidRDefault="00C45D59" w:rsidP="00892E7E">
            <w:pPr>
              <w:spacing w:after="0" w:line="240" w:lineRule="auto"/>
              <w:rPr>
                <w:rFonts w:ascii="Times New Roman" w:eastAsia="Times New Roman" w:hAnsi="Times New Roman" w:cs="Times New Roman"/>
                <w:noProof/>
                <w:color w:val="006100"/>
                <w:sz w:val="18"/>
                <w:szCs w:val="18"/>
              </w:rPr>
            </w:pPr>
          </w:p>
        </w:tc>
        <w:tc>
          <w:tcPr>
            <w:tcW w:w="844" w:type="dxa"/>
            <w:shd w:val="clear" w:color="auto" w:fill="C6EFCE"/>
            <w:noWrap/>
          </w:tcPr>
          <w:p w14:paraId="102B5F4C" w14:textId="77777777" w:rsidR="00C45D59" w:rsidRDefault="00C45D59" w:rsidP="00892E7E">
            <w:pPr>
              <w:spacing w:after="0" w:line="240" w:lineRule="auto"/>
              <w:rPr>
                <w:rFonts w:ascii="Times New Roman" w:eastAsia="Times New Roman" w:hAnsi="Times New Roman" w:cs="Times New Roman"/>
                <w:noProof/>
                <w:color w:val="006100"/>
                <w:sz w:val="18"/>
                <w:szCs w:val="18"/>
              </w:rPr>
            </w:pPr>
          </w:p>
        </w:tc>
        <w:tc>
          <w:tcPr>
            <w:tcW w:w="846" w:type="dxa"/>
            <w:shd w:val="clear" w:color="auto" w:fill="C6EFCE"/>
            <w:noWrap/>
          </w:tcPr>
          <w:p w14:paraId="6AF38DB8" w14:textId="77777777" w:rsidR="00C45D59" w:rsidRDefault="009B0962" w:rsidP="00892E7E">
            <w:pPr>
              <w:pStyle w:val="P68B1DB1-Normal12"/>
              <w:spacing w:after="0" w:line="240" w:lineRule="auto"/>
              <w:rPr>
                <w:rFonts w:eastAsia="Times New Roman"/>
                <w:noProof/>
              </w:rPr>
            </w:pPr>
            <w:r>
              <w:rPr>
                <w:noProof/>
              </w:rPr>
              <w:t>Î4</w:t>
            </w:r>
          </w:p>
        </w:tc>
        <w:tc>
          <w:tcPr>
            <w:tcW w:w="713" w:type="dxa"/>
            <w:shd w:val="clear" w:color="auto" w:fill="C6EFCE"/>
            <w:noWrap/>
          </w:tcPr>
          <w:p w14:paraId="1C90C501" w14:textId="77777777" w:rsidR="00C45D59" w:rsidRDefault="009B0962" w:rsidP="00892E7E">
            <w:pPr>
              <w:pStyle w:val="P68B1DB1-Normal12"/>
              <w:spacing w:after="0" w:line="240" w:lineRule="auto"/>
              <w:rPr>
                <w:rFonts w:eastAsia="Times New Roman"/>
                <w:noProof/>
              </w:rPr>
            </w:pPr>
            <w:r>
              <w:rPr>
                <w:noProof/>
              </w:rPr>
              <w:t>2025</w:t>
            </w:r>
          </w:p>
        </w:tc>
        <w:tc>
          <w:tcPr>
            <w:tcW w:w="3402" w:type="dxa"/>
            <w:shd w:val="clear" w:color="auto" w:fill="C6EFCE"/>
            <w:noWrap/>
          </w:tcPr>
          <w:p w14:paraId="78E28642" w14:textId="5F437ED5" w:rsidR="00C45D59" w:rsidRDefault="009B0962" w:rsidP="00892E7E">
            <w:pPr>
              <w:pStyle w:val="P68B1DB1-Normal12"/>
              <w:spacing w:after="0" w:line="240" w:lineRule="auto"/>
              <w:rPr>
                <w:rFonts w:eastAsia="Times New Roman"/>
                <w:noProof/>
              </w:rPr>
            </w:pPr>
            <w:r>
              <w:rPr>
                <w:noProof/>
              </w:rPr>
              <w:t>Lucrări de restaurare executate în 132 de locații ale rețelei rutiere din zonele afectate de furtunile „DANIEL” și „ELIAS”.</w:t>
            </w:r>
          </w:p>
        </w:tc>
      </w:tr>
      <w:tr w:rsidR="00C45D59" w14:paraId="703ADBF0" w14:textId="77777777" w:rsidTr="00892E7E">
        <w:trPr>
          <w:trHeight w:val="1815"/>
        </w:trPr>
        <w:tc>
          <w:tcPr>
            <w:tcW w:w="591" w:type="dxa"/>
            <w:shd w:val="clear" w:color="auto" w:fill="C6EFCE"/>
            <w:noWrap/>
          </w:tcPr>
          <w:p w14:paraId="68F60A7B" w14:textId="33312516" w:rsidR="00C45D59" w:rsidRDefault="009B0962" w:rsidP="00892E7E">
            <w:pPr>
              <w:pStyle w:val="P68B1DB1-Normal12"/>
              <w:spacing w:after="0" w:line="240" w:lineRule="auto"/>
              <w:rPr>
                <w:noProof/>
              </w:rPr>
            </w:pPr>
            <w:r>
              <w:rPr>
                <w:noProof/>
              </w:rPr>
              <w:t>349a</w:t>
            </w:r>
          </w:p>
        </w:tc>
        <w:tc>
          <w:tcPr>
            <w:tcW w:w="2665" w:type="dxa"/>
            <w:shd w:val="clear" w:color="auto" w:fill="C6EFCE"/>
            <w:noWrap/>
          </w:tcPr>
          <w:p w14:paraId="41FD0233" w14:textId="45076D92" w:rsidR="00C45D59" w:rsidRDefault="009B0962" w:rsidP="00892E7E">
            <w:pPr>
              <w:pStyle w:val="P68B1DB1-Normal12"/>
              <w:spacing w:after="0" w:line="240" w:lineRule="auto"/>
              <w:rPr>
                <w:noProof/>
              </w:rPr>
            </w:pPr>
            <w:r>
              <w:rPr>
                <w:noProof/>
              </w:rPr>
              <w:t>17-4.6. Modernizarea și îmbunătățirea rezilienței sectoarelor economice cheie – 16999_Lucrări de refacere în urma efectelor devastatoare ale furtunilor „DANIEL”, „ELIAS” și „IANOS”</w:t>
            </w:r>
          </w:p>
        </w:tc>
        <w:tc>
          <w:tcPr>
            <w:tcW w:w="1134" w:type="dxa"/>
            <w:shd w:val="clear" w:color="auto" w:fill="C6EFCE"/>
            <w:noWrap/>
          </w:tcPr>
          <w:p w14:paraId="224A3F7D" w14:textId="670E01FA" w:rsidR="00C45D59" w:rsidRDefault="009B0962" w:rsidP="00892E7E">
            <w:pPr>
              <w:pStyle w:val="P68B1DB1-Normal12"/>
              <w:spacing w:after="0" w:line="240" w:lineRule="auto"/>
              <w:rPr>
                <w:noProof/>
              </w:rPr>
            </w:pPr>
            <w:r>
              <w:rPr>
                <w:noProof/>
              </w:rPr>
              <w:t>Etapă</w:t>
            </w:r>
          </w:p>
        </w:tc>
        <w:tc>
          <w:tcPr>
            <w:tcW w:w="1842" w:type="dxa"/>
            <w:shd w:val="clear" w:color="auto" w:fill="C6EFCE"/>
            <w:noWrap/>
          </w:tcPr>
          <w:p w14:paraId="1572538A" w14:textId="2100418A" w:rsidR="00C45D59" w:rsidRDefault="009B0962" w:rsidP="00892E7E">
            <w:pPr>
              <w:pStyle w:val="P68B1DB1-Normal12"/>
              <w:spacing w:after="0" w:line="240" w:lineRule="auto"/>
              <w:rPr>
                <w:noProof/>
              </w:rPr>
            </w:pPr>
            <w:r>
              <w:rPr>
                <w:noProof/>
              </w:rPr>
              <w:t>Restaurarea tronsoanelor rutiere</w:t>
            </w:r>
          </w:p>
        </w:tc>
        <w:tc>
          <w:tcPr>
            <w:tcW w:w="2127" w:type="dxa"/>
            <w:shd w:val="clear" w:color="auto" w:fill="C6EFCE"/>
            <w:noWrap/>
          </w:tcPr>
          <w:p w14:paraId="5DFB804A" w14:textId="75E62898" w:rsidR="00C45D59" w:rsidRDefault="009B0962" w:rsidP="00892E7E">
            <w:pPr>
              <w:pStyle w:val="P68B1DB1-Normal23"/>
              <w:spacing w:after="0" w:line="240" w:lineRule="auto"/>
              <w:rPr>
                <w:noProof/>
              </w:rPr>
            </w:pPr>
            <w:r>
              <w:rPr>
                <w:noProof/>
              </w:rPr>
              <w:t>Lucrări de restaurare executate </w:t>
            </w:r>
          </w:p>
        </w:tc>
        <w:tc>
          <w:tcPr>
            <w:tcW w:w="992" w:type="dxa"/>
            <w:shd w:val="clear" w:color="auto" w:fill="C6EFCE"/>
            <w:noWrap/>
          </w:tcPr>
          <w:p w14:paraId="147588B4" w14:textId="77777777" w:rsidR="00C45D59" w:rsidRDefault="00C45D59" w:rsidP="00892E7E">
            <w:pPr>
              <w:spacing w:after="0" w:line="240" w:lineRule="auto"/>
              <w:rPr>
                <w:rFonts w:ascii="Times New Roman" w:eastAsia="Times New Roman" w:hAnsi="Times New Roman" w:cs="Times New Roman"/>
                <w:noProof/>
                <w:color w:val="006100"/>
                <w:sz w:val="18"/>
                <w:szCs w:val="18"/>
              </w:rPr>
            </w:pPr>
          </w:p>
        </w:tc>
        <w:tc>
          <w:tcPr>
            <w:tcW w:w="857" w:type="dxa"/>
            <w:shd w:val="clear" w:color="auto" w:fill="C6EFCE"/>
            <w:noWrap/>
          </w:tcPr>
          <w:p w14:paraId="7C0A117E" w14:textId="77777777" w:rsidR="00C45D59" w:rsidRDefault="00C45D59" w:rsidP="00892E7E">
            <w:pPr>
              <w:spacing w:after="0" w:line="240" w:lineRule="auto"/>
              <w:rPr>
                <w:rFonts w:ascii="Times New Roman" w:eastAsia="Times New Roman" w:hAnsi="Times New Roman" w:cs="Times New Roman"/>
                <w:noProof/>
                <w:color w:val="006100"/>
                <w:sz w:val="18"/>
                <w:szCs w:val="18"/>
              </w:rPr>
            </w:pPr>
          </w:p>
        </w:tc>
        <w:tc>
          <w:tcPr>
            <w:tcW w:w="844" w:type="dxa"/>
            <w:shd w:val="clear" w:color="auto" w:fill="C6EFCE"/>
            <w:noWrap/>
          </w:tcPr>
          <w:p w14:paraId="294E0024" w14:textId="77777777" w:rsidR="00C45D59" w:rsidRDefault="00C45D59" w:rsidP="00892E7E">
            <w:pPr>
              <w:spacing w:after="0" w:line="240" w:lineRule="auto"/>
              <w:rPr>
                <w:rFonts w:ascii="Times New Roman" w:eastAsia="Times New Roman" w:hAnsi="Times New Roman" w:cs="Times New Roman"/>
                <w:noProof/>
                <w:color w:val="006100"/>
                <w:sz w:val="18"/>
                <w:szCs w:val="18"/>
              </w:rPr>
            </w:pPr>
          </w:p>
        </w:tc>
        <w:tc>
          <w:tcPr>
            <w:tcW w:w="846" w:type="dxa"/>
            <w:shd w:val="clear" w:color="auto" w:fill="C6EFCE"/>
            <w:noWrap/>
          </w:tcPr>
          <w:p w14:paraId="3068382D" w14:textId="19B0556B" w:rsidR="00C45D59" w:rsidRDefault="009B0962" w:rsidP="00892E7E">
            <w:pPr>
              <w:pStyle w:val="P68B1DB1-Normal12"/>
              <w:spacing w:after="0" w:line="240" w:lineRule="auto"/>
              <w:rPr>
                <w:noProof/>
              </w:rPr>
            </w:pPr>
            <w:r>
              <w:rPr>
                <w:noProof/>
              </w:rPr>
              <w:t>Î1</w:t>
            </w:r>
          </w:p>
        </w:tc>
        <w:tc>
          <w:tcPr>
            <w:tcW w:w="713" w:type="dxa"/>
            <w:shd w:val="clear" w:color="auto" w:fill="C6EFCE"/>
            <w:noWrap/>
          </w:tcPr>
          <w:p w14:paraId="293FDAAF" w14:textId="1CC9A9A3" w:rsidR="00C45D59" w:rsidRDefault="009B0962" w:rsidP="00892E7E">
            <w:pPr>
              <w:pStyle w:val="P68B1DB1-Normal12"/>
              <w:spacing w:after="0" w:line="240" w:lineRule="auto"/>
              <w:rPr>
                <w:noProof/>
              </w:rPr>
            </w:pPr>
            <w:r>
              <w:rPr>
                <w:noProof/>
              </w:rPr>
              <w:t>2025</w:t>
            </w:r>
          </w:p>
        </w:tc>
        <w:tc>
          <w:tcPr>
            <w:tcW w:w="3402" w:type="dxa"/>
            <w:shd w:val="clear" w:color="auto" w:fill="C6EFCE"/>
            <w:noWrap/>
          </w:tcPr>
          <w:p w14:paraId="11B5383B" w14:textId="7F7D9BCA" w:rsidR="00C45D59" w:rsidRDefault="009B0962" w:rsidP="00892E7E">
            <w:pPr>
              <w:pStyle w:val="P68B1DB1-Normal12"/>
              <w:spacing w:after="0" w:line="240" w:lineRule="auto"/>
              <w:rPr>
                <w:noProof/>
              </w:rPr>
            </w:pPr>
            <w:r>
              <w:rPr>
                <w:noProof/>
              </w:rPr>
              <w:t>Lucrări de restaurare executate pe 28 tronsoane rutiere ale rețelei în zonele afectate de ciclonul „IANOS”.</w:t>
            </w:r>
          </w:p>
        </w:tc>
      </w:tr>
      <w:tr w:rsidR="00C45D59" w14:paraId="55AE70B6" w14:textId="77777777" w:rsidTr="00892E7E">
        <w:trPr>
          <w:trHeight w:val="313"/>
        </w:trPr>
        <w:tc>
          <w:tcPr>
            <w:tcW w:w="591" w:type="dxa"/>
            <w:shd w:val="clear" w:color="auto" w:fill="C6EFCE"/>
          </w:tcPr>
          <w:p w14:paraId="7A8F8EA9" w14:textId="77777777" w:rsidR="00C45D59" w:rsidRDefault="009B0962" w:rsidP="00892E7E">
            <w:pPr>
              <w:pStyle w:val="P68B1DB1-Normal12"/>
              <w:spacing w:after="0" w:line="240" w:lineRule="auto"/>
              <w:rPr>
                <w:rFonts w:eastAsia="Times New Roman"/>
                <w:noProof/>
              </w:rPr>
            </w:pPr>
            <w:r>
              <w:rPr>
                <w:noProof/>
              </w:rPr>
              <w:t>350</w:t>
            </w:r>
          </w:p>
        </w:tc>
        <w:tc>
          <w:tcPr>
            <w:tcW w:w="2665" w:type="dxa"/>
            <w:shd w:val="clear" w:color="auto" w:fill="C6EFCE"/>
          </w:tcPr>
          <w:p w14:paraId="7060F402" w14:textId="0680AE51" w:rsidR="00C45D59" w:rsidRDefault="009B0962" w:rsidP="00892E7E">
            <w:pPr>
              <w:pStyle w:val="P68B1DB1-Normal12"/>
              <w:spacing w:after="0" w:line="240" w:lineRule="auto"/>
              <w:rPr>
                <w:rFonts w:eastAsia="Times New Roman"/>
                <w:noProof/>
              </w:rPr>
            </w:pPr>
            <w:r>
              <w:rPr>
                <w:noProof/>
              </w:rPr>
              <w:t>17-4.6. Modernizarea și îmbunătățirea rezilienței sectoarelor economice cheie – 16999_Lucrări de refacere în urma efectelor devastatoare ale furtunilor „DANIEL”, „ELIAS” și „IANOS”</w:t>
            </w:r>
          </w:p>
        </w:tc>
        <w:tc>
          <w:tcPr>
            <w:tcW w:w="1134" w:type="dxa"/>
            <w:shd w:val="clear" w:color="auto" w:fill="C6EFCE"/>
          </w:tcPr>
          <w:p w14:paraId="527DF26D" w14:textId="77777777" w:rsidR="00C45D59" w:rsidRDefault="009B0962" w:rsidP="00892E7E">
            <w:pPr>
              <w:pStyle w:val="P68B1DB1-Normal12"/>
              <w:spacing w:after="0" w:line="240" w:lineRule="auto"/>
              <w:rPr>
                <w:rFonts w:eastAsia="Times New Roman"/>
                <w:noProof/>
              </w:rPr>
            </w:pPr>
            <w:r>
              <w:rPr>
                <w:noProof/>
              </w:rPr>
              <w:t>Etapă</w:t>
            </w:r>
          </w:p>
        </w:tc>
        <w:tc>
          <w:tcPr>
            <w:tcW w:w="1842" w:type="dxa"/>
            <w:shd w:val="clear" w:color="auto" w:fill="C6EFCE"/>
          </w:tcPr>
          <w:p w14:paraId="44CA299F" w14:textId="50465D45" w:rsidR="00C45D59" w:rsidRDefault="009B0962" w:rsidP="00892E7E">
            <w:pPr>
              <w:pStyle w:val="P68B1DB1-Normal12"/>
              <w:spacing w:after="0" w:line="240" w:lineRule="auto"/>
              <w:rPr>
                <w:rFonts w:eastAsia="Times New Roman"/>
                <w:noProof/>
              </w:rPr>
            </w:pPr>
            <w:r>
              <w:rPr>
                <w:noProof/>
              </w:rPr>
              <w:t>Lucrări de restaurare a căilor ferate executate</w:t>
            </w:r>
          </w:p>
        </w:tc>
        <w:tc>
          <w:tcPr>
            <w:tcW w:w="2127" w:type="dxa"/>
            <w:shd w:val="clear" w:color="auto" w:fill="C6EFCE"/>
          </w:tcPr>
          <w:p w14:paraId="1AAB936D" w14:textId="4D85215B" w:rsidR="00C45D59" w:rsidRDefault="009B0962" w:rsidP="00892E7E">
            <w:pPr>
              <w:pStyle w:val="P68B1DB1-Normal12"/>
              <w:spacing w:after="0" w:line="240" w:lineRule="auto"/>
              <w:rPr>
                <w:noProof/>
              </w:rPr>
            </w:pPr>
            <w:r>
              <w:rPr>
                <w:noProof/>
              </w:rPr>
              <w:t>Lucrări de restaurare a căilor ferate executate</w:t>
            </w:r>
          </w:p>
        </w:tc>
        <w:tc>
          <w:tcPr>
            <w:tcW w:w="992" w:type="dxa"/>
            <w:shd w:val="clear" w:color="auto" w:fill="C6EFCE"/>
          </w:tcPr>
          <w:p w14:paraId="43438E32" w14:textId="77777777" w:rsidR="00C45D59" w:rsidRDefault="00C45D59" w:rsidP="00892E7E">
            <w:pPr>
              <w:spacing w:after="0" w:line="240" w:lineRule="auto"/>
              <w:rPr>
                <w:rFonts w:ascii="Times New Roman" w:eastAsia="Times New Roman" w:hAnsi="Times New Roman" w:cs="Times New Roman"/>
                <w:noProof/>
                <w:color w:val="006100"/>
                <w:sz w:val="18"/>
                <w:szCs w:val="18"/>
              </w:rPr>
            </w:pPr>
          </w:p>
        </w:tc>
        <w:tc>
          <w:tcPr>
            <w:tcW w:w="857" w:type="dxa"/>
            <w:shd w:val="clear" w:color="auto" w:fill="C6EFCE"/>
          </w:tcPr>
          <w:p w14:paraId="11B2E697" w14:textId="77777777" w:rsidR="00C45D59" w:rsidRDefault="00C45D59" w:rsidP="00892E7E">
            <w:pPr>
              <w:spacing w:after="0" w:line="240" w:lineRule="auto"/>
              <w:rPr>
                <w:rFonts w:ascii="Times New Roman" w:eastAsia="Times New Roman" w:hAnsi="Times New Roman" w:cs="Times New Roman"/>
                <w:noProof/>
                <w:color w:val="006100"/>
                <w:sz w:val="18"/>
                <w:szCs w:val="18"/>
              </w:rPr>
            </w:pPr>
          </w:p>
        </w:tc>
        <w:tc>
          <w:tcPr>
            <w:tcW w:w="844" w:type="dxa"/>
            <w:shd w:val="clear" w:color="auto" w:fill="C6EFCE"/>
          </w:tcPr>
          <w:p w14:paraId="1744DAD7" w14:textId="77777777" w:rsidR="00C45D59" w:rsidRDefault="00C45D59" w:rsidP="00892E7E">
            <w:pPr>
              <w:spacing w:after="0" w:line="240" w:lineRule="auto"/>
              <w:rPr>
                <w:rFonts w:ascii="Times New Roman" w:eastAsia="Times New Roman" w:hAnsi="Times New Roman" w:cs="Times New Roman"/>
                <w:noProof/>
                <w:color w:val="006100"/>
                <w:sz w:val="18"/>
                <w:szCs w:val="18"/>
              </w:rPr>
            </w:pPr>
          </w:p>
        </w:tc>
        <w:tc>
          <w:tcPr>
            <w:tcW w:w="846" w:type="dxa"/>
            <w:shd w:val="clear" w:color="auto" w:fill="C6EFCE"/>
          </w:tcPr>
          <w:p w14:paraId="478C357C" w14:textId="77777777" w:rsidR="00C45D59" w:rsidRDefault="009B0962" w:rsidP="00892E7E">
            <w:pPr>
              <w:pStyle w:val="P68B1DB1-Normal12"/>
              <w:spacing w:after="0" w:line="240" w:lineRule="auto"/>
              <w:rPr>
                <w:rFonts w:eastAsia="Times New Roman"/>
                <w:noProof/>
              </w:rPr>
            </w:pPr>
            <w:r>
              <w:rPr>
                <w:noProof/>
              </w:rPr>
              <w:t>Î4</w:t>
            </w:r>
          </w:p>
        </w:tc>
        <w:tc>
          <w:tcPr>
            <w:tcW w:w="713" w:type="dxa"/>
            <w:shd w:val="clear" w:color="auto" w:fill="C6EFCE"/>
          </w:tcPr>
          <w:p w14:paraId="68ECA58B" w14:textId="77777777" w:rsidR="00C45D59" w:rsidRDefault="009B0962" w:rsidP="00892E7E">
            <w:pPr>
              <w:pStyle w:val="P68B1DB1-Normal12"/>
              <w:spacing w:after="0" w:line="240" w:lineRule="auto"/>
              <w:rPr>
                <w:rFonts w:eastAsia="Times New Roman"/>
                <w:noProof/>
              </w:rPr>
            </w:pPr>
            <w:r>
              <w:rPr>
                <w:noProof/>
              </w:rPr>
              <w:t>2025</w:t>
            </w:r>
          </w:p>
        </w:tc>
        <w:tc>
          <w:tcPr>
            <w:tcW w:w="3402" w:type="dxa"/>
            <w:shd w:val="clear" w:color="auto" w:fill="C6EFCE"/>
          </w:tcPr>
          <w:p w14:paraId="7FC1CFFA" w14:textId="4EFD1D7C" w:rsidR="00C45D59" w:rsidRDefault="009B0962" w:rsidP="00892E7E">
            <w:pPr>
              <w:pStyle w:val="P68B1DB1-Normal12"/>
              <w:spacing w:after="0" w:line="240" w:lineRule="auto"/>
              <w:rPr>
                <w:noProof/>
              </w:rPr>
            </w:pPr>
            <w:r>
              <w:rPr>
                <w:noProof/>
              </w:rPr>
              <w:t>Certificate de finalizare care confirmă executarea lucrărilor de restaurare în părți ale rețelei feroviare și, în special:</w:t>
            </w:r>
          </w:p>
          <w:p w14:paraId="49549F02" w14:textId="0C6998E5" w:rsidR="00C45D59" w:rsidRDefault="009B0962" w:rsidP="00892E7E">
            <w:pPr>
              <w:pStyle w:val="P68B1DB1-Normal12"/>
              <w:spacing w:after="0" w:line="240" w:lineRule="auto"/>
              <w:rPr>
                <w:noProof/>
              </w:rPr>
            </w:pPr>
            <w:r>
              <w:rPr>
                <w:noProof/>
              </w:rPr>
              <w:t>tronsoanele de la Domokos la Krannona ale axei principale Atena-Salonic;</w:t>
            </w:r>
          </w:p>
          <w:p w14:paraId="4E64ECDD" w14:textId="77777777" w:rsidR="00C45D59" w:rsidRDefault="009B0962" w:rsidP="00892E7E">
            <w:pPr>
              <w:pStyle w:val="P68B1DB1-Normal12"/>
              <w:spacing w:after="0" w:line="240" w:lineRule="auto"/>
              <w:rPr>
                <w:noProof/>
              </w:rPr>
            </w:pPr>
            <w:r>
              <w:rPr>
                <w:noProof/>
              </w:rPr>
              <w:t>tronsoanele de la Larissa la Kypseli ale axei Larissa-Volos, readuse la stratul de formare a șinelor</w:t>
            </w:r>
          </w:p>
          <w:p w14:paraId="10DFABA9" w14:textId="77777777" w:rsidR="00C45D59" w:rsidRDefault="009B0962" w:rsidP="00892E7E">
            <w:pPr>
              <w:pStyle w:val="P68B1DB1-Normal12"/>
              <w:spacing w:after="0" w:line="240" w:lineRule="auto"/>
              <w:rPr>
                <w:noProof/>
              </w:rPr>
            </w:pPr>
            <w:r>
              <w:rPr>
                <w:noProof/>
              </w:rPr>
              <w:t>— Paleofarsalos – Kalambaka,</w:t>
            </w:r>
          </w:p>
          <w:p w14:paraId="6FC92FE8" w14:textId="77777777" w:rsidR="00C45D59" w:rsidRDefault="009B0962" w:rsidP="00892E7E">
            <w:pPr>
              <w:pStyle w:val="P68B1DB1-Normal12"/>
              <w:spacing w:after="0" w:line="240" w:lineRule="auto"/>
              <w:rPr>
                <w:noProof/>
              </w:rPr>
            </w:pPr>
            <w:r>
              <w:rPr>
                <w:noProof/>
              </w:rPr>
              <w:t>— Linia Pelion.</w:t>
            </w:r>
          </w:p>
          <w:p w14:paraId="2598101A" w14:textId="171713B1" w:rsidR="00C45D59" w:rsidRDefault="009B0962" w:rsidP="00892E7E">
            <w:pPr>
              <w:pStyle w:val="P68B1DB1-Normal12"/>
              <w:spacing w:after="0" w:line="240" w:lineRule="auto"/>
              <w:rPr>
                <w:noProof/>
              </w:rPr>
            </w:pPr>
            <w:r>
              <w:rPr>
                <w:noProof/>
              </w:rPr>
              <w:t>Stabilirea unui plan de achiziții pentru investițiile aferente în siguranța feroviară și pentru întreținerea periodică a acestor tronsoane ale rețelei feroviare, indicând calendarul pentru achiziționarea, instalarea, testarea și punerea în funcțiune a tuturor sistemelor ERTMS, precum și pentru stabilirea unui (unor) acord (acorduri) pe termen lung pentru furnizarea de servicii de întreținere periodică.</w:t>
            </w:r>
          </w:p>
        </w:tc>
      </w:tr>
      <w:tr w:rsidR="00C45D59" w14:paraId="0EC1BE1F" w14:textId="77777777" w:rsidTr="00892E7E">
        <w:trPr>
          <w:trHeight w:val="300"/>
        </w:trPr>
        <w:tc>
          <w:tcPr>
            <w:tcW w:w="591" w:type="dxa"/>
            <w:shd w:val="clear" w:color="auto" w:fill="C6EFCE"/>
          </w:tcPr>
          <w:p w14:paraId="2026E9F5" w14:textId="77777777" w:rsidR="00C45D59" w:rsidRDefault="009B0962" w:rsidP="00892E7E">
            <w:pPr>
              <w:pStyle w:val="P68B1DB1-Normal12"/>
              <w:spacing w:after="0" w:line="240" w:lineRule="auto"/>
              <w:rPr>
                <w:rFonts w:eastAsia="Times New Roman"/>
                <w:noProof/>
              </w:rPr>
            </w:pPr>
            <w:r>
              <w:rPr>
                <w:noProof/>
              </w:rPr>
              <w:t>350a</w:t>
            </w:r>
          </w:p>
          <w:p w14:paraId="0FEA2ECE" w14:textId="77777777" w:rsidR="00C45D59" w:rsidRDefault="00C45D59" w:rsidP="00892E7E">
            <w:pPr>
              <w:spacing w:after="0" w:line="240" w:lineRule="auto"/>
              <w:rPr>
                <w:rFonts w:ascii="Times New Roman" w:eastAsia="Times New Roman" w:hAnsi="Times New Roman" w:cs="Times New Roman"/>
                <w:noProof/>
                <w:color w:val="006100"/>
                <w:sz w:val="18"/>
                <w:szCs w:val="18"/>
              </w:rPr>
            </w:pPr>
          </w:p>
        </w:tc>
        <w:tc>
          <w:tcPr>
            <w:tcW w:w="2665" w:type="dxa"/>
            <w:shd w:val="clear" w:color="auto" w:fill="C6EFCE"/>
          </w:tcPr>
          <w:p w14:paraId="26123D4D" w14:textId="6FC87A3C" w:rsidR="00C45D59" w:rsidRDefault="009B0962" w:rsidP="00892E7E">
            <w:pPr>
              <w:pStyle w:val="P68B1DB1-Normal12"/>
              <w:spacing w:after="0" w:line="240" w:lineRule="auto"/>
              <w:rPr>
                <w:rFonts w:eastAsia="Times New Roman"/>
                <w:noProof/>
              </w:rPr>
            </w:pPr>
            <w:r>
              <w:rPr>
                <w:noProof/>
              </w:rPr>
              <w:t xml:space="preserve"> — 4.6. Modernizarea și îmbunătățirea rezilienței sectoarelor economice cheie – 16999_Lucrări de refacere în urma efectelor devastatoare ale furtunilor „DANIEL”, „ELIAS” și „IANOS”</w:t>
            </w:r>
          </w:p>
          <w:p w14:paraId="24C669BF" w14:textId="77777777" w:rsidR="00C45D59" w:rsidRDefault="00C45D59" w:rsidP="00892E7E">
            <w:pPr>
              <w:spacing w:after="0" w:line="240" w:lineRule="auto"/>
              <w:rPr>
                <w:rFonts w:ascii="Times New Roman" w:eastAsia="Times New Roman" w:hAnsi="Times New Roman" w:cs="Times New Roman"/>
                <w:noProof/>
                <w:color w:val="006100"/>
                <w:sz w:val="18"/>
                <w:szCs w:val="18"/>
              </w:rPr>
            </w:pPr>
          </w:p>
        </w:tc>
        <w:tc>
          <w:tcPr>
            <w:tcW w:w="1134" w:type="dxa"/>
            <w:shd w:val="clear" w:color="auto" w:fill="C6EFCE"/>
          </w:tcPr>
          <w:p w14:paraId="6AD395C2" w14:textId="77777777" w:rsidR="00C45D59" w:rsidRDefault="009B0962" w:rsidP="00892E7E">
            <w:pPr>
              <w:pStyle w:val="P68B1DB1-Normal12"/>
              <w:spacing w:after="0" w:line="240" w:lineRule="auto"/>
              <w:rPr>
                <w:rFonts w:eastAsia="Times New Roman"/>
                <w:noProof/>
              </w:rPr>
            </w:pPr>
            <w:r>
              <w:rPr>
                <w:noProof/>
              </w:rPr>
              <w:t>Etapă</w:t>
            </w:r>
          </w:p>
        </w:tc>
        <w:tc>
          <w:tcPr>
            <w:tcW w:w="1842" w:type="dxa"/>
            <w:shd w:val="clear" w:color="auto" w:fill="C6EFCE"/>
          </w:tcPr>
          <w:p w14:paraId="73FDDCD7" w14:textId="3EF7AB23" w:rsidR="00C45D59" w:rsidRDefault="009B0962" w:rsidP="00892E7E">
            <w:pPr>
              <w:pStyle w:val="P68B1DB1-Normal27"/>
              <w:spacing w:after="0" w:line="240" w:lineRule="auto"/>
              <w:rPr>
                <w:noProof/>
              </w:rPr>
            </w:pPr>
            <w:r>
              <w:rPr>
                <w:noProof/>
              </w:rPr>
              <w:t>Sisteme de semnalizare feroviară și de detectare a trenurilor și ETCS</w:t>
            </w:r>
          </w:p>
        </w:tc>
        <w:tc>
          <w:tcPr>
            <w:tcW w:w="2127" w:type="dxa"/>
            <w:shd w:val="clear" w:color="auto" w:fill="C6EFCE"/>
          </w:tcPr>
          <w:p w14:paraId="6D0E1BB0" w14:textId="65E9FB90" w:rsidR="00C45D59" w:rsidRDefault="009B0962" w:rsidP="00892E7E">
            <w:pPr>
              <w:pStyle w:val="P68B1DB1-Normal27"/>
              <w:spacing w:after="0" w:line="240" w:lineRule="auto"/>
              <w:rPr>
                <w:noProof/>
              </w:rPr>
            </w:pPr>
            <w:r>
              <w:rPr>
                <w:noProof/>
              </w:rPr>
              <w:t>Instalarea sistemelor de semnalizare feroviară și de detectare a trenurilor și a echipamentelor ETCS de cale de nivel 1 de la Paleofarsalos la Krannona</w:t>
            </w:r>
          </w:p>
        </w:tc>
        <w:tc>
          <w:tcPr>
            <w:tcW w:w="992" w:type="dxa"/>
            <w:shd w:val="clear" w:color="auto" w:fill="C6EFCE"/>
          </w:tcPr>
          <w:p w14:paraId="51492B3E" w14:textId="77777777" w:rsidR="00C45D59" w:rsidRDefault="00C45D59" w:rsidP="00892E7E">
            <w:pPr>
              <w:spacing w:after="0" w:line="240" w:lineRule="auto"/>
              <w:rPr>
                <w:rFonts w:ascii="Times New Roman" w:eastAsia="Times New Roman" w:hAnsi="Times New Roman" w:cs="Times New Roman"/>
                <w:noProof/>
                <w:color w:val="006100"/>
                <w:sz w:val="18"/>
                <w:szCs w:val="18"/>
              </w:rPr>
            </w:pPr>
          </w:p>
        </w:tc>
        <w:tc>
          <w:tcPr>
            <w:tcW w:w="857" w:type="dxa"/>
            <w:shd w:val="clear" w:color="auto" w:fill="C6EFCE"/>
          </w:tcPr>
          <w:p w14:paraId="7F0CD08C" w14:textId="77777777" w:rsidR="00C45D59" w:rsidRDefault="00C45D59" w:rsidP="00892E7E">
            <w:pPr>
              <w:spacing w:after="0" w:line="240" w:lineRule="auto"/>
              <w:rPr>
                <w:rFonts w:ascii="Times New Roman" w:eastAsia="Times New Roman" w:hAnsi="Times New Roman" w:cs="Times New Roman"/>
                <w:noProof/>
                <w:color w:val="006100"/>
                <w:sz w:val="18"/>
                <w:szCs w:val="18"/>
              </w:rPr>
            </w:pPr>
          </w:p>
        </w:tc>
        <w:tc>
          <w:tcPr>
            <w:tcW w:w="844" w:type="dxa"/>
            <w:shd w:val="clear" w:color="auto" w:fill="C6EFCE"/>
          </w:tcPr>
          <w:p w14:paraId="29A981B3" w14:textId="77777777" w:rsidR="00C45D59" w:rsidRDefault="00C45D59" w:rsidP="00892E7E">
            <w:pPr>
              <w:spacing w:after="0" w:line="240" w:lineRule="auto"/>
              <w:rPr>
                <w:rFonts w:ascii="Times New Roman" w:eastAsia="Times New Roman" w:hAnsi="Times New Roman" w:cs="Times New Roman"/>
                <w:noProof/>
                <w:color w:val="006100"/>
                <w:sz w:val="18"/>
                <w:szCs w:val="18"/>
              </w:rPr>
            </w:pPr>
          </w:p>
        </w:tc>
        <w:tc>
          <w:tcPr>
            <w:tcW w:w="846" w:type="dxa"/>
            <w:shd w:val="clear" w:color="auto" w:fill="C6EFCE"/>
          </w:tcPr>
          <w:p w14:paraId="66E166CC" w14:textId="77777777" w:rsidR="00C45D59" w:rsidRDefault="009B0962" w:rsidP="00892E7E">
            <w:pPr>
              <w:pStyle w:val="P68B1DB1-Normal12"/>
              <w:spacing w:after="0" w:line="240" w:lineRule="auto"/>
              <w:rPr>
                <w:rFonts w:eastAsia="Times New Roman"/>
                <w:noProof/>
              </w:rPr>
            </w:pPr>
            <w:r>
              <w:rPr>
                <w:noProof/>
              </w:rPr>
              <w:t>Î4</w:t>
            </w:r>
          </w:p>
        </w:tc>
        <w:tc>
          <w:tcPr>
            <w:tcW w:w="713" w:type="dxa"/>
            <w:shd w:val="clear" w:color="auto" w:fill="C6EFCE"/>
          </w:tcPr>
          <w:p w14:paraId="703197D8" w14:textId="77777777" w:rsidR="00C45D59" w:rsidRDefault="009B0962" w:rsidP="00892E7E">
            <w:pPr>
              <w:pStyle w:val="P68B1DB1-Normal12"/>
              <w:spacing w:after="0" w:line="240" w:lineRule="auto"/>
              <w:rPr>
                <w:rFonts w:eastAsia="Times New Roman"/>
                <w:noProof/>
              </w:rPr>
            </w:pPr>
            <w:r>
              <w:rPr>
                <w:noProof/>
              </w:rPr>
              <w:t>2025</w:t>
            </w:r>
          </w:p>
        </w:tc>
        <w:tc>
          <w:tcPr>
            <w:tcW w:w="3402" w:type="dxa"/>
            <w:shd w:val="clear" w:color="auto" w:fill="C6EFCE"/>
          </w:tcPr>
          <w:p w14:paraId="399B1D59" w14:textId="25CFD1AF" w:rsidR="00C45D59" w:rsidRDefault="009B0962" w:rsidP="00892E7E">
            <w:pPr>
              <w:pStyle w:val="P68B1DB1-Normal27"/>
              <w:spacing w:after="0" w:line="240" w:lineRule="auto"/>
              <w:rPr>
                <w:noProof/>
              </w:rPr>
            </w:pPr>
            <w:r>
              <w:rPr>
                <w:noProof/>
              </w:rPr>
              <w:t>Certificat (e) de finalizare sau protocol (e) de acceptare care confirmă instalarea sistemelor de semnalizare feroviară și de detectare a trenurilor și a echipamentelor de cale ETCS de nivel 1 de-a lungul tronsonului de cale ferată cu linie dublă de la Paleofarsalos la Krannona.</w:t>
            </w:r>
          </w:p>
        </w:tc>
      </w:tr>
    </w:tbl>
    <w:p w14:paraId="3BF5F66F" w14:textId="2ACC34C6" w:rsidR="00C45D59" w:rsidRDefault="00892E7E">
      <w:pPr>
        <w:keepNext/>
        <w:keepLines/>
        <w:spacing w:before="40" w:after="0" w:line="240" w:lineRule="auto"/>
        <w:jc w:val="both"/>
        <w:outlineLvl w:val="4"/>
        <w:rPr>
          <w:rFonts w:ascii="Cambria" w:hAnsi="Cambria"/>
          <w:noProof/>
          <w:color w:val="365F91"/>
          <w:sz w:val="24"/>
        </w:rPr>
      </w:pPr>
      <w:r>
        <w:rPr>
          <w:rFonts w:ascii="Cambria" w:hAnsi="Cambria"/>
          <w:noProof/>
          <w:color w:val="365F91"/>
          <w:sz w:val="24"/>
        </w:rPr>
        <w:br w:type="textWrapping" w:clear="all"/>
      </w:r>
    </w:p>
    <w:p w14:paraId="0190E6D9" w14:textId="413E4AD7" w:rsidR="00C45D59" w:rsidRDefault="009B0962">
      <w:pPr>
        <w:rPr>
          <w:rFonts w:eastAsia="Times New Roman"/>
          <w:noProof/>
        </w:rPr>
      </w:pPr>
      <w:r>
        <w:rPr>
          <w:noProof/>
        </w:rPr>
        <w:t>Grupul 25: Cultură</w:t>
      </w:r>
    </w:p>
    <w:p w14:paraId="2EF4B5FA" w14:textId="77777777" w:rsidR="00C45D59" w:rsidRDefault="009B0962">
      <w:pPr>
        <w:pStyle w:val="P68B1DB1-Normal5"/>
        <w:numPr>
          <w:ilvl w:val="0"/>
          <w:numId w:val="80"/>
        </w:numPr>
        <w:spacing w:before="120" w:after="0" w:line="240" w:lineRule="auto"/>
        <w:jc w:val="both"/>
        <w:rPr>
          <w:rFonts w:cs="Times New Roman"/>
          <w:noProof/>
        </w:rPr>
      </w:pPr>
      <w:r>
        <w:rPr>
          <w:noProof/>
        </w:rPr>
        <w:t>Reforma muncii în sectorul cultural (ID: 16715)</w:t>
      </w:r>
    </w:p>
    <w:p w14:paraId="7CF5F290" w14:textId="77777777" w:rsidR="00C45D59" w:rsidRDefault="009B0962">
      <w:pPr>
        <w:pStyle w:val="P68B1DB1-Normal5"/>
        <w:numPr>
          <w:ilvl w:val="0"/>
          <w:numId w:val="80"/>
        </w:numPr>
        <w:spacing w:before="120" w:after="0" w:line="240" w:lineRule="auto"/>
        <w:jc w:val="both"/>
        <w:rPr>
          <w:rFonts w:cs="Times New Roman"/>
          <w:noProof/>
        </w:rPr>
      </w:pPr>
      <w:r>
        <w:rPr>
          <w:noProof/>
        </w:rPr>
        <w:t>Cultura ca motor al creșterii (ID: 16293)</w:t>
      </w:r>
    </w:p>
    <w:p w14:paraId="1C8E3837" w14:textId="207F72B2" w:rsidR="00C45D59" w:rsidRDefault="009B0962">
      <w:pPr>
        <w:pStyle w:val="P68B1DB1-Normal50"/>
        <w:numPr>
          <w:ilvl w:val="0"/>
          <w:numId w:val="80"/>
        </w:numPr>
        <w:spacing w:before="120" w:after="0" w:line="240" w:lineRule="auto"/>
        <w:jc w:val="both"/>
        <w:rPr>
          <w:noProof/>
        </w:rPr>
      </w:pPr>
      <w:r>
        <w:rPr>
          <w:noProof/>
        </w:rPr>
        <w:t>Muzeul antichităților subacvatice (ID: 16486)</w:t>
      </w:r>
    </w:p>
    <w:p w14:paraId="55BCC333" w14:textId="3509E543" w:rsidR="00C45D59" w:rsidRDefault="009B0962">
      <w:pPr>
        <w:pStyle w:val="P68B1DB1-Normal5"/>
        <w:numPr>
          <w:ilvl w:val="0"/>
          <w:numId w:val="80"/>
        </w:numPr>
        <w:spacing w:before="120" w:after="0" w:line="240" w:lineRule="auto"/>
        <w:jc w:val="both"/>
        <w:rPr>
          <w:rFonts w:cs="Times New Roman"/>
          <w:noProof/>
        </w:rPr>
      </w:pPr>
      <w:r>
        <w:rPr>
          <w:noProof/>
          <w:szCs w:val="24"/>
        </w:rPr>
        <w:t>Utilizarea „Acțiunilor-pilot de prescriere culturală</w:t>
      </w:r>
      <w:r>
        <w:rPr>
          <w:noProof/>
        </w:rPr>
        <w:t>”, promovarea coeziunii sociale și valorificarea economiei vârstei a treia (ID: 16735)</w:t>
      </w:r>
    </w:p>
    <w:p w14:paraId="459965C7" w14:textId="7DF672AF" w:rsidR="00C45D59" w:rsidRDefault="009B0962">
      <w:pPr>
        <w:pStyle w:val="P68B1DB1-Normal7"/>
        <w:numPr>
          <w:ilvl w:val="0"/>
          <w:numId w:val="80"/>
        </w:numPr>
        <w:spacing w:before="120" w:after="0" w:line="240" w:lineRule="auto"/>
        <w:jc w:val="both"/>
        <w:rPr>
          <w:rFonts w:cs="Times New Roman"/>
          <w:noProof/>
        </w:rPr>
      </w:pPr>
      <w:r>
        <w:rPr>
          <w:noProof/>
        </w:rPr>
        <w:t>Modernizarea infrastructurii și a echipamentelor magazinelor HOCRED (ID: 16536)</w:t>
      </w:r>
    </w:p>
    <w:p w14:paraId="28E26381" w14:textId="77777777" w:rsidR="00C45D59" w:rsidRDefault="009B0962">
      <w:pPr>
        <w:pStyle w:val="P68B1DB1-Normal5"/>
        <w:numPr>
          <w:ilvl w:val="0"/>
          <w:numId w:val="80"/>
        </w:numPr>
        <w:spacing w:before="120" w:after="0" w:line="240" w:lineRule="auto"/>
        <w:jc w:val="both"/>
        <w:rPr>
          <w:rFonts w:cs="Times New Roman"/>
          <w:noProof/>
        </w:rPr>
      </w:pPr>
      <w:r>
        <w:rPr>
          <w:noProof/>
        </w:rPr>
        <w:t>Protecția monumentelor culturale și a siturilor arheologice împotriva schimbărilor climatice (al 2-lea grup) (ID: 16433)</w:t>
      </w:r>
    </w:p>
    <w:p w14:paraId="10100809" w14:textId="77777777" w:rsidR="00C45D59" w:rsidRDefault="009B0962">
      <w:pPr>
        <w:pStyle w:val="P68B1DB1-Normal5"/>
        <w:numPr>
          <w:ilvl w:val="0"/>
          <w:numId w:val="80"/>
        </w:numPr>
        <w:spacing w:before="120" w:after="0" w:line="240" w:lineRule="auto"/>
        <w:jc w:val="both"/>
        <w:rPr>
          <w:rFonts w:cs="Times New Roman"/>
          <w:noProof/>
        </w:rPr>
      </w:pPr>
      <w:r>
        <w:rPr>
          <w:noProof/>
        </w:rPr>
        <w:t>Modernizarea învățământului superior în domeniul artelor (ID: 16725)</w:t>
      </w:r>
    </w:p>
    <w:p w14:paraId="5210EF46" w14:textId="1DABC079" w:rsidR="00C45D59" w:rsidRDefault="009B0962">
      <w:pPr>
        <w:pStyle w:val="P68B1DB1-Normal7"/>
        <w:numPr>
          <w:ilvl w:val="0"/>
          <w:numId w:val="80"/>
        </w:numPr>
        <w:spacing w:before="120" w:after="0" w:line="240" w:lineRule="auto"/>
        <w:jc w:val="both"/>
        <w:rPr>
          <w:rFonts w:cs="Times New Roman"/>
          <w:noProof/>
        </w:rPr>
      </w:pPr>
      <w:r>
        <w:rPr>
          <w:noProof/>
        </w:rPr>
        <w:t>Itinerarii culturale la siturile și monumentele arheologice (ID: 16485)</w:t>
      </w:r>
    </w:p>
    <w:p w14:paraId="6EB83E7F" w14:textId="77777777" w:rsidR="00C45D59" w:rsidRDefault="009B0962">
      <w:pPr>
        <w:pStyle w:val="P68B1DB1-Normal5"/>
        <w:numPr>
          <w:ilvl w:val="0"/>
          <w:numId w:val="80"/>
        </w:numPr>
        <w:spacing w:before="120" w:after="0" w:line="240" w:lineRule="auto"/>
        <w:jc w:val="both"/>
        <w:rPr>
          <w:rFonts w:cs="Times New Roman"/>
          <w:noProof/>
        </w:rPr>
      </w:pPr>
      <w:r>
        <w:rPr>
          <w:noProof/>
        </w:rPr>
        <w:t>Restaurare – Conservare – Consolidarea monumentelor Acropolei (ID: 16435)</w:t>
      </w:r>
    </w:p>
    <w:tbl>
      <w:tblPr>
        <w:tblW w:w="161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7"/>
        <w:gridCol w:w="2243"/>
        <w:gridCol w:w="975"/>
        <w:gridCol w:w="1276"/>
        <w:gridCol w:w="2438"/>
        <w:gridCol w:w="1106"/>
        <w:gridCol w:w="1559"/>
        <w:gridCol w:w="1134"/>
        <w:gridCol w:w="1030"/>
        <w:gridCol w:w="720"/>
        <w:gridCol w:w="3098"/>
      </w:tblGrid>
      <w:tr w:rsidR="00C45D59" w14:paraId="6566461C" w14:textId="77777777" w:rsidTr="00242B1C">
        <w:trPr>
          <w:trHeight w:val="615"/>
          <w:tblHeader/>
          <w:jc w:val="center"/>
        </w:trPr>
        <w:tc>
          <w:tcPr>
            <w:tcW w:w="527" w:type="dxa"/>
            <w:vMerge w:val="restart"/>
            <w:shd w:val="clear" w:color="auto" w:fill="BDD7EE"/>
            <w:vAlign w:val="center"/>
            <w:hideMark/>
          </w:tcPr>
          <w:p w14:paraId="2D4287D2" w14:textId="5C64DB30" w:rsidR="00C45D59" w:rsidRDefault="009B0962">
            <w:pPr>
              <w:pStyle w:val="P68B1DB1-Normal15"/>
              <w:spacing w:after="0" w:line="240" w:lineRule="auto"/>
              <w:jc w:val="center"/>
              <w:rPr>
                <w:rFonts w:eastAsia="Times New Roman"/>
                <w:noProof/>
              </w:rPr>
            </w:pPr>
            <w:r>
              <w:rPr>
                <w:noProof/>
              </w:rPr>
              <w:t>N</w:t>
            </w:r>
            <w:r w:rsidR="00242B1C">
              <w:rPr>
                <w:noProof/>
              </w:rPr>
              <w:t>r. crt</w:t>
            </w:r>
            <w:r>
              <w:rPr>
                <w:noProof/>
              </w:rPr>
              <w:t>.</w:t>
            </w:r>
          </w:p>
        </w:tc>
        <w:tc>
          <w:tcPr>
            <w:tcW w:w="2243" w:type="dxa"/>
            <w:vMerge w:val="restart"/>
            <w:shd w:val="clear" w:color="auto" w:fill="BDD7EE"/>
            <w:vAlign w:val="center"/>
            <w:hideMark/>
          </w:tcPr>
          <w:p w14:paraId="6C615C87" w14:textId="77777777" w:rsidR="00C45D59" w:rsidRDefault="009B0962">
            <w:pPr>
              <w:pStyle w:val="P68B1DB1-Normal10"/>
              <w:spacing w:after="0" w:line="240" w:lineRule="auto"/>
              <w:jc w:val="center"/>
              <w:rPr>
                <w:rFonts w:eastAsia="Times New Roman" w:cs="Times New Roman"/>
                <w:noProof/>
                <w:szCs w:val="18"/>
              </w:rPr>
            </w:pPr>
            <w:r>
              <w:rPr>
                <w:noProof/>
              </w:rPr>
              <w:t>Măsură conexă (reformă sau investiții)</w:t>
            </w:r>
          </w:p>
        </w:tc>
        <w:tc>
          <w:tcPr>
            <w:tcW w:w="975" w:type="dxa"/>
            <w:vMerge w:val="restart"/>
            <w:shd w:val="clear" w:color="auto" w:fill="BDD7EE"/>
            <w:vAlign w:val="center"/>
            <w:hideMark/>
          </w:tcPr>
          <w:p w14:paraId="6E278DB1" w14:textId="35A29658" w:rsidR="00C45D59" w:rsidRDefault="009B0962">
            <w:pPr>
              <w:pStyle w:val="P68B1DB1-Normal10"/>
              <w:spacing w:after="0" w:line="240" w:lineRule="auto"/>
              <w:jc w:val="center"/>
              <w:rPr>
                <w:rFonts w:eastAsia="Times New Roman" w:cs="Times New Roman"/>
                <w:noProof/>
                <w:szCs w:val="18"/>
              </w:rPr>
            </w:pPr>
            <w:r>
              <w:rPr>
                <w:noProof/>
              </w:rPr>
              <w:t>Etapă/</w:t>
            </w:r>
            <w:r w:rsidR="00242B1C">
              <w:rPr>
                <w:noProof/>
              </w:rPr>
              <w:t xml:space="preserve"> </w:t>
            </w:r>
            <w:r>
              <w:rPr>
                <w:noProof/>
              </w:rPr>
              <w:t>Obiectiv</w:t>
            </w:r>
          </w:p>
        </w:tc>
        <w:tc>
          <w:tcPr>
            <w:tcW w:w="1276" w:type="dxa"/>
            <w:vMerge w:val="restart"/>
            <w:shd w:val="clear" w:color="auto" w:fill="BDD7EE"/>
            <w:vAlign w:val="center"/>
            <w:hideMark/>
          </w:tcPr>
          <w:p w14:paraId="7E73B9CE" w14:textId="50B82946" w:rsidR="00C45D59" w:rsidRDefault="00242B1C">
            <w:pPr>
              <w:pStyle w:val="P68B1DB1-Normal10"/>
              <w:spacing w:after="0" w:line="240" w:lineRule="auto"/>
              <w:jc w:val="center"/>
              <w:rPr>
                <w:rFonts w:eastAsia="Times New Roman" w:cs="Times New Roman"/>
                <w:noProof/>
                <w:szCs w:val="18"/>
              </w:rPr>
            </w:pPr>
            <w:r>
              <w:rPr>
                <w:noProof/>
              </w:rPr>
              <w:t>Denumire</w:t>
            </w:r>
          </w:p>
        </w:tc>
        <w:tc>
          <w:tcPr>
            <w:tcW w:w="2438" w:type="dxa"/>
            <w:vMerge w:val="restart"/>
            <w:shd w:val="clear" w:color="auto" w:fill="BDD7EE"/>
            <w:vAlign w:val="center"/>
            <w:hideMark/>
          </w:tcPr>
          <w:p w14:paraId="38AC1371" w14:textId="77777777" w:rsidR="00C45D59" w:rsidRDefault="009B0962">
            <w:pPr>
              <w:pStyle w:val="P68B1DB1-Normal10"/>
              <w:spacing w:after="0" w:line="240" w:lineRule="auto"/>
              <w:jc w:val="center"/>
              <w:rPr>
                <w:rFonts w:eastAsia="Times New Roman" w:cs="Times New Roman"/>
                <w:noProof/>
                <w:szCs w:val="18"/>
              </w:rPr>
            </w:pPr>
            <w:r>
              <w:rPr>
                <w:noProof/>
              </w:rPr>
              <w:t>Indicatori calitativi (pentru obiectivele de etapă)</w:t>
            </w:r>
          </w:p>
        </w:tc>
        <w:tc>
          <w:tcPr>
            <w:tcW w:w="3799" w:type="dxa"/>
            <w:gridSpan w:val="3"/>
            <w:shd w:val="clear" w:color="auto" w:fill="BDD7EE"/>
            <w:vAlign w:val="center"/>
            <w:hideMark/>
          </w:tcPr>
          <w:p w14:paraId="3C72966A" w14:textId="77777777" w:rsidR="00C45D59" w:rsidRDefault="009B0962">
            <w:pPr>
              <w:pStyle w:val="P68B1DB1-Normal10"/>
              <w:spacing w:after="0" w:line="240" w:lineRule="auto"/>
              <w:jc w:val="center"/>
              <w:rPr>
                <w:rFonts w:eastAsia="Times New Roman" w:cs="Times New Roman"/>
                <w:noProof/>
                <w:szCs w:val="18"/>
              </w:rPr>
            </w:pPr>
            <w:r>
              <w:rPr>
                <w:noProof/>
              </w:rPr>
              <w:t>Indicatori cantitativi (pentru ținte)</w:t>
            </w:r>
          </w:p>
        </w:tc>
        <w:tc>
          <w:tcPr>
            <w:tcW w:w="1750" w:type="dxa"/>
            <w:gridSpan w:val="2"/>
            <w:shd w:val="clear" w:color="auto" w:fill="BDD7EE"/>
            <w:vAlign w:val="center"/>
            <w:hideMark/>
          </w:tcPr>
          <w:p w14:paraId="13013B79" w14:textId="77777777" w:rsidR="00C45D59" w:rsidRDefault="009B0962">
            <w:pPr>
              <w:pStyle w:val="P68B1DB1-Normal10"/>
              <w:spacing w:after="0" w:line="240" w:lineRule="auto"/>
              <w:jc w:val="center"/>
              <w:rPr>
                <w:rFonts w:eastAsia="Times New Roman" w:cs="Times New Roman"/>
                <w:noProof/>
                <w:szCs w:val="18"/>
              </w:rPr>
            </w:pPr>
            <w:r>
              <w:rPr>
                <w:noProof/>
              </w:rPr>
              <w:t xml:space="preserve">Calendar orientativ pentru finalizare </w:t>
            </w:r>
          </w:p>
        </w:tc>
        <w:tc>
          <w:tcPr>
            <w:tcW w:w="3098" w:type="dxa"/>
            <w:vMerge w:val="restart"/>
            <w:shd w:val="clear" w:color="auto" w:fill="BDD7EE"/>
            <w:vAlign w:val="center"/>
            <w:hideMark/>
          </w:tcPr>
          <w:p w14:paraId="31535811" w14:textId="77777777" w:rsidR="00C45D59" w:rsidRDefault="009B0962">
            <w:pPr>
              <w:pStyle w:val="P68B1DB1-Normal10"/>
              <w:spacing w:after="0" w:line="240" w:lineRule="auto"/>
              <w:jc w:val="center"/>
              <w:rPr>
                <w:rFonts w:eastAsia="Times New Roman" w:cs="Times New Roman"/>
                <w:noProof/>
                <w:szCs w:val="18"/>
              </w:rPr>
            </w:pPr>
            <w:r>
              <w:rPr>
                <w:noProof/>
              </w:rPr>
              <w:t>Descrierea fiecărui jalon și a fiecărei ținte</w:t>
            </w:r>
          </w:p>
        </w:tc>
      </w:tr>
      <w:tr w:rsidR="00C45D59" w14:paraId="1F967827" w14:textId="77777777" w:rsidTr="00242B1C">
        <w:trPr>
          <w:trHeight w:val="516"/>
          <w:tblHeader/>
          <w:jc w:val="center"/>
        </w:trPr>
        <w:tc>
          <w:tcPr>
            <w:tcW w:w="527" w:type="dxa"/>
            <w:vMerge/>
            <w:vAlign w:val="center"/>
            <w:hideMark/>
          </w:tcPr>
          <w:p w14:paraId="1F9C9A62" w14:textId="77777777" w:rsidR="00C45D59" w:rsidRDefault="00C45D59">
            <w:pPr>
              <w:spacing w:after="0" w:line="240" w:lineRule="auto"/>
              <w:rPr>
                <w:rFonts w:ascii="Times New Roman" w:eastAsia="Times New Roman" w:hAnsi="Times New Roman" w:cs="Times New Roman"/>
                <w:b/>
                <w:bCs/>
                <w:noProof/>
                <w:sz w:val="18"/>
                <w:szCs w:val="18"/>
              </w:rPr>
            </w:pPr>
          </w:p>
        </w:tc>
        <w:tc>
          <w:tcPr>
            <w:tcW w:w="2243" w:type="dxa"/>
            <w:vMerge/>
            <w:vAlign w:val="center"/>
            <w:hideMark/>
          </w:tcPr>
          <w:p w14:paraId="55DB5EE4" w14:textId="77777777" w:rsidR="00C45D59" w:rsidRDefault="00C45D59">
            <w:pPr>
              <w:spacing w:after="0" w:line="240" w:lineRule="auto"/>
              <w:rPr>
                <w:rFonts w:ascii="Times New Roman" w:eastAsia="Times New Roman" w:hAnsi="Times New Roman" w:cs="Times New Roman"/>
                <w:b/>
                <w:bCs/>
                <w:noProof/>
                <w:sz w:val="18"/>
                <w:szCs w:val="18"/>
              </w:rPr>
            </w:pPr>
          </w:p>
        </w:tc>
        <w:tc>
          <w:tcPr>
            <w:tcW w:w="975" w:type="dxa"/>
            <w:vMerge/>
            <w:vAlign w:val="center"/>
            <w:hideMark/>
          </w:tcPr>
          <w:p w14:paraId="5BD440FF" w14:textId="77777777" w:rsidR="00C45D59" w:rsidRDefault="00C45D59">
            <w:pPr>
              <w:spacing w:after="0" w:line="240" w:lineRule="auto"/>
              <w:rPr>
                <w:rFonts w:ascii="Times New Roman" w:eastAsia="Times New Roman" w:hAnsi="Times New Roman" w:cs="Times New Roman"/>
                <w:b/>
                <w:bCs/>
                <w:noProof/>
                <w:sz w:val="18"/>
                <w:szCs w:val="18"/>
              </w:rPr>
            </w:pPr>
          </w:p>
        </w:tc>
        <w:tc>
          <w:tcPr>
            <w:tcW w:w="1276" w:type="dxa"/>
            <w:vMerge/>
            <w:vAlign w:val="center"/>
            <w:hideMark/>
          </w:tcPr>
          <w:p w14:paraId="78CE4D40" w14:textId="77777777" w:rsidR="00C45D59" w:rsidRDefault="00C45D59">
            <w:pPr>
              <w:spacing w:after="0" w:line="240" w:lineRule="auto"/>
              <w:rPr>
                <w:rFonts w:ascii="Times New Roman" w:eastAsia="Times New Roman" w:hAnsi="Times New Roman" w:cs="Times New Roman"/>
                <w:b/>
                <w:bCs/>
                <w:noProof/>
                <w:sz w:val="18"/>
                <w:szCs w:val="18"/>
              </w:rPr>
            </w:pPr>
          </w:p>
        </w:tc>
        <w:tc>
          <w:tcPr>
            <w:tcW w:w="2438" w:type="dxa"/>
            <w:vMerge/>
            <w:vAlign w:val="center"/>
            <w:hideMark/>
          </w:tcPr>
          <w:p w14:paraId="1D768F8E" w14:textId="77777777" w:rsidR="00C45D59" w:rsidRDefault="00C45D59">
            <w:pPr>
              <w:spacing w:after="0" w:line="240" w:lineRule="auto"/>
              <w:rPr>
                <w:rFonts w:ascii="Times New Roman" w:eastAsia="Times New Roman" w:hAnsi="Times New Roman" w:cs="Times New Roman"/>
                <w:b/>
                <w:bCs/>
                <w:noProof/>
                <w:sz w:val="18"/>
                <w:szCs w:val="18"/>
              </w:rPr>
            </w:pPr>
          </w:p>
        </w:tc>
        <w:tc>
          <w:tcPr>
            <w:tcW w:w="1106"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686E0570" w14:textId="77777777" w:rsidR="00C45D59" w:rsidRDefault="009B0962">
            <w:pPr>
              <w:pStyle w:val="P68B1DB1-Normal10"/>
              <w:spacing w:after="0" w:line="240" w:lineRule="auto"/>
              <w:jc w:val="center"/>
              <w:rPr>
                <w:rFonts w:eastAsia="Times New Roman" w:cs="Times New Roman"/>
                <w:noProof/>
                <w:szCs w:val="18"/>
              </w:rPr>
            </w:pPr>
            <w:r>
              <w:rPr>
                <w:noProof/>
              </w:rPr>
              <w:t>Unitatea de măsură</w:t>
            </w:r>
          </w:p>
        </w:tc>
        <w:tc>
          <w:tcPr>
            <w:tcW w:w="1559"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5FD38522" w14:textId="77777777" w:rsidR="00C45D59" w:rsidRDefault="009B0962">
            <w:pPr>
              <w:pStyle w:val="P68B1DB1-Normal10"/>
              <w:spacing w:after="0" w:line="240" w:lineRule="auto"/>
              <w:jc w:val="center"/>
              <w:rPr>
                <w:rFonts w:eastAsia="Times New Roman" w:cs="Times New Roman"/>
                <w:noProof/>
                <w:szCs w:val="18"/>
              </w:rPr>
            </w:pPr>
            <w:r>
              <w:rPr>
                <w:noProof/>
              </w:rPr>
              <w:t xml:space="preserve">Situația de referință </w:t>
            </w:r>
          </w:p>
        </w:tc>
        <w:tc>
          <w:tcPr>
            <w:tcW w:w="1134"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50A75553" w14:textId="77777777" w:rsidR="00C45D59" w:rsidRDefault="009B0962">
            <w:pPr>
              <w:pStyle w:val="P68B1DB1-Normal10"/>
              <w:spacing w:after="0" w:line="240" w:lineRule="auto"/>
              <w:jc w:val="center"/>
              <w:rPr>
                <w:rFonts w:eastAsia="Times New Roman" w:cs="Times New Roman"/>
                <w:noProof/>
                <w:szCs w:val="18"/>
              </w:rPr>
            </w:pPr>
            <w:r>
              <w:rPr>
                <w:noProof/>
              </w:rPr>
              <w:t xml:space="preserve">Obiectiv </w:t>
            </w:r>
          </w:p>
        </w:tc>
        <w:tc>
          <w:tcPr>
            <w:tcW w:w="1030"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3E81212D" w14:textId="77777777" w:rsidR="00C45D59" w:rsidRDefault="009B0962">
            <w:pPr>
              <w:pStyle w:val="P68B1DB1-Normal10"/>
              <w:spacing w:after="0" w:line="240" w:lineRule="auto"/>
              <w:jc w:val="center"/>
              <w:rPr>
                <w:rFonts w:eastAsia="Times New Roman" w:cs="Times New Roman"/>
                <w:noProof/>
                <w:szCs w:val="18"/>
              </w:rPr>
            </w:pPr>
            <w:r>
              <w:rPr>
                <w:noProof/>
              </w:rPr>
              <w:t>Trimestru</w:t>
            </w:r>
          </w:p>
        </w:tc>
        <w:tc>
          <w:tcPr>
            <w:tcW w:w="720"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7AE294E2" w14:textId="77777777" w:rsidR="00C45D59" w:rsidRDefault="009B0962">
            <w:pPr>
              <w:pStyle w:val="P68B1DB1-Normal10"/>
              <w:spacing w:after="0" w:line="240" w:lineRule="auto"/>
              <w:jc w:val="center"/>
              <w:rPr>
                <w:rFonts w:eastAsia="Times New Roman" w:cs="Times New Roman"/>
                <w:noProof/>
                <w:szCs w:val="18"/>
              </w:rPr>
            </w:pPr>
            <w:r>
              <w:rPr>
                <w:noProof/>
              </w:rPr>
              <w:t>Anul</w:t>
            </w:r>
          </w:p>
        </w:tc>
        <w:tc>
          <w:tcPr>
            <w:tcW w:w="3098" w:type="dxa"/>
            <w:vMerge/>
            <w:vAlign w:val="center"/>
            <w:hideMark/>
          </w:tcPr>
          <w:p w14:paraId="6176A4A0" w14:textId="77777777" w:rsidR="00C45D59" w:rsidRDefault="00C45D59">
            <w:pPr>
              <w:spacing w:after="0" w:line="240" w:lineRule="auto"/>
              <w:rPr>
                <w:rFonts w:ascii="Times New Roman" w:eastAsia="Times New Roman" w:hAnsi="Times New Roman" w:cs="Times New Roman"/>
                <w:b/>
                <w:bCs/>
                <w:noProof/>
                <w:sz w:val="18"/>
                <w:szCs w:val="18"/>
              </w:rPr>
            </w:pPr>
          </w:p>
        </w:tc>
      </w:tr>
      <w:tr w:rsidR="00C45D59" w14:paraId="2848971C" w14:textId="77777777" w:rsidTr="00242B1C">
        <w:trPr>
          <w:trHeight w:val="313"/>
          <w:jc w:val="center"/>
        </w:trPr>
        <w:tc>
          <w:tcPr>
            <w:tcW w:w="527" w:type="dxa"/>
            <w:shd w:val="clear" w:color="auto" w:fill="C6EFCE"/>
            <w:noWrap/>
          </w:tcPr>
          <w:p w14:paraId="6A8C2477" w14:textId="77777777" w:rsidR="00C45D59" w:rsidRDefault="009B0962">
            <w:pPr>
              <w:pStyle w:val="P68B1DB1-Normal12"/>
              <w:spacing w:after="0" w:line="240" w:lineRule="auto"/>
              <w:rPr>
                <w:rFonts w:eastAsia="Times New Roman"/>
                <w:noProof/>
              </w:rPr>
            </w:pPr>
            <w:r>
              <w:rPr>
                <w:noProof/>
              </w:rPr>
              <w:t>278</w:t>
            </w:r>
          </w:p>
        </w:tc>
        <w:tc>
          <w:tcPr>
            <w:tcW w:w="2243" w:type="dxa"/>
            <w:shd w:val="clear" w:color="auto" w:fill="C6EFCE"/>
            <w:noWrap/>
          </w:tcPr>
          <w:p w14:paraId="1D5FE131" w14:textId="77777777" w:rsidR="00C45D59" w:rsidRDefault="009B0962">
            <w:pPr>
              <w:pStyle w:val="P68B1DB1-Normal12"/>
              <w:spacing w:after="0" w:line="240" w:lineRule="auto"/>
              <w:rPr>
                <w:rFonts w:eastAsia="Times New Roman"/>
                <w:noProof/>
              </w:rPr>
            </w:pPr>
            <w:r>
              <w:rPr>
                <w:noProof/>
              </w:rPr>
              <w:t>17-4.6. Modernizarea și îmbunătățirea rezilienței sectoarelor economice esențiale – 16715_Reforma muncii în sectorul cultural</w:t>
            </w:r>
          </w:p>
        </w:tc>
        <w:tc>
          <w:tcPr>
            <w:tcW w:w="975" w:type="dxa"/>
            <w:shd w:val="clear" w:color="auto" w:fill="C6EFCE"/>
            <w:noWrap/>
          </w:tcPr>
          <w:p w14:paraId="024EE73A" w14:textId="77777777" w:rsidR="00C45D59" w:rsidRDefault="009B0962">
            <w:pPr>
              <w:pStyle w:val="P68B1DB1-Normal12"/>
              <w:spacing w:after="0" w:line="240" w:lineRule="auto"/>
              <w:rPr>
                <w:rFonts w:eastAsia="Times New Roman"/>
                <w:noProof/>
              </w:rPr>
            </w:pPr>
            <w:r>
              <w:rPr>
                <w:noProof/>
              </w:rPr>
              <w:t>Etapă</w:t>
            </w:r>
          </w:p>
        </w:tc>
        <w:tc>
          <w:tcPr>
            <w:tcW w:w="1276" w:type="dxa"/>
            <w:shd w:val="clear" w:color="auto" w:fill="C6EFCE"/>
            <w:noWrap/>
          </w:tcPr>
          <w:p w14:paraId="2809480E" w14:textId="77777777" w:rsidR="00C45D59" w:rsidRDefault="009B0962">
            <w:pPr>
              <w:pStyle w:val="P68B1DB1-Normal12"/>
              <w:spacing w:after="0" w:line="240" w:lineRule="auto"/>
              <w:rPr>
                <w:rFonts w:eastAsia="Times New Roman"/>
                <w:noProof/>
              </w:rPr>
            </w:pPr>
            <w:r>
              <w:rPr>
                <w:noProof/>
              </w:rPr>
              <w:t>Legislația privind reforma muncii în sectorul cultural</w:t>
            </w:r>
          </w:p>
        </w:tc>
        <w:tc>
          <w:tcPr>
            <w:tcW w:w="2438" w:type="dxa"/>
            <w:shd w:val="clear" w:color="auto" w:fill="C6EFCE"/>
            <w:noWrap/>
          </w:tcPr>
          <w:p w14:paraId="071E0C78" w14:textId="77777777" w:rsidR="00C45D59" w:rsidRDefault="009B0962">
            <w:pPr>
              <w:pStyle w:val="P68B1DB1-Normal12"/>
              <w:spacing w:after="0" w:line="240" w:lineRule="auto"/>
              <w:rPr>
                <w:rFonts w:eastAsia="Times New Roman"/>
                <w:noProof/>
              </w:rPr>
            </w:pPr>
            <w:r>
              <w:rPr>
                <w:noProof/>
              </w:rPr>
              <w:t>Intrarea în vigoare a legislației și a legislației secundare și instituirea unui sistem de evaluare credibilă a statutului „profesionistului creativ sau cultural”</w:t>
            </w:r>
          </w:p>
        </w:tc>
        <w:tc>
          <w:tcPr>
            <w:tcW w:w="1106" w:type="dxa"/>
            <w:shd w:val="clear" w:color="auto" w:fill="C6EFCE"/>
            <w:noWrap/>
          </w:tcPr>
          <w:p w14:paraId="26D117BC"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559" w:type="dxa"/>
            <w:shd w:val="clear" w:color="auto" w:fill="C6EFCE"/>
            <w:noWrap/>
          </w:tcPr>
          <w:p w14:paraId="3E884D5B"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134" w:type="dxa"/>
            <w:shd w:val="clear" w:color="auto" w:fill="C6EFCE"/>
            <w:noWrap/>
          </w:tcPr>
          <w:p w14:paraId="0E0C6F88"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030" w:type="dxa"/>
            <w:shd w:val="clear" w:color="auto" w:fill="C6EFCE"/>
            <w:noWrap/>
          </w:tcPr>
          <w:p w14:paraId="0E1F7539" w14:textId="77777777" w:rsidR="00C45D59" w:rsidRDefault="009B0962">
            <w:pPr>
              <w:pStyle w:val="P68B1DB1-Normal12"/>
              <w:spacing w:after="0" w:line="240" w:lineRule="auto"/>
              <w:rPr>
                <w:rFonts w:eastAsia="Times New Roman"/>
                <w:noProof/>
              </w:rPr>
            </w:pPr>
            <w:r>
              <w:rPr>
                <w:noProof/>
              </w:rPr>
              <w:t>Î3</w:t>
            </w:r>
          </w:p>
        </w:tc>
        <w:tc>
          <w:tcPr>
            <w:tcW w:w="720" w:type="dxa"/>
            <w:shd w:val="clear" w:color="auto" w:fill="C6EFCE"/>
            <w:noWrap/>
          </w:tcPr>
          <w:p w14:paraId="67E0C3C0" w14:textId="77777777" w:rsidR="00C45D59" w:rsidRDefault="009B0962">
            <w:pPr>
              <w:pStyle w:val="P68B1DB1-Normal12"/>
              <w:spacing w:after="0" w:line="240" w:lineRule="auto"/>
              <w:rPr>
                <w:rFonts w:eastAsia="Times New Roman"/>
                <w:noProof/>
              </w:rPr>
            </w:pPr>
            <w:r>
              <w:rPr>
                <w:noProof/>
              </w:rPr>
              <w:t>2022</w:t>
            </w:r>
          </w:p>
        </w:tc>
        <w:tc>
          <w:tcPr>
            <w:tcW w:w="3098" w:type="dxa"/>
            <w:shd w:val="clear" w:color="auto" w:fill="C6EFCE"/>
            <w:noWrap/>
          </w:tcPr>
          <w:p w14:paraId="34C297DC" w14:textId="77777777" w:rsidR="00C45D59" w:rsidRDefault="009B0962">
            <w:pPr>
              <w:pStyle w:val="P68B1DB1-Normal12"/>
              <w:spacing w:after="0" w:line="240" w:lineRule="auto"/>
              <w:rPr>
                <w:rFonts w:eastAsia="Times New Roman"/>
                <w:noProof/>
              </w:rPr>
            </w:pPr>
            <w:r>
              <w:rPr>
                <w:noProof/>
              </w:rPr>
              <w:t>Intrarea în vigoare a legislației privind reforma muncii în sectorul cultural, inclusiv definirea statutului de „profesioniști din domeniul creativ sau cultural” și stimulente fiscale și de securitate socială proporționale.</w:t>
            </w:r>
          </w:p>
        </w:tc>
      </w:tr>
      <w:tr w:rsidR="00C45D59" w14:paraId="23132315" w14:textId="77777777" w:rsidTr="00242B1C">
        <w:trPr>
          <w:trHeight w:val="313"/>
          <w:jc w:val="center"/>
        </w:trPr>
        <w:tc>
          <w:tcPr>
            <w:tcW w:w="527" w:type="dxa"/>
            <w:shd w:val="clear" w:color="auto" w:fill="C6EFCE"/>
            <w:noWrap/>
          </w:tcPr>
          <w:p w14:paraId="03D9CBE4" w14:textId="77777777" w:rsidR="00C45D59" w:rsidRDefault="009B0962">
            <w:pPr>
              <w:pStyle w:val="P68B1DB1-Normal12"/>
              <w:spacing w:after="0" w:line="240" w:lineRule="auto"/>
              <w:rPr>
                <w:rFonts w:eastAsia="Times New Roman"/>
                <w:noProof/>
              </w:rPr>
            </w:pPr>
            <w:r>
              <w:rPr>
                <w:noProof/>
              </w:rPr>
              <w:t>279</w:t>
            </w:r>
          </w:p>
        </w:tc>
        <w:tc>
          <w:tcPr>
            <w:tcW w:w="2243" w:type="dxa"/>
            <w:shd w:val="clear" w:color="auto" w:fill="C6EFCE"/>
            <w:noWrap/>
          </w:tcPr>
          <w:p w14:paraId="556F9E94" w14:textId="77777777" w:rsidR="00C45D59" w:rsidRDefault="009B0962">
            <w:pPr>
              <w:pStyle w:val="P68B1DB1-Normal12"/>
              <w:spacing w:after="0" w:line="240" w:lineRule="auto"/>
              <w:rPr>
                <w:rFonts w:eastAsia="Times New Roman"/>
                <w:noProof/>
              </w:rPr>
            </w:pPr>
            <w:r>
              <w:rPr>
                <w:noProof/>
              </w:rPr>
              <w:t>17-4.6. Modernizarea și îmbunătățirea rezilienței sectoarelor economice esențiale – 16486_Muzeul antichităților subacvatice</w:t>
            </w:r>
          </w:p>
        </w:tc>
        <w:tc>
          <w:tcPr>
            <w:tcW w:w="975" w:type="dxa"/>
            <w:shd w:val="clear" w:color="auto" w:fill="C6EFCE"/>
            <w:noWrap/>
          </w:tcPr>
          <w:p w14:paraId="362368CF" w14:textId="77777777" w:rsidR="00C45D59" w:rsidRDefault="009B0962">
            <w:pPr>
              <w:pStyle w:val="P68B1DB1-Normal12"/>
              <w:spacing w:after="0" w:line="240" w:lineRule="auto"/>
              <w:rPr>
                <w:rFonts w:eastAsia="Times New Roman"/>
                <w:noProof/>
              </w:rPr>
            </w:pPr>
            <w:r>
              <w:rPr>
                <w:noProof/>
              </w:rPr>
              <w:t>Etapă</w:t>
            </w:r>
          </w:p>
        </w:tc>
        <w:tc>
          <w:tcPr>
            <w:tcW w:w="1276" w:type="dxa"/>
            <w:shd w:val="clear" w:color="auto" w:fill="C6EFCE"/>
            <w:noWrap/>
          </w:tcPr>
          <w:p w14:paraId="0778AD43" w14:textId="77777777" w:rsidR="00C45D59" w:rsidRDefault="009B0962">
            <w:pPr>
              <w:pStyle w:val="P68B1DB1-Normal12"/>
              <w:spacing w:after="0" w:line="240" w:lineRule="auto"/>
              <w:rPr>
                <w:rFonts w:eastAsia="Times New Roman"/>
                <w:noProof/>
              </w:rPr>
            </w:pPr>
            <w:r>
              <w:rPr>
                <w:noProof/>
              </w:rPr>
              <w:t>Atribuirea contractului pentru Muzeul de antichități subacvatice</w:t>
            </w:r>
          </w:p>
        </w:tc>
        <w:tc>
          <w:tcPr>
            <w:tcW w:w="2438" w:type="dxa"/>
            <w:shd w:val="clear" w:color="auto" w:fill="C6EFCE"/>
            <w:noWrap/>
          </w:tcPr>
          <w:p w14:paraId="3B9B9192" w14:textId="77777777" w:rsidR="00C45D59" w:rsidRDefault="009B0962">
            <w:pPr>
              <w:pStyle w:val="P68B1DB1-Normal12"/>
              <w:spacing w:after="0" w:line="240" w:lineRule="auto"/>
              <w:rPr>
                <w:rFonts w:eastAsia="Times New Roman"/>
                <w:noProof/>
              </w:rPr>
            </w:pPr>
            <w:r>
              <w:rPr>
                <w:noProof/>
              </w:rPr>
              <w:t>Notificare de atribuire pentru Muzeul de antichități subacvatice și specificații tehnice publicate pentru lucrări la Muzeul de antichități subacvatice</w:t>
            </w:r>
          </w:p>
        </w:tc>
        <w:tc>
          <w:tcPr>
            <w:tcW w:w="1106" w:type="dxa"/>
            <w:shd w:val="clear" w:color="auto" w:fill="C6EFCE"/>
            <w:noWrap/>
          </w:tcPr>
          <w:p w14:paraId="5A2C6AA6"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559" w:type="dxa"/>
            <w:shd w:val="clear" w:color="auto" w:fill="C6EFCE"/>
            <w:noWrap/>
          </w:tcPr>
          <w:p w14:paraId="75044F9F"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134" w:type="dxa"/>
            <w:shd w:val="clear" w:color="auto" w:fill="C6EFCE"/>
            <w:noWrap/>
          </w:tcPr>
          <w:p w14:paraId="416F877D"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030" w:type="dxa"/>
            <w:shd w:val="clear" w:color="auto" w:fill="C6EFCE"/>
            <w:noWrap/>
          </w:tcPr>
          <w:p w14:paraId="6EADA2A5" w14:textId="77777777" w:rsidR="00C45D59" w:rsidRDefault="009B0962">
            <w:pPr>
              <w:pStyle w:val="P68B1DB1-Normal12"/>
              <w:spacing w:after="0" w:line="240" w:lineRule="auto"/>
              <w:rPr>
                <w:rFonts w:eastAsia="Times New Roman"/>
                <w:noProof/>
              </w:rPr>
            </w:pPr>
            <w:r>
              <w:rPr>
                <w:noProof/>
              </w:rPr>
              <w:t>Î4</w:t>
            </w:r>
          </w:p>
        </w:tc>
        <w:tc>
          <w:tcPr>
            <w:tcW w:w="720" w:type="dxa"/>
            <w:shd w:val="clear" w:color="auto" w:fill="C6EFCE"/>
            <w:noWrap/>
          </w:tcPr>
          <w:p w14:paraId="164584C9" w14:textId="77777777" w:rsidR="00C45D59" w:rsidRDefault="009B0962">
            <w:pPr>
              <w:pStyle w:val="P68B1DB1-Normal12"/>
              <w:spacing w:after="0" w:line="240" w:lineRule="auto"/>
              <w:rPr>
                <w:rFonts w:eastAsia="Times New Roman"/>
                <w:noProof/>
              </w:rPr>
            </w:pPr>
            <w:r>
              <w:rPr>
                <w:noProof/>
              </w:rPr>
              <w:t>2023</w:t>
            </w:r>
          </w:p>
        </w:tc>
        <w:tc>
          <w:tcPr>
            <w:tcW w:w="3098" w:type="dxa"/>
            <w:shd w:val="clear" w:color="auto" w:fill="C6EFCE"/>
            <w:noWrap/>
          </w:tcPr>
          <w:p w14:paraId="0403DBC7" w14:textId="77777777" w:rsidR="00C45D59" w:rsidRDefault="009B0962">
            <w:pPr>
              <w:pStyle w:val="P68B1DB1-Normal12"/>
              <w:spacing w:after="0" w:line="240" w:lineRule="auto"/>
              <w:rPr>
                <w:rFonts w:eastAsia="Times New Roman"/>
                <w:noProof/>
              </w:rPr>
            </w:pPr>
            <w:r>
              <w:rPr>
                <w:noProof/>
              </w:rPr>
              <w:t xml:space="preserve">Atribuirea contractului pentru Muzeul de antichități subacvatice. </w:t>
            </w:r>
          </w:p>
        </w:tc>
      </w:tr>
      <w:tr w:rsidR="00C45D59" w14:paraId="7A2CF462" w14:textId="77777777" w:rsidTr="00242B1C">
        <w:trPr>
          <w:trHeight w:val="313"/>
          <w:jc w:val="center"/>
        </w:trPr>
        <w:tc>
          <w:tcPr>
            <w:tcW w:w="527" w:type="dxa"/>
            <w:shd w:val="clear" w:color="auto" w:fill="C6EFCE"/>
            <w:noWrap/>
          </w:tcPr>
          <w:p w14:paraId="3035A28A" w14:textId="77777777" w:rsidR="00C45D59" w:rsidRDefault="009B0962">
            <w:pPr>
              <w:pStyle w:val="P68B1DB1-Normal12"/>
              <w:spacing w:after="0" w:line="240" w:lineRule="auto"/>
              <w:rPr>
                <w:rFonts w:eastAsia="Times New Roman"/>
                <w:noProof/>
              </w:rPr>
            </w:pPr>
            <w:r>
              <w:rPr>
                <w:noProof/>
              </w:rPr>
              <w:t>283</w:t>
            </w:r>
          </w:p>
        </w:tc>
        <w:tc>
          <w:tcPr>
            <w:tcW w:w="2243" w:type="dxa"/>
            <w:shd w:val="clear" w:color="auto" w:fill="C6EFCE"/>
            <w:noWrap/>
          </w:tcPr>
          <w:p w14:paraId="14A94DAB" w14:textId="77777777" w:rsidR="00C45D59" w:rsidRDefault="009B0962">
            <w:pPr>
              <w:pStyle w:val="P68B1DB1-Normal12"/>
              <w:spacing w:after="0" w:line="240" w:lineRule="auto"/>
              <w:rPr>
                <w:rFonts w:eastAsia="Times New Roman"/>
                <w:noProof/>
              </w:rPr>
            </w:pPr>
            <w:r>
              <w:rPr>
                <w:noProof/>
              </w:rPr>
              <w:t>17-4.6. Modernizarea și îmbunătățirea rezilienței sectoarelor economice esențiale – 16293_Cultura ca motor al creșterii economice</w:t>
            </w:r>
          </w:p>
        </w:tc>
        <w:tc>
          <w:tcPr>
            <w:tcW w:w="975" w:type="dxa"/>
            <w:shd w:val="clear" w:color="auto" w:fill="C6EFCE"/>
            <w:noWrap/>
          </w:tcPr>
          <w:p w14:paraId="3E15622D" w14:textId="77777777" w:rsidR="00C45D59" w:rsidRDefault="009B0962">
            <w:pPr>
              <w:pStyle w:val="P68B1DB1-Normal12"/>
              <w:spacing w:after="0" w:line="240" w:lineRule="auto"/>
              <w:rPr>
                <w:rFonts w:eastAsia="Times New Roman"/>
                <w:noProof/>
              </w:rPr>
            </w:pPr>
            <w:r>
              <w:rPr>
                <w:noProof/>
              </w:rPr>
              <w:t>Etapă</w:t>
            </w:r>
          </w:p>
        </w:tc>
        <w:tc>
          <w:tcPr>
            <w:tcW w:w="1276" w:type="dxa"/>
            <w:shd w:val="clear" w:color="auto" w:fill="C6EFCE"/>
            <w:noWrap/>
          </w:tcPr>
          <w:p w14:paraId="55643602" w14:textId="19F4D1B8" w:rsidR="00C45D59" w:rsidRDefault="009B0962">
            <w:pPr>
              <w:pStyle w:val="P68B1DB1-Normal12"/>
              <w:spacing w:after="0" w:line="240" w:lineRule="auto"/>
              <w:rPr>
                <w:rFonts w:eastAsia="Times New Roman"/>
                <w:noProof/>
              </w:rPr>
            </w:pPr>
            <w:r>
              <w:rPr>
                <w:noProof/>
              </w:rPr>
              <w:t xml:space="preserve">Planuri generale și lucrări culturale </w:t>
            </w:r>
          </w:p>
        </w:tc>
        <w:tc>
          <w:tcPr>
            <w:tcW w:w="2438" w:type="dxa"/>
            <w:shd w:val="clear" w:color="auto" w:fill="C6EFCE"/>
            <w:noWrap/>
          </w:tcPr>
          <w:p w14:paraId="0078C685" w14:textId="369DC8DB" w:rsidR="00C45D59" w:rsidRDefault="009B0962">
            <w:pPr>
              <w:pStyle w:val="P68B1DB1-Normal12"/>
              <w:spacing w:after="0" w:line="240" w:lineRule="auto"/>
              <w:rPr>
                <w:rFonts w:eastAsia="Times New Roman"/>
                <w:noProof/>
              </w:rPr>
            </w:pPr>
            <w:r>
              <w:rPr>
                <w:noProof/>
              </w:rPr>
              <w:t xml:space="preserve">Furnizarea de planuri de masterat cultural, un studiu privind artizanatul grec; executarea intervențiilor; investiții în producția de filme; accesibilitatea online a platformei culturale elene contemporane </w:t>
            </w:r>
          </w:p>
        </w:tc>
        <w:tc>
          <w:tcPr>
            <w:tcW w:w="1106" w:type="dxa"/>
            <w:shd w:val="clear" w:color="auto" w:fill="C6EFCE"/>
            <w:noWrap/>
          </w:tcPr>
          <w:p w14:paraId="34647CFC"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559" w:type="dxa"/>
            <w:shd w:val="clear" w:color="auto" w:fill="C6EFCE"/>
            <w:noWrap/>
          </w:tcPr>
          <w:p w14:paraId="0E1BB0E2"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134" w:type="dxa"/>
            <w:shd w:val="clear" w:color="auto" w:fill="C6EFCE"/>
            <w:noWrap/>
          </w:tcPr>
          <w:p w14:paraId="575D8B34"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030" w:type="dxa"/>
            <w:shd w:val="clear" w:color="auto" w:fill="C6EFCE"/>
            <w:noWrap/>
          </w:tcPr>
          <w:p w14:paraId="3AB23BD2" w14:textId="77777777" w:rsidR="00C45D59" w:rsidRDefault="009B0962">
            <w:pPr>
              <w:pStyle w:val="P68B1DB1-Normal12"/>
              <w:spacing w:after="0" w:line="240" w:lineRule="auto"/>
              <w:rPr>
                <w:rFonts w:eastAsia="Times New Roman"/>
                <w:noProof/>
              </w:rPr>
            </w:pPr>
            <w:r>
              <w:rPr>
                <w:noProof/>
              </w:rPr>
              <w:t>Î4</w:t>
            </w:r>
          </w:p>
        </w:tc>
        <w:tc>
          <w:tcPr>
            <w:tcW w:w="720" w:type="dxa"/>
            <w:shd w:val="clear" w:color="auto" w:fill="C6EFCE"/>
            <w:noWrap/>
          </w:tcPr>
          <w:p w14:paraId="62ADB510" w14:textId="77777777" w:rsidR="00C45D59" w:rsidRDefault="009B0962">
            <w:pPr>
              <w:pStyle w:val="P68B1DB1-Normal12"/>
              <w:spacing w:after="0" w:line="240" w:lineRule="auto"/>
              <w:rPr>
                <w:rFonts w:eastAsia="Times New Roman"/>
                <w:noProof/>
              </w:rPr>
            </w:pPr>
            <w:r>
              <w:rPr>
                <w:noProof/>
              </w:rPr>
              <w:t>2025</w:t>
            </w:r>
          </w:p>
        </w:tc>
        <w:tc>
          <w:tcPr>
            <w:tcW w:w="3098" w:type="dxa"/>
            <w:shd w:val="clear" w:color="auto" w:fill="C6EFCE"/>
            <w:noWrap/>
          </w:tcPr>
          <w:p w14:paraId="3D08157B" w14:textId="3C3B869C" w:rsidR="00C45D59" w:rsidRDefault="009B0962">
            <w:pPr>
              <w:pStyle w:val="P68B1DB1-Normal12"/>
              <w:spacing w:after="0" w:line="240" w:lineRule="auto"/>
              <w:rPr>
                <w:noProof/>
              </w:rPr>
            </w:pPr>
            <w:r>
              <w:rPr>
                <w:noProof/>
              </w:rPr>
              <w:t>I) sunt create planuri generale culturale pentru 15 de zone; execuția a 70 intervenții, inclusiv lucrări de construcții sau livrarea de echipamente (inclusiv echipamente digitale) în spațiile culturale; III) se efectuează un studiu pentru conceperea și punerea în aplicare a unui model de strategie pentru reconstrucție – dezvoltare și redefinire a construcției de ambarcațiuni grecești; IV) se acordă sprijin financiar proiectelor de filme grecești selectate; V) Platforma culturală elenă contemporană este accesibilă online.</w:t>
            </w:r>
          </w:p>
        </w:tc>
      </w:tr>
      <w:tr w:rsidR="00C45D59" w14:paraId="6B5341EC" w14:textId="77777777" w:rsidTr="00242B1C">
        <w:trPr>
          <w:trHeight w:val="313"/>
          <w:jc w:val="center"/>
        </w:trPr>
        <w:tc>
          <w:tcPr>
            <w:tcW w:w="527" w:type="dxa"/>
            <w:shd w:val="clear" w:color="auto" w:fill="C6EFCE"/>
            <w:noWrap/>
          </w:tcPr>
          <w:p w14:paraId="29A8589A" w14:textId="77777777" w:rsidR="00C45D59" w:rsidRDefault="009B0962">
            <w:pPr>
              <w:pStyle w:val="P68B1DB1-Normal12"/>
              <w:spacing w:after="0" w:line="240" w:lineRule="auto"/>
              <w:rPr>
                <w:rFonts w:eastAsia="Times New Roman"/>
                <w:noProof/>
              </w:rPr>
            </w:pPr>
            <w:r>
              <w:rPr>
                <w:noProof/>
              </w:rPr>
              <w:t>284</w:t>
            </w:r>
          </w:p>
        </w:tc>
        <w:tc>
          <w:tcPr>
            <w:tcW w:w="2243" w:type="dxa"/>
            <w:shd w:val="clear" w:color="auto" w:fill="C6EFCE"/>
            <w:noWrap/>
          </w:tcPr>
          <w:p w14:paraId="3A5BCF4E" w14:textId="5E63A1CD" w:rsidR="00C45D59" w:rsidRDefault="009B0962">
            <w:pPr>
              <w:pStyle w:val="P68B1DB1-Normal12"/>
              <w:spacing w:after="0" w:line="240" w:lineRule="auto"/>
              <w:rPr>
                <w:rFonts w:eastAsia="Times New Roman"/>
                <w:noProof/>
              </w:rPr>
            </w:pPr>
            <w:r>
              <w:rPr>
                <w:noProof/>
              </w:rPr>
              <w:t xml:space="preserve">17-4.6. Modernizarea și îmbunătățirea rezilienței sectoarelor economice cheie – 16536_Modernizarea infrastructurii și a echipamentelor magazinelor HOCRED </w:t>
            </w:r>
          </w:p>
        </w:tc>
        <w:tc>
          <w:tcPr>
            <w:tcW w:w="975" w:type="dxa"/>
            <w:shd w:val="clear" w:color="auto" w:fill="C6EFCE"/>
            <w:noWrap/>
          </w:tcPr>
          <w:p w14:paraId="6F2CC87D" w14:textId="77777777" w:rsidR="00C45D59" w:rsidRDefault="009B0962">
            <w:pPr>
              <w:pStyle w:val="P68B1DB1-Normal12"/>
              <w:spacing w:after="0" w:line="240" w:lineRule="auto"/>
              <w:rPr>
                <w:rFonts w:eastAsia="Times New Roman"/>
                <w:noProof/>
              </w:rPr>
            </w:pPr>
            <w:r>
              <w:rPr>
                <w:noProof/>
              </w:rPr>
              <w:t>Etapă</w:t>
            </w:r>
          </w:p>
        </w:tc>
        <w:tc>
          <w:tcPr>
            <w:tcW w:w="1276" w:type="dxa"/>
            <w:shd w:val="clear" w:color="auto" w:fill="C6EFCE"/>
            <w:noWrap/>
          </w:tcPr>
          <w:p w14:paraId="2414457E" w14:textId="77777777" w:rsidR="00C45D59" w:rsidRDefault="009B0962">
            <w:pPr>
              <w:pStyle w:val="P68B1DB1-Normal12"/>
              <w:spacing w:after="0" w:line="240" w:lineRule="auto"/>
              <w:rPr>
                <w:rFonts w:eastAsia="Times New Roman"/>
                <w:noProof/>
              </w:rPr>
            </w:pPr>
            <w:r>
              <w:rPr>
                <w:noProof/>
              </w:rPr>
              <w:t xml:space="preserve">Modernizarea Organizației Elene pentru Dezvoltarea Resurselor Culturale (HOCRED) </w:t>
            </w:r>
          </w:p>
        </w:tc>
        <w:tc>
          <w:tcPr>
            <w:tcW w:w="2438" w:type="dxa"/>
            <w:shd w:val="clear" w:color="auto" w:fill="C6EFCE"/>
            <w:noWrap/>
          </w:tcPr>
          <w:p w14:paraId="38BAC3C6" w14:textId="77777777" w:rsidR="00C45D59" w:rsidRDefault="009B0962">
            <w:pPr>
              <w:pStyle w:val="P68B1DB1-Normal12"/>
              <w:spacing w:after="0" w:line="240" w:lineRule="auto"/>
              <w:rPr>
                <w:rFonts w:eastAsia="Times New Roman"/>
                <w:noProof/>
              </w:rPr>
            </w:pPr>
            <w:r>
              <w:rPr>
                <w:noProof/>
              </w:rPr>
              <w:t xml:space="preserve">Modernizarea operațiunilor Organizației Elene pentru Dezvoltarea Resurselor Culturale (HOCRED) </w:t>
            </w:r>
          </w:p>
        </w:tc>
        <w:tc>
          <w:tcPr>
            <w:tcW w:w="1106" w:type="dxa"/>
            <w:shd w:val="clear" w:color="auto" w:fill="C6EFCE"/>
            <w:noWrap/>
          </w:tcPr>
          <w:p w14:paraId="6FF543F7"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559" w:type="dxa"/>
            <w:shd w:val="clear" w:color="auto" w:fill="C6EFCE"/>
            <w:noWrap/>
          </w:tcPr>
          <w:p w14:paraId="2F3D4E0C"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134" w:type="dxa"/>
            <w:shd w:val="clear" w:color="auto" w:fill="C6EFCE"/>
            <w:noWrap/>
          </w:tcPr>
          <w:p w14:paraId="5DE7EAD0"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030" w:type="dxa"/>
            <w:shd w:val="clear" w:color="auto" w:fill="C6EFCE"/>
            <w:noWrap/>
          </w:tcPr>
          <w:p w14:paraId="25282034" w14:textId="77777777" w:rsidR="00C45D59" w:rsidRDefault="009B0962">
            <w:pPr>
              <w:pStyle w:val="P68B1DB1-Normal12"/>
              <w:spacing w:after="0" w:line="240" w:lineRule="auto"/>
              <w:rPr>
                <w:rFonts w:eastAsia="Times New Roman"/>
                <w:noProof/>
              </w:rPr>
            </w:pPr>
            <w:r>
              <w:rPr>
                <w:noProof/>
              </w:rPr>
              <w:t>Î4</w:t>
            </w:r>
          </w:p>
        </w:tc>
        <w:tc>
          <w:tcPr>
            <w:tcW w:w="720" w:type="dxa"/>
            <w:shd w:val="clear" w:color="auto" w:fill="C6EFCE"/>
            <w:noWrap/>
          </w:tcPr>
          <w:p w14:paraId="0F684149" w14:textId="77777777" w:rsidR="00C45D59" w:rsidRDefault="009B0962">
            <w:pPr>
              <w:pStyle w:val="P68B1DB1-Normal12"/>
              <w:spacing w:after="0" w:line="240" w:lineRule="auto"/>
              <w:rPr>
                <w:rFonts w:eastAsia="Times New Roman"/>
                <w:noProof/>
              </w:rPr>
            </w:pPr>
            <w:r>
              <w:rPr>
                <w:noProof/>
              </w:rPr>
              <w:t>2025</w:t>
            </w:r>
          </w:p>
        </w:tc>
        <w:tc>
          <w:tcPr>
            <w:tcW w:w="3098" w:type="dxa"/>
            <w:shd w:val="clear" w:color="auto" w:fill="C6EFCE"/>
            <w:noWrap/>
          </w:tcPr>
          <w:p w14:paraId="2D9D518E" w14:textId="29DD0958" w:rsidR="00C45D59" w:rsidRDefault="009B0962">
            <w:pPr>
              <w:pStyle w:val="P68B1DB1-Normal16"/>
              <w:spacing w:after="0" w:line="240" w:lineRule="auto"/>
              <w:rPr>
                <w:noProof/>
              </w:rPr>
            </w:pPr>
            <w:r>
              <w:rPr>
                <w:noProof/>
                <w:color w:val="006100"/>
              </w:rPr>
              <w:t>Modernizarea infrastructurii și a echipamentelor a 20 de magazine, inclusiv renovări vizând eficiența energetică în șase magazine, precum și achiziționarea unui complex industrial care să fie utilizat pentru adăpostirea instalațiilor HOCRED.</w:t>
            </w:r>
            <w:r>
              <w:rPr>
                <w:noProof/>
              </w:rPr>
              <w:t xml:space="preserve"> </w:t>
            </w:r>
          </w:p>
          <w:p w14:paraId="074E8BBB" w14:textId="77777777" w:rsidR="00C45D59" w:rsidRDefault="00C45D59">
            <w:pPr>
              <w:spacing w:after="0" w:line="240" w:lineRule="auto"/>
              <w:rPr>
                <w:rFonts w:ascii="Times New Roman" w:hAnsi="Times New Roman" w:cs="Times New Roman"/>
                <w:noProof/>
                <w:color w:val="006100"/>
                <w:sz w:val="18"/>
                <w:szCs w:val="18"/>
              </w:rPr>
            </w:pPr>
          </w:p>
        </w:tc>
      </w:tr>
      <w:tr w:rsidR="00C45D59" w14:paraId="6CE039D5" w14:textId="77777777" w:rsidTr="00242B1C">
        <w:trPr>
          <w:trHeight w:val="313"/>
          <w:jc w:val="center"/>
        </w:trPr>
        <w:tc>
          <w:tcPr>
            <w:tcW w:w="527" w:type="dxa"/>
            <w:shd w:val="clear" w:color="auto" w:fill="C6EFCE"/>
            <w:noWrap/>
          </w:tcPr>
          <w:p w14:paraId="7414F564" w14:textId="77777777" w:rsidR="00C45D59" w:rsidRDefault="009B0962">
            <w:pPr>
              <w:pStyle w:val="P68B1DB1-Normal12"/>
              <w:spacing w:after="0" w:line="240" w:lineRule="auto"/>
              <w:rPr>
                <w:rFonts w:eastAsia="Times New Roman"/>
                <w:noProof/>
              </w:rPr>
            </w:pPr>
            <w:r>
              <w:rPr>
                <w:noProof/>
              </w:rPr>
              <w:t>285</w:t>
            </w:r>
          </w:p>
        </w:tc>
        <w:tc>
          <w:tcPr>
            <w:tcW w:w="2243" w:type="dxa"/>
            <w:shd w:val="clear" w:color="auto" w:fill="C6EFCE"/>
            <w:noWrap/>
          </w:tcPr>
          <w:p w14:paraId="6316E481" w14:textId="77777777" w:rsidR="00C45D59" w:rsidRDefault="009B0962">
            <w:pPr>
              <w:pStyle w:val="P68B1DB1-Normal12"/>
              <w:spacing w:after="0" w:line="240" w:lineRule="auto"/>
              <w:rPr>
                <w:rFonts w:eastAsia="Times New Roman"/>
                <w:noProof/>
              </w:rPr>
            </w:pPr>
            <w:r>
              <w:rPr>
                <w:noProof/>
              </w:rPr>
              <w:t>17-4.6. Modernizarea și îmbunătățirea rezilienței sectoarelor economice cheie – 16725_Modernizarea învățământului superior în domeniul artelor</w:t>
            </w:r>
          </w:p>
        </w:tc>
        <w:tc>
          <w:tcPr>
            <w:tcW w:w="975" w:type="dxa"/>
            <w:shd w:val="clear" w:color="auto" w:fill="C6EFCE"/>
            <w:noWrap/>
          </w:tcPr>
          <w:p w14:paraId="0049075A" w14:textId="77777777" w:rsidR="00C45D59" w:rsidRDefault="009B0962">
            <w:pPr>
              <w:pStyle w:val="P68B1DB1-Normal12"/>
              <w:spacing w:after="0" w:line="240" w:lineRule="auto"/>
              <w:rPr>
                <w:rFonts w:eastAsia="Times New Roman"/>
                <w:noProof/>
              </w:rPr>
            </w:pPr>
            <w:r>
              <w:rPr>
                <w:noProof/>
              </w:rPr>
              <w:t>Etapă</w:t>
            </w:r>
          </w:p>
        </w:tc>
        <w:tc>
          <w:tcPr>
            <w:tcW w:w="1276" w:type="dxa"/>
            <w:shd w:val="clear" w:color="auto" w:fill="C6EFCE"/>
            <w:noWrap/>
          </w:tcPr>
          <w:p w14:paraId="0CABBD0C" w14:textId="77777777" w:rsidR="00C45D59" w:rsidRDefault="009B0962">
            <w:pPr>
              <w:pStyle w:val="P68B1DB1-Normal12"/>
              <w:spacing w:after="0" w:line="240" w:lineRule="auto"/>
              <w:rPr>
                <w:rFonts w:eastAsia="Times New Roman"/>
                <w:noProof/>
              </w:rPr>
            </w:pPr>
            <w:r>
              <w:rPr>
                <w:noProof/>
              </w:rPr>
              <w:t>Modernizarea învățământului superior în domeniul artelor</w:t>
            </w:r>
          </w:p>
        </w:tc>
        <w:tc>
          <w:tcPr>
            <w:tcW w:w="2438" w:type="dxa"/>
            <w:shd w:val="clear" w:color="auto" w:fill="C6EFCE"/>
            <w:noWrap/>
          </w:tcPr>
          <w:p w14:paraId="3380356D" w14:textId="6EB1AD18" w:rsidR="00C45D59" w:rsidRDefault="009B0962">
            <w:pPr>
              <w:pStyle w:val="P68B1DB1-Normal12"/>
              <w:spacing w:after="0" w:line="240" w:lineRule="auto"/>
              <w:rPr>
                <w:rFonts w:eastAsia="Times New Roman"/>
                <w:noProof/>
              </w:rPr>
            </w:pPr>
            <w:r>
              <w:rPr>
                <w:noProof/>
              </w:rPr>
              <w:t>Intrarea în vigoare a actului (actelor) juridic (e) pentru înființarea unei universități de arte spectacolului. Construirea și modernizarea infrastructurii digitale a instituțiilor.</w:t>
            </w:r>
          </w:p>
        </w:tc>
        <w:tc>
          <w:tcPr>
            <w:tcW w:w="1106" w:type="dxa"/>
            <w:shd w:val="clear" w:color="auto" w:fill="C6EFCE"/>
            <w:noWrap/>
          </w:tcPr>
          <w:p w14:paraId="588E6410"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559" w:type="dxa"/>
            <w:shd w:val="clear" w:color="auto" w:fill="C6EFCE"/>
            <w:noWrap/>
          </w:tcPr>
          <w:p w14:paraId="69A1A3B9"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134" w:type="dxa"/>
            <w:shd w:val="clear" w:color="auto" w:fill="C6EFCE"/>
            <w:noWrap/>
          </w:tcPr>
          <w:p w14:paraId="7912D38F"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030" w:type="dxa"/>
            <w:shd w:val="clear" w:color="auto" w:fill="C6EFCE"/>
            <w:noWrap/>
          </w:tcPr>
          <w:p w14:paraId="624B0F9B" w14:textId="77777777" w:rsidR="00C45D59" w:rsidRDefault="009B0962">
            <w:pPr>
              <w:pStyle w:val="P68B1DB1-Normal12"/>
              <w:spacing w:after="0" w:line="240" w:lineRule="auto"/>
              <w:rPr>
                <w:rFonts w:eastAsia="Times New Roman"/>
                <w:noProof/>
              </w:rPr>
            </w:pPr>
            <w:r>
              <w:rPr>
                <w:noProof/>
              </w:rPr>
              <w:t>Î4</w:t>
            </w:r>
          </w:p>
        </w:tc>
        <w:tc>
          <w:tcPr>
            <w:tcW w:w="720" w:type="dxa"/>
            <w:shd w:val="clear" w:color="auto" w:fill="C6EFCE"/>
            <w:noWrap/>
          </w:tcPr>
          <w:p w14:paraId="74A2947B" w14:textId="77777777" w:rsidR="00C45D59" w:rsidRDefault="009B0962">
            <w:pPr>
              <w:pStyle w:val="P68B1DB1-Normal12"/>
              <w:spacing w:after="0" w:line="240" w:lineRule="auto"/>
              <w:rPr>
                <w:rFonts w:eastAsia="Times New Roman"/>
                <w:noProof/>
              </w:rPr>
            </w:pPr>
            <w:r>
              <w:rPr>
                <w:noProof/>
              </w:rPr>
              <w:t>2025</w:t>
            </w:r>
          </w:p>
        </w:tc>
        <w:tc>
          <w:tcPr>
            <w:tcW w:w="3098" w:type="dxa"/>
            <w:shd w:val="clear" w:color="auto" w:fill="C6EFCE"/>
            <w:noWrap/>
          </w:tcPr>
          <w:p w14:paraId="27875840" w14:textId="01029353" w:rsidR="00C45D59" w:rsidRDefault="009B0962">
            <w:pPr>
              <w:pStyle w:val="P68B1DB1-Normal12"/>
              <w:spacing w:after="0" w:line="240" w:lineRule="auto"/>
              <w:rPr>
                <w:noProof/>
              </w:rPr>
            </w:pPr>
            <w:r>
              <w:rPr>
                <w:noProof/>
              </w:rPr>
              <w:t>Intrarea în vigoare a actului (actelor) juridic (e) pentru înființarea unei universități de arte spectacole și prezentarea programelor de studii ale universității Autorității elene pentru învățământul superior în vederea acreditării.</w:t>
            </w:r>
          </w:p>
          <w:p w14:paraId="58F4AB17" w14:textId="77777777" w:rsidR="00C45D59" w:rsidRDefault="00C45D59">
            <w:pPr>
              <w:spacing w:after="0" w:line="240" w:lineRule="auto"/>
              <w:rPr>
                <w:rFonts w:ascii="Times New Roman" w:eastAsiaTheme="minorEastAsia" w:hAnsi="Times New Roman" w:cs="Times New Roman"/>
                <w:noProof/>
                <w:color w:val="006100"/>
                <w:sz w:val="18"/>
                <w:szCs w:val="18"/>
              </w:rPr>
            </w:pPr>
          </w:p>
          <w:p w14:paraId="0E515370" w14:textId="2DD9BF32" w:rsidR="00C45D59" w:rsidRDefault="009B0962">
            <w:pPr>
              <w:pStyle w:val="P68B1DB1-Normal12"/>
              <w:spacing w:after="0" w:line="240" w:lineRule="auto"/>
              <w:rPr>
                <w:rFonts w:eastAsiaTheme="minorEastAsia"/>
                <w:noProof/>
              </w:rPr>
            </w:pPr>
            <w:r>
              <w:rPr>
                <w:noProof/>
              </w:rPr>
              <w:t xml:space="preserve">Modernizarea clădirii Școlii de Stat de Artă Orcinală, a Conservatorului de Stat din Salonic și a Școlii Pregătitoare și Profesionale de Arte Frumoase din Panormos, Tinos. </w:t>
            </w:r>
          </w:p>
          <w:p w14:paraId="60FAAE67" w14:textId="77777777" w:rsidR="00C45D59" w:rsidRDefault="00C45D59">
            <w:pPr>
              <w:spacing w:after="0" w:line="240" w:lineRule="auto"/>
              <w:rPr>
                <w:rFonts w:ascii="Times New Roman" w:eastAsiaTheme="minorEastAsia" w:hAnsi="Times New Roman" w:cs="Times New Roman"/>
                <w:noProof/>
                <w:color w:val="006100"/>
                <w:sz w:val="18"/>
                <w:szCs w:val="18"/>
              </w:rPr>
            </w:pPr>
          </w:p>
          <w:p w14:paraId="30ACB673" w14:textId="1DD7764D" w:rsidR="00C45D59" w:rsidRDefault="009B0962">
            <w:pPr>
              <w:pStyle w:val="P68B1DB1-Normal12"/>
              <w:spacing w:after="0" w:line="240" w:lineRule="auto"/>
              <w:rPr>
                <w:noProof/>
              </w:rPr>
            </w:pPr>
            <w:r>
              <w:rPr>
                <w:noProof/>
              </w:rPr>
              <w:t>Modernizarea infrastructurii digitale a Școlii Drama a Teatrului Național și a Școlii Drama a Teatrului de Stat din nordul Greciei.</w:t>
            </w:r>
          </w:p>
        </w:tc>
      </w:tr>
      <w:tr w:rsidR="00C45D59" w14:paraId="2A5F69C0" w14:textId="77777777" w:rsidTr="00242B1C">
        <w:trPr>
          <w:trHeight w:val="313"/>
          <w:jc w:val="center"/>
        </w:trPr>
        <w:tc>
          <w:tcPr>
            <w:tcW w:w="527" w:type="dxa"/>
            <w:shd w:val="clear" w:color="auto" w:fill="C6EFCE"/>
            <w:noWrap/>
          </w:tcPr>
          <w:p w14:paraId="60D8C8B7" w14:textId="1C77D0F3" w:rsidR="00C45D59" w:rsidRDefault="009B0962">
            <w:pPr>
              <w:pStyle w:val="P68B1DB1-Normal12"/>
              <w:spacing w:after="0" w:line="240" w:lineRule="auto"/>
              <w:rPr>
                <w:noProof/>
              </w:rPr>
            </w:pPr>
            <w:r>
              <w:rPr>
                <w:noProof/>
              </w:rPr>
              <w:t>287</w:t>
            </w:r>
          </w:p>
        </w:tc>
        <w:tc>
          <w:tcPr>
            <w:tcW w:w="2243" w:type="dxa"/>
            <w:shd w:val="clear" w:color="auto" w:fill="C6EFCE"/>
            <w:noWrap/>
          </w:tcPr>
          <w:p w14:paraId="77990073" w14:textId="0BC13225" w:rsidR="00C45D59" w:rsidRDefault="009B0962">
            <w:pPr>
              <w:pStyle w:val="P68B1DB1-Normal12"/>
              <w:spacing w:after="0" w:line="240" w:lineRule="auto"/>
              <w:rPr>
                <w:noProof/>
              </w:rPr>
            </w:pPr>
            <w:r>
              <w:rPr>
                <w:noProof/>
              </w:rPr>
              <w:t>17-4.6. Modernizarea și îmbunătățirea rezilienței sectoarelor economice esențiale – 16486_Muzeul antichităților subacvatice</w:t>
            </w:r>
          </w:p>
        </w:tc>
        <w:tc>
          <w:tcPr>
            <w:tcW w:w="975" w:type="dxa"/>
            <w:shd w:val="clear" w:color="auto" w:fill="C6EFCE"/>
            <w:noWrap/>
          </w:tcPr>
          <w:p w14:paraId="43B3322A" w14:textId="77FFE89D" w:rsidR="00C45D59" w:rsidRDefault="009B0962">
            <w:pPr>
              <w:pStyle w:val="P68B1DB1-Normal12"/>
              <w:spacing w:after="0" w:line="240" w:lineRule="auto"/>
              <w:rPr>
                <w:noProof/>
              </w:rPr>
            </w:pPr>
            <w:r>
              <w:rPr>
                <w:noProof/>
              </w:rPr>
              <w:t>Țintă</w:t>
            </w:r>
          </w:p>
        </w:tc>
        <w:tc>
          <w:tcPr>
            <w:tcW w:w="1276" w:type="dxa"/>
            <w:shd w:val="clear" w:color="auto" w:fill="C6EFCE"/>
            <w:noWrap/>
          </w:tcPr>
          <w:p w14:paraId="4C984ECC" w14:textId="10ADB465" w:rsidR="00C45D59" w:rsidRDefault="009B0962">
            <w:pPr>
              <w:pStyle w:val="P68B1DB1-Normal12"/>
              <w:spacing w:after="0" w:line="240" w:lineRule="auto"/>
              <w:rPr>
                <w:noProof/>
              </w:rPr>
            </w:pPr>
            <w:r>
              <w:rPr>
                <w:noProof/>
              </w:rPr>
              <w:t>Muzeul antichităților subacvatice</w:t>
            </w:r>
          </w:p>
        </w:tc>
        <w:tc>
          <w:tcPr>
            <w:tcW w:w="2438" w:type="dxa"/>
            <w:shd w:val="clear" w:color="auto" w:fill="C6EFCE"/>
            <w:noWrap/>
          </w:tcPr>
          <w:p w14:paraId="335D74F1" w14:textId="2F8BCE31" w:rsidR="00C45D59" w:rsidRDefault="00C45D59">
            <w:pPr>
              <w:spacing w:after="0" w:line="240" w:lineRule="auto"/>
              <w:rPr>
                <w:rFonts w:ascii="Times New Roman" w:eastAsia="Times New Roman" w:hAnsi="Times New Roman" w:cs="Times New Roman"/>
                <w:noProof/>
                <w:color w:val="006100"/>
                <w:sz w:val="18"/>
                <w:szCs w:val="18"/>
              </w:rPr>
            </w:pPr>
          </w:p>
        </w:tc>
        <w:tc>
          <w:tcPr>
            <w:tcW w:w="1106" w:type="dxa"/>
            <w:shd w:val="clear" w:color="auto" w:fill="C6EFCE"/>
            <w:noWrap/>
          </w:tcPr>
          <w:p w14:paraId="235C0E48" w14:textId="31F84146" w:rsidR="00C45D59" w:rsidRDefault="009B0962">
            <w:pPr>
              <w:pStyle w:val="P68B1DB1-Normal23"/>
              <w:spacing w:after="0" w:line="240" w:lineRule="auto"/>
              <w:rPr>
                <w:noProof/>
              </w:rPr>
            </w:pPr>
            <w:r>
              <w:rPr>
                <w:noProof/>
              </w:rPr>
              <w:t>EUR</w:t>
            </w:r>
          </w:p>
        </w:tc>
        <w:tc>
          <w:tcPr>
            <w:tcW w:w="1559" w:type="dxa"/>
            <w:shd w:val="clear" w:color="auto" w:fill="C6EFCE"/>
            <w:noWrap/>
          </w:tcPr>
          <w:p w14:paraId="1D9C93A2" w14:textId="1BECEC67" w:rsidR="00C45D59" w:rsidRDefault="009B0962">
            <w:pPr>
              <w:pStyle w:val="P68B1DB1-Normal23"/>
              <w:spacing w:after="0" w:line="240" w:lineRule="auto"/>
              <w:rPr>
                <w:noProof/>
              </w:rPr>
            </w:pPr>
            <w:r>
              <w:rPr>
                <w:noProof/>
              </w:rPr>
              <w:t>0</w:t>
            </w:r>
          </w:p>
        </w:tc>
        <w:tc>
          <w:tcPr>
            <w:tcW w:w="1134" w:type="dxa"/>
            <w:shd w:val="clear" w:color="auto" w:fill="C6EFCE"/>
            <w:noWrap/>
          </w:tcPr>
          <w:p w14:paraId="7C9CCFEF" w14:textId="130375D3" w:rsidR="00C45D59" w:rsidRDefault="009B0962">
            <w:pPr>
              <w:pStyle w:val="P68B1DB1-Normal12"/>
              <w:spacing w:after="0" w:line="240" w:lineRule="auto"/>
              <w:rPr>
                <w:noProof/>
              </w:rPr>
            </w:pPr>
            <w:r>
              <w:rPr>
                <w:noProof/>
              </w:rPr>
              <w:t>45.8 milioane</w:t>
            </w:r>
          </w:p>
        </w:tc>
        <w:tc>
          <w:tcPr>
            <w:tcW w:w="1030" w:type="dxa"/>
            <w:shd w:val="clear" w:color="auto" w:fill="C6EFCE"/>
          </w:tcPr>
          <w:p w14:paraId="26E20693" w14:textId="4E08A324" w:rsidR="00C45D59" w:rsidRDefault="009B0962">
            <w:pPr>
              <w:pStyle w:val="P68B1DB1-Normal12"/>
              <w:spacing w:after="0" w:line="240" w:lineRule="auto"/>
              <w:rPr>
                <w:noProof/>
              </w:rPr>
            </w:pPr>
            <w:r>
              <w:rPr>
                <w:noProof/>
              </w:rPr>
              <w:t>Î4</w:t>
            </w:r>
          </w:p>
        </w:tc>
        <w:tc>
          <w:tcPr>
            <w:tcW w:w="720" w:type="dxa"/>
            <w:shd w:val="clear" w:color="auto" w:fill="C6EFCE"/>
          </w:tcPr>
          <w:p w14:paraId="1AD87F87" w14:textId="59D42584" w:rsidR="00C45D59" w:rsidRDefault="009B0962">
            <w:pPr>
              <w:pStyle w:val="P68B1DB1-Normal12"/>
              <w:spacing w:after="0" w:line="240" w:lineRule="auto"/>
              <w:rPr>
                <w:noProof/>
              </w:rPr>
            </w:pPr>
            <w:r>
              <w:rPr>
                <w:noProof/>
              </w:rPr>
              <w:t>2025</w:t>
            </w:r>
          </w:p>
        </w:tc>
        <w:tc>
          <w:tcPr>
            <w:tcW w:w="3098" w:type="dxa"/>
            <w:shd w:val="clear" w:color="auto" w:fill="C6EFCE"/>
            <w:noWrap/>
          </w:tcPr>
          <w:p w14:paraId="0418ADC5" w14:textId="2C63782D" w:rsidR="00C45D59" w:rsidRDefault="009B0962">
            <w:pPr>
              <w:pStyle w:val="P68B1DB1-Normal12"/>
              <w:spacing w:after="0" w:line="240" w:lineRule="auto"/>
              <w:rPr>
                <w:noProof/>
              </w:rPr>
            </w:pPr>
            <w:r>
              <w:rPr>
                <w:noProof/>
              </w:rPr>
              <w:t>Lucrări și materiale în valoare de 45.8 milioane EUR pentru Muzeul antichităților subacvatice.</w:t>
            </w:r>
          </w:p>
        </w:tc>
      </w:tr>
      <w:tr w:rsidR="00C45D59" w14:paraId="24891436" w14:textId="77777777" w:rsidTr="00242B1C">
        <w:trPr>
          <w:trHeight w:val="313"/>
          <w:jc w:val="center"/>
        </w:trPr>
        <w:tc>
          <w:tcPr>
            <w:tcW w:w="527" w:type="dxa"/>
            <w:shd w:val="clear" w:color="auto" w:fill="C6EFCE"/>
            <w:noWrap/>
          </w:tcPr>
          <w:p w14:paraId="79FD22BD" w14:textId="47DDE0AF" w:rsidR="00C45D59" w:rsidRDefault="009B0962">
            <w:pPr>
              <w:pStyle w:val="P68B1DB1-Normal12"/>
              <w:spacing w:after="0" w:line="240" w:lineRule="auto"/>
              <w:rPr>
                <w:noProof/>
              </w:rPr>
            </w:pPr>
            <w:r>
              <w:rPr>
                <w:noProof/>
              </w:rPr>
              <w:t>288</w:t>
            </w:r>
          </w:p>
        </w:tc>
        <w:tc>
          <w:tcPr>
            <w:tcW w:w="2243" w:type="dxa"/>
            <w:shd w:val="clear" w:color="auto" w:fill="C6EFCE"/>
            <w:noWrap/>
          </w:tcPr>
          <w:p w14:paraId="7F2A9435" w14:textId="63BBFBA5" w:rsidR="00C45D59" w:rsidRDefault="009B0962">
            <w:pPr>
              <w:pStyle w:val="P68B1DB1-Normal12"/>
              <w:spacing w:after="0" w:line="240" w:lineRule="auto"/>
              <w:rPr>
                <w:noProof/>
              </w:rPr>
            </w:pPr>
            <w:r>
              <w:rPr>
                <w:noProof/>
              </w:rPr>
              <w:t>17-4.6. Modernizarea și îmbunătățirea rezilienței sectoarelor economice cheie – 16485_Itinerarii culturale la siturile și monumentele arheologice</w:t>
            </w:r>
          </w:p>
        </w:tc>
        <w:tc>
          <w:tcPr>
            <w:tcW w:w="975" w:type="dxa"/>
            <w:shd w:val="clear" w:color="auto" w:fill="C6EFCE"/>
            <w:noWrap/>
          </w:tcPr>
          <w:p w14:paraId="1F84B6A8" w14:textId="200EC2AF" w:rsidR="00C45D59" w:rsidRDefault="009B0962">
            <w:pPr>
              <w:pStyle w:val="P68B1DB1-Normal12"/>
              <w:spacing w:after="0" w:line="240" w:lineRule="auto"/>
              <w:rPr>
                <w:noProof/>
              </w:rPr>
            </w:pPr>
            <w:r>
              <w:rPr>
                <w:noProof/>
              </w:rPr>
              <w:t>Etapă</w:t>
            </w:r>
          </w:p>
        </w:tc>
        <w:tc>
          <w:tcPr>
            <w:tcW w:w="1276" w:type="dxa"/>
            <w:shd w:val="clear" w:color="auto" w:fill="C6EFCE"/>
            <w:noWrap/>
          </w:tcPr>
          <w:p w14:paraId="4160192F" w14:textId="714F6F70" w:rsidR="00C45D59" w:rsidRDefault="009B0962">
            <w:pPr>
              <w:pStyle w:val="P68B1DB1-Normal12"/>
              <w:spacing w:after="0" w:line="240" w:lineRule="auto"/>
              <w:rPr>
                <w:noProof/>
              </w:rPr>
            </w:pPr>
            <w:r>
              <w:rPr>
                <w:noProof/>
              </w:rPr>
              <w:t>Itinerarii culturale la siturile arheologice</w:t>
            </w:r>
          </w:p>
        </w:tc>
        <w:tc>
          <w:tcPr>
            <w:tcW w:w="2438" w:type="dxa"/>
            <w:shd w:val="clear" w:color="auto" w:fill="C6EFCE"/>
            <w:noWrap/>
          </w:tcPr>
          <w:p w14:paraId="50029C05" w14:textId="2CF7447A" w:rsidR="00C45D59" w:rsidRDefault="009B0962">
            <w:pPr>
              <w:pStyle w:val="P68B1DB1-Normal12"/>
              <w:spacing w:after="0" w:line="240" w:lineRule="auto"/>
              <w:rPr>
                <w:rFonts w:eastAsia="Times New Roman"/>
                <w:noProof/>
              </w:rPr>
            </w:pPr>
            <w:r>
              <w:rPr>
                <w:noProof/>
              </w:rPr>
              <w:t xml:space="preserve">Crearea de itinerarii culturale </w:t>
            </w:r>
          </w:p>
        </w:tc>
        <w:tc>
          <w:tcPr>
            <w:tcW w:w="1106" w:type="dxa"/>
            <w:shd w:val="clear" w:color="auto" w:fill="C6EFCE"/>
            <w:noWrap/>
          </w:tcPr>
          <w:p w14:paraId="0F284C54"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559" w:type="dxa"/>
            <w:shd w:val="clear" w:color="auto" w:fill="C6EFCE"/>
            <w:noWrap/>
          </w:tcPr>
          <w:p w14:paraId="1804E432"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134" w:type="dxa"/>
            <w:shd w:val="clear" w:color="auto" w:fill="C6EFCE"/>
            <w:noWrap/>
          </w:tcPr>
          <w:p w14:paraId="68A6CFC6" w14:textId="028B6D09" w:rsidR="00C45D59" w:rsidRDefault="00C45D59">
            <w:pPr>
              <w:spacing w:after="0" w:line="240" w:lineRule="auto"/>
              <w:rPr>
                <w:rFonts w:ascii="Times New Roman" w:hAnsi="Times New Roman" w:cs="Times New Roman"/>
                <w:noProof/>
                <w:color w:val="006100"/>
                <w:sz w:val="18"/>
                <w:szCs w:val="18"/>
              </w:rPr>
            </w:pPr>
          </w:p>
        </w:tc>
        <w:tc>
          <w:tcPr>
            <w:tcW w:w="1030" w:type="dxa"/>
            <w:shd w:val="clear" w:color="auto" w:fill="C6EFCE"/>
          </w:tcPr>
          <w:p w14:paraId="627DD670" w14:textId="3C678368" w:rsidR="00C45D59" w:rsidRDefault="009B0962">
            <w:pPr>
              <w:pStyle w:val="P68B1DB1-Normal12"/>
              <w:spacing w:after="0" w:line="240" w:lineRule="auto"/>
              <w:rPr>
                <w:noProof/>
              </w:rPr>
            </w:pPr>
            <w:r>
              <w:rPr>
                <w:noProof/>
              </w:rPr>
              <w:t>Î4</w:t>
            </w:r>
          </w:p>
        </w:tc>
        <w:tc>
          <w:tcPr>
            <w:tcW w:w="720" w:type="dxa"/>
            <w:shd w:val="clear" w:color="auto" w:fill="C6EFCE"/>
          </w:tcPr>
          <w:p w14:paraId="0EB3160D" w14:textId="2EE1187B" w:rsidR="00C45D59" w:rsidRDefault="009B0962">
            <w:pPr>
              <w:pStyle w:val="P68B1DB1-Normal12"/>
              <w:spacing w:after="0" w:line="240" w:lineRule="auto"/>
              <w:rPr>
                <w:noProof/>
              </w:rPr>
            </w:pPr>
            <w:r>
              <w:rPr>
                <w:noProof/>
              </w:rPr>
              <w:t>2025</w:t>
            </w:r>
          </w:p>
        </w:tc>
        <w:tc>
          <w:tcPr>
            <w:tcW w:w="3098" w:type="dxa"/>
            <w:shd w:val="clear" w:color="auto" w:fill="C6EFCE"/>
            <w:noWrap/>
          </w:tcPr>
          <w:p w14:paraId="4B26A4B2" w14:textId="1EB7CDF8" w:rsidR="00C45D59" w:rsidRDefault="009B0962">
            <w:pPr>
              <w:pStyle w:val="P68B1DB1-Normal12"/>
              <w:spacing w:after="0" w:line="240" w:lineRule="auto"/>
              <w:rPr>
                <w:noProof/>
              </w:rPr>
            </w:pPr>
            <w:r>
              <w:rPr>
                <w:noProof/>
              </w:rPr>
              <w:t xml:space="preserve">Sunt stabilite cinci itinerarii culturale cu discursuri tematice din istoria Greciei, împreună cu aplicații digitale. </w:t>
            </w:r>
          </w:p>
        </w:tc>
      </w:tr>
      <w:tr w:rsidR="00C45D59" w14:paraId="39D43AA7" w14:textId="77777777" w:rsidTr="00242B1C">
        <w:trPr>
          <w:trHeight w:val="313"/>
          <w:jc w:val="center"/>
        </w:trPr>
        <w:tc>
          <w:tcPr>
            <w:tcW w:w="527" w:type="dxa"/>
            <w:shd w:val="clear" w:color="auto" w:fill="C6EFCE"/>
            <w:noWrap/>
          </w:tcPr>
          <w:p w14:paraId="578A8067" w14:textId="06EEA275" w:rsidR="00C45D59" w:rsidRDefault="009B0962">
            <w:pPr>
              <w:pStyle w:val="P68B1DB1-Normal12"/>
              <w:spacing w:after="0" w:line="240" w:lineRule="auto"/>
              <w:rPr>
                <w:noProof/>
              </w:rPr>
            </w:pPr>
            <w:r>
              <w:rPr>
                <w:noProof/>
              </w:rPr>
              <w:t>289</w:t>
            </w:r>
          </w:p>
        </w:tc>
        <w:tc>
          <w:tcPr>
            <w:tcW w:w="2243" w:type="dxa"/>
            <w:shd w:val="clear" w:color="auto" w:fill="C6EFCE"/>
            <w:noWrap/>
          </w:tcPr>
          <w:p w14:paraId="776CC8CE" w14:textId="6E6E8CC2" w:rsidR="00C45D59" w:rsidRDefault="009B0962">
            <w:pPr>
              <w:pStyle w:val="P68B1DB1-Normal12"/>
              <w:spacing w:after="0" w:line="240" w:lineRule="auto"/>
              <w:rPr>
                <w:noProof/>
              </w:rPr>
            </w:pPr>
            <w:r>
              <w:rPr>
                <w:noProof/>
              </w:rPr>
              <w:t>17-4.6. Modernizarea și îmbunătățirea rezilienței sectoarelor economice cheie – 16735_ Utilizarea „acțiunilor-pilot de prescriere culturală”, promovarea coeziunii sociale și valorificarea economiei vârstei a treia</w:t>
            </w:r>
          </w:p>
        </w:tc>
        <w:tc>
          <w:tcPr>
            <w:tcW w:w="975" w:type="dxa"/>
            <w:shd w:val="clear" w:color="auto" w:fill="C6EFCE"/>
            <w:noWrap/>
          </w:tcPr>
          <w:p w14:paraId="23607B6D" w14:textId="6D5D4192" w:rsidR="00C45D59" w:rsidRDefault="009B0962">
            <w:pPr>
              <w:pStyle w:val="P68B1DB1-Normal12"/>
              <w:spacing w:after="0" w:line="240" w:lineRule="auto"/>
              <w:rPr>
                <w:noProof/>
              </w:rPr>
            </w:pPr>
            <w:r>
              <w:rPr>
                <w:noProof/>
              </w:rPr>
              <w:t>Etapă</w:t>
            </w:r>
          </w:p>
        </w:tc>
        <w:tc>
          <w:tcPr>
            <w:tcW w:w="1276" w:type="dxa"/>
            <w:shd w:val="clear" w:color="auto" w:fill="C6EFCE"/>
            <w:noWrap/>
          </w:tcPr>
          <w:p w14:paraId="476BD05A" w14:textId="622182DB" w:rsidR="00C45D59" w:rsidRDefault="009B0962">
            <w:pPr>
              <w:pStyle w:val="P68B1DB1-Normal12"/>
              <w:spacing w:after="0" w:line="240" w:lineRule="auto"/>
              <w:rPr>
                <w:noProof/>
              </w:rPr>
            </w:pPr>
            <w:r>
              <w:rPr>
                <w:noProof/>
              </w:rPr>
              <w:t xml:space="preserve"> Programul „Acțiuni-pilot privind prescripțiile culturale” și lucrările de infrastructură </w:t>
            </w:r>
          </w:p>
        </w:tc>
        <w:tc>
          <w:tcPr>
            <w:tcW w:w="2438" w:type="dxa"/>
            <w:shd w:val="clear" w:color="auto" w:fill="C6EFCE"/>
            <w:noWrap/>
          </w:tcPr>
          <w:p w14:paraId="36991F5E" w14:textId="70C31D76" w:rsidR="00C45D59" w:rsidRDefault="009B0962">
            <w:pPr>
              <w:pStyle w:val="P68B1DB1-Normal12"/>
              <w:spacing w:after="0" w:line="240" w:lineRule="auto"/>
              <w:rPr>
                <w:rFonts w:eastAsia="Times New Roman"/>
                <w:noProof/>
              </w:rPr>
            </w:pPr>
            <w:r>
              <w:rPr>
                <w:noProof/>
              </w:rPr>
              <w:t>Lucrări de infrastructură și ateliere</w:t>
            </w:r>
          </w:p>
        </w:tc>
        <w:tc>
          <w:tcPr>
            <w:tcW w:w="1106" w:type="dxa"/>
            <w:shd w:val="clear" w:color="auto" w:fill="C6EFCE"/>
            <w:noWrap/>
          </w:tcPr>
          <w:p w14:paraId="2B552DAB"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559" w:type="dxa"/>
            <w:shd w:val="clear" w:color="auto" w:fill="C6EFCE"/>
            <w:noWrap/>
          </w:tcPr>
          <w:p w14:paraId="7DC5CEC3"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134" w:type="dxa"/>
            <w:shd w:val="clear" w:color="auto" w:fill="C6EFCE"/>
            <w:noWrap/>
          </w:tcPr>
          <w:p w14:paraId="7572E0F7" w14:textId="3AA5FA74" w:rsidR="00C45D59" w:rsidRDefault="00C45D59">
            <w:pPr>
              <w:spacing w:after="0" w:line="240" w:lineRule="auto"/>
              <w:rPr>
                <w:rFonts w:ascii="Times New Roman" w:hAnsi="Times New Roman" w:cs="Times New Roman"/>
                <w:noProof/>
                <w:color w:val="006100"/>
                <w:sz w:val="18"/>
                <w:szCs w:val="18"/>
              </w:rPr>
            </w:pPr>
          </w:p>
        </w:tc>
        <w:tc>
          <w:tcPr>
            <w:tcW w:w="1030" w:type="dxa"/>
            <w:shd w:val="clear" w:color="auto" w:fill="C6EFCE"/>
          </w:tcPr>
          <w:p w14:paraId="532D4A28" w14:textId="6A28F2C3" w:rsidR="00C45D59" w:rsidRDefault="009B0962">
            <w:pPr>
              <w:pStyle w:val="P68B1DB1-Normal12"/>
              <w:spacing w:after="0" w:line="240" w:lineRule="auto"/>
              <w:rPr>
                <w:noProof/>
              </w:rPr>
            </w:pPr>
            <w:r>
              <w:rPr>
                <w:noProof/>
              </w:rPr>
              <w:t>Î4</w:t>
            </w:r>
          </w:p>
        </w:tc>
        <w:tc>
          <w:tcPr>
            <w:tcW w:w="720" w:type="dxa"/>
            <w:shd w:val="clear" w:color="auto" w:fill="C6EFCE"/>
          </w:tcPr>
          <w:p w14:paraId="289A0048" w14:textId="14524CC9" w:rsidR="00C45D59" w:rsidRDefault="009B0962">
            <w:pPr>
              <w:pStyle w:val="P68B1DB1-Normal12"/>
              <w:spacing w:after="0" w:line="240" w:lineRule="auto"/>
              <w:rPr>
                <w:noProof/>
              </w:rPr>
            </w:pPr>
            <w:r>
              <w:rPr>
                <w:noProof/>
              </w:rPr>
              <w:t>2025</w:t>
            </w:r>
          </w:p>
        </w:tc>
        <w:tc>
          <w:tcPr>
            <w:tcW w:w="3098" w:type="dxa"/>
            <w:shd w:val="clear" w:color="auto" w:fill="C6EFCE"/>
            <w:noWrap/>
          </w:tcPr>
          <w:p w14:paraId="07F0BECC" w14:textId="792A4E6E" w:rsidR="00C45D59" w:rsidRDefault="009B0962">
            <w:pPr>
              <w:pStyle w:val="P68B1DB1-Normal12"/>
              <w:spacing w:after="0" w:line="240" w:lineRule="auto"/>
              <w:rPr>
                <w:noProof/>
              </w:rPr>
            </w:pPr>
            <w:r>
              <w:rPr>
                <w:noProof/>
              </w:rPr>
              <w:t>Sunt executate lucrări de infrastructură în 12 locații culturale; extinderea/modernizarea aplicației Hellenic Heritage Digital Guide cu servicii ghidate în limbajul internațional al semnelor (IS); Programul „Acțiuni-pilot privind prescripția</w:t>
            </w:r>
            <w:r>
              <w:rPr>
                <w:noProof/>
                <w:u w:val="single"/>
              </w:rPr>
              <w:t xml:space="preserve"> </w:t>
            </w:r>
            <w:r>
              <w:rPr>
                <w:noProof/>
              </w:rPr>
              <w:t xml:space="preserve">culturală” este considerat pus în aplicare după ce au fost organizate cel puțin 100 ateliere. </w:t>
            </w:r>
          </w:p>
        </w:tc>
      </w:tr>
      <w:tr w:rsidR="00C45D59" w14:paraId="79E5FE3F" w14:textId="77777777" w:rsidTr="00242B1C">
        <w:trPr>
          <w:trHeight w:val="313"/>
          <w:jc w:val="center"/>
        </w:trPr>
        <w:tc>
          <w:tcPr>
            <w:tcW w:w="527" w:type="dxa"/>
            <w:shd w:val="clear" w:color="auto" w:fill="C6EFCE"/>
            <w:noWrap/>
          </w:tcPr>
          <w:p w14:paraId="77E8F3DE" w14:textId="3BE700F2" w:rsidR="00C45D59" w:rsidRDefault="009B0962">
            <w:pPr>
              <w:pStyle w:val="P68B1DB1-Normal12"/>
              <w:spacing w:after="0" w:line="240" w:lineRule="auto"/>
              <w:rPr>
                <w:noProof/>
              </w:rPr>
            </w:pPr>
            <w:r>
              <w:rPr>
                <w:noProof/>
              </w:rPr>
              <w:t>290</w:t>
            </w:r>
          </w:p>
        </w:tc>
        <w:tc>
          <w:tcPr>
            <w:tcW w:w="2243" w:type="dxa"/>
            <w:shd w:val="clear" w:color="auto" w:fill="C6EFCE"/>
            <w:noWrap/>
          </w:tcPr>
          <w:p w14:paraId="3EE09059" w14:textId="281C0CBF" w:rsidR="00C45D59" w:rsidRDefault="009B0962">
            <w:pPr>
              <w:pStyle w:val="P68B1DB1-Normal12"/>
              <w:spacing w:after="0" w:line="240" w:lineRule="auto"/>
              <w:rPr>
                <w:noProof/>
              </w:rPr>
            </w:pPr>
            <w:r>
              <w:rPr>
                <w:noProof/>
              </w:rPr>
              <w:t>17-4.6. Modernizarea și îmbunătățirea rezilienței sectoarelor economice cheie – 16433_Protejarea monumentelor culturale și a siturilor arheologice împotriva schimbărilor climatice</w:t>
            </w:r>
          </w:p>
        </w:tc>
        <w:tc>
          <w:tcPr>
            <w:tcW w:w="975" w:type="dxa"/>
            <w:shd w:val="clear" w:color="auto" w:fill="C6EFCE"/>
            <w:noWrap/>
          </w:tcPr>
          <w:p w14:paraId="480E742F" w14:textId="5721C424" w:rsidR="00C45D59" w:rsidRDefault="009B0962">
            <w:pPr>
              <w:pStyle w:val="P68B1DB1-Normal12"/>
              <w:spacing w:after="0" w:line="240" w:lineRule="auto"/>
              <w:rPr>
                <w:noProof/>
              </w:rPr>
            </w:pPr>
            <w:r>
              <w:rPr>
                <w:noProof/>
              </w:rPr>
              <w:t xml:space="preserve">Etapă </w:t>
            </w:r>
          </w:p>
        </w:tc>
        <w:tc>
          <w:tcPr>
            <w:tcW w:w="1276" w:type="dxa"/>
            <w:shd w:val="clear" w:color="auto" w:fill="C6EFCE"/>
            <w:noWrap/>
          </w:tcPr>
          <w:p w14:paraId="6D8BFE59" w14:textId="456E813A" w:rsidR="00C45D59" w:rsidRDefault="009B0962">
            <w:pPr>
              <w:pStyle w:val="P68B1DB1-Normal12"/>
              <w:spacing w:after="0" w:line="240" w:lineRule="auto"/>
              <w:rPr>
                <w:noProof/>
              </w:rPr>
            </w:pPr>
            <w:r>
              <w:rPr>
                <w:noProof/>
              </w:rPr>
              <w:t>Protejarea monumentelor culturale împotriva schimbărilor climatice</w:t>
            </w:r>
          </w:p>
        </w:tc>
        <w:tc>
          <w:tcPr>
            <w:tcW w:w="2438" w:type="dxa"/>
            <w:shd w:val="clear" w:color="auto" w:fill="C6EFCE"/>
            <w:noWrap/>
          </w:tcPr>
          <w:p w14:paraId="3729FC18" w14:textId="45D8DFA2" w:rsidR="00C45D59" w:rsidRDefault="009B0962">
            <w:pPr>
              <w:pStyle w:val="P68B1DB1-Normal12"/>
              <w:spacing w:after="0" w:line="240" w:lineRule="auto"/>
              <w:rPr>
                <w:rFonts w:eastAsia="Times New Roman"/>
                <w:noProof/>
              </w:rPr>
            </w:pPr>
            <w:r>
              <w:rPr>
                <w:noProof/>
              </w:rPr>
              <w:t>Executarea lucrărilor și realizarea planurilor de adaptare la schimbările climatice</w:t>
            </w:r>
          </w:p>
        </w:tc>
        <w:tc>
          <w:tcPr>
            <w:tcW w:w="1106" w:type="dxa"/>
            <w:shd w:val="clear" w:color="auto" w:fill="C6EFCE"/>
            <w:noWrap/>
          </w:tcPr>
          <w:p w14:paraId="60B8EB73"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559" w:type="dxa"/>
            <w:shd w:val="clear" w:color="auto" w:fill="C6EFCE"/>
            <w:noWrap/>
          </w:tcPr>
          <w:p w14:paraId="312D869A"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134" w:type="dxa"/>
            <w:shd w:val="clear" w:color="auto" w:fill="C6EFCE"/>
            <w:noWrap/>
          </w:tcPr>
          <w:p w14:paraId="54A8F0C6" w14:textId="4EC5A946" w:rsidR="00C45D59" w:rsidRDefault="00C45D59">
            <w:pPr>
              <w:spacing w:after="0" w:line="240" w:lineRule="auto"/>
              <w:rPr>
                <w:rFonts w:ascii="Times New Roman" w:hAnsi="Times New Roman" w:cs="Times New Roman"/>
                <w:noProof/>
                <w:color w:val="006100"/>
                <w:sz w:val="18"/>
                <w:szCs w:val="18"/>
              </w:rPr>
            </w:pPr>
          </w:p>
        </w:tc>
        <w:tc>
          <w:tcPr>
            <w:tcW w:w="1030" w:type="dxa"/>
            <w:shd w:val="clear" w:color="auto" w:fill="C6EFCE"/>
          </w:tcPr>
          <w:p w14:paraId="7029B817" w14:textId="3FF615B5" w:rsidR="00C45D59" w:rsidRDefault="009B0962">
            <w:pPr>
              <w:pStyle w:val="P68B1DB1-Normal12"/>
              <w:spacing w:after="0" w:line="240" w:lineRule="auto"/>
              <w:rPr>
                <w:noProof/>
              </w:rPr>
            </w:pPr>
            <w:r>
              <w:rPr>
                <w:noProof/>
              </w:rPr>
              <w:t>Î4</w:t>
            </w:r>
          </w:p>
        </w:tc>
        <w:tc>
          <w:tcPr>
            <w:tcW w:w="720" w:type="dxa"/>
            <w:shd w:val="clear" w:color="auto" w:fill="C6EFCE"/>
          </w:tcPr>
          <w:p w14:paraId="3A918408" w14:textId="4A990ED7" w:rsidR="00C45D59" w:rsidRDefault="009B0962">
            <w:pPr>
              <w:pStyle w:val="P68B1DB1-Normal12"/>
              <w:spacing w:after="0" w:line="240" w:lineRule="auto"/>
              <w:rPr>
                <w:noProof/>
              </w:rPr>
            </w:pPr>
            <w:r>
              <w:rPr>
                <w:noProof/>
              </w:rPr>
              <w:t>2025</w:t>
            </w:r>
          </w:p>
        </w:tc>
        <w:tc>
          <w:tcPr>
            <w:tcW w:w="3098" w:type="dxa"/>
            <w:shd w:val="clear" w:color="auto" w:fill="C6EFCE"/>
            <w:noWrap/>
          </w:tcPr>
          <w:p w14:paraId="0C9D5D1C" w14:textId="77777777" w:rsidR="00C45D59" w:rsidRDefault="009B0962">
            <w:pPr>
              <w:pStyle w:val="P68B1DB1-ListParagraph34"/>
              <w:numPr>
                <w:ilvl w:val="0"/>
                <w:numId w:val="81"/>
              </w:numPr>
              <w:spacing w:after="0" w:line="240" w:lineRule="auto"/>
              <w:rPr>
                <w:noProof/>
              </w:rPr>
            </w:pPr>
            <w:r>
              <w:rPr>
                <w:noProof/>
              </w:rPr>
              <w:t xml:space="preserve">Sunt executate lucrări pentru 5 monumente culturale; </w:t>
            </w:r>
          </w:p>
          <w:p w14:paraId="6CF12359" w14:textId="32DD3DD4" w:rsidR="00C45D59" w:rsidRDefault="009B0962">
            <w:pPr>
              <w:pStyle w:val="P68B1DB1-ListParagraph34"/>
              <w:numPr>
                <w:ilvl w:val="0"/>
                <w:numId w:val="81"/>
              </w:numPr>
              <w:spacing w:after="0" w:line="240" w:lineRule="auto"/>
              <w:rPr>
                <w:noProof/>
              </w:rPr>
            </w:pPr>
            <w:r>
              <w:rPr>
                <w:noProof/>
              </w:rPr>
              <w:t xml:space="preserve">Punerea în aplicare a unor planuri de adaptare la schimbările climatice pentru 19 de situri de patrimoniu cultural; </w:t>
            </w:r>
          </w:p>
        </w:tc>
      </w:tr>
      <w:tr w:rsidR="00C45D59" w14:paraId="48E6867F" w14:textId="77777777" w:rsidTr="00242B1C">
        <w:trPr>
          <w:trHeight w:val="313"/>
          <w:jc w:val="center"/>
        </w:trPr>
        <w:tc>
          <w:tcPr>
            <w:tcW w:w="527" w:type="dxa"/>
            <w:shd w:val="clear" w:color="auto" w:fill="C6EFCE"/>
            <w:noWrap/>
          </w:tcPr>
          <w:p w14:paraId="1E475BD7" w14:textId="6BD3F896" w:rsidR="00C45D59" w:rsidRDefault="009B0962">
            <w:pPr>
              <w:pStyle w:val="P68B1DB1-Normal12"/>
              <w:spacing w:after="0" w:line="240" w:lineRule="auto"/>
              <w:rPr>
                <w:noProof/>
              </w:rPr>
            </w:pPr>
            <w:r>
              <w:rPr>
                <w:noProof/>
              </w:rPr>
              <w:t>291</w:t>
            </w:r>
          </w:p>
        </w:tc>
        <w:tc>
          <w:tcPr>
            <w:tcW w:w="2243" w:type="dxa"/>
            <w:shd w:val="clear" w:color="auto" w:fill="C6EFCE"/>
            <w:noWrap/>
          </w:tcPr>
          <w:p w14:paraId="329B0D2A" w14:textId="3DF47433" w:rsidR="00C45D59" w:rsidRDefault="009B0962">
            <w:pPr>
              <w:pStyle w:val="P68B1DB1-Normal12"/>
              <w:spacing w:after="0" w:line="240" w:lineRule="auto"/>
              <w:rPr>
                <w:noProof/>
              </w:rPr>
            </w:pPr>
            <w:r>
              <w:rPr>
                <w:noProof/>
              </w:rPr>
              <w:t>17-4.6. Modernizarea și îmbunătățirea rezilienței sectoarelor economice cheie – 16435 _Restaurare – Conservare – Consolidarea monumentelor Acropolei</w:t>
            </w:r>
          </w:p>
        </w:tc>
        <w:tc>
          <w:tcPr>
            <w:tcW w:w="975" w:type="dxa"/>
            <w:shd w:val="clear" w:color="auto" w:fill="C6EFCE"/>
            <w:noWrap/>
          </w:tcPr>
          <w:p w14:paraId="661A9CF8" w14:textId="77777777" w:rsidR="00C45D59" w:rsidRDefault="009B0962">
            <w:pPr>
              <w:pStyle w:val="P68B1DB1-Normal12"/>
              <w:spacing w:after="0" w:line="240" w:lineRule="auto"/>
              <w:rPr>
                <w:rFonts w:eastAsia="Times New Roman"/>
                <w:noProof/>
              </w:rPr>
            </w:pPr>
            <w:r>
              <w:rPr>
                <w:noProof/>
              </w:rPr>
              <w:t>Etapă</w:t>
            </w:r>
          </w:p>
          <w:p w14:paraId="0154D7BB" w14:textId="77777777" w:rsidR="00C45D59" w:rsidRDefault="00C45D59">
            <w:pPr>
              <w:spacing w:after="0" w:line="240" w:lineRule="auto"/>
              <w:rPr>
                <w:rFonts w:ascii="Times New Roman" w:hAnsi="Times New Roman" w:cs="Times New Roman"/>
                <w:noProof/>
                <w:color w:val="006100"/>
                <w:sz w:val="18"/>
                <w:szCs w:val="18"/>
              </w:rPr>
            </w:pPr>
          </w:p>
        </w:tc>
        <w:tc>
          <w:tcPr>
            <w:tcW w:w="1276" w:type="dxa"/>
            <w:shd w:val="clear" w:color="auto" w:fill="C6EFCE"/>
            <w:noWrap/>
          </w:tcPr>
          <w:p w14:paraId="2EE4E1BF" w14:textId="2604CB22" w:rsidR="00C45D59" w:rsidRDefault="009B0962">
            <w:pPr>
              <w:pStyle w:val="P68B1DB1-Normal12"/>
              <w:spacing w:after="0" w:line="240" w:lineRule="auto"/>
              <w:rPr>
                <w:noProof/>
              </w:rPr>
            </w:pPr>
            <w:r>
              <w:rPr>
                <w:noProof/>
              </w:rPr>
              <w:t>Restaurare – Conservare – Consolidarea Acropolei</w:t>
            </w:r>
          </w:p>
        </w:tc>
        <w:tc>
          <w:tcPr>
            <w:tcW w:w="2438" w:type="dxa"/>
            <w:shd w:val="clear" w:color="auto" w:fill="C6EFCE"/>
            <w:noWrap/>
          </w:tcPr>
          <w:p w14:paraId="4C9D845B" w14:textId="22968E98" w:rsidR="00C45D59" w:rsidRDefault="009B0962">
            <w:pPr>
              <w:pStyle w:val="P68B1DB1-Normal12"/>
              <w:spacing w:after="0" w:line="240" w:lineRule="auto"/>
              <w:rPr>
                <w:rFonts w:eastAsia="Times New Roman"/>
                <w:noProof/>
              </w:rPr>
            </w:pPr>
            <w:r>
              <w:rPr>
                <w:noProof/>
              </w:rPr>
              <w:t xml:space="preserve">Finalizarea lucrărilor de restaurare, conservare și accesibilitate pentru vizitatori </w:t>
            </w:r>
          </w:p>
        </w:tc>
        <w:tc>
          <w:tcPr>
            <w:tcW w:w="1106" w:type="dxa"/>
            <w:shd w:val="clear" w:color="auto" w:fill="C6EFCE"/>
            <w:noWrap/>
          </w:tcPr>
          <w:p w14:paraId="51EB69E4"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559" w:type="dxa"/>
            <w:shd w:val="clear" w:color="auto" w:fill="C6EFCE"/>
            <w:noWrap/>
          </w:tcPr>
          <w:p w14:paraId="4F4A3548"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134" w:type="dxa"/>
            <w:shd w:val="clear" w:color="auto" w:fill="C6EFCE"/>
            <w:noWrap/>
          </w:tcPr>
          <w:p w14:paraId="1A7E1F78" w14:textId="47ABF227" w:rsidR="00C45D59" w:rsidRDefault="00C45D59">
            <w:pPr>
              <w:spacing w:after="0" w:line="240" w:lineRule="auto"/>
              <w:rPr>
                <w:rFonts w:ascii="Times New Roman" w:hAnsi="Times New Roman" w:cs="Times New Roman"/>
                <w:noProof/>
                <w:color w:val="006100"/>
                <w:sz w:val="18"/>
                <w:szCs w:val="18"/>
              </w:rPr>
            </w:pPr>
          </w:p>
        </w:tc>
        <w:tc>
          <w:tcPr>
            <w:tcW w:w="1030" w:type="dxa"/>
            <w:shd w:val="clear" w:color="auto" w:fill="C6EFCE"/>
          </w:tcPr>
          <w:p w14:paraId="7389EFAB" w14:textId="5EAB85B0" w:rsidR="00C45D59" w:rsidRDefault="009B0962">
            <w:pPr>
              <w:pStyle w:val="P68B1DB1-Normal12"/>
              <w:spacing w:after="0" w:line="240" w:lineRule="auto"/>
              <w:rPr>
                <w:noProof/>
              </w:rPr>
            </w:pPr>
            <w:r>
              <w:rPr>
                <w:noProof/>
              </w:rPr>
              <w:t>Î4</w:t>
            </w:r>
          </w:p>
        </w:tc>
        <w:tc>
          <w:tcPr>
            <w:tcW w:w="720" w:type="dxa"/>
            <w:shd w:val="clear" w:color="auto" w:fill="C6EFCE"/>
          </w:tcPr>
          <w:p w14:paraId="6CEAE2BF" w14:textId="79A37761" w:rsidR="00C45D59" w:rsidRDefault="009B0962">
            <w:pPr>
              <w:pStyle w:val="P68B1DB1-Normal12"/>
              <w:spacing w:after="0" w:line="240" w:lineRule="auto"/>
              <w:rPr>
                <w:noProof/>
              </w:rPr>
            </w:pPr>
            <w:r>
              <w:rPr>
                <w:noProof/>
              </w:rPr>
              <w:t>2025</w:t>
            </w:r>
          </w:p>
        </w:tc>
        <w:tc>
          <w:tcPr>
            <w:tcW w:w="3098" w:type="dxa"/>
            <w:shd w:val="clear" w:color="auto" w:fill="C6EFCE"/>
            <w:noWrap/>
          </w:tcPr>
          <w:p w14:paraId="2E53335F" w14:textId="3C3E73CC" w:rsidR="00C45D59" w:rsidRDefault="009B0962">
            <w:pPr>
              <w:pStyle w:val="P68B1DB1-Normal12"/>
              <w:spacing w:after="0" w:line="240" w:lineRule="auto"/>
              <w:rPr>
                <w:noProof/>
              </w:rPr>
            </w:pPr>
            <w:r>
              <w:rPr>
                <w:noProof/>
              </w:rPr>
              <w:t>Lucrările de restaurare, conservare și accesibilitate pentru vizitatori de pe monumentele Acropolis sunt certificate prin certificate de finalizare</w:t>
            </w:r>
            <w:r>
              <w:rPr>
                <w:b/>
                <w:noProof/>
              </w:rPr>
              <w:t>.</w:t>
            </w:r>
          </w:p>
        </w:tc>
      </w:tr>
    </w:tbl>
    <w:p w14:paraId="41DD2A29" w14:textId="77777777" w:rsidR="00C45D59" w:rsidRDefault="00C45D59">
      <w:pPr>
        <w:spacing w:before="120" w:after="0" w:line="240" w:lineRule="auto"/>
        <w:jc w:val="both"/>
        <w:rPr>
          <w:rFonts w:ascii="Times New Roman" w:hAnsi="Times New Roman" w:cs="Times New Roman"/>
          <w:noProof/>
          <w:sz w:val="24"/>
        </w:rPr>
        <w:sectPr w:rsidR="00C45D59">
          <w:headerReference w:type="even" r:id="rId336"/>
          <w:headerReference w:type="default" r:id="rId337"/>
          <w:footerReference w:type="even" r:id="rId338"/>
          <w:footerReference w:type="default" r:id="rId339"/>
          <w:headerReference w:type="first" r:id="rId340"/>
          <w:footerReference w:type="first" r:id="rId341"/>
          <w:pgSz w:w="16839" w:h="11907" w:orient="landscape"/>
          <w:pgMar w:top="1134" w:right="1134" w:bottom="1134" w:left="1134" w:header="567" w:footer="567" w:gutter="0"/>
          <w:cols w:space="720"/>
          <w:docGrid w:linePitch="360"/>
        </w:sectPr>
      </w:pPr>
    </w:p>
    <w:p w14:paraId="5CA74886" w14:textId="77777777" w:rsidR="00C45D59" w:rsidRDefault="009B0962">
      <w:pPr>
        <w:pStyle w:val="P68B1DB1-Normal9"/>
        <w:keepNext/>
        <w:keepLines/>
        <w:spacing w:before="40" w:after="0" w:line="240" w:lineRule="auto"/>
        <w:jc w:val="both"/>
        <w:outlineLvl w:val="4"/>
        <w:rPr>
          <w:rFonts w:eastAsia="Times New Roman"/>
          <w:noProof/>
        </w:rPr>
      </w:pPr>
      <w:r>
        <w:rPr>
          <w:noProof/>
        </w:rPr>
        <w:t>Grupul 26: Turism și transport maritim</w:t>
      </w:r>
    </w:p>
    <w:p w14:paraId="18963086" w14:textId="77777777" w:rsidR="00C45D59" w:rsidRDefault="009B0962">
      <w:pPr>
        <w:pStyle w:val="P68B1DB1-Normal5"/>
        <w:numPr>
          <w:ilvl w:val="0"/>
          <w:numId w:val="80"/>
        </w:numPr>
        <w:spacing w:before="120" w:after="0" w:line="240" w:lineRule="auto"/>
        <w:jc w:val="both"/>
        <w:rPr>
          <w:rFonts w:cs="Times New Roman"/>
          <w:noProof/>
        </w:rPr>
      </w:pPr>
      <w:r>
        <w:rPr>
          <w:noProof/>
        </w:rPr>
        <w:t>Dezvoltarea turismului (include subproiectul Intervenții de modernizare a porturilor turistice) (ID: 16931)</w:t>
      </w:r>
    </w:p>
    <w:p w14:paraId="54D0311C" w14:textId="77777777" w:rsidR="00C45D59" w:rsidRDefault="009B0962">
      <w:pPr>
        <w:pStyle w:val="P68B1DB1-Normal5"/>
        <w:numPr>
          <w:ilvl w:val="0"/>
          <w:numId w:val="80"/>
        </w:numPr>
        <w:spacing w:before="120" w:after="0" w:line="240" w:lineRule="auto"/>
        <w:jc w:val="both"/>
        <w:rPr>
          <w:rFonts w:cs="Times New Roman"/>
          <w:noProof/>
        </w:rPr>
      </w:pPr>
      <w:r>
        <w:rPr>
          <w:noProof/>
        </w:rPr>
        <w:t>Recalificarea și actualizarea competențelor în turism (ID: 16921)</w:t>
      </w:r>
    </w:p>
    <w:p w14:paraId="51F8F45C" w14:textId="77777777" w:rsidR="00C45D59" w:rsidRDefault="009B0962">
      <w:pPr>
        <w:pStyle w:val="P68B1DB1-Normal5"/>
        <w:numPr>
          <w:ilvl w:val="0"/>
          <w:numId w:val="80"/>
        </w:numPr>
        <w:spacing w:before="120" w:after="0" w:line="240" w:lineRule="auto"/>
        <w:jc w:val="both"/>
        <w:rPr>
          <w:rFonts w:cs="Times New Roman"/>
          <w:noProof/>
        </w:rPr>
      </w:pPr>
      <w:r>
        <w:rPr>
          <w:noProof/>
        </w:rPr>
        <w:t>Intervenții de modernizare pentru porturile regionale (ID: 16975)</w:t>
      </w:r>
    </w:p>
    <w:p w14:paraId="56C34A8F" w14:textId="77777777" w:rsidR="00C45D59" w:rsidRDefault="009B0962">
      <w:pPr>
        <w:pStyle w:val="P68B1DB1-Normal5"/>
        <w:numPr>
          <w:ilvl w:val="0"/>
          <w:numId w:val="80"/>
        </w:numPr>
        <w:spacing w:before="120" w:after="0" w:line="240" w:lineRule="auto"/>
        <w:jc w:val="both"/>
        <w:rPr>
          <w:rFonts w:cs="Times New Roman"/>
          <w:noProof/>
        </w:rPr>
      </w:pPr>
      <w:r>
        <w:rPr>
          <w:noProof/>
        </w:rPr>
        <w:t>Planul general pentru reînnoirea flotei elene de transport maritim de pasageri (ID: 16944)</w:t>
      </w:r>
    </w:p>
    <w:tbl>
      <w:tblPr>
        <w:tblW w:w="163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3"/>
        <w:gridCol w:w="2500"/>
        <w:gridCol w:w="1376"/>
        <w:gridCol w:w="1628"/>
        <w:gridCol w:w="1909"/>
        <w:gridCol w:w="1741"/>
        <w:gridCol w:w="896"/>
        <w:gridCol w:w="866"/>
        <w:gridCol w:w="1006"/>
        <w:gridCol w:w="662"/>
        <w:gridCol w:w="3536"/>
      </w:tblGrid>
      <w:tr w:rsidR="00C45D59" w14:paraId="098F17C2" w14:textId="77777777">
        <w:trPr>
          <w:trHeight w:val="594"/>
          <w:tblHeader/>
          <w:jc w:val="center"/>
        </w:trPr>
        <w:tc>
          <w:tcPr>
            <w:tcW w:w="583" w:type="dxa"/>
            <w:vMerge w:val="restart"/>
            <w:shd w:val="clear" w:color="auto" w:fill="BDD7EE"/>
            <w:vAlign w:val="center"/>
            <w:hideMark/>
          </w:tcPr>
          <w:p w14:paraId="1D102153" w14:textId="6DDB6A1C" w:rsidR="00C45D59" w:rsidRDefault="009B0962">
            <w:pPr>
              <w:pStyle w:val="P68B1DB1-Normal15"/>
              <w:spacing w:after="0" w:line="240" w:lineRule="auto"/>
              <w:jc w:val="center"/>
              <w:rPr>
                <w:rFonts w:eastAsia="Times New Roman"/>
                <w:noProof/>
              </w:rPr>
            </w:pPr>
            <w:r>
              <w:rPr>
                <w:noProof/>
              </w:rPr>
              <w:t>Nr</w:t>
            </w:r>
            <w:r w:rsidR="00242B1C">
              <w:rPr>
                <w:noProof/>
              </w:rPr>
              <w:t>. crt</w:t>
            </w:r>
            <w:r>
              <w:rPr>
                <w:noProof/>
              </w:rPr>
              <w:t>.</w:t>
            </w:r>
          </w:p>
        </w:tc>
        <w:tc>
          <w:tcPr>
            <w:tcW w:w="2500" w:type="dxa"/>
            <w:vMerge w:val="restart"/>
            <w:shd w:val="clear" w:color="auto" w:fill="BDD7EE"/>
            <w:vAlign w:val="center"/>
            <w:hideMark/>
          </w:tcPr>
          <w:p w14:paraId="0EDB2AAC" w14:textId="77777777" w:rsidR="00C45D59" w:rsidRDefault="009B0962">
            <w:pPr>
              <w:pStyle w:val="P68B1DB1-Normal10"/>
              <w:spacing w:after="0" w:line="240" w:lineRule="auto"/>
              <w:jc w:val="center"/>
              <w:rPr>
                <w:rFonts w:eastAsia="Times New Roman" w:cs="Times New Roman"/>
                <w:noProof/>
                <w:szCs w:val="18"/>
              </w:rPr>
            </w:pPr>
            <w:r>
              <w:rPr>
                <w:noProof/>
              </w:rPr>
              <w:t>Măsură conexă (reformă sau investiții)</w:t>
            </w:r>
          </w:p>
        </w:tc>
        <w:tc>
          <w:tcPr>
            <w:tcW w:w="1230" w:type="dxa"/>
            <w:vMerge w:val="restart"/>
            <w:shd w:val="clear" w:color="auto" w:fill="BDD7EE"/>
            <w:vAlign w:val="center"/>
            <w:hideMark/>
          </w:tcPr>
          <w:p w14:paraId="0900C0D6" w14:textId="77777777" w:rsidR="00C45D59" w:rsidRDefault="009B0962">
            <w:pPr>
              <w:pStyle w:val="P68B1DB1-Normal10"/>
              <w:spacing w:after="0" w:line="240" w:lineRule="auto"/>
              <w:jc w:val="center"/>
              <w:rPr>
                <w:rFonts w:eastAsia="Times New Roman" w:cs="Times New Roman"/>
                <w:noProof/>
                <w:szCs w:val="18"/>
              </w:rPr>
            </w:pPr>
            <w:r>
              <w:rPr>
                <w:noProof/>
              </w:rPr>
              <w:t>Etapă/Obiectiv</w:t>
            </w:r>
          </w:p>
        </w:tc>
        <w:tc>
          <w:tcPr>
            <w:tcW w:w="1628" w:type="dxa"/>
            <w:vMerge w:val="restart"/>
            <w:shd w:val="clear" w:color="auto" w:fill="BDD7EE"/>
            <w:vAlign w:val="center"/>
            <w:hideMark/>
          </w:tcPr>
          <w:p w14:paraId="7CF275A1" w14:textId="521DBAE5" w:rsidR="00C45D59" w:rsidRDefault="00242B1C">
            <w:pPr>
              <w:pStyle w:val="P68B1DB1-Normal10"/>
              <w:spacing w:after="0" w:line="240" w:lineRule="auto"/>
              <w:jc w:val="center"/>
              <w:rPr>
                <w:rFonts w:eastAsia="Times New Roman" w:cs="Times New Roman"/>
                <w:noProof/>
                <w:szCs w:val="18"/>
              </w:rPr>
            </w:pPr>
            <w:r>
              <w:rPr>
                <w:noProof/>
              </w:rPr>
              <w:t>Denumire</w:t>
            </w:r>
          </w:p>
        </w:tc>
        <w:tc>
          <w:tcPr>
            <w:tcW w:w="1909" w:type="dxa"/>
            <w:vMerge w:val="restart"/>
            <w:shd w:val="clear" w:color="auto" w:fill="BDD7EE"/>
            <w:vAlign w:val="center"/>
            <w:hideMark/>
          </w:tcPr>
          <w:p w14:paraId="7C97A1E9" w14:textId="77777777" w:rsidR="00C45D59" w:rsidRDefault="009B0962">
            <w:pPr>
              <w:pStyle w:val="P68B1DB1-Normal10"/>
              <w:spacing w:after="0" w:line="240" w:lineRule="auto"/>
              <w:jc w:val="center"/>
              <w:rPr>
                <w:rFonts w:eastAsia="Times New Roman" w:cs="Times New Roman"/>
                <w:noProof/>
                <w:szCs w:val="18"/>
              </w:rPr>
            </w:pPr>
            <w:r>
              <w:rPr>
                <w:noProof/>
              </w:rPr>
              <w:t>Indicatori calitativi (pentru obiectivele de etapă)</w:t>
            </w:r>
          </w:p>
        </w:tc>
        <w:tc>
          <w:tcPr>
            <w:tcW w:w="3311" w:type="dxa"/>
            <w:gridSpan w:val="3"/>
            <w:shd w:val="clear" w:color="auto" w:fill="BDD7EE"/>
            <w:vAlign w:val="center"/>
            <w:hideMark/>
          </w:tcPr>
          <w:p w14:paraId="602B74BC" w14:textId="77777777" w:rsidR="00C45D59" w:rsidRDefault="009B0962">
            <w:pPr>
              <w:pStyle w:val="P68B1DB1-Normal10"/>
              <w:spacing w:after="0" w:line="240" w:lineRule="auto"/>
              <w:jc w:val="center"/>
              <w:rPr>
                <w:rFonts w:eastAsia="Times New Roman" w:cs="Times New Roman"/>
                <w:noProof/>
                <w:szCs w:val="18"/>
              </w:rPr>
            </w:pPr>
            <w:r>
              <w:rPr>
                <w:noProof/>
              </w:rPr>
              <w:t>Indicatori cantitativi (pentru ținte)</w:t>
            </w:r>
          </w:p>
        </w:tc>
        <w:tc>
          <w:tcPr>
            <w:tcW w:w="1648" w:type="dxa"/>
            <w:gridSpan w:val="2"/>
            <w:shd w:val="clear" w:color="auto" w:fill="BDD7EE"/>
            <w:vAlign w:val="center"/>
            <w:hideMark/>
          </w:tcPr>
          <w:p w14:paraId="7E2A2B55" w14:textId="77777777" w:rsidR="00C45D59" w:rsidRDefault="009B0962">
            <w:pPr>
              <w:pStyle w:val="P68B1DB1-Normal10"/>
              <w:spacing w:after="0" w:line="240" w:lineRule="auto"/>
              <w:jc w:val="center"/>
              <w:rPr>
                <w:rFonts w:eastAsia="Times New Roman" w:cs="Times New Roman"/>
                <w:noProof/>
                <w:szCs w:val="18"/>
              </w:rPr>
            </w:pPr>
            <w:r>
              <w:rPr>
                <w:noProof/>
              </w:rPr>
              <w:t xml:space="preserve">Calendar orientativ pentru finalizare </w:t>
            </w:r>
          </w:p>
        </w:tc>
        <w:tc>
          <w:tcPr>
            <w:tcW w:w="3536" w:type="dxa"/>
            <w:vMerge w:val="restart"/>
            <w:shd w:val="clear" w:color="auto" w:fill="BDD7EE"/>
            <w:vAlign w:val="center"/>
            <w:hideMark/>
          </w:tcPr>
          <w:p w14:paraId="32CD5052" w14:textId="77777777" w:rsidR="00C45D59" w:rsidRDefault="009B0962">
            <w:pPr>
              <w:pStyle w:val="P68B1DB1-Normal10"/>
              <w:spacing w:after="0" w:line="240" w:lineRule="auto"/>
              <w:jc w:val="center"/>
              <w:rPr>
                <w:rFonts w:eastAsia="Times New Roman" w:cs="Times New Roman"/>
                <w:noProof/>
                <w:szCs w:val="18"/>
              </w:rPr>
            </w:pPr>
            <w:r>
              <w:rPr>
                <w:noProof/>
              </w:rPr>
              <w:t>Descrierea fiecărui jalon și a fiecărei ținte</w:t>
            </w:r>
          </w:p>
        </w:tc>
      </w:tr>
      <w:tr w:rsidR="00C45D59" w14:paraId="5C4774D5" w14:textId="77777777">
        <w:trPr>
          <w:trHeight w:val="508"/>
          <w:tblHeader/>
          <w:jc w:val="center"/>
        </w:trPr>
        <w:tc>
          <w:tcPr>
            <w:tcW w:w="583" w:type="dxa"/>
            <w:vMerge/>
            <w:vAlign w:val="center"/>
            <w:hideMark/>
          </w:tcPr>
          <w:p w14:paraId="518F2945" w14:textId="77777777" w:rsidR="00C45D59" w:rsidRDefault="00C45D59">
            <w:pPr>
              <w:spacing w:after="0" w:line="240" w:lineRule="auto"/>
              <w:rPr>
                <w:rFonts w:ascii="Times New Roman" w:eastAsia="Times New Roman" w:hAnsi="Times New Roman" w:cs="Times New Roman"/>
                <w:b/>
                <w:bCs/>
                <w:noProof/>
                <w:sz w:val="18"/>
                <w:szCs w:val="18"/>
              </w:rPr>
            </w:pPr>
          </w:p>
        </w:tc>
        <w:tc>
          <w:tcPr>
            <w:tcW w:w="2500" w:type="dxa"/>
            <w:vMerge/>
            <w:vAlign w:val="center"/>
            <w:hideMark/>
          </w:tcPr>
          <w:p w14:paraId="7C2F13F4" w14:textId="77777777" w:rsidR="00C45D59" w:rsidRDefault="00C45D59">
            <w:pPr>
              <w:spacing w:after="0" w:line="240" w:lineRule="auto"/>
              <w:rPr>
                <w:rFonts w:ascii="Times New Roman" w:eastAsia="Times New Roman" w:hAnsi="Times New Roman" w:cs="Times New Roman"/>
                <w:b/>
                <w:bCs/>
                <w:noProof/>
                <w:sz w:val="18"/>
                <w:szCs w:val="18"/>
              </w:rPr>
            </w:pPr>
          </w:p>
        </w:tc>
        <w:tc>
          <w:tcPr>
            <w:tcW w:w="1230" w:type="dxa"/>
            <w:vMerge/>
            <w:vAlign w:val="center"/>
            <w:hideMark/>
          </w:tcPr>
          <w:p w14:paraId="351D7A51" w14:textId="77777777" w:rsidR="00C45D59" w:rsidRDefault="00C45D59">
            <w:pPr>
              <w:spacing w:after="0" w:line="240" w:lineRule="auto"/>
              <w:rPr>
                <w:rFonts w:ascii="Times New Roman" w:eastAsia="Times New Roman" w:hAnsi="Times New Roman" w:cs="Times New Roman"/>
                <w:b/>
                <w:bCs/>
                <w:noProof/>
                <w:sz w:val="18"/>
                <w:szCs w:val="18"/>
              </w:rPr>
            </w:pPr>
          </w:p>
        </w:tc>
        <w:tc>
          <w:tcPr>
            <w:tcW w:w="1628" w:type="dxa"/>
            <w:vMerge/>
            <w:vAlign w:val="center"/>
            <w:hideMark/>
          </w:tcPr>
          <w:p w14:paraId="46EA46DF" w14:textId="77777777" w:rsidR="00C45D59" w:rsidRDefault="00C45D59">
            <w:pPr>
              <w:spacing w:after="0" w:line="240" w:lineRule="auto"/>
              <w:rPr>
                <w:rFonts w:ascii="Times New Roman" w:eastAsia="Times New Roman" w:hAnsi="Times New Roman" w:cs="Times New Roman"/>
                <w:b/>
                <w:bCs/>
                <w:noProof/>
                <w:sz w:val="18"/>
                <w:szCs w:val="18"/>
              </w:rPr>
            </w:pPr>
          </w:p>
        </w:tc>
        <w:tc>
          <w:tcPr>
            <w:tcW w:w="1909" w:type="dxa"/>
            <w:vMerge/>
            <w:vAlign w:val="center"/>
            <w:hideMark/>
          </w:tcPr>
          <w:p w14:paraId="24ADC3DD" w14:textId="77777777" w:rsidR="00C45D59" w:rsidRDefault="00C45D59">
            <w:pPr>
              <w:spacing w:after="0" w:line="240" w:lineRule="auto"/>
              <w:rPr>
                <w:rFonts w:ascii="Times New Roman" w:eastAsia="Times New Roman" w:hAnsi="Times New Roman" w:cs="Times New Roman"/>
                <w:b/>
                <w:bCs/>
                <w:noProof/>
                <w:sz w:val="18"/>
                <w:szCs w:val="18"/>
              </w:rPr>
            </w:pPr>
          </w:p>
        </w:tc>
        <w:tc>
          <w:tcPr>
            <w:tcW w:w="1741" w:type="dxa"/>
            <w:shd w:val="clear" w:color="auto" w:fill="BDD7EE"/>
            <w:vAlign w:val="center"/>
            <w:hideMark/>
          </w:tcPr>
          <w:p w14:paraId="393FA983" w14:textId="77777777" w:rsidR="00C45D59" w:rsidRDefault="009B0962">
            <w:pPr>
              <w:pStyle w:val="P68B1DB1-Normal10"/>
              <w:spacing w:after="0" w:line="240" w:lineRule="auto"/>
              <w:jc w:val="center"/>
              <w:rPr>
                <w:rFonts w:eastAsia="Times New Roman" w:cs="Times New Roman"/>
                <w:noProof/>
                <w:szCs w:val="18"/>
              </w:rPr>
            </w:pPr>
            <w:r>
              <w:rPr>
                <w:noProof/>
              </w:rPr>
              <w:t>Unitatea de măsură</w:t>
            </w:r>
          </w:p>
        </w:tc>
        <w:tc>
          <w:tcPr>
            <w:tcW w:w="857" w:type="dxa"/>
            <w:shd w:val="clear" w:color="auto" w:fill="BDD7EE"/>
            <w:vAlign w:val="center"/>
            <w:hideMark/>
          </w:tcPr>
          <w:p w14:paraId="5A56D138" w14:textId="77777777" w:rsidR="00C45D59" w:rsidRDefault="009B0962">
            <w:pPr>
              <w:pStyle w:val="P68B1DB1-Normal10"/>
              <w:spacing w:after="0" w:line="240" w:lineRule="auto"/>
              <w:jc w:val="center"/>
              <w:rPr>
                <w:rFonts w:eastAsia="Times New Roman" w:cs="Times New Roman"/>
                <w:noProof/>
                <w:szCs w:val="18"/>
              </w:rPr>
            </w:pPr>
            <w:r>
              <w:rPr>
                <w:noProof/>
              </w:rPr>
              <w:t xml:space="preserve">Situația de referință </w:t>
            </w:r>
          </w:p>
        </w:tc>
        <w:tc>
          <w:tcPr>
            <w:tcW w:w="713" w:type="dxa"/>
            <w:shd w:val="clear" w:color="auto" w:fill="BDD7EE"/>
            <w:vAlign w:val="center"/>
            <w:hideMark/>
          </w:tcPr>
          <w:p w14:paraId="4FA527E3" w14:textId="77777777" w:rsidR="00C45D59" w:rsidRDefault="009B0962">
            <w:pPr>
              <w:pStyle w:val="P68B1DB1-Normal10"/>
              <w:spacing w:after="0" w:line="240" w:lineRule="auto"/>
              <w:jc w:val="center"/>
              <w:rPr>
                <w:rFonts w:eastAsia="Times New Roman" w:cs="Times New Roman"/>
                <w:noProof/>
                <w:szCs w:val="18"/>
              </w:rPr>
            </w:pPr>
            <w:r>
              <w:rPr>
                <w:noProof/>
              </w:rPr>
              <w:t xml:space="preserve">Obiectiv </w:t>
            </w:r>
          </w:p>
        </w:tc>
        <w:tc>
          <w:tcPr>
            <w:tcW w:w="986" w:type="dxa"/>
            <w:shd w:val="clear" w:color="auto" w:fill="BDD7EE"/>
            <w:vAlign w:val="center"/>
            <w:hideMark/>
          </w:tcPr>
          <w:p w14:paraId="0DF80171" w14:textId="77777777" w:rsidR="00C45D59" w:rsidRDefault="009B0962">
            <w:pPr>
              <w:pStyle w:val="P68B1DB1-Normal10"/>
              <w:spacing w:after="0" w:line="240" w:lineRule="auto"/>
              <w:jc w:val="center"/>
              <w:rPr>
                <w:rFonts w:eastAsia="Times New Roman" w:cs="Times New Roman"/>
                <w:noProof/>
                <w:szCs w:val="18"/>
              </w:rPr>
            </w:pPr>
            <w:r>
              <w:rPr>
                <w:noProof/>
              </w:rPr>
              <w:t>Trimestru</w:t>
            </w:r>
          </w:p>
        </w:tc>
        <w:tc>
          <w:tcPr>
            <w:tcW w:w="662" w:type="dxa"/>
            <w:shd w:val="clear" w:color="auto" w:fill="BDD7EE"/>
            <w:vAlign w:val="center"/>
            <w:hideMark/>
          </w:tcPr>
          <w:p w14:paraId="7E5BF495" w14:textId="77777777" w:rsidR="00C45D59" w:rsidRDefault="009B0962">
            <w:pPr>
              <w:pStyle w:val="P68B1DB1-Normal10"/>
              <w:spacing w:after="0" w:line="240" w:lineRule="auto"/>
              <w:jc w:val="center"/>
              <w:rPr>
                <w:rFonts w:eastAsia="Times New Roman" w:cs="Times New Roman"/>
                <w:noProof/>
                <w:szCs w:val="18"/>
              </w:rPr>
            </w:pPr>
            <w:r>
              <w:rPr>
                <w:noProof/>
              </w:rPr>
              <w:t>Anul</w:t>
            </w:r>
          </w:p>
        </w:tc>
        <w:tc>
          <w:tcPr>
            <w:tcW w:w="3536" w:type="dxa"/>
            <w:vMerge/>
            <w:vAlign w:val="center"/>
            <w:hideMark/>
          </w:tcPr>
          <w:p w14:paraId="28C30299" w14:textId="77777777" w:rsidR="00C45D59" w:rsidRDefault="00C45D59">
            <w:pPr>
              <w:spacing w:after="0" w:line="240" w:lineRule="auto"/>
              <w:rPr>
                <w:rFonts w:ascii="Times New Roman" w:eastAsia="Times New Roman" w:hAnsi="Times New Roman" w:cs="Times New Roman"/>
                <w:b/>
                <w:bCs/>
                <w:noProof/>
                <w:sz w:val="18"/>
                <w:szCs w:val="18"/>
              </w:rPr>
            </w:pPr>
          </w:p>
        </w:tc>
      </w:tr>
      <w:tr w:rsidR="00C45D59" w14:paraId="2391480A" w14:textId="77777777">
        <w:trPr>
          <w:trHeight w:val="313"/>
          <w:jc w:val="center"/>
        </w:trPr>
        <w:tc>
          <w:tcPr>
            <w:tcW w:w="583" w:type="dxa"/>
            <w:shd w:val="clear" w:color="auto" w:fill="C6EFCE"/>
            <w:noWrap/>
          </w:tcPr>
          <w:p w14:paraId="3C59F3A2" w14:textId="77777777" w:rsidR="00C45D59" w:rsidRDefault="009B0962">
            <w:pPr>
              <w:pStyle w:val="P68B1DB1-Normal12"/>
              <w:spacing w:after="0" w:line="240" w:lineRule="auto"/>
              <w:rPr>
                <w:rFonts w:eastAsia="Times New Roman"/>
                <w:noProof/>
              </w:rPr>
            </w:pPr>
            <w:r>
              <w:rPr>
                <w:noProof/>
              </w:rPr>
              <w:t>292</w:t>
            </w:r>
          </w:p>
        </w:tc>
        <w:tc>
          <w:tcPr>
            <w:tcW w:w="2500" w:type="dxa"/>
            <w:shd w:val="clear" w:color="auto" w:fill="C6EFCE"/>
            <w:noWrap/>
          </w:tcPr>
          <w:p w14:paraId="61E4690A" w14:textId="77777777" w:rsidR="00C45D59" w:rsidRDefault="009B0962">
            <w:pPr>
              <w:pStyle w:val="P68B1DB1-Normal12"/>
              <w:spacing w:after="0" w:line="240" w:lineRule="auto"/>
              <w:rPr>
                <w:rFonts w:eastAsia="Times New Roman"/>
                <w:noProof/>
              </w:rPr>
            </w:pPr>
            <w:r>
              <w:rPr>
                <w:noProof/>
              </w:rPr>
              <w:t>17-4.6. Modernizarea și îmbunătățirea rezilienței sectoarelor economice cheie – 16931_Dezvoltarea turismului</w:t>
            </w:r>
          </w:p>
        </w:tc>
        <w:tc>
          <w:tcPr>
            <w:tcW w:w="1230" w:type="dxa"/>
            <w:shd w:val="clear" w:color="auto" w:fill="C6EFCE"/>
            <w:noWrap/>
          </w:tcPr>
          <w:p w14:paraId="129E80A6" w14:textId="77777777" w:rsidR="00C45D59" w:rsidRDefault="009B0962">
            <w:pPr>
              <w:pStyle w:val="P68B1DB1-Normal12"/>
              <w:spacing w:after="0" w:line="240" w:lineRule="auto"/>
              <w:rPr>
                <w:rFonts w:eastAsia="Times New Roman"/>
                <w:noProof/>
              </w:rPr>
            </w:pPr>
            <w:r>
              <w:rPr>
                <w:noProof/>
              </w:rPr>
              <w:t>Etapă</w:t>
            </w:r>
          </w:p>
          <w:p w14:paraId="65BA15E0"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628" w:type="dxa"/>
            <w:shd w:val="clear" w:color="auto" w:fill="C6EFCE"/>
            <w:noWrap/>
          </w:tcPr>
          <w:p w14:paraId="2EE62DB5" w14:textId="77777777" w:rsidR="00C45D59" w:rsidRDefault="009B0962">
            <w:pPr>
              <w:pStyle w:val="P68B1DB1-Normal12"/>
              <w:spacing w:after="0" w:line="240" w:lineRule="auto"/>
              <w:rPr>
                <w:rFonts w:eastAsia="Times New Roman"/>
                <w:noProof/>
              </w:rPr>
            </w:pPr>
            <w:r>
              <w:rPr>
                <w:noProof/>
              </w:rPr>
              <w:t>Dezvoltarea turismului: reforme pentru porturile turistice</w:t>
            </w:r>
          </w:p>
        </w:tc>
        <w:tc>
          <w:tcPr>
            <w:tcW w:w="1909" w:type="dxa"/>
            <w:shd w:val="clear" w:color="auto" w:fill="C6EFCE"/>
            <w:noWrap/>
          </w:tcPr>
          <w:p w14:paraId="4F7451D8" w14:textId="77777777" w:rsidR="00C45D59" w:rsidRDefault="009B0962">
            <w:pPr>
              <w:pStyle w:val="P68B1DB1-Normal12"/>
              <w:spacing w:after="0" w:line="240" w:lineRule="auto"/>
              <w:rPr>
                <w:rFonts w:eastAsia="Times New Roman"/>
                <w:noProof/>
              </w:rPr>
            </w:pPr>
            <w:r>
              <w:rPr>
                <w:noProof/>
              </w:rPr>
              <w:t>1. Intrarea în vigoare a modificărilor aduse Legii nr. 2160/1993 privind porturile turistice.</w:t>
            </w:r>
          </w:p>
          <w:p w14:paraId="3C74A42F" w14:textId="77777777" w:rsidR="00C45D59" w:rsidRDefault="009B0962">
            <w:pPr>
              <w:pStyle w:val="P68B1DB1-Normal12"/>
              <w:spacing w:after="0" w:line="240" w:lineRule="auto"/>
              <w:rPr>
                <w:rFonts w:eastAsia="Times New Roman"/>
                <w:noProof/>
              </w:rPr>
            </w:pPr>
            <w:r>
              <w:rPr>
                <w:noProof/>
              </w:rPr>
              <w:t>2. Intrarea în vigoare a modificărilor aduse legilor 4179/2013 și 4276/2014 privind stațiunile de schi.</w:t>
            </w:r>
          </w:p>
          <w:p w14:paraId="61CB7B4F" w14:textId="77777777" w:rsidR="00C45D59" w:rsidRDefault="009B0962">
            <w:pPr>
              <w:pStyle w:val="P68B1DB1-Normal12"/>
              <w:spacing w:after="0" w:line="240" w:lineRule="auto"/>
              <w:rPr>
                <w:rFonts w:eastAsia="Times New Roman"/>
                <w:noProof/>
              </w:rPr>
            </w:pPr>
            <w:r>
              <w:rPr>
                <w:noProof/>
              </w:rPr>
              <w:t>3 raport care atestă înființarea Biroului de management de proiect.</w:t>
            </w:r>
          </w:p>
        </w:tc>
        <w:tc>
          <w:tcPr>
            <w:tcW w:w="1741" w:type="dxa"/>
            <w:shd w:val="clear" w:color="auto" w:fill="C6EFCE"/>
            <w:noWrap/>
          </w:tcPr>
          <w:p w14:paraId="5646768A"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57" w:type="dxa"/>
            <w:shd w:val="clear" w:color="auto" w:fill="C6EFCE"/>
            <w:noWrap/>
          </w:tcPr>
          <w:p w14:paraId="683E7B19"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713" w:type="dxa"/>
            <w:shd w:val="clear" w:color="auto" w:fill="C6EFCE"/>
            <w:noWrap/>
          </w:tcPr>
          <w:p w14:paraId="40056EA9"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986" w:type="dxa"/>
            <w:shd w:val="clear" w:color="auto" w:fill="C6EFCE"/>
            <w:noWrap/>
          </w:tcPr>
          <w:p w14:paraId="2B73178C" w14:textId="77777777" w:rsidR="00C45D59" w:rsidRDefault="009B0962">
            <w:pPr>
              <w:pStyle w:val="P68B1DB1-Normal12"/>
              <w:spacing w:after="0" w:line="240" w:lineRule="auto"/>
              <w:rPr>
                <w:rFonts w:eastAsia="Times New Roman"/>
                <w:noProof/>
              </w:rPr>
            </w:pPr>
            <w:r>
              <w:rPr>
                <w:noProof/>
              </w:rPr>
              <w:t>Î1</w:t>
            </w:r>
          </w:p>
        </w:tc>
        <w:tc>
          <w:tcPr>
            <w:tcW w:w="662" w:type="dxa"/>
            <w:shd w:val="clear" w:color="auto" w:fill="C6EFCE"/>
            <w:noWrap/>
          </w:tcPr>
          <w:p w14:paraId="795B1AA4" w14:textId="77777777" w:rsidR="00C45D59" w:rsidRDefault="009B0962">
            <w:pPr>
              <w:pStyle w:val="P68B1DB1-Normal12"/>
              <w:spacing w:after="0" w:line="240" w:lineRule="auto"/>
              <w:rPr>
                <w:rFonts w:eastAsia="Times New Roman"/>
                <w:noProof/>
              </w:rPr>
            </w:pPr>
            <w:r>
              <w:rPr>
                <w:noProof/>
              </w:rPr>
              <w:t>2022</w:t>
            </w:r>
          </w:p>
        </w:tc>
        <w:tc>
          <w:tcPr>
            <w:tcW w:w="3536" w:type="dxa"/>
            <w:shd w:val="clear" w:color="auto" w:fill="C6EFCE"/>
            <w:noWrap/>
          </w:tcPr>
          <w:p w14:paraId="3719FC0A" w14:textId="77777777" w:rsidR="00C45D59" w:rsidRDefault="009B0962">
            <w:pPr>
              <w:pStyle w:val="P68B1DB1-Normal12"/>
              <w:spacing w:after="0" w:line="240" w:lineRule="auto"/>
              <w:rPr>
                <w:noProof/>
              </w:rPr>
            </w:pPr>
            <w:r>
              <w:rPr>
                <w:noProof/>
              </w:rPr>
              <w:t>(1) Dezvoltarea turismului: Intrarea în vigoare a legislației de reformare a cadrului juridic al legislației privind porturile turistice pentru a încuraja noi investiții, inclusiv modificarea dispozițiilor referitoare la autorizarea instalării și exploatării în conformitate cu Legea nr. 4442/2016 privind autorizarea investițiilor.</w:t>
            </w:r>
          </w:p>
          <w:p w14:paraId="7AE6EC36" w14:textId="77777777" w:rsidR="00C45D59" w:rsidRDefault="009B0962">
            <w:pPr>
              <w:pStyle w:val="P68B1DB1-Normal16"/>
              <w:spacing w:after="0" w:line="240" w:lineRule="auto"/>
              <w:rPr>
                <w:noProof/>
                <w:color w:val="006100"/>
              </w:rPr>
            </w:pPr>
            <w:r>
              <w:rPr>
                <w:noProof/>
                <w:color w:val="006100"/>
              </w:rPr>
              <w:t>(2) Dezvoltarea turismului: Intrarea în vigoare a legislației de reformare a cadrului juridic pentru stațiunile de schi pentru a încuraja noi investiții, inclusiv modificarea dispozițiilor referitoare la acordarea de licențe pentru instalare și funcționare în conformitate cu Legea nr. 4442/2016 privind acordarea de licențe pentru investiții.</w:t>
            </w:r>
            <w:r>
              <w:rPr>
                <w:noProof/>
              </w:rPr>
              <w:t xml:space="preserve"> </w:t>
            </w:r>
          </w:p>
          <w:p w14:paraId="0800D8FE" w14:textId="77777777" w:rsidR="00C45D59" w:rsidRDefault="009B0962">
            <w:pPr>
              <w:pStyle w:val="P68B1DB1-Normal12"/>
              <w:spacing w:after="0" w:line="240" w:lineRule="auto"/>
              <w:rPr>
                <w:rFonts w:eastAsia="Times New Roman"/>
                <w:noProof/>
              </w:rPr>
            </w:pPr>
            <w:r>
              <w:rPr>
                <w:noProof/>
              </w:rPr>
              <w:t>(3) Dezvoltarea turismului: Înființarea Biroului de gestionare a proiectelor pentru supravegherea investițiilor în modernizarea porturilor turistice.</w:t>
            </w:r>
          </w:p>
        </w:tc>
      </w:tr>
      <w:tr w:rsidR="00C45D59" w14:paraId="600DEF33" w14:textId="77777777">
        <w:trPr>
          <w:trHeight w:val="313"/>
          <w:jc w:val="center"/>
        </w:trPr>
        <w:tc>
          <w:tcPr>
            <w:tcW w:w="583" w:type="dxa"/>
            <w:shd w:val="clear" w:color="auto" w:fill="C6EFCE"/>
            <w:noWrap/>
          </w:tcPr>
          <w:p w14:paraId="17857137" w14:textId="77777777" w:rsidR="00C45D59" w:rsidRDefault="009B0962">
            <w:pPr>
              <w:pStyle w:val="P68B1DB1-Normal12"/>
              <w:spacing w:after="0" w:line="240" w:lineRule="auto"/>
              <w:rPr>
                <w:rFonts w:eastAsia="Times New Roman"/>
                <w:noProof/>
              </w:rPr>
            </w:pPr>
            <w:r>
              <w:rPr>
                <w:noProof/>
              </w:rPr>
              <w:t>294</w:t>
            </w:r>
          </w:p>
        </w:tc>
        <w:tc>
          <w:tcPr>
            <w:tcW w:w="2500" w:type="dxa"/>
            <w:shd w:val="clear" w:color="auto" w:fill="C6EFCE"/>
            <w:noWrap/>
          </w:tcPr>
          <w:p w14:paraId="75550CB1" w14:textId="77777777" w:rsidR="00C45D59" w:rsidRDefault="009B0962">
            <w:pPr>
              <w:pStyle w:val="P68B1DB1-Normal12"/>
              <w:spacing w:after="0" w:line="240" w:lineRule="auto"/>
              <w:rPr>
                <w:rFonts w:eastAsia="Times New Roman"/>
                <w:noProof/>
              </w:rPr>
            </w:pPr>
            <w:r>
              <w:rPr>
                <w:noProof/>
              </w:rPr>
              <w:t>17-4.6. Modernizarea și îmbunătățirea rezilienței sectoarelor economice cheie – 16944_Planul general pentru reînnoirea flotei elene de transport maritim de pasageri</w:t>
            </w:r>
          </w:p>
        </w:tc>
        <w:tc>
          <w:tcPr>
            <w:tcW w:w="1230" w:type="dxa"/>
            <w:shd w:val="clear" w:color="auto" w:fill="C6EFCE"/>
            <w:noWrap/>
          </w:tcPr>
          <w:p w14:paraId="5AD4C79A" w14:textId="77777777" w:rsidR="00C45D59" w:rsidRDefault="009B0962">
            <w:pPr>
              <w:pStyle w:val="P68B1DB1-Normal12"/>
              <w:spacing w:after="0" w:line="240" w:lineRule="auto"/>
              <w:rPr>
                <w:rFonts w:eastAsia="Times New Roman"/>
                <w:noProof/>
              </w:rPr>
            </w:pPr>
            <w:r>
              <w:rPr>
                <w:noProof/>
              </w:rPr>
              <w:t>Etapă</w:t>
            </w:r>
          </w:p>
        </w:tc>
        <w:tc>
          <w:tcPr>
            <w:tcW w:w="1628" w:type="dxa"/>
            <w:shd w:val="clear" w:color="auto" w:fill="C6EFCE"/>
            <w:noWrap/>
          </w:tcPr>
          <w:p w14:paraId="2FFA4EF7" w14:textId="77777777" w:rsidR="00C45D59" w:rsidRDefault="009B0962">
            <w:pPr>
              <w:pStyle w:val="P68B1DB1-Normal12"/>
              <w:spacing w:after="0" w:line="240" w:lineRule="auto"/>
              <w:rPr>
                <w:rFonts w:eastAsia="Times New Roman"/>
                <w:noProof/>
              </w:rPr>
            </w:pPr>
            <w:r>
              <w:rPr>
                <w:noProof/>
              </w:rPr>
              <w:t>Planul general pentru reînnoirea flotei elene de transport maritim de pasageri</w:t>
            </w:r>
          </w:p>
        </w:tc>
        <w:tc>
          <w:tcPr>
            <w:tcW w:w="1909" w:type="dxa"/>
            <w:shd w:val="clear" w:color="auto" w:fill="C6EFCE"/>
            <w:noWrap/>
          </w:tcPr>
          <w:p w14:paraId="30B4226A" w14:textId="77777777" w:rsidR="00C45D59" w:rsidRDefault="009B0962">
            <w:pPr>
              <w:pStyle w:val="P68B1DB1-Normal12"/>
              <w:spacing w:after="0" w:line="240" w:lineRule="auto"/>
              <w:rPr>
                <w:noProof/>
              </w:rPr>
            </w:pPr>
            <w:r>
              <w:rPr>
                <w:noProof/>
              </w:rPr>
              <w:t>Master plan publicat pentru reînnoirea flotei elene de transport maritim de pasageri</w:t>
            </w:r>
          </w:p>
          <w:p w14:paraId="0998F755" w14:textId="77777777" w:rsidR="00C45D59" w:rsidRDefault="00C45D59">
            <w:pPr>
              <w:spacing w:after="0" w:line="240" w:lineRule="auto"/>
              <w:rPr>
                <w:rFonts w:ascii="Times New Roman" w:hAnsi="Times New Roman" w:cs="Times New Roman"/>
                <w:noProof/>
                <w:color w:val="006100"/>
                <w:sz w:val="18"/>
                <w:szCs w:val="18"/>
              </w:rPr>
            </w:pPr>
          </w:p>
        </w:tc>
        <w:tc>
          <w:tcPr>
            <w:tcW w:w="1741" w:type="dxa"/>
            <w:shd w:val="clear" w:color="auto" w:fill="C6EFCE"/>
            <w:noWrap/>
          </w:tcPr>
          <w:p w14:paraId="4C551B8B"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57" w:type="dxa"/>
            <w:shd w:val="clear" w:color="auto" w:fill="C6EFCE"/>
            <w:noWrap/>
          </w:tcPr>
          <w:p w14:paraId="780E8F04"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713" w:type="dxa"/>
            <w:shd w:val="clear" w:color="auto" w:fill="C6EFCE"/>
            <w:noWrap/>
          </w:tcPr>
          <w:p w14:paraId="61917F64"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986" w:type="dxa"/>
            <w:shd w:val="clear" w:color="auto" w:fill="C6EFCE"/>
            <w:noWrap/>
          </w:tcPr>
          <w:p w14:paraId="25D111BF" w14:textId="77777777" w:rsidR="00C45D59" w:rsidRDefault="009B0962">
            <w:pPr>
              <w:pStyle w:val="P68B1DB1-Normal12"/>
              <w:spacing w:after="0" w:line="240" w:lineRule="auto"/>
              <w:rPr>
                <w:rFonts w:eastAsia="Times New Roman"/>
                <w:noProof/>
              </w:rPr>
            </w:pPr>
            <w:r>
              <w:rPr>
                <w:noProof/>
              </w:rPr>
              <w:t>Î2</w:t>
            </w:r>
          </w:p>
        </w:tc>
        <w:tc>
          <w:tcPr>
            <w:tcW w:w="662" w:type="dxa"/>
            <w:shd w:val="clear" w:color="auto" w:fill="C6EFCE"/>
            <w:noWrap/>
          </w:tcPr>
          <w:p w14:paraId="60A28DDF" w14:textId="77777777" w:rsidR="00C45D59" w:rsidRDefault="009B0962">
            <w:pPr>
              <w:pStyle w:val="P68B1DB1-Normal12"/>
              <w:spacing w:after="0" w:line="240" w:lineRule="auto"/>
              <w:rPr>
                <w:rFonts w:eastAsia="Times New Roman"/>
                <w:noProof/>
              </w:rPr>
            </w:pPr>
            <w:r>
              <w:rPr>
                <w:noProof/>
              </w:rPr>
              <w:t>2025</w:t>
            </w:r>
          </w:p>
        </w:tc>
        <w:tc>
          <w:tcPr>
            <w:tcW w:w="3536" w:type="dxa"/>
            <w:shd w:val="clear" w:color="auto" w:fill="C6EFCE"/>
            <w:noWrap/>
          </w:tcPr>
          <w:p w14:paraId="57299AC6" w14:textId="77777777" w:rsidR="00C45D59" w:rsidRDefault="009B0962">
            <w:pPr>
              <w:pStyle w:val="P68B1DB1-Normal12"/>
              <w:spacing w:after="0" w:line="240" w:lineRule="auto"/>
              <w:rPr>
                <w:rFonts w:eastAsia="Times New Roman"/>
                <w:noProof/>
              </w:rPr>
            </w:pPr>
            <w:r>
              <w:rPr>
                <w:noProof/>
              </w:rPr>
              <w:t>Publicarea unui plan general pentru reînnoirea flotei elene de transport maritim de pasageri.</w:t>
            </w:r>
          </w:p>
          <w:p w14:paraId="722373F2" w14:textId="77777777" w:rsidR="00C45D59" w:rsidRDefault="009B0962">
            <w:pPr>
              <w:pStyle w:val="P68B1DB1-Normal12"/>
              <w:spacing w:after="0" w:line="240" w:lineRule="auto"/>
              <w:rPr>
                <w:rFonts w:eastAsia="Times New Roman"/>
                <w:noProof/>
              </w:rPr>
            </w:pPr>
            <w:r>
              <w:rPr>
                <w:noProof/>
              </w:rPr>
              <w:t>Planul general se bazează pe un studiu și include un mecanism de finanțare pentru reînnoirea treptată a flotei de transport maritim de pasageri a țării. Studiul trebuie să prezinte: nevoile de modernizare ale navelor, ii) orizontul de timp al investiției, iii) nevoile de finanțare ale operatorilor și veniturile potențiale, iv) reînnoirea infrastructurii care ar trebui să aibă loc în porturi pentru a sprijini exploatarea noilor nave și v) mecanismul de finanțare pentru a facilita accesul operatorilor la finanțare.</w:t>
            </w:r>
          </w:p>
          <w:p w14:paraId="5523F8D5" w14:textId="77777777" w:rsidR="00C45D59" w:rsidRDefault="009B0962">
            <w:pPr>
              <w:pStyle w:val="P68B1DB1-Normal12"/>
              <w:spacing w:after="0" w:line="240" w:lineRule="auto"/>
              <w:rPr>
                <w:noProof/>
              </w:rPr>
            </w:pPr>
            <w:r>
              <w:rPr>
                <w:noProof/>
              </w:rPr>
              <w:t>Se furnizează, de asemenea, un rezumat al procesului de consultare a părților interesate care a avut loc înainte de publicarea planului general.</w:t>
            </w:r>
          </w:p>
        </w:tc>
      </w:tr>
      <w:tr w:rsidR="00C45D59" w14:paraId="72D8A3B5" w14:textId="77777777">
        <w:trPr>
          <w:trHeight w:val="313"/>
          <w:jc w:val="center"/>
        </w:trPr>
        <w:tc>
          <w:tcPr>
            <w:tcW w:w="583" w:type="dxa"/>
            <w:shd w:val="clear" w:color="auto" w:fill="C6EFCE"/>
            <w:noWrap/>
          </w:tcPr>
          <w:p w14:paraId="119E5FFB" w14:textId="77777777" w:rsidR="00C45D59" w:rsidRDefault="009B0962">
            <w:pPr>
              <w:pStyle w:val="P68B1DB1-Normal12"/>
              <w:spacing w:after="0" w:line="240" w:lineRule="auto"/>
              <w:rPr>
                <w:rFonts w:eastAsia="Times New Roman"/>
                <w:noProof/>
              </w:rPr>
            </w:pPr>
            <w:r>
              <w:rPr>
                <w:noProof/>
              </w:rPr>
              <w:t>295</w:t>
            </w:r>
          </w:p>
        </w:tc>
        <w:tc>
          <w:tcPr>
            <w:tcW w:w="2500" w:type="dxa"/>
            <w:shd w:val="clear" w:color="auto" w:fill="C6EFCE"/>
            <w:noWrap/>
          </w:tcPr>
          <w:p w14:paraId="03D4DB9B" w14:textId="77777777" w:rsidR="00C45D59" w:rsidRDefault="009B0962">
            <w:pPr>
              <w:pStyle w:val="P68B1DB1-Normal12"/>
              <w:spacing w:after="0" w:line="240" w:lineRule="auto"/>
              <w:rPr>
                <w:rFonts w:eastAsia="Times New Roman"/>
                <w:noProof/>
              </w:rPr>
            </w:pPr>
            <w:r>
              <w:rPr>
                <w:noProof/>
              </w:rPr>
              <w:t>17-4.6. Modernizarea și îmbunătățirea rezilienței sectoarelor economice cheie – 16931_Dezvoltarea turismului</w:t>
            </w:r>
          </w:p>
        </w:tc>
        <w:tc>
          <w:tcPr>
            <w:tcW w:w="1230" w:type="dxa"/>
            <w:shd w:val="clear" w:color="auto" w:fill="C6EFCE"/>
            <w:noWrap/>
          </w:tcPr>
          <w:p w14:paraId="17F97E5C" w14:textId="77777777" w:rsidR="00C45D59" w:rsidRDefault="009B0962">
            <w:pPr>
              <w:pStyle w:val="P68B1DB1-Normal12"/>
              <w:spacing w:after="0" w:line="240" w:lineRule="auto"/>
              <w:rPr>
                <w:rFonts w:eastAsia="Times New Roman"/>
                <w:noProof/>
              </w:rPr>
            </w:pPr>
            <w:r>
              <w:rPr>
                <w:noProof/>
              </w:rPr>
              <w:t>Etapă</w:t>
            </w:r>
          </w:p>
        </w:tc>
        <w:tc>
          <w:tcPr>
            <w:tcW w:w="1628" w:type="dxa"/>
            <w:shd w:val="clear" w:color="auto" w:fill="C6EFCE"/>
            <w:noWrap/>
          </w:tcPr>
          <w:p w14:paraId="597159F9" w14:textId="77777777" w:rsidR="00C45D59" w:rsidRDefault="009B0962">
            <w:pPr>
              <w:pStyle w:val="P68B1DB1-Normal12"/>
              <w:spacing w:after="0" w:line="240" w:lineRule="auto"/>
              <w:rPr>
                <w:rFonts w:eastAsia="Times New Roman"/>
                <w:noProof/>
              </w:rPr>
            </w:pPr>
            <w:r>
              <w:rPr>
                <w:noProof/>
              </w:rPr>
              <w:t>Dezvoltarea turismului: Publicarea deciziilor de aprobare a porturilor turistice</w:t>
            </w:r>
          </w:p>
        </w:tc>
        <w:tc>
          <w:tcPr>
            <w:tcW w:w="1909" w:type="dxa"/>
            <w:shd w:val="clear" w:color="auto" w:fill="C6EFCE"/>
            <w:noWrap/>
          </w:tcPr>
          <w:p w14:paraId="6C959B64" w14:textId="77777777" w:rsidR="00C45D59" w:rsidRDefault="009B0962">
            <w:pPr>
              <w:pStyle w:val="P68B1DB1-Normal12"/>
              <w:spacing w:after="0" w:line="240" w:lineRule="auto"/>
              <w:rPr>
                <w:rFonts w:eastAsia="Times New Roman"/>
                <w:noProof/>
              </w:rPr>
            </w:pPr>
            <w:r>
              <w:rPr>
                <w:noProof/>
              </w:rPr>
              <w:t xml:space="preserve">Decizii de aprobare </w:t>
            </w:r>
          </w:p>
        </w:tc>
        <w:tc>
          <w:tcPr>
            <w:tcW w:w="1741" w:type="dxa"/>
            <w:shd w:val="clear" w:color="auto" w:fill="C6EFCE"/>
            <w:noWrap/>
          </w:tcPr>
          <w:p w14:paraId="427747C9"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57" w:type="dxa"/>
            <w:shd w:val="clear" w:color="auto" w:fill="C6EFCE"/>
            <w:noWrap/>
          </w:tcPr>
          <w:p w14:paraId="7509B89E"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713" w:type="dxa"/>
            <w:shd w:val="clear" w:color="auto" w:fill="C6EFCE"/>
            <w:noWrap/>
          </w:tcPr>
          <w:p w14:paraId="10FC73FF"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986" w:type="dxa"/>
            <w:shd w:val="clear" w:color="auto" w:fill="C6EFCE"/>
            <w:noWrap/>
          </w:tcPr>
          <w:p w14:paraId="3FFAB502" w14:textId="77777777" w:rsidR="00C45D59" w:rsidRDefault="009B0962">
            <w:pPr>
              <w:pStyle w:val="P68B1DB1-Normal12"/>
              <w:spacing w:after="0" w:line="240" w:lineRule="auto"/>
              <w:rPr>
                <w:rFonts w:eastAsia="Times New Roman"/>
                <w:noProof/>
              </w:rPr>
            </w:pPr>
            <w:r>
              <w:rPr>
                <w:noProof/>
              </w:rPr>
              <w:t>Î2</w:t>
            </w:r>
          </w:p>
        </w:tc>
        <w:tc>
          <w:tcPr>
            <w:tcW w:w="662" w:type="dxa"/>
            <w:shd w:val="clear" w:color="auto" w:fill="C6EFCE"/>
            <w:noWrap/>
          </w:tcPr>
          <w:p w14:paraId="0FFEF07C" w14:textId="77777777" w:rsidR="00C45D59" w:rsidRDefault="009B0962">
            <w:pPr>
              <w:pStyle w:val="P68B1DB1-Normal12"/>
              <w:spacing w:after="0" w:line="240" w:lineRule="auto"/>
              <w:rPr>
                <w:rFonts w:eastAsia="Times New Roman"/>
                <w:noProof/>
              </w:rPr>
            </w:pPr>
            <w:r>
              <w:rPr>
                <w:noProof/>
              </w:rPr>
              <w:t>2024</w:t>
            </w:r>
          </w:p>
        </w:tc>
        <w:tc>
          <w:tcPr>
            <w:tcW w:w="3536" w:type="dxa"/>
            <w:shd w:val="clear" w:color="auto" w:fill="C6EFCE"/>
            <w:noWrap/>
          </w:tcPr>
          <w:p w14:paraId="425C87F5" w14:textId="77777777" w:rsidR="00C45D59" w:rsidRDefault="009B0962">
            <w:pPr>
              <w:pStyle w:val="P68B1DB1-Normal12"/>
              <w:spacing w:after="0" w:line="240" w:lineRule="auto"/>
              <w:rPr>
                <w:rFonts w:eastAsia="Times New Roman"/>
                <w:noProof/>
              </w:rPr>
            </w:pPr>
            <w:r>
              <w:rPr>
                <w:noProof/>
              </w:rPr>
              <w:t xml:space="preserve">Publicarea deciziilor de aprobare pentru beneficiarii selectați în vederea modernizării infrastructurii porturilor turistice și a îmbunătățirii, printre altele, a eficienței energetice a acestora. </w:t>
            </w:r>
          </w:p>
        </w:tc>
      </w:tr>
      <w:tr w:rsidR="00C45D59" w14:paraId="5D2661C4" w14:textId="77777777">
        <w:trPr>
          <w:trHeight w:val="313"/>
          <w:jc w:val="center"/>
        </w:trPr>
        <w:tc>
          <w:tcPr>
            <w:tcW w:w="583" w:type="dxa"/>
            <w:shd w:val="clear" w:color="auto" w:fill="C6EFCE"/>
            <w:noWrap/>
          </w:tcPr>
          <w:p w14:paraId="7C0D518F" w14:textId="77777777" w:rsidR="00C45D59" w:rsidRDefault="009B0962">
            <w:pPr>
              <w:pStyle w:val="P68B1DB1-Normal12"/>
              <w:spacing w:after="0" w:line="240" w:lineRule="auto"/>
              <w:rPr>
                <w:rFonts w:eastAsia="Times New Roman"/>
                <w:noProof/>
              </w:rPr>
            </w:pPr>
            <w:r>
              <w:rPr>
                <w:noProof/>
              </w:rPr>
              <w:t>296</w:t>
            </w:r>
          </w:p>
        </w:tc>
        <w:tc>
          <w:tcPr>
            <w:tcW w:w="2500" w:type="dxa"/>
            <w:shd w:val="clear" w:color="auto" w:fill="C6EFCE"/>
            <w:noWrap/>
          </w:tcPr>
          <w:p w14:paraId="25FED010" w14:textId="77777777" w:rsidR="00C45D59" w:rsidRDefault="009B0962">
            <w:pPr>
              <w:pStyle w:val="P68B1DB1-Normal12"/>
              <w:spacing w:after="0" w:line="240" w:lineRule="auto"/>
              <w:rPr>
                <w:rFonts w:eastAsia="Times New Roman"/>
                <w:noProof/>
              </w:rPr>
            </w:pPr>
            <w:r>
              <w:rPr>
                <w:noProof/>
              </w:rPr>
              <w:t>17-4.6. Modernizarea și îmbunătățirea rezilienței sectoarelor economice esențiale – 16921_Recalificare și actualizare a competențelor în turism</w:t>
            </w:r>
          </w:p>
        </w:tc>
        <w:tc>
          <w:tcPr>
            <w:tcW w:w="1230" w:type="dxa"/>
            <w:shd w:val="clear" w:color="auto" w:fill="C6EFCE"/>
            <w:noWrap/>
          </w:tcPr>
          <w:p w14:paraId="3B80CC0E" w14:textId="77777777" w:rsidR="00C45D59" w:rsidRDefault="009B0962">
            <w:pPr>
              <w:pStyle w:val="P68B1DB1-Normal12"/>
              <w:spacing w:after="0" w:line="240" w:lineRule="auto"/>
              <w:rPr>
                <w:rFonts w:eastAsia="Times New Roman"/>
                <w:noProof/>
              </w:rPr>
            </w:pPr>
            <w:r>
              <w:rPr>
                <w:noProof/>
              </w:rPr>
              <w:t>Etapă</w:t>
            </w:r>
          </w:p>
        </w:tc>
        <w:tc>
          <w:tcPr>
            <w:tcW w:w="1628" w:type="dxa"/>
            <w:shd w:val="clear" w:color="auto" w:fill="C6EFCE"/>
            <w:noWrap/>
          </w:tcPr>
          <w:p w14:paraId="5721118C" w14:textId="7C031500" w:rsidR="00C45D59" w:rsidRDefault="009B0962">
            <w:pPr>
              <w:pStyle w:val="P68B1DB1-Normal12"/>
              <w:spacing w:after="0" w:line="240" w:lineRule="auto"/>
              <w:rPr>
                <w:rFonts w:eastAsia="Times New Roman"/>
                <w:noProof/>
              </w:rPr>
            </w:pPr>
            <w:r>
              <w:rPr>
                <w:noProof/>
              </w:rPr>
              <w:t xml:space="preserve">Recalificarea și actualizarea competențelor în turism </w:t>
            </w:r>
          </w:p>
        </w:tc>
        <w:tc>
          <w:tcPr>
            <w:tcW w:w="1909" w:type="dxa"/>
            <w:shd w:val="clear" w:color="auto" w:fill="C6EFCE"/>
            <w:noWrap/>
          </w:tcPr>
          <w:p w14:paraId="2AAB073F" w14:textId="2B8F2717" w:rsidR="00C45D59" w:rsidRDefault="009B0962">
            <w:pPr>
              <w:pStyle w:val="P68B1DB1-Normal12"/>
              <w:spacing w:after="0" w:line="240" w:lineRule="auto"/>
              <w:rPr>
                <w:rFonts w:eastAsia="Times New Roman"/>
                <w:noProof/>
              </w:rPr>
            </w:pPr>
            <w:r>
              <w:rPr>
                <w:noProof/>
              </w:rPr>
              <w:t>Certificate eliberate</w:t>
            </w:r>
          </w:p>
        </w:tc>
        <w:tc>
          <w:tcPr>
            <w:tcW w:w="1741" w:type="dxa"/>
            <w:shd w:val="clear" w:color="auto" w:fill="C6EFCE"/>
            <w:noWrap/>
          </w:tcPr>
          <w:p w14:paraId="7E41B820"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57" w:type="dxa"/>
            <w:shd w:val="clear" w:color="auto" w:fill="C6EFCE"/>
            <w:noWrap/>
          </w:tcPr>
          <w:p w14:paraId="3A41A554"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713" w:type="dxa"/>
            <w:shd w:val="clear" w:color="auto" w:fill="C6EFCE"/>
            <w:noWrap/>
          </w:tcPr>
          <w:p w14:paraId="03704B2E"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986" w:type="dxa"/>
            <w:shd w:val="clear" w:color="auto" w:fill="C6EFCE"/>
            <w:noWrap/>
          </w:tcPr>
          <w:p w14:paraId="0600D804" w14:textId="77777777" w:rsidR="00C45D59" w:rsidRDefault="009B0962">
            <w:pPr>
              <w:pStyle w:val="P68B1DB1-Normal12"/>
              <w:spacing w:after="0" w:line="240" w:lineRule="auto"/>
              <w:rPr>
                <w:rFonts w:eastAsia="Times New Roman"/>
                <w:noProof/>
              </w:rPr>
            </w:pPr>
            <w:r>
              <w:rPr>
                <w:noProof/>
              </w:rPr>
              <w:t>Î4</w:t>
            </w:r>
          </w:p>
        </w:tc>
        <w:tc>
          <w:tcPr>
            <w:tcW w:w="662" w:type="dxa"/>
            <w:shd w:val="clear" w:color="auto" w:fill="C6EFCE"/>
            <w:noWrap/>
          </w:tcPr>
          <w:p w14:paraId="696BBCAF" w14:textId="77777777" w:rsidR="00C45D59" w:rsidRDefault="009B0962">
            <w:pPr>
              <w:pStyle w:val="P68B1DB1-Normal12"/>
              <w:spacing w:after="0" w:line="240" w:lineRule="auto"/>
              <w:rPr>
                <w:rFonts w:eastAsia="Times New Roman"/>
                <w:noProof/>
              </w:rPr>
            </w:pPr>
            <w:r>
              <w:rPr>
                <w:noProof/>
              </w:rPr>
              <w:t>2025</w:t>
            </w:r>
          </w:p>
        </w:tc>
        <w:tc>
          <w:tcPr>
            <w:tcW w:w="3536" w:type="dxa"/>
            <w:shd w:val="clear" w:color="auto" w:fill="C6EFCE"/>
            <w:noWrap/>
          </w:tcPr>
          <w:p w14:paraId="65327E5B" w14:textId="60812627" w:rsidR="00C45D59" w:rsidRDefault="009B0962">
            <w:pPr>
              <w:pStyle w:val="P68B1DB1-Normal12"/>
              <w:spacing w:after="0" w:line="240" w:lineRule="auto"/>
              <w:rPr>
                <w:noProof/>
              </w:rPr>
            </w:pPr>
            <w:r>
              <w:rPr>
                <w:noProof/>
              </w:rPr>
              <w:t>18 000 de participanți au finalizat cu succes programele de formare</w:t>
            </w:r>
          </w:p>
        </w:tc>
      </w:tr>
      <w:tr w:rsidR="00C45D59" w14:paraId="70ED76FE" w14:textId="77777777">
        <w:trPr>
          <w:trHeight w:val="313"/>
          <w:jc w:val="center"/>
        </w:trPr>
        <w:tc>
          <w:tcPr>
            <w:tcW w:w="583" w:type="dxa"/>
            <w:shd w:val="clear" w:color="auto" w:fill="C6EFCE"/>
            <w:noWrap/>
          </w:tcPr>
          <w:p w14:paraId="24818DF2" w14:textId="77777777" w:rsidR="00C45D59" w:rsidRDefault="009B0962">
            <w:pPr>
              <w:pStyle w:val="P68B1DB1-Normal12"/>
              <w:spacing w:after="0" w:line="240" w:lineRule="auto"/>
              <w:rPr>
                <w:rFonts w:eastAsia="Times New Roman"/>
                <w:noProof/>
              </w:rPr>
            </w:pPr>
            <w:r>
              <w:rPr>
                <w:noProof/>
              </w:rPr>
              <w:t>297</w:t>
            </w:r>
          </w:p>
        </w:tc>
        <w:tc>
          <w:tcPr>
            <w:tcW w:w="2500" w:type="dxa"/>
            <w:shd w:val="clear" w:color="auto" w:fill="C6EFCE"/>
            <w:noWrap/>
          </w:tcPr>
          <w:p w14:paraId="192F4C6A" w14:textId="77777777" w:rsidR="00C45D59" w:rsidRDefault="009B0962">
            <w:pPr>
              <w:pStyle w:val="P68B1DB1-Normal12"/>
              <w:spacing w:after="0" w:line="240" w:lineRule="auto"/>
              <w:rPr>
                <w:rFonts w:eastAsia="Times New Roman"/>
                <w:noProof/>
              </w:rPr>
            </w:pPr>
            <w:r>
              <w:rPr>
                <w:noProof/>
              </w:rPr>
              <w:t>17-4.6. Modernizarea și îmbunătățirea rezilienței sectoarelor economice cheie – 16931_Dezvoltarea turismului</w:t>
            </w:r>
          </w:p>
        </w:tc>
        <w:tc>
          <w:tcPr>
            <w:tcW w:w="1230" w:type="dxa"/>
            <w:shd w:val="clear" w:color="auto" w:fill="C6EFCE"/>
            <w:noWrap/>
          </w:tcPr>
          <w:p w14:paraId="46934DA2" w14:textId="77777777" w:rsidR="00C45D59" w:rsidRDefault="009B0962">
            <w:pPr>
              <w:pStyle w:val="P68B1DB1-Normal12"/>
              <w:spacing w:after="0" w:line="240" w:lineRule="auto"/>
              <w:rPr>
                <w:rFonts w:eastAsia="Times New Roman"/>
                <w:noProof/>
              </w:rPr>
            </w:pPr>
            <w:r>
              <w:rPr>
                <w:noProof/>
              </w:rPr>
              <w:t>Etapă</w:t>
            </w:r>
          </w:p>
        </w:tc>
        <w:tc>
          <w:tcPr>
            <w:tcW w:w="1628" w:type="dxa"/>
            <w:shd w:val="clear" w:color="auto" w:fill="C6EFCE"/>
            <w:noWrap/>
          </w:tcPr>
          <w:p w14:paraId="1C161280" w14:textId="54CC9EE4" w:rsidR="00C45D59" w:rsidRDefault="009B0962">
            <w:pPr>
              <w:pStyle w:val="P68B1DB1-Normal12"/>
              <w:spacing w:after="0" w:line="240" w:lineRule="auto"/>
              <w:rPr>
                <w:noProof/>
              </w:rPr>
            </w:pPr>
            <w:r>
              <w:rPr>
                <w:noProof/>
              </w:rPr>
              <w:t xml:space="preserve">Proiecte turistice </w:t>
            </w:r>
          </w:p>
        </w:tc>
        <w:tc>
          <w:tcPr>
            <w:tcW w:w="1909" w:type="dxa"/>
            <w:shd w:val="clear" w:color="auto" w:fill="C6EFCE"/>
            <w:noWrap/>
          </w:tcPr>
          <w:p w14:paraId="15D07964" w14:textId="56466A60" w:rsidR="00C45D59" w:rsidRDefault="009B0962">
            <w:pPr>
              <w:pStyle w:val="P68B1DB1-Normal12"/>
              <w:spacing w:after="0" w:line="240" w:lineRule="auto"/>
              <w:rPr>
                <w:noProof/>
              </w:rPr>
            </w:pPr>
            <w:r>
              <w:rPr>
                <w:noProof/>
              </w:rPr>
              <w:t>Executarea de lucrări și crearea de birouri locale de gestionare a destinației și de observatoare ale turismului durabil</w:t>
            </w:r>
          </w:p>
        </w:tc>
        <w:tc>
          <w:tcPr>
            <w:tcW w:w="1741" w:type="dxa"/>
            <w:shd w:val="clear" w:color="auto" w:fill="C6EFCE"/>
            <w:noWrap/>
          </w:tcPr>
          <w:p w14:paraId="79CDB057"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57" w:type="dxa"/>
            <w:shd w:val="clear" w:color="auto" w:fill="C6EFCE"/>
            <w:noWrap/>
          </w:tcPr>
          <w:p w14:paraId="62F2F097"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713" w:type="dxa"/>
            <w:shd w:val="clear" w:color="auto" w:fill="C6EFCE"/>
            <w:noWrap/>
          </w:tcPr>
          <w:p w14:paraId="1D04BBC8"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986" w:type="dxa"/>
            <w:shd w:val="clear" w:color="auto" w:fill="C6EFCE"/>
            <w:noWrap/>
          </w:tcPr>
          <w:p w14:paraId="59A4A2D9" w14:textId="77777777" w:rsidR="00C45D59" w:rsidRDefault="009B0962">
            <w:pPr>
              <w:pStyle w:val="P68B1DB1-Normal12"/>
              <w:spacing w:after="0" w:line="240" w:lineRule="auto"/>
              <w:rPr>
                <w:rFonts w:eastAsia="Times New Roman"/>
                <w:noProof/>
              </w:rPr>
            </w:pPr>
            <w:r>
              <w:rPr>
                <w:noProof/>
              </w:rPr>
              <w:t>Î4</w:t>
            </w:r>
          </w:p>
        </w:tc>
        <w:tc>
          <w:tcPr>
            <w:tcW w:w="662" w:type="dxa"/>
            <w:shd w:val="clear" w:color="auto" w:fill="C6EFCE"/>
            <w:noWrap/>
          </w:tcPr>
          <w:p w14:paraId="1C084BB5" w14:textId="77777777" w:rsidR="00C45D59" w:rsidRDefault="009B0962">
            <w:pPr>
              <w:pStyle w:val="P68B1DB1-Normal12"/>
              <w:spacing w:after="0" w:line="240" w:lineRule="auto"/>
              <w:rPr>
                <w:rFonts w:eastAsia="Times New Roman"/>
                <w:noProof/>
              </w:rPr>
            </w:pPr>
            <w:r>
              <w:rPr>
                <w:noProof/>
              </w:rPr>
              <w:t>2025</w:t>
            </w:r>
          </w:p>
        </w:tc>
        <w:tc>
          <w:tcPr>
            <w:tcW w:w="3536" w:type="dxa"/>
            <w:shd w:val="clear" w:color="auto" w:fill="C6EFCE"/>
            <w:noWrap/>
          </w:tcPr>
          <w:p w14:paraId="054D0F50" w14:textId="7EA39333" w:rsidR="00C45D59" w:rsidRDefault="009B0962">
            <w:pPr>
              <w:pStyle w:val="P68B1DB1-Normal49"/>
              <w:spacing w:after="0" w:line="240" w:lineRule="auto"/>
              <w:rPr>
                <w:rFonts w:ascii="Times New Roman" w:hAnsi="Times New Roman" w:cs="Times New Roman"/>
                <w:noProof/>
                <w:color w:val="006100"/>
                <w:sz w:val="8"/>
                <w:szCs w:val="8"/>
              </w:rPr>
            </w:pPr>
            <w:r>
              <w:rPr>
                <w:rFonts w:ascii="Times New Roman" w:hAnsi="Times New Roman"/>
                <w:noProof/>
              </w:rPr>
              <w:t xml:space="preserve">— </w:t>
            </w:r>
            <w:r>
              <w:rPr>
                <w:rFonts w:ascii="Times New Roman" w:hAnsi="Times New Roman" w:cs="Times New Roman"/>
                <w:noProof/>
                <w:color w:val="006100"/>
              </w:rPr>
              <w:t>Dezvoltarea ecologică: crearea unor birouri locale de gestionare a destinației și a unor observatoare ale turismului durabil; modernizarea a 4 de centre de schi care acoperă renovări eficiente din punct de vedere energetic ale infrastructurii/echipamentelor publice și private și/sau instalarea de noi capacități de surse regenerabile de energie.</w:t>
            </w:r>
          </w:p>
          <w:p w14:paraId="78511825" w14:textId="47891A9E" w:rsidR="00C45D59" w:rsidRDefault="00C45D59">
            <w:pPr>
              <w:spacing w:after="0" w:line="240" w:lineRule="auto"/>
              <w:rPr>
                <w:rFonts w:ascii="Times New Roman" w:eastAsia="Times New Roman" w:hAnsi="Times New Roman" w:cs="Times New Roman"/>
                <w:noProof/>
                <w:color w:val="006100"/>
                <w:sz w:val="8"/>
                <w:szCs w:val="8"/>
              </w:rPr>
            </w:pPr>
          </w:p>
          <w:p w14:paraId="5A184A76" w14:textId="77777777" w:rsidR="00C45D59" w:rsidRDefault="009B0962">
            <w:pPr>
              <w:pStyle w:val="P68B1DB1-Normal12"/>
              <w:spacing w:after="0" w:line="240" w:lineRule="auto"/>
              <w:rPr>
                <w:rFonts w:eastAsia="Times New Roman"/>
                <w:noProof/>
              </w:rPr>
            </w:pPr>
            <w:r>
              <w:rPr>
                <w:noProof/>
              </w:rPr>
              <w:t>Dezvoltarea albastră: modernizarea infrastructurii a 18 porturi turistice, instalarea infrastructurii și a facilităților pentru accesibilitatea plajelor pentru persoanele în vârstă și persoanele cu handicap și renovarea sau construirea infrastructurii sau achiziționarea de echipamente pentru activități de scufundare.</w:t>
            </w:r>
          </w:p>
        </w:tc>
      </w:tr>
      <w:tr w:rsidR="00C45D59" w14:paraId="723F4DEE" w14:textId="77777777">
        <w:trPr>
          <w:trHeight w:val="313"/>
          <w:jc w:val="center"/>
        </w:trPr>
        <w:tc>
          <w:tcPr>
            <w:tcW w:w="583" w:type="dxa"/>
            <w:shd w:val="clear" w:color="auto" w:fill="C6EFCE"/>
            <w:noWrap/>
          </w:tcPr>
          <w:p w14:paraId="60FADE37" w14:textId="77777777" w:rsidR="00C45D59" w:rsidRDefault="009B0962">
            <w:pPr>
              <w:pStyle w:val="P68B1DB1-Normal12"/>
              <w:spacing w:after="0" w:line="240" w:lineRule="auto"/>
              <w:rPr>
                <w:rFonts w:eastAsia="Times New Roman"/>
                <w:noProof/>
              </w:rPr>
            </w:pPr>
            <w:r>
              <w:rPr>
                <w:noProof/>
              </w:rPr>
              <w:t>298</w:t>
            </w:r>
          </w:p>
        </w:tc>
        <w:tc>
          <w:tcPr>
            <w:tcW w:w="2500" w:type="dxa"/>
            <w:shd w:val="clear" w:color="auto" w:fill="C6EFCE"/>
            <w:noWrap/>
          </w:tcPr>
          <w:p w14:paraId="132BCC35" w14:textId="77777777" w:rsidR="00C45D59" w:rsidRDefault="009B0962">
            <w:pPr>
              <w:pStyle w:val="P68B1DB1-Normal12"/>
              <w:spacing w:after="0" w:line="240" w:lineRule="auto"/>
              <w:rPr>
                <w:rFonts w:eastAsia="Times New Roman"/>
                <w:noProof/>
              </w:rPr>
            </w:pPr>
            <w:r>
              <w:rPr>
                <w:noProof/>
              </w:rPr>
              <w:t>17-4.6. Modernizarea și îmbunătățirea rezilienței sectoarelor economice cheie – 16975_Actualizarea intervențiilor pentru porturile regionale</w:t>
            </w:r>
          </w:p>
        </w:tc>
        <w:tc>
          <w:tcPr>
            <w:tcW w:w="1230" w:type="dxa"/>
            <w:shd w:val="clear" w:color="auto" w:fill="C6EFCE"/>
            <w:noWrap/>
          </w:tcPr>
          <w:p w14:paraId="1245DA22" w14:textId="77777777" w:rsidR="00C45D59" w:rsidRDefault="009B0962">
            <w:pPr>
              <w:pStyle w:val="P68B1DB1-Normal12"/>
              <w:spacing w:after="0" w:line="240" w:lineRule="auto"/>
              <w:rPr>
                <w:rFonts w:eastAsia="Times New Roman"/>
                <w:noProof/>
              </w:rPr>
            </w:pPr>
            <w:r>
              <w:rPr>
                <w:noProof/>
              </w:rPr>
              <w:t>Etapă</w:t>
            </w:r>
          </w:p>
        </w:tc>
        <w:tc>
          <w:tcPr>
            <w:tcW w:w="1628" w:type="dxa"/>
            <w:shd w:val="clear" w:color="auto" w:fill="C6EFCE"/>
            <w:noWrap/>
          </w:tcPr>
          <w:p w14:paraId="1CCE0BC4" w14:textId="77777777" w:rsidR="00C45D59" w:rsidRDefault="009B0962">
            <w:pPr>
              <w:pStyle w:val="P68B1DB1-Normal12"/>
              <w:spacing w:after="0" w:line="240" w:lineRule="auto"/>
              <w:rPr>
                <w:rFonts w:eastAsia="Times New Roman"/>
                <w:noProof/>
              </w:rPr>
            </w:pPr>
            <w:r>
              <w:rPr>
                <w:noProof/>
              </w:rPr>
              <w:t>Construcția de lucrări de infrastructură în porturi</w:t>
            </w:r>
          </w:p>
        </w:tc>
        <w:tc>
          <w:tcPr>
            <w:tcW w:w="1909" w:type="dxa"/>
            <w:shd w:val="clear" w:color="auto" w:fill="C6EFCE"/>
            <w:noWrap/>
          </w:tcPr>
          <w:p w14:paraId="27A627A2" w14:textId="77777777" w:rsidR="00C45D59" w:rsidRDefault="009B0962">
            <w:pPr>
              <w:pStyle w:val="P68B1DB1-Normal27"/>
              <w:spacing w:after="0" w:line="240" w:lineRule="auto"/>
              <w:rPr>
                <w:noProof/>
              </w:rPr>
            </w:pPr>
            <w:r>
              <w:rPr>
                <w:noProof/>
              </w:rPr>
              <w:t>Lucrări de infrastructură în porturi construite</w:t>
            </w:r>
          </w:p>
        </w:tc>
        <w:tc>
          <w:tcPr>
            <w:tcW w:w="1741" w:type="dxa"/>
            <w:shd w:val="clear" w:color="auto" w:fill="C6EFCE"/>
            <w:noWrap/>
          </w:tcPr>
          <w:p w14:paraId="2C4B4BFE"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57" w:type="dxa"/>
            <w:shd w:val="clear" w:color="auto" w:fill="C6EFCE"/>
            <w:noWrap/>
          </w:tcPr>
          <w:p w14:paraId="5FAF1674"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713" w:type="dxa"/>
            <w:shd w:val="clear" w:color="auto" w:fill="C6EFCE"/>
            <w:noWrap/>
          </w:tcPr>
          <w:p w14:paraId="5AFD4F68"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986" w:type="dxa"/>
            <w:shd w:val="clear" w:color="auto" w:fill="C6EFCE"/>
            <w:noWrap/>
          </w:tcPr>
          <w:p w14:paraId="42DC3EDE" w14:textId="77777777" w:rsidR="00C45D59" w:rsidRDefault="009B0962">
            <w:pPr>
              <w:pStyle w:val="P68B1DB1-Normal12"/>
              <w:spacing w:after="0" w:line="240" w:lineRule="auto"/>
              <w:rPr>
                <w:rFonts w:eastAsia="Times New Roman"/>
                <w:noProof/>
              </w:rPr>
            </w:pPr>
            <w:r>
              <w:rPr>
                <w:noProof/>
              </w:rPr>
              <w:t>Î4</w:t>
            </w:r>
          </w:p>
        </w:tc>
        <w:tc>
          <w:tcPr>
            <w:tcW w:w="662" w:type="dxa"/>
            <w:shd w:val="clear" w:color="auto" w:fill="C6EFCE"/>
            <w:noWrap/>
          </w:tcPr>
          <w:p w14:paraId="1664AEAE" w14:textId="77777777" w:rsidR="00C45D59" w:rsidRDefault="009B0962">
            <w:pPr>
              <w:pStyle w:val="P68B1DB1-Normal12"/>
              <w:spacing w:after="0" w:line="240" w:lineRule="auto"/>
              <w:rPr>
                <w:rFonts w:eastAsia="Times New Roman"/>
                <w:noProof/>
              </w:rPr>
            </w:pPr>
            <w:r>
              <w:rPr>
                <w:noProof/>
              </w:rPr>
              <w:t>2025</w:t>
            </w:r>
          </w:p>
        </w:tc>
        <w:tc>
          <w:tcPr>
            <w:tcW w:w="3536" w:type="dxa"/>
            <w:shd w:val="clear" w:color="auto" w:fill="C6EFCE"/>
            <w:noWrap/>
          </w:tcPr>
          <w:p w14:paraId="2F8E0F7F" w14:textId="6D7A7EFC" w:rsidR="00C45D59" w:rsidRDefault="009B0962">
            <w:pPr>
              <w:pStyle w:val="P68B1DB1-Normal12"/>
              <w:spacing w:after="0" w:line="240" w:lineRule="auto"/>
              <w:rPr>
                <w:rFonts w:eastAsiaTheme="minorEastAsia"/>
                <w:noProof/>
              </w:rPr>
            </w:pPr>
            <w:r>
              <w:rPr>
                <w:noProof/>
              </w:rPr>
              <w:t>Certificate de finalizare care confirmă construirea de lucrări de infrastructură în 13 porturi, inclusiv refacerea cheiurilor porturilor, a pauzelor de undă, a lucrărilor de reamenajare a frontului de apă și de îmbunătățire a infrastructurii portuare, refacerea adâncimilor și lucrări de dragare, construirea de rampe de servicii, de pereți de chei și de lucrări de protecție costieră sau refacerea bazinului portuar după inundații extinse.</w:t>
            </w:r>
          </w:p>
          <w:p w14:paraId="77F53D25" w14:textId="77777777" w:rsidR="00C45D59" w:rsidRDefault="00C45D59">
            <w:pPr>
              <w:spacing w:after="0" w:line="240" w:lineRule="auto"/>
              <w:rPr>
                <w:rFonts w:ascii="Times New Roman" w:eastAsiaTheme="minorEastAsia" w:hAnsi="Times New Roman" w:cs="Times New Roman"/>
                <w:noProof/>
                <w:color w:val="006100"/>
                <w:sz w:val="6"/>
                <w:szCs w:val="6"/>
              </w:rPr>
            </w:pPr>
          </w:p>
          <w:p w14:paraId="1637B59F" w14:textId="77777777" w:rsidR="00C45D59" w:rsidRDefault="009B0962">
            <w:pPr>
              <w:pStyle w:val="P68B1DB1-Normal16"/>
              <w:spacing w:after="0"/>
              <w:rPr>
                <w:noProof/>
              </w:rPr>
            </w:pPr>
            <w:r>
              <w:rPr>
                <w:noProof/>
                <w:color w:val="006100"/>
              </w:rPr>
              <w:t>Măsurile compensatorii și de atenuare necesare în temeiul evaluării impactului asupra mediului în temeiul Directivei 2011/92/UE trebuie să fi fost puse în aplicare.</w:t>
            </w:r>
            <w:r>
              <w:rPr>
                <w:noProof/>
              </w:rPr>
              <w:t xml:space="preserve"> </w:t>
            </w:r>
          </w:p>
        </w:tc>
      </w:tr>
    </w:tbl>
    <w:p w14:paraId="62CDDBF1" w14:textId="77777777" w:rsidR="00C45D59" w:rsidRDefault="009B0962">
      <w:pPr>
        <w:pStyle w:val="P68B1DB1-Normal9"/>
        <w:keepNext/>
        <w:keepLines/>
        <w:spacing w:before="40" w:after="0" w:line="240" w:lineRule="auto"/>
        <w:jc w:val="both"/>
        <w:outlineLvl w:val="4"/>
        <w:rPr>
          <w:rFonts w:eastAsia="Times New Roman"/>
          <w:noProof/>
        </w:rPr>
      </w:pPr>
      <w:r>
        <w:rPr>
          <w:noProof/>
        </w:rPr>
        <w:t>Grupul 27: Industrie &amp; investiții</w:t>
      </w:r>
    </w:p>
    <w:p w14:paraId="0E7BA2D4" w14:textId="77777777" w:rsidR="00C45D59" w:rsidRDefault="009B0962">
      <w:pPr>
        <w:pStyle w:val="P68B1DB1-Normal5"/>
        <w:numPr>
          <w:ilvl w:val="0"/>
          <w:numId w:val="82"/>
        </w:numPr>
        <w:spacing w:before="120" w:after="0" w:line="240" w:lineRule="auto"/>
        <w:jc w:val="both"/>
        <w:rPr>
          <w:rFonts w:cs="Times New Roman"/>
          <w:noProof/>
        </w:rPr>
      </w:pPr>
      <w:r>
        <w:rPr>
          <w:noProof/>
        </w:rPr>
        <w:t>Modificarea cadrului juridic pentru atragerea investițiilor strategice (ID: 16593)</w:t>
      </w:r>
    </w:p>
    <w:p w14:paraId="38225AF6" w14:textId="77777777" w:rsidR="00C45D59" w:rsidRDefault="009B0962">
      <w:pPr>
        <w:pStyle w:val="P68B1DB1-Normal5"/>
        <w:numPr>
          <w:ilvl w:val="0"/>
          <w:numId w:val="82"/>
        </w:numPr>
        <w:spacing w:before="120" w:after="0" w:line="240" w:lineRule="auto"/>
        <w:jc w:val="both"/>
        <w:rPr>
          <w:rFonts w:cs="Times New Roman"/>
          <w:noProof/>
        </w:rPr>
      </w:pPr>
      <w:r>
        <w:rPr>
          <w:noProof/>
        </w:rPr>
        <w:t>Parcuri industriale (ID: 16634)</w:t>
      </w:r>
    </w:p>
    <w:p w14:paraId="19084ED6" w14:textId="77777777" w:rsidR="00C45D59" w:rsidRDefault="009B0962">
      <w:pPr>
        <w:pStyle w:val="P68B1DB1-Normal7"/>
        <w:numPr>
          <w:ilvl w:val="0"/>
          <w:numId w:val="82"/>
        </w:numPr>
        <w:spacing w:before="120" w:after="120" w:line="240" w:lineRule="auto"/>
        <w:jc w:val="both"/>
        <w:rPr>
          <w:rFonts w:cs="Times New Roman"/>
          <w:noProof/>
        </w:rPr>
      </w:pPr>
      <w:r>
        <w:rPr>
          <w:noProof/>
        </w:rPr>
        <w:t xml:space="preserve">Accelerarea producției inteligente (ID: 16721) </w:t>
      </w:r>
    </w:p>
    <w:tbl>
      <w:tblPr>
        <w:tblW w:w="155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9"/>
        <w:gridCol w:w="2084"/>
        <w:gridCol w:w="1298"/>
        <w:gridCol w:w="1396"/>
        <w:gridCol w:w="1823"/>
        <w:gridCol w:w="866"/>
        <w:gridCol w:w="857"/>
        <w:gridCol w:w="691"/>
        <w:gridCol w:w="1092"/>
        <w:gridCol w:w="720"/>
        <w:gridCol w:w="4056"/>
      </w:tblGrid>
      <w:tr w:rsidR="00C45D59" w14:paraId="4C93C45D" w14:textId="77777777" w:rsidTr="00242B1C">
        <w:trPr>
          <w:trHeight w:val="839"/>
          <w:tblHeader/>
          <w:jc w:val="center"/>
        </w:trPr>
        <w:tc>
          <w:tcPr>
            <w:tcW w:w="619" w:type="dxa"/>
            <w:vMerge w:val="restart"/>
            <w:shd w:val="clear" w:color="auto" w:fill="BDD7EE"/>
            <w:vAlign w:val="center"/>
            <w:hideMark/>
          </w:tcPr>
          <w:p w14:paraId="6EC51572" w14:textId="4EE1FDB0" w:rsidR="00C45D59" w:rsidRDefault="009B0962">
            <w:pPr>
              <w:pStyle w:val="P68B1DB1-Normal15"/>
              <w:spacing w:after="0" w:line="240" w:lineRule="auto"/>
              <w:jc w:val="center"/>
              <w:rPr>
                <w:rFonts w:eastAsia="Times New Roman"/>
                <w:noProof/>
              </w:rPr>
            </w:pPr>
            <w:r>
              <w:rPr>
                <w:noProof/>
              </w:rPr>
              <w:t>N</w:t>
            </w:r>
            <w:r w:rsidR="00242B1C">
              <w:rPr>
                <w:noProof/>
              </w:rPr>
              <w:t>r. crt</w:t>
            </w:r>
            <w:r>
              <w:rPr>
                <w:noProof/>
              </w:rPr>
              <w:t>.</w:t>
            </w:r>
          </w:p>
        </w:tc>
        <w:tc>
          <w:tcPr>
            <w:tcW w:w="2084" w:type="dxa"/>
            <w:vMerge w:val="restart"/>
            <w:shd w:val="clear" w:color="auto" w:fill="BDD7EE"/>
            <w:vAlign w:val="center"/>
            <w:hideMark/>
          </w:tcPr>
          <w:p w14:paraId="19D4AEFA" w14:textId="77777777" w:rsidR="00C45D59" w:rsidRDefault="009B0962">
            <w:pPr>
              <w:pStyle w:val="P68B1DB1-Normal10"/>
              <w:spacing w:after="0" w:line="240" w:lineRule="auto"/>
              <w:jc w:val="center"/>
              <w:rPr>
                <w:rFonts w:eastAsia="Times New Roman" w:cs="Times New Roman"/>
                <w:noProof/>
                <w:szCs w:val="18"/>
              </w:rPr>
            </w:pPr>
            <w:r>
              <w:rPr>
                <w:noProof/>
              </w:rPr>
              <w:t>Măsură conexă (reformă sau investiții)</w:t>
            </w:r>
          </w:p>
        </w:tc>
        <w:tc>
          <w:tcPr>
            <w:tcW w:w="1298" w:type="dxa"/>
            <w:vMerge w:val="restart"/>
            <w:shd w:val="clear" w:color="auto" w:fill="BDD7EE"/>
            <w:vAlign w:val="center"/>
            <w:hideMark/>
          </w:tcPr>
          <w:p w14:paraId="0F496A57" w14:textId="2239D1AB" w:rsidR="00C45D59" w:rsidRDefault="009B0962">
            <w:pPr>
              <w:pStyle w:val="P68B1DB1-Normal10"/>
              <w:spacing w:after="0" w:line="240" w:lineRule="auto"/>
              <w:jc w:val="center"/>
              <w:rPr>
                <w:rFonts w:eastAsia="Times New Roman" w:cs="Times New Roman"/>
                <w:noProof/>
                <w:szCs w:val="18"/>
              </w:rPr>
            </w:pPr>
            <w:r>
              <w:rPr>
                <w:noProof/>
              </w:rPr>
              <w:t>Etapă/</w:t>
            </w:r>
            <w:r w:rsidR="00242B1C">
              <w:rPr>
                <w:noProof/>
              </w:rPr>
              <w:t xml:space="preserve"> </w:t>
            </w:r>
            <w:r>
              <w:rPr>
                <w:noProof/>
              </w:rPr>
              <w:t>Obiectiv</w:t>
            </w:r>
          </w:p>
        </w:tc>
        <w:tc>
          <w:tcPr>
            <w:tcW w:w="1396" w:type="dxa"/>
            <w:vMerge w:val="restart"/>
            <w:shd w:val="clear" w:color="auto" w:fill="BDD7EE"/>
            <w:vAlign w:val="center"/>
            <w:hideMark/>
          </w:tcPr>
          <w:p w14:paraId="0E8143F4" w14:textId="55977846" w:rsidR="00C45D59" w:rsidRDefault="00242B1C">
            <w:pPr>
              <w:pStyle w:val="P68B1DB1-Normal10"/>
              <w:spacing w:after="0" w:line="240" w:lineRule="auto"/>
              <w:jc w:val="center"/>
              <w:rPr>
                <w:rFonts w:eastAsia="Times New Roman" w:cs="Times New Roman"/>
                <w:noProof/>
                <w:szCs w:val="18"/>
              </w:rPr>
            </w:pPr>
            <w:r>
              <w:rPr>
                <w:noProof/>
              </w:rPr>
              <w:t>Denumire</w:t>
            </w:r>
          </w:p>
        </w:tc>
        <w:tc>
          <w:tcPr>
            <w:tcW w:w="1823" w:type="dxa"/>
            <w:vMerge w:val="restart"/>
            <w:shd w:val="clear" w:color="auto" w:fill="BDD7EE"/>
            <w:vAlign w:val="center"/>
            <w:hideMark/>
          </w:tcPr>
          <w:p w14:paraId="1018B1E6" w14:textId="77777777" w:rsidR="00C45D59" w:rsidRDefault="009B0962">
            <w:pPr>
              <w:pStyle w:val="P68B1DB1-Normal10"/>
              <w:spacing w:after="0" w:line="240" w:lineRule="auto"/>
              <w:jc w:val="center"/>
              <w:rPr>
                <w:rFonts w:eastAsia="Times New Roman" w:cs="Times New Roman"/>
                <w:noProof/>
                <w:szCs w:val="18"/>
              </w:rPr>
            </w:pPr>
            <w:r>
              <w:rPr>
                <w:noProof/>
              </w:rPr>
              <w:t>Indicatori calitativi (pentru obiectivele de etapă)</w:t>
            </w:r>
          </w:p>
        </w:tc>
        <w:tc>
          <w:tcPr>
            <w:tcW w:w="2414" w:type="dxa"/>
            <w:gridSpan w:val="3"/>
            <w:shd w:val="clear" w:color="auto" w:fill="BDD7EE"/>
            <w:vAlign w:val="center"/>
            <w:hideMark/>
          </w:tcPr>
          <w:p w14:paraId="1E6D7842" w14:textId="77777777" w:rsidR="00C45D59" w:rsidRDefault="009B0962">
            <w:pPr>
              <w:pStyle w:val="P68B1DB1-Normal10"/>
              <w:spacing w:after="0" w:line="240" w:lineRule="auto"/>
              <w:jc w:val="center"/>
              <w:rPr>
                <w:rFonts w:eastAsia="Times New Roman" w:cs="Times New Roman"/>
                <w:noProof/>
                <w:szCs w:val="18"/>
              </w:rPr>
            </w:pPr>
            <w:r>
              <w:rPr>
                <w:noProof/>
              </w:rPr>
              <w:t>Indicatori cantitativi (pentru ținte)</w:t>
            </w:r>
          </w:p>
        </w:tc>
        <w:tc>
          <w:tcPr>
            <w:tcW w:w="1812" w:type="dxa"/>
            <w:gridSpan w:val="2"/>
            <w:shd w:val="clear" w:color="auto" w:fill="BDD7EE"/>
            <w:vAlign w:val="center"/>
            <w:hideMark/>
          </w:tcPr>
          <w:p w14:paraId="68AB3C30" w14:textId="77777777" w:rsidR="00C45D59" w:rsidRDefault="009B0962">
            <w:pPr>
              <w:pStyle w:val="P68B1DB1-Normal10"/>
              <w:spacing w:after="0" w:line="240" w:lineRule="auto"/>
              <w:jc w:val="center"/>
              <w:rPr>
                <w:rFonts w:eastAsia="Times New Roman" w:cs="Times New Roman"/>
                <w:noProof/>
                <w:szCs w:val="18"/>
              </w:rPr>
            </w:pPr>
            <w:r>
              <w:rPr>
                <w:noProof/>
              </w:rPr>
              <w:t xml:space="preserve">Calendar orientativ pentru finalizare </w:t>
            </w:r>
          </w:p>
        </w:tc>
        <w:tc>
          <w:tcPr>
            <w:tcW w:w="4056" w:type="dxa"/>
            <w:vMerge w:val="restart"/>
            <w:shd w:val="clear" w:color="auto" w:fill="BDD7EE"/>
            <w:vAlign w:val="center"/>
            <w:hideMark/>
          </w:tcPr>
          <w:p w14:paraId="0C30F0D5" w14:textId="77777777" w:rsidR="00C45D59" w:rsidRDefault="009B0962">
            <w:pPr>
              <w:pStyle w:val="P68B1DB1-Normal10"/>
              <w:spacing w:after="0" w:line="240" w:lineRule="auto"/>
              <w:jc w:val="center"/>
              <w:rPr>
                <w:rFonts w:eastAsia="Times New Roman" w:cs="Times New Roman"/>
                <w:noProof/>
                <w:szCs w:val="18"/>
              </w:rPr>
            </w:pPr>
            <w:r>
              <w:rPr>
                <w:noProof/>
              </w:rPr>
              <w:t>Descrierea fiecărui jalon și a fiecărei ținte</w:t>
            </w:r>
          </w:p>
        </w:tc>
      </w:tr>
      <w:tr w:rsidR="00C45D59" w14:paraId="659B3C89" w14:textId="77777777" w:rsidTr="00242B1C">
        <w:trPr>
          <w:trHeight w:val="456"/>
          <w:tblHeader/>
          <w:jc w:val="center"/>
        </w:trPr>
        <w:tc>
          <w:tcPr>
            <w:tcW w:w="619" w:type="dxa"/>
            <w:vMerge/>
            <w:vAlign w:val="center"/>
            <w:hideMark/>
          </w:tcPr>
          <w:p w14:paraId="5BE10B56" w14:textId="77777777" w:rsidR="00C45D59" w:rsidRDefault="00C45D59">
            <w:pPr>
              <w:spacing w:after="0" w:line="240" w:lineRule="auto"/>
              <w:rPr>
                <w:rFonts w:ascii="Times New Roman" w:eastAsia="Times New Roman" w:hAnsi="Times New Roman" w:cs="Times New Roman"/>
                <w:b/>
                <w:bCs/>
                <w:noProof/>
                <w:sz w:val="18"/>
                <w:szCs w:val="18"/>
              </w:rPr>
            </w:pPr>
          </w:p>
        </w:tc>
        <w:tc>
          <w:tcPr>
            <w:tcW w:w="2084" w:type="dxa"/>
            <w:vMerge/>
            <w:vAlign w:val="center"/>
            <w:hideMark/>
          </w:tcPr>
          <w:p w14:paraId="637CBD21" w14:textId="77777777" w:rsidR="00C45D59" w:rsidRDefault="00C45D59">
            <w:pPr>
              <w:spacing w:after="0" w:line="240" w:lineRule="auto"/>
              <w:rPr>
                <w:rFonts w:ascii="Times New Roman" w:eastAsia="Times New Roman" w:hAnsi="Times New Roman" w:cs="Times New Roman"/>
                <w:b/>
                <w:bCs/>
                <w:noProof/>
                <w:sz w:val="18"/>
                <w:szCs w:val="18"/>
              </w:rPr>
            </w:pPr>
          </w:p>
        </w:tc>
        <w:tc>
          <w:tcPr>
            <w:tcW w:w="1298" w:type="dxa"/>
            <w:vMerge/>
            <w:vAlign w:val="center"/>
            <w:hideMark/>
          </w:tcPr>
          <w:p w14:paraId="4370817E" w14:textId="77777777" w:rsidR="00C45D59" w:rsidRDefault="00C45D59">
            <w:pPr>
              <w:spacing w:after="0" w:line="240" w:lineRule="auto"/>
              <w:rPr>
                <w:rFonts w:ascii="Times New Roman" w:eastAsia="Times New Roman" w:hAnsi="Times New Roman" w:cs="Times New Roman"/>
                <w:b/>
                <w:bCs/>
                <w:noProof/>
                <w:sz w:val="18"/>
                <w:szCs w:val="18"/>
              </w:rPr>
            </w:pPr>
          </w:p>
        </w:tc>
        <w:tc>
          <w:tcPr>
            <w:tcW w:w="1396" w:type="dxa"/>
            <w:vMerge/>
            <w:vAlign w:val="center"/>
            <w:hideMark/>
          </w:tcPr>
          <w:p w14:paraId="4E2484D5" w14:textId="77777777" w:rsidR="00C45D59" w:rsidRDefault="00C45D59">
            <w:pPr>
              <w:spacing w:after="0" w:line="240" w:lineRule="auto"/>
              <w:rPr>
                <w:rFonts w:ascii="Times New Roman" w:eastAsia="Times New Roman" w:hAnsi="Times New Roman" w:cs="Times New Roman"/>
                <w:b/>
                <w:bCs/>
                <w:noProof/>
                <w:sz w:val="18"/>
                <w:szCs w:val="18"/>
              </w:rPr>
            </w:pPr>
          </w:p>
        </w:tc>
        <w:tc>
          <w:tcPr>
            <w:tcW w:w="1823" w:type="dxa"/>
            <w:vMerge/>
            <w:vAlign w:val="center"/>
            <w:hideMark/>
          </w:tcPr>
          <w:p w14:paraId="6A08B2D9" w14:textId="77777777" w:rsidR="00C45D59" w:rsidRDefault="00C45D59">
            <w:pPr>
              <w:spacing w:after="0" w:line="240" w:lineRule="auto"/>
              <w:rPr>
                <w:rFonts w:ascii="Times New Roman" w:eastAsia="Times New Roman" w:hAnsi="Times New Roman" w:cs="Times New Roman"/>
                <w:b/>
                <w:bCs/>
                <w:noProof/>
                <w:sz w:val="18"/>
                <w:szCs w:val="18"/>
              </w:rPr>
            </w:pPr>
          </w:p>
        </w:tc>
        <w:tc>
          <w:tcPr>
            <w:tcW w:w="866" w:type="dxa"/>
            <w:shd w:val="clear" w:color="auto" w:fill="BDD7EE"/>
            <w:vAlign w:val="center"/>
            <w:hideMark/>
          </w:tcPr>
          <w:p w14:paraId="6AC21602" w14:textId="77777777" w:rsidR="00C45D59" w:rsidRDefault="009B0962">
            <w:pPr>
              <w:pStyle w:val="P68B1DB1-Normal10"/>
              <w:spacing w:after="0" w:line="240" w:lineRule="auto"/>
              <w:jc w:val="center"/>
              <w:rPr>
                <w:rFonts w:eastAsia="Times New Roman" w:cs="Times New Roman"/>
                <w:noProof/>
                <w:szCs w:val="18"/>
              </w:rPr>
            </w:pPr>
            <w:r>
              <w:rPr>
                <w:noProof/>
              </w:rPr>
              <w:t>Unitatea de măsură</w:t>
            </w:r>
          </w:p>
        </w:tc>
        <w:tc>
          <w:tcPr>
            <w:tcW w:w="857" w:type="dxa"/>
            <w:shd w:val="clear" w:color="auto" w:fill="BDD7EE"/>
            <w:vAlign w:val="center"/>
            <w:hideMark/>
          </w:tcPr>
          <w:p w14:paraId="32D32923" w14:textId="77777777" w:rsidR="00C45D59" w:rsidRDefault="009B0962">
            <w:pPr>
              <w:pStyle w:val="P68B1DB1-Normal10"/>
              <w:spacing w:after="0" w:line="240" w:lineRule="auto"/>
              <w:jc w:val="center"/>
              <w:rPr>
                <w:rFonts w:eastAsia="Times New Roman" w:cs="Times New Roman"/>
                <w:noProof/>
                <w:szCs w:val="18"/>
              </w:rPr>
            </w:pPr>
            <w:r>
              <w:rPr>
                <w:noProof/>
              </w:rPr>
              <w:t xml:space="preserve">Situația de referință </w:t>
            </w:r>
          </w:p>
        </w:tc>
        <w:tc>
          <w:tcPr>
            <w:tcW w:w="691" w:type="dxa"/>
            <w:shd w:val="clear" w:color="auto" w:fill="BDD7EE"/>
            <w:vAlign w:val="center"/>
            <w:hideMark/>
          </w:tcPr>
          <w:p w14:paraId="69DDF875" w14:textId="77777777" w:rsidR="00C45D59" w:rsidRDefault="009B0962">
            <w:pPr>
              <w:pStyle w:val="P68B1DB1-Normal10"/>
              <w:spacing w:after="0" w:line="240" w:lineRule="auto"/>
              <w:jc w:val="center"/>
              <w:rPr>
                <w:rFonts w:eastAsia="Times New Roman" w:cs="Times New Roman"/>
                <w:noProof/>
                <w:szCs w:val="18"/>
              </w:rPr>
            </w:pPr>
            <w:r>
              <w:rPr>
                <w:noProof/>
              </w:rPr>
              <w:t xml:space="preserve">Obiectiv </w:t>
            </w:r>
          </w:p>
        </w:tc>
        <w:tc>
          <w:tcPr>
            <w:tcW w:w="1092" w:type="dxa"/>
            <w:shd w:val="clear" w:color="auto" w:fill="BDD7EE"/>
            <w:vAlign w:val="center"/>
            <w:hideMark/>
          </w:tcPr>
          <w:p w14:paraId="03918B0E" w14:textId="77777777" w:rsidR="00C45D59" w:rsidRDefault="009B0962">
            <w:pPr>
              <w:pStyle w:val="P68B1DB1-Normal10"/>
              <w:spacing w:after="0" w:line="240" w:lineRule="auto"/>
              <w:jc w:val="center"/>
              <w:rPr>
                <w:rFonts w:eastAsia="Times New Roman" w:cs="Times New Roman"/>
                <w:noProof/>
                <w:szCs w:val="18"/>
              </w:rPr>
            </w:pPr>
            <w:r>
              <w:rPr>
                <w:noProof/>
              </w:rPr>
              <w:t>Trimestru</w:t>
            </w:r>
          </w:p>
        </w:tc>
        <w:tc>
          <w:tcPr>
            <w:tcW w:w="720" w:type="dxa"/>
            <w:shd w:val="clear" w:color="auto" w:fill="BDD7EE"/>
            <w:vAlign w:val="center"/>
            <w:hideMark/>
          </w:tcPr>
          <w:p w14:paraId="019056CE" w14:textId="77777777" w:rsidR="00C45D59" w:rsidRDefault="009B0962">
            <w:pPr>
              <w:pStyle w:val="P68B1DB1-Normal10"/>
              <w:spacing w:after="0" w:line="240" w:lineRule="auto"/>
              <w:jc w:val="center"/>
              <w:rPr>
                <w:rFonts w:eastAsia="Times New Roman" w:cs="Times New Roman"/>
                <w:noProof/>
                <w:szCs w:val="18"/>
              </w:rPr>
            </w:pPr>
            <w:r>
              <w:rPr>
                <w:noProof/>
              </w:rPr>
              <w:t>Anul</w:t>
            </w:r>
          </w:p>
        </w:tc>
        <w:tc>
          <w:tcPr>
            <w:tcW w:w="4056" w:type="dxa"/>
            <w:vMerge/>
            <w:vAlign w:val="center"/>
            <w:hideMark/>
          </w:tcPr>
          <w:p w14:paraId="195ED197" w14:textId="77777777" w:rsidR="00C45D59" w:rsidRDefault="00C45D59">
            <w:pPr>
              <w:spacing w:after="0" w:line="240" w:lineRule="auto"/>
              <w:rPr>
                <w:rFonts w:ascii="Times New Roman" w:eastAsia="Times New Roman" w:hAnsi="Times New Roman" w:cs="Times New Roman"/>
                <w:b/>
                <w:bCs/>
                <w:noProof/>
                <w:sz w:val="18"/>
                <w:szCs w:val="18"/>
              </w:rPr>
            </w:pPr>
          </w:p>
        </w:tc>
      </w:tr>
      <w:tr w:rsidR="00C45D59" w14:paraId="6D41D90A" w14:textId="77777777" w:rsidTr="00242B1C">
        <w:trPr>
          <w:trHeight w:val="313"/>
          <w:jc w:val="center"/>
        </w:trPr>
        <w:tc>
          <w:tcPr>
            <w:tcW w:w="619" w:type="dxa"/>
            <w:shd w:val="clear" w:color="auto" w:fill="C6EFCE"/>
            <w:noWrap/>
          </w:tcPr>
          <w:p w14:paraId="0F6E3F55" w14:textId="77777777" w:rsidR="00C45D59" w:rsidRDefault="009B0962">
            <w:pPr>
              <w:pStyle w:val="P68B1DB1-Normal12"/>
              <w:spacing w:after="0" w:line="240" w:lineRule="auto"/>
              <w:rPr>
                <w:rFonts w:eastAsia="Times New Roman"/>
                <w:noProof/>
              </w:rPr>
            </w:pPr>
            <w:r>
              <w:rPr>
                <w:noProof/>
              </w:rPr>
              <w:t>299</w:t>
            </w:r>
          </w:p>
        </w:tc>
        <w:tc>
          <w:tcPr>
            <w:tcW w:w="2084" w:type="dxa"/>
            <w:shd w:val="clear" w:color="auto" w:fill="C6EFCE"/>
            <w:noWrap/>
          </w:tcPr>
          <w:p w14:paraId="13805CB9" w14:textId="77777777" w:rsidR="00C45D59" w:rsidRDefault="009B0962">
            <w:pPr>
              <w:pStyle w:val="P68B1DB1-Normal12"/>
              <w:spacing w:after="0" w:line="240" w:lineRule="auto"/>
              <w:rPr>
                <w:rFonts w:eastAsia="Times New Roman"/>
                <w:noProof/>
              </w:rPr>
            </w:pPr>
            <w:r>
              <w:rPr>
                <w:noProof/>
              </w:rPr>
              <w:t>17-4.6. Modernizarea și îmbunătățirea rezilienței sectoarelor economice esențiale – 16593_Modificarea cadrului juridic pentru atragerea de investiții strategice</w:t>
            </w:r>
          </w:p>
        </w:tc>
        <w:tc>
          <w:tcPr>
            <w:tcW w:w="1298" w:type="dxa"/>
            <w:shd w:val="clear" w:color="auto" w:fill="C6EFCE"/>
            <w:noWrap/>
          </w:tcPr>
          <w:p w14:paraId="3E71EB91" w14:textId="77777777" w:rsidR="00C45D59" w:rsidRDefault="009B0962">
            <w:pPr>
              <w:pStyle w:val="P68B1DB1-Normal12"/>
              <w:spacing w:after="0" w:line="240" w:lineRule="auto"/>
              <w:rPr>
                <w:rFonts w:eastAsia="Times New Roman"/>
                <w:noProof/>
              </w:rPr>
            </w:pPr>
            <w:r>
              <w:rPr>
                <w:noProof/>
              </w:rPr>
              <w:t>Etapă</w:t>
            </w:r>
          </w:p>
        </w:tc>
        <w:tc>
          <w:tcPr>
            <w:tcW w:w="1396" w:type="dxa"/>
            <w:shd w:val="clear" w:color="auto" w:fill="C6EFCE"/>
            <w:noWrap/>
          </w:tcPr>
          <w:p w14:paraId="3366E2A8" w14:textId="77777777" w:rsidR="00C45D59" w:rsidRDefault="009B0962">
            <w:pPr>
              <w:pStyle w:val="P68B1DB1-Normal12"/>
              <w:spacing w:after="0" w:line="240" w:lineRule="auto"/>
              <w:rPr>
                <w:rFonts w:eastAsia="Times New Roman"/>
                <w:noProof/>
              </w:rPr>
            </w:pPr>
            <w:r>
              <w:rPr>
                <w:noProof/>
              </w:rPr>
              <w:t>Investiții strategice – reforma legislativă</w:t>
            </w:r>
          </w:p>
        </w:tc>
        <w:tc>
          <w:tcPr>
            <w:tcW w:w="1823" w:type="dxa"/>
            <w:shd w:val="clear" w:color="auto" w:fill="C6EFCE"/>
            <w:noWrap/>
          </w:tcPr>
          <w:p w14:paraId="0D121DBA" w14:textId="77777777" w:rsidR="00C45D59" w:rsidRDefault="009B0962">
            <w:pPr>
              <w:pStyle w:val="P68B1DB1-Normal12"/>
              <w:spacing w:after="0" w:line="240" w:lineRule="auto"/>
              <w:rPr>
                <w:rFonts w:eastAsia="Times New Roman"/>
                <w:noProof/>
              </w:rPr>
            </w:pPr>
            <w:r>
              <w:rPr>
                <w:noProof/>
              </w:rPr>
              <w:t>Intrarea în vigoare a modificărilor legislative</w:t>
            </w:r>
          </w:p>
        </w:tc>
        <w:tc>
          <w:tcPr>
            <w:tcW w:w="866" w:type="dxa"/>
            <w:shd w:val="clear" w:color="auto" w:fill="C6EFCE"/>
            <w:noWrap/>
          </w:tcPr>
          <w:p w14:paraId="0B0B221E"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57" w:type="dxa"/>
            <w:shd w:val="clear" w:color="auto" w:fill="C6EFCE"/>
            <w:noWrap/>
          </w:tcPr>
          <w:p w14:paraId="45289F8E"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691" w:type="dxa"/>
            <w:shd w:val="clear" w:color="auto" w:fill="C6EFCE"/>
            <w:noWrap/>
          </w:tcPr>
          <w:p w14:paraId="427DEF71"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092" w:type="dxa"/>
            <w:shd w:val="clear" w:color="auto" w:fill="C6EFCE"/>
            <w:noWrap/>
          </w:tcPr>
          <w:p w14:paraId="74578841" w14:textId="77777777" w:rsidR="00C45D59" w:rsidRDefault="009B0962">
            <w:pPr>
              <w:pStyle w:val="P68B1DB1-Normal12"/>
              <w:spacing w:after="0" w:line="240" w:lineRule="auto"/>
              <w:rPr>
                <w:rFonts w:eastAsia="Times New Roman"/>
                <w:noProof/>
              </w:rPr>
            </w:pPr>
            <w:r>
              <w:rPr>
                <w:noProof/>
              </w:rPr>
              <w:t>Î4</w:t>
            </w:r>
          </w:p>
        </w:tc>
        <w:tc>
          <w:tcPr>
            <w:tcW w:w="720" w:type="dxa"/>
            <w:shd w:val="clear" w:color="auto" w:fill="C6EFCE"/>
            <w:noWrap/>
          </w:tcPr>
          <w:p w14:paraId="5D132D62" w14:textId="77777777" w:rsidR="00C45D59" w:rsidRDefault="009B0962">
            <w:pPr>
              <w:pStyle w:val="P68B1DB1-Normal12"/>
              <w:spacing w:after="0" w:line="240" w:lineRule="auto"/>
              <w:rPr>
                <w:rFonts w:eastAsia="Times New Roman"/>
                <w:noProof/>
              </w:rPr>
            </w:pPr>
            <w:r>
              <w:rPr>
                <w:noProof/>
              </w:rPr>
              <w:t>2021</w:t>
            </w:r>
          </w:p>
        </w:tc>
        <w:tc>
          <w:tcPr>
            <w:tcW w:w="4056" w:type="dxa"/>
            <w:shd w:val="clear" w:color="auto" w:fill="C6EFCE"/>
            <w:noWrap/>
          </w:tcPr>
          <w:p w14:paraId="43C0E789" w14:textId="77777777" w:rsidR="00C45D59" w:rsidRDefault="009B0962">
            <w:pPr>
              <w:pStyle w:val="P68B1DB1-Normal12"/>
              <w:spacing w:after="0" w:line="240" w:lineRule="auto"/>
              <w:rPr>
                <w:rFonts w:eastAsia="Times New Roman"/>
                <w:noProof/>
              </w:rPr>
            </w:pPr>
            <w:r>
              <w:rPr>
                <w:noProof/>
              </w:rPr>
              <w:t xml:space="preserve">Intrarea în vigoare a modificărilor legislative de reformare a cadrului legislativ pentru atragerea de investiții strategice (Legea nr. 3894/2010 și Legea nr. 4608/2019), inclusiv prin codificare juridică pentru a crea un cadru uniform și coerent și a modificărilor juridice pentru a introduce o nouă categorie de investiții strategice „Investiții empirice de importanță majoră”. </w:t>
            </w:r>
          </w:p>
          <w:p w14:paraId="5A7F51ED" w14:textId="77777777" w:rsidR="00C45D59" w:rsidRDefault="00C45D59">
            <w:pPr>
              <w:spacing w:after="0" w:line="240" w:lineRule="auto"/>
              <w:rPr>
                <w:rFonts w:ascii="Times New Roman" w:eastAsia="Times New Roman" w:hAnsi="Times New Roman" w:cs="Times New Roman"/>
                <w:noProof/>
                <w:color w:val="006100"/>
                <w:sz w:val="18"/>
                <w:szCs w:val="18"/>
              </w:rPr>
            </w:pPr>
          </w:p>
          <w:p w14:paraId="29423D99" w14:textId="55A1A120" w:rsidR="00C45D59" w:rsidRDefault="009B0962">
            <w:pPr>
              <w:pStyle w:val="P68B1DB1-Normal12"/>
              <w:spacing w:after="0" w:line="240" w:lineRule="auto"/>
              <w:rPr>
                <w:rFonts w:eastAsia="Times New Roman"/>
                <w:noProof/>
                <w:highlight w:val="yellow"/>
              </w:rPr>
            </w:pPr>
            <w:r>
              <w:rPr>
                <w:noProof/>
              </w:rPr>
              <w:t>Reforma cadrului de investiții strategice introduce, de asemenea, dispoziții pentru a contribui la accelerarea procedurii administrative legate de aprobarea și acordarea de licențe pentru o investiție strategică (și anume, pentru a îmbunătăți procedura accelerată). Se introduc în legislație noi categorii de investiții strategice pe baza unor criterii care conduc la inovare sau la difuzarea tehnologiei, la utilizarea surselor regenerabile de energie și la tranziția către o economie cu emisii scăzute de dioxid de carbon și/sau la promovarea semnificativă a competitivității economiei elene la nivel internațional.</w:t>
            </w:r>
          </w:p>
        </w:tc>
      </w:tr>
      <w:tr w:rsidR="00C45D59" w14:paraId="34FA76C0" w14:textId="77777777" w:rsidTr="00242B1C">
        <w:trPr>
          <w:trHeight w:val="313"/>
          <w:jc w:val="center"/>
        </w:trPr>
        <w:tc>
          <w:tcPr>
            <w:tcW w:w="619" w:type="dxa"/>
            <w:shd w:val="clear" w:color="auto" w:fill="C6EFCE"/>
            <w:noWrap/>
          </w:tcPr>
          <w:p w14:paraId="12305942" w14:textId="77777777" w:rsidR="00C45D59" w:rsidRDefault="009B0962">
            <w:pPr>
              <w:pStyle w:val="P68B1DB1-Normal12"/>
              <w:spacing w:after="0" w:line="240" w:lineRule="auto"/>
              <w:rPr>
                <w:rFonts w:eastAsia="Times New Roman"/>
                <w:noProof/>
              </w:rPr>
            </w:pPr>
            <w:r>
              <w:rPr>
                <w:noProof/>
              </w:rPr>
              <w:t>300</w:t>
            </w:r>
          </w:p>
        </w:tc>
        <w:tc>
          <w:tcPr>
            <w:tcW w:w="2084" w:type="dxa"/>
            <w:shd w:val="clear" w:color="auto" w:fill="C6EFCE"/>
            <w:noWrap/>
          </w:tcPr>
          <w:p w14:paraId="63DCFFEF" w14:textId="77777777" w:rsidR="00C45D59" w:rsidRDefault="009B0962">
            <w:pPr>
              <w:pStyle w:val="P68B1DB1-Normal12"/>
              <w:spacing w:after="0" w:line="240" w:lineRule="auto"/>
              <w:rPr>
                <w:rFonts w:eastAsia="Times New Roman"/>
                <w:noProof/>
              </w:rPr>
            </w:pPr>
            <w:r>
              <w:rPr>
                <w:noProof/>
              </w:rPr>
              <w:t>17-4.6. Modernizarea și îmbunătățirea rezilienței sectoarelor economice cheie -16721_Accelerarea producției inteligente</w:t>
            </w:r>
          </w:p>
        </w:tc>
        <w:tc>
          <w:tcPr>
            <w:tcW w:w="1298" w:type="dxa"/>
            <w:shd w:val="clear" w:color="auto" w:fill="C6EFCE"/>
            <w:noWrap/>
          </w:tcPr>
          <w:p w14:paraId="30534E30" w14:textId="77777777" w:rsidR="00C45D59" w:rsidRDefault="009B0962">
            <w:pPr>
              <w:pStyle w:val="P68B1DB1-Normal12"/>
              <w:spacing w:after="0" w:line="240" w:lineRule="auto"/>
              <w:rPr>
                <w:rFonts w:eastAsia="Times New Roman"/>
                <w:noProof/>
              </w:rPr>
            </w:pPr>
            <w:r>
              <w:rPr>
                <w:noProof/>
              </w:rPr>
              <w:t>Etapă</w:t>
            </w:r>
          </w:p>
        </w:tc>
        <w:tc>
          <w:tcPr>
            <w:tcW w:w="1396" w:type="dxa"/>
            <w:shd w:val="clear" w:color="auto" w:fill="C6EFCE"/>
            <w:noWrap/>
          </w:tcPr>
          <w:p w14:paraId="06EB6387" w14:textId="77777777" w:rsidR="00C45D59" w:rsidRDefault="009B0962">
            <w:pPr>
              <w:pStyle w:val="P68B1DB1-Normal12"/>
              <w:spacing w:after="0" w:line="240" w:lineRule="auto"/>
              <w:rPr>
                <w:rFonts w:eastAsia="Times New Roman"/>
                <w:noProof/>
              </w:rPr>
            </w:pPr>
            <w:r>
              <w:rPr>
                <w:noProof/>
              </w:rPr>
              <w:t>Lansarea cererilor de propuneri pentru industria prelucrătoare</w:t>
            </w:r>
          </w:p>
        </w:tc>
        <w:tc>
          <w:tcPr>
            <w:tcW w:w="1823" w:type="dxa"/>
            <w:shd w:val="clear" w:color="auto" w:fill="C6EFCE"/>
            <w:noWrap/>
          </w:tcPr>
          <w:p w14:paraId="0F55EE97" w14:textId="77777777" w:rsidR="00C45D59" w:rsidRDefault="009B0962">
            <w:pPr>
              <w:pStyle w:val="P68B1DB1-Normal12"/>
              <w:spacing w:after="0" w:line="240" w:lineRule="auto"/>
              <w:rPr>
                <w:rFonts w:eastAsia="Times New Roman"/>
                <w:noProof/>
              </w:rPr>
            </w:pPr>
            <w:r>
              <w:rPr>
                <w:noProof/>
              </w:rPr>
              <w:t xml:space="preserve">Lansarea de cereri de propuneri pentru întreprinderile producătoare </w:t>
            </w:r>
          </w:p>
        </w:tc>
        <w:tc>
          <w:tcPr>
            <w:tcW w:w="866" w:type="dxa"/>
            <w:shd w:val="clear" w:color="auto" w:fill="C6EFCE"/>
            <w:noWrap/>
          </w:tcPr>
          <w:p w14:paraId="6EAEC156"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57" w:type="dxa"/>
            <w:shd w:val="clear" w:color="auto" w:fill="C6EFCE"/>
            <w:noWrap/>
          </w:tcPr>
          <w:p w14:paraId="413C0012"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691" w:type="dxa"/>
            <w:shd w:val="clear" w:color="auto" w:fill="C6EFCE"/>
            <w:noWrap/>
          </w:tcPr>
          <w:p w14:paraId="35DB87E2"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092" w:type="dxa"/>
            <w:shd w:val="clear" w:color="auto" w:fill="C6EFCE"/>
            <w:noWrap/>
          </w:tcPr>
          <w:p w14:paraId="41F8BEAB" w14:textId="77777777" w:rsidR="00C45D59" w:rsidRDefault="009B0962">
            <w:pPr>
              <w:pStyle w:val="P68B1DB1-Normal12"/>
              <w:spacing w:after="0" w:line="240" w:lineRule="auto"/>
              <w:rPr>
                <w:rFonts w:eastAsia="Times New Roman"/>
                <w:noProof/>
              </w:rPr>
            </w:pPr>
            <w:r>
              <w:rPr>
                <w:noProof/>
              </w:rPr>
              <w:t>Î1</w:t>
            </w:r>
          </w:p>
        </w:tc>
        <w:tc>
          <w:tcPr>
            <w:tcW w:w="720" w:type="dxa"/>
            <w:shd w:val="clear" w:color="auto" w:fill="C6EFCE"/>
            <w:noWrap/>
          </w:tcPr>
          <w:p w14:paraId="7EB79097" w14:textId="77777777" w:rsidR="00C45D59" w:rsidRDefault="009B0962">
            <w:pPr>
              <w:pStyle w:val="P68B1DB1-Normal12"/>
              <w:spacing w:after="0" w:line="240" w:lineRule="auto"/>
              <w:rPr>
                <w:rFonts w:eastAsia="Times New Roman"/>
                <w:noProof/>
              </w:rPr>
            </w:pPr>
            <w:r>
              <w:rPr>
                <w:noProof/>
              </w:rPr>
              <w:t>2022</w:t>
            </w:r>
          </w:p>
        </w:tc>
        <w:tc>
          <w:tcPr>
            <w:tcW w:w="4056" w:type="dxa"/>
            <w:shd w:val="clear" w:color="auto" w:fill="C6EFCE"/>
            <w:noWrap/>
          </w:tcPr>
          <w:p w14:paraId="6332F554" w14:textId="77777777" w:rsidR="00C45D59" w:rsidRDefault="009B0962">
            <w:pPr>
              <w:pStyle w:val="P68B1DB1-Normal12"/>
              <w:spacing w:after="0" w:line="240" w:lineRule="auto"/>
              <w:rPr>
                <w:rFonts w:eastAsia="Times New Roman"/>
                <w:noProof/>
              </w:rPr>
            </w:pPr>
            <w:r>
              <w:rPr>
                <w:noProof/>
              </w:rPr>
              <w:t>Lansarea tuturor cererilor competitive de propuneri pentru sectorul de producție în investiții privind digitalizarea liniilor de producție, automatizarea și interconectarea lanțurilor de aprovizionare, proiectarea și producția de produse și servicii inteligente, implementarea tehnologiilor de producție inteligente în rețele ultra-high-speed/5G, echipamente mecanice, de laborator &amp; de producție, echipamente de control al calității, echipamente TIC &amp; software, licențe software, licențe de cloud, servicii de implementare pentru noua infrastructură informatică și S/W, servicii de securitate informatică, proiectarea produselor, proprietate intelectuală, brevete și costuri de certificare, cu termeni de referință care să includă criterii de eligibilitate care să asigure că proiectele selectate respectă Orientările tehnice de „a nu prejudicia în mod semnificativ” (2021/C58/01) prin utilizarea unei liste de excludere și a cerinței de conformitate cu legislația UE și națională relevantă în materie de mediu.</w:t>
            </w:r>
          </w:p>
        </w:tc>
      </w:tr>
      <w:tr w:rsidR="00C45D59" w14:paraId="020AB5F5" w14:textId="77777777" w:rsidTr="00242B1C">
        <w:trPr>
          <w:trHeight w:val="313"/>
          <w:jc w:val="center"/>
        </w:trPr>
        <w:tc>
          <w:tcPr>
            <w:tcW w:w="619" w:type="dxa"/>
            <w:shd w:val="clear" w:color="auto" w:fill="C6EFCE"/>
            <w:noWrap/>
          </w:tcPr>
          <w:p w14:paraId="07AA786C" w14:textId="77777777" w:rsidR="00C45D59" w:rsidRDefault="009B0962">
            <w:pPr>
              <w:pStyle w:val="P68B1DB1-Normal12"/>
              <w:spacing w:after="0" w:line="240" w:lineRule="auto"/>
              <w:rPr>
                <w:rFonts w:eastAsia="Times New Roman"/>
                <w:noProof/>
              </w:rPr>
            </w:pPr>
            <w:r>
              <w:rPr>
                <w:noProof/>
              </w:rPr>
              <w:t>301</w:t>
            </w:r>
          </w:p>
        </w:tc>
        <w:tc>
          <w:tcPr>
            <w:tcW w:w="2084" w:type="dxa"/>
            <w:shd w:val="clear" w:color="auto" w:fill="C6EFCE"/>
            <w:noWrap/>
          </w:tcPr>
          <w:p w14:paraId="31DA8474" w14:textId="77777777" w:rsidR="00C45D59" w:rsidRDefault="009B0962">
            <w:pPr>
              <w:pStyle w:val="P68B1DB1-Normal12"/>
              <w:spacing w:after="0" w:line="240" w:lineRule="auto"/>
              <w:rPr>
                <w:rFonts w:eastAsia="Times New Roman"/>
                <w:noProof/>
              </w:rPr>
            </w:pPr>
            <w:r>
              <w:rPr>
                <w:noProof/>
              </w:rPr>
              <w:t>17-4.6. Modernizarea și îmbunătățirea rezilienței sectoarelor economice esențiale – 16634_Noi parcuri industriale</w:t>
            </w:r>
          </w:p>
          <w:p w14:paraId="271818FA"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298" w:type="dxa"/>
            <w:shd w:val="clear" w:color="auto" w:fill="C6EFCE"/>
            <w:noWrap/>
          </w:tcPr>
          <w:p w14:paraId="6283098F" w14:textId="77777777" w:rsidR="00C45D59" w:rsidRDefault="009B0962">
            <w:pPr>
              <w:pStyle w:val="P68B1DB1-Normal12"/>
              <w:spacing w:after="0" w:line="240" w:lineRule="auto"/>
              <w:rPr>
                <w:rFonts w:eastAsia="Times New Roman"/>
                <w:noProof/>
              </w:rPr>
            </w:pPr>
            <w:r>
              <w:rPr>
                <w:noProof/>
              </w:rPr>
              <w:t>Etapă</w:t>
            </w:r>
          </w:p>
        </w:tc>
        <w:tc>
          <w:tcPr>
            <w:tcW w:w="1396" w:type="dxa"/>
            <w:shd w:val="clear" w:color="auto" w:fill="C6EFCE"/>
            <w:noWrap/>
          </w:tcPr>
          <w:p w14:paraId="58128B83" w14:textId="77777777" w:rsidR="00C45D59" w:rsidRDefault="009B0962">
            <w:pPr>
              <w:pStyle w:val="P68B1DB1-Normal12"/>
              <w:spacing w:after="0" w:line="240" w:lineRule="auto"/>
              <w:rPr>
                <w:rFonts w:eastAsia="Times New Roman"/>
                <w:noProof/>
              </w:rPr>
            </w:pPr>
            <w:r>
              <w:rPr>
                <w:noProof/>
              </w:rPr>
              <w:t>Lansarea cererilor de propuneri pentru parcuri industriale</w:t>
            </w:r>
          </w:p>
        </w:tc>
        <w:tc>
          <w:tcPr>
            <w:tcW w:w="1823" w:type="dxa"/>
            <w:shd w:val="clear" w:color="auto" w:fill="C6EFCE"/>
            <w:noWrap/>
          </w:tcPr>
          <w:p w14:paraId="5A7F1540" w14:textId="77777777" w:rsidR="00C45D59" w:rsidRDefault="009B0962">
            <w:pPr>
              <w:pStyle w:val="P68B1DB1-Normal12"/>
              <w:spacing w:after="0" w:line="240" w:lineRule="auto"/>
              <w:rPr>
                <w:rFonts w:eastAsia="Times New Roman"/>
                <w:noProof/>
              </w:rPr>
            </w:pPr>
            <w:r>
              <w:rPr>
                <w:noProof/>
              </w:rPr>
              <w:t xml:space="preserve">Lansarea cererilor de propuneri pentru parcurile industriale </w:t>
            </w:r>
          </w:p>
        </w:tc>
        <w:tc>
          <w:tcPr>
            <w:tcW w:w="866" w:type="dxa"/>
            <w:shd w:val="clear" w:color="auto" w:fill="C6EFCE"/>
            <w:noWrap/>
          </w:tcPr>
          <w:p w14:paraId="585F3155"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57" w:type="dxa"/>
            <w:shd w:val="clear" w:color="auto" w:fill="C6EFCE"/>
            <w:noWrap/>
          </w:tcPr>
          <w:p w14:paraId="56F47819"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691" w:type="dxa"/>
            <w:shd w:val="clear" w:color="auto" w:fill="C6EFCE"/>
            <w:noWrap/>
          </w:tcPr>
          <w:p w14:paraId="7BB03856"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092" w:type="dxa"/>
            <w:shd w:val="clear" w:color="auto" w:fill="C6EFCE"/>
            <w:noWrap/>
          </w:tcPr>
          <w:p w14:paraId="326E329B" w14:textId="77777777" w:rsidR="00C45D59" w:rsidRDefault="009B0962">
            <w:pPr>
              <w:pStyle w:val="P68B1DB1-Normal12"/>
              <w:spacing w:after="0" w:line="240" w:lineRule="auto"/>
              <w:rPr>
                <w:rFonts w:eastAsia="Times New Roman"/>
                <w:noProof/>
              </w:rPr>
            </w:pPr>
            <w:r>
              <w:rPr>
                <w:noProof/>
              </w:rPr>
              <w:t>Î1</w:t>
            </w:r>
          </w:p>
        </w:tc>
        <w:tc>
          <w:tcPr>
            <w:tcW w:w="720" w:type="dxa"/>
            <w:shd w:val="clear" w:color="auto" w:fill="C6EFCE"/>
            <w:noWrap/>
          </w:tcPr>
          <w:p w14:paraId="4898256C" w14:textId="77777777" w:rsidR="00C45D59" w:rsidRDefault="009B0962">
            <w:pPr>
              <w:pStyle w:val="P68B1DB1-Normal12"/>
              <w:spacing w:after="0" w:line="240" w:lineRule="auto"/>
              <w:rPr>
                <w:rFonts w:eastAsia="Times New Roman"/>
                <w:noProof/>
              </w:rPr>
            </w:pPr>
            <w:r>
              <w:rPr>
                <w:noProof/>
              </w:rPr>
              <w:t>2022</w:t>
            </w:r>
          </w:p>
        </w:tc>
        <w:tc>
          <w:tcPr>
            <w:tcW w:w="4056" w:type="dxa"/>
            <w:shd w:val="clear" w:color="auto" w:fill="C6EFCE"/>
            <w:noWrap/>
          </w:tcPr>
          <w:p w14:paraId="0FE07428" w14:textId="77777777" w:rsidR="00C45D59" w:rsidRDefault="009B0962">
            <w:pPr>
              <w:pStyle w:val="P68B1DB1-Normal12"/>
              <w:spacing w:after="0" w:line="240" w:lineRule="auto"/>
              <w:rPr>
                <w:rFonts w:eastAsia="Times New Roman"/>
                <w:noProof/>
              </w:rPr>
            </w:pPr>
            <w:r>
              <w:rPr>
                <w:noProof/>
              </w:rPr>
              <w:t>Lansarea tuturor cererilor competitive de propuneri pentru dezvoltarea de parcuri industriale pentru investiții în a) infrastructura pentru înființarea de parcuri de nouă generație (inclusiv achiziționarea de terenuri) cu criterii specifice de eficiență energetică pentru construirea de clădiri noi și eficiență energetică și proiecte demonstrative în întreprinderile mari și măsuri de sprijin, b) infrastructura pentru transformarea digitală și crearea de zone industriale inteligente, c) energia solară din surse regenerabile, d) gestionarea apei și conservarea resurselor de apă [investițiile trebuie să aibă un indice mediu de pierderi în infrastructură (ILI) de &lt; = 1,5], e) sisteme de colectare și tratare a apelor uzate care respectă criteriile de eficiență energetică, f) electromobilitate (dezvoltarea rețelelor de realimentare pentru vehiculele electrice sau pe bază de hidrogen sau a punctelor de realimentare cu biometan pentru transport), g) proiecte de reabilitare a siturilor industriale și a terenurilor contaminate. Termenii de referință, inclusiv criteriile de eligibilitate, asigură faptul că proiectele selectate respectă Orientările tehnice de „a nu prejudicia în mod semnificativ” (2021/C58/01) prin utilizarea unei liste de excludere și a cerinței de conformitate cu legislația UE și națională relevantă în materie de mediu.</w:t>
            </w:r>
          </w:p>
          <w:p w14:paraId="30D4E6CB" w14:textId="77777777" w:rsidR="00C45D59" w:rsidRDefault="00C45D59">
            <w:pPr>
              <w:spacing w:after="0" w:line="240" w:lineRule="auto"/>
              <w:rPr>
                <w:rFonts w:ascii="Times New Roman" w:eastAsia="Times New Roman" w:hAnsi="Times New Roman" w:cs="Times New Roman"/>
                <w:noProof/>
                <w:color w:val="006100"/>
                <w:sz w:val="18"/>
                <w:szCs w:val="18"/>
              </w:rPr>
            </w:pPr>
          </w:p>
          <w:p w14:paraId="72A6BF6D" w14:textId="12EC6A9E" w:rsidR="00C45D59" w:rsidRDefault="009B0962">
            <w:pPr>
              <w:pStyle w:val="P68B1DB1-Normal12"/>
              <w:spacing w:after="0" w:line="240" w:lineRule="auto"/>
              <w:rPr>
                <w:rFonts w:eastAsia="Times New Roman"/>
                <w:noProof/>
              </w:rPr>
            </w:pPr>
            <w:r>
              <w:rPr>
                <w:noProof/>
              </w:rPr>
              <w:t>Construirea de clădiri noi trebuie să respecte o cerere de energie primară (PED) cu cel puțin 20 % mai mică decât cerința privind clădirile al căror consum de energie este aproape egal cu zero (directive naționale). În cazul construirii de sisteme de tratare a apelor uzate de la un capăt la altul, măsura are un consum net de energie egal cu zero, iar în cazul reînnoirii sistemelor de tratare a apelor uzate de la un capăt la altul, măsura conduce la o scădere a consumului mediu de energie cu cel puțin 10 % (numai prin măsuri de eficiență energetică și nu prin modificări semnificative sau modificări ale sarcinii). Investițiile în electromobilitate sunt în conformitate cu Directiva (UE) 2018/2001 și se referă la combustibilii alternativi pentru transport.</w:t>
            </w:r>
          </w:p>
        </w:tc>
      </w:tr>
      <w:tr w:rsidR="00C45D59" w14:paraId="65887A85" w14:textId="77777777" w:rsidTr="00242B1C">
        <w:trPr>
          <w:trHeight w:val="313"/>
          <w:jc w:val="center"/>
        </w:trPr>
        <w:tc>
          <w:tcPr>
            <w:tcW w:w="619" w:type="dxa"/>
            <w:shd w:val="clear" w:color="auto" w:fill="C6EFCE"/>
            <w:noWrap/>
          </w:tcPr>
          <w:p w14:paraId="6FF32722" w14:textId="77777777" w:rsidR="00C45D59" w:rsidRDefault="009B0962">
            <w:pPr>
              <w:pStyle w:val="P68B1DB1-Normal12"/>
              <w:spacing w:after="0" w:line="240" w:lineRule="auto"/>
              <w:rPr>
                <w:rFonts w:eastAsia="Times New Roman"/>
                <w:noProof/>
              </w:rPr>
            </w:pPr>
            <w:r>
              <w:rPr>
                <w:noProof/>
              </w:rPr>
              <w:t>302</w:t>
            </w:r>
          </w:p>
        </w:tc>
        <w:tc>
          <w:tcPr>
            <w:tcW w:w="2084" w:type="dxa"/>
            <w:shd w:val="clear" w:color="auto" w:fill="C6EFCE"/>
            <w:noWrap/>
          </w:tcPr>
          <w:p w14:paraId="5E3126DB" w14:textId="77777777" w:rsidR="00C45D59" w:rsidRDefault="009B0962">
            <w:pPr>
              <w:pStyle w:val="P68B1DB1-Normal12"/>
              <w:spacing w:after="0" w:line="240" w:lineRule="auto"/>
              <w:rPr>
                <w:rFonts w:eastAsia="Times New Roman"/>
                <w:noProof/>
              </w:rPr>
            </w:pPr>
            <w:r>
              <w:rPr>
                <w:noProof/>
              </w:rPr>
              <w:t>17-4.6. Modernizarea și îmbunătățirea rezilienței sectoarelor economice esențiale – 16634_Noi parcuri industriale</w:t>
            </w:r>
          </w:p>
        </w:tc>
        <w:tc>
          <w:tcPr>
            <w:tcW w:w="1298" w:type="dxa"/>
            <w:shd w:val="clear" w:color="auto" w:fill="C6EFCE"/>
            <w:noWrap/>
          </w:tcPr>
          <w:p w14:paraId="1EAC98DF" w14:textId="77777777" w:rsidR="00C45D59" w:rsidRDefault="009B0962">
            <w:pPr>
              <w:pStyle w:val="P68B1DB1-Normal12"/>
              <w:spacing w:after="0" w:line="240" w:lineRule="auto"/>
              <w:rPr>
                <w:rFonts w:eastAsia="Times New Roman"/>
                <w:noProof/>
              </w:rPr>
            </w:pPr>
            <w:r>
              <w:rPr>
                <w:noProof/>
              </w:rPr>
              <w:t>Etapă</w:t>
            </w:r>
          </w:p>
        </w:tc>
        <w:tc>
          <w:tcPr>
            <w:tcW w:w="1396" w:type="dxa"/>
            <w:shd w:val="clear" w:color="auto" w:fill="C6EFCE"/>
            <w:noWrap/>
          </w:tcPr>
          <w:p w14:paraId="5E715968" w14:textId="77777777" w:rsidR="00C45D59" w:rsidRDefault="009B0962">
            <w:pPr>
              <w:pStyle w:val="P68B1DB1-Normal12"/>
              <w:spacing w:after="0" w:line="240" w:lineRule="auto"/>
              <w:rPr>
                <w:rFonts w:eastAsia="Times New Roman"/>
                <w:noProof/>
              </w:rPr>
            </w:pPr>
            <w:r>
              <w:rPr>
                <w:noProof/>
              </w:rPr>
              <w:t>Parcurile industriale – reformă legislativă (drept primar)</w:t>
            </w:r>
          </w:p>
        </w:tc>
        <w:tc>
          <w:tcPr>
            <w:tcW w:w="1823" w:type="dxa"/>
            <w:shd w:val="clear" w:color="auto" w:fill="C6EFCE"/>
            <w:noWrap/>
          </w:tcPr>
          <w:p w14:paraId="3D7FE60A" w14:textId="77777777" w:rsidR="00C45D59" w:rsidRDefault="009B0962">
            <w:pPr>
              <w:pStyle w:val="P68B1DB1-Normal12"/>
              <w:spacing w:after="0" w:line="240" w:lineRule="auto"/>
              <w:rPr>
                <w:rFonts w:eastAsia="Times New Roman"/>
                <w:noProof/>
              </w:rPr>
            </w:pPr>
            <w:r>
              <w:rPr>
                <w:noProof/>
              </w:rPr>
              <w:t>Publicarea legislației în Jurnalul Oficial</w:t>
            </w:r>
          </w:p>
        </w:tc>
        <w:tc>
          <w:tcPr>
            <w:tcW w:w="866" w:type="dxa"/>
            <w:shd w:val="clear" w:color="auto" w:fill="C6EFCE"/>
            <w:noWrap/>
          </w:tcPr>
          <w:p w14:paraId="6EA8DFC0"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57" w:type="dxa"/>
            <w:shd w:val="clear" w:color="auto" w:fill="C6EFCE"/>
            <w:noWrap/>
          </w:tcPr>
          <w:p w14:paraId="5F9CCBF3"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691" w:type="dxa"/>
            <w:shd w:val="clear" w:color="auto" w:fill="C6EFCE"/>
            <w:noWrap/>
          </w:tcPr>
          <w:p w14:paraId="1D490538"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092" w:type="dxa"/>
            <w:shd w:val="clear" w:color="auto" w:fill="C6EFCE"/>
            <w:noWrap/>
          </w:tcPr>
          <w:p w14:paraId="1559E3F4" w14:textId="77777777" w:rsidR="00C45D59" w:rsidRDefault="009B0962">
            <w:pPr>
              <w:pStyle w:val="P68B1DB1-Normal12"/>
              <w:spacing w:after="0" w:line="240" w:lineRule="auto"/>
              <w:rPr>
                <w:rFonts w:eastAsia="Times New Roman"/>
                <w:noProof/>
              </w:rPr>
            </w:pPr>
            <w:r>
              <w:rPr>
                <w:noProof/>
              </w:rPr>
              <w:t>Î3</w:t>
            </w:r>
          </w:p>
        </w:tc>
        <w:tc>
          <w:tcPr>
            <w:tcW w:w="720" w:type="dxa"/>
            <w:shd w:val="clear" w:color="auto" w:fill="C6EFCE"/>
            <w:noWrap/>
          </w:tcPr>
          <w:p w14:paraId="348ABA5E" w14:textId="77777777" w:rsidR="00C45D59" w:rsidRDefault="009B0962">
            <w:pPr>
              <w:pStyle w:val="P68B1DB1-Normal12"/>
              <w:spacing w:after="0" w:line="240" w:lineRule="auto"/>
              <w:rPr>
                <w:rFonts w:eastAsia="Times New Roman"/>
                <w:noProof/>
              </w:rPr>
            </w:pPr>
            <w:r>
              <w:rPr>
                <w:noProof/>
              </w:rPr>
              <w:t>2022</w:t>
            </w:r>
          </w:p>
        </w:tc>
        <w:tc>
          <w:tcPr>
            <w:tcW w:w="4056" w:type="dxa"/>
            <w:shd w:val="clear" w:color="auto" w:fill="C6EFCE"/>
            <w:noWrap/>
          </w:tcPr>
          <w:p w14:paraId="491C80DD" w14:textId="77777777" w:rsidR="00C45D59" w:rsidRDefault="009B0962">
            <w:pPr>
              <w:pStyle w:val="P68B1DB1-Normal12"/>
              <w:spacing w:after="0" w:line="240" w:lineRule="auto"/>
              <w:rPr>
                <w:rFonts w:eastAsia="Times New Roman"/>
                <w:noProof/>
              </w:rPr>
            </w:pPr>
            <w:r>
              <w:rPr>
                <w:noProof/>
              </w:rPr>
              <w:t>Adoptarea legislației primare pentru a îmbunătăți cadrul de reglementare pentru parcurile de afaceri industriale, inclusiv abordarea incertitudinilor juridice, soluționarea problemelor de guvernanță și oferirea de stimulente eficace pentru soluționarea concentrărilor industriale informale</w:t>
            </w:r>
          </w:p>
        </w:tc>
      </w:tr>
      <w:tr w:rsidR="00C45D59" w14:paraId="5773FD83" w14:textId="77777777" w:rsidTr="00242B1C">
        <w:trPr>
          <w:trHeight w:val="313"/>
          <w:jc w:val="center"/>
        </w:trPr>
        <w:tc>
          <w:tcPr>
            <w:tcW w:w="619" w:type="dxa"/>
            <w:shd w:val="clear" w:color="auto" w:fill="C6EFCE"/>
            <w:noWrap/>
            <w:hideMark/>
          </w:tcPr>
          <w:p w14:paraId="3FD13129" w14:textId="77777777" w:rsidR="00C45D59" w:rsidRDefault="009B0962">
            <w:pPr>
              <w:pStyle w:val="P68B1DB1-Normal12"/>
              <w:spacing w:after="0" w:line="240" w:lineRule="auto"/>
              <w:rPr>
                <w:rFonts w:eastAsia="Times New Roman"/>
                <w:noProof/>
              </w:rPr>
            </w:pPr>
            <w:r>
              <w:rPr>
                <w:noProof/>
              </w:rPr>
              <w:t>303</w:t>
            </w:r>
          </w:p>
        </w:tc>
        <w:tc>
          <w:tcPr>
            <w:tcW w:w="2084" w:type="dxa"/>
            <w:shd w:val="clear" w:color="auto" w:fill="C6EFCE"/>
            <w:noWrap/>
            <w:hideMark/>
          </w:tcPr>
          <w:p w14:paraId="5757BA80" w14:textId="77777777" w:rsidR="00C45D59" w:rsidRDefault="009B0962">
            <w:pPr>
              <w:pStyle w:val="P68B1DB1-Normal12"/>
              <w:spacing w:after="0" w:line="240" w:lineRule="auto"/>
              <w:rPr>
                <w:rFonts w:eastAsia="Times New Roman"/>
                <w:noProof/>
              </w:rPr>
            </w:pPr>
            <w:r>
              <w:rPr>
                <w:noProof/>
              </w:rPr>
              <w:t>17-4.6. Modernizarea și îmbunătățirea rezilienței sectoarelor economice esențiale – 16593_Modificarea cadrului juridic pentru atragerea de investiții strategice</w:t>
            </w:r>
          </w:p>
        </w:tc>
        <w:tc>
          <w:tcPr>
            <w:tcW w:w="1298" w:type="dxa"/>
            <w:shd w:val="clear" w:color="auto" w:fill="C6EFCE"/>
            <w:noWrap/>
            <w:hideMark/>
          </w:tcPr>
          <w:p w14:paraId="5B9A9AB6" w14:textId="77777777" w:rsidR="00C45D59" w:rsidRDefault="009B0962">
            <w:pPr>
              <w:pStyle w:val="P68B1DB1-Normal12"/>
              <w:spacing w:after="0" w:line="240" w:lineRule="auto"/>
              <w:rPr>
                <w:rFonts w:eastAsia="Times New Roman"/>
                <w:noProof/>
              </w:rPr>
            </w:pPr>
            <w:r>
              <w:rPr>
                <w:noProof/>
              </w:rPr>
              <w:t>Etapă</w:t>
            </w:r>
          </w:p>
        </w:tc>
        <w:tc>
          <w:tcPr>
            <w:tcW w:w="1396" w:type="dxa"/>
            <w:shd w:val="clear" w:color="auto" w:fill="C6EFCE"/>
            <w:noWrap/>
            <w:hideMark/>
          </w:tcPr>
          <w:p w14:paraId="552E2CA1" w14:textId="77777777" w:rsidR="00C45D59" w:rsidRDefault="009B0962">
            <w:pPr>
              <w:pStyle w:val="P68B1DB1-Normal12"/>
              <w:spacing w:after="0" w:line="240" w:lineRule="auto"/>
              <w:rPr>
                <w:rFonts w:eastAsia="Times New Roman"/>
                <w:noProof/>
              </w:rPr>
            </w:pPr>
            <w:r>
              <w:rPr>
                <w:noProof/>
              </w:rPr>
              <w:t>Investiții strategice – selectarea proiectelor eligibile</w:t>
            </w:r>
          </w:p>
        </w:tc>
        <w:tc>
          <w:tcPr>
            <w:tcW w:w="1823" w:type="dxa"/>
            <w:shd w:val="clear" w:color="auto" w:fill="C6EFCE"/>
            <w:noWrap/>
            <w:hideMark/>
          </w:tcPr>
          <w:p w14:paraId="677307A2" w14:textId="34AF253D" w:rsidR="00C45D59" w:rsidRDefault="009B0962">
            <w:pPr>
              <w:pStyle w:val="P68B1DB1-Normal12"/>
              <w:spacing w:after="0" w:line="240" w:lineRule="auto"/>
              <w:rPr>
                <w:rFonts w:eastAsia="Times New Roman"/>
                <w:noProof/>
              </w:rPr>
            </w:pPr>
            <w:r>
              <w:rPr>
                <w:noProof/>
              </w:rPr>
              <w:t xml:space="preserve">Selectarea „investițiilor empirice de mare importanță” eligibile pentru finanțare </w:t>
            </w:r>
          </w:p>
        </w:tc>
        <w:tc>
          <w:tcPr>
            <w:tcW w:w="866" w:type="dxa"/>
            <w:shd w:val="clear" w:color="auto" w:fill="C6EFCE"/>
            <w:noWrap/>
            <w:hideMark/>
          </w:tcPr>
          <w:p w14:paraId="42F8C850" w14:textId="77777777" w:rsidR="00C45D59" w:rsidRDefault="009B0962">
            <w:pPr>
              <w:pStyle w:val="P68B1DB1-Normal12"/>
              <w:spacing w:after="0" w:line="240" w:lineRule="auto"/>
              <w:rPr>
                <w:rFonts w:eastAsia="Times New Roman"/>
                <w:noProof/>
              </w:rPr>
            </w:pPr>
            <w:r>
              <w:rPr>
                <w:noProof/>
              </w:rPr>
              <w:t xml:space="preserve"> </w:t>
            </w:r>
          </w:p>
        </w:tc>
        <w:tc>
          <w:tcPr>
            <w:tcW w:w="857" w:type="dxa"/>
            <w:shd w:val="clear" w:color="auto" w:fill="C6EFCE"/>
            <w:noWrap/>
            <w:hideMark/>
          </w:tcPr>
          <w:p w14:paraId="5D298592" w14:textId="77777777" w:rsidR="00C45D59" w:rsidRDefault="009B0962">
            <w:pPr>
              <w:pStyle w:val="P68B1DB1-Normal12"/>
              <w:spacing w:after="0" w:line="240" w:lineRule="auto"/>
              <w:rPr>
                <w:rFonts w:eastAsia="Times New Roman"/>
                <w:noProof/>
              </w:rPr>
            </w:pPr>
            <w:r>
              <w:rPr>
                <w:noProof/>
              </w:rPr>
              <w:t xml:space="preserve"> </w:t>
            </w:r>
          </w:p>
        </w:tc>
        <w:tc>
          <w:tcPr>
            <w:tcW w:w="691" w:type="dxa"/>
            <w:shd w:val="clear" w:color="auto" w:fill="C6EFCE"/>
            <w:noWrap/>
            <w:hideMark/>
          </w:tcPr>
          <w:p w14:paraId="1CF60A15" w14:textId="77777777" w:rsidR="00C45D59" w:rsidRDefault="009B0962">
            <w:pPr>
              <w:pStyle w:val="P68B1DB1-Normal12"/>
              <w:spacing w:after="0" w:line="240" w:lineRule="auto"/>
              <w:rPr>
                <w:rFonts w:eastAsia="Times New Roman"/>
                <w:noProof/>
              </w:rPr>
            </w:pPr>
            <w:r>
              <w:rPr>
                <w:noProof/>
              </w:rPr>
              <w:t xml:space="preserve"> </w:t>
            </w:r>
          </w:p>
        </w:tc>
        <w:tc>
          <w:tcPr>
            <w:tcW w:w="1092" w:type="dxa"/>
            <w:shd w:val="clear" w:color="auto" w:fill="C6EFCE"/>
            <w:noWrap/>
            <w:hideMark/>
          </w:tcPr>
          <w:p w14:paraId="25ED8B84" w14:textId="77777777" w:rsidR="00C45D59" w:rsidRDefault="009B0962">
            <w:pPr>
              <w:pStyle w:val="P68B1DB1-Normal12"/>
              <w:spacing w:after="0" w:line="240" w:lineRule="auto"/>
              <w:rPr>
                <w:rFonts w:eastAsia="Times New Roman"/>
                <w:noProof/>
              </w:rPr>
            </w:pPr>
            <w:r>
              <w:rPr>
                <w:noProof/>
              </w:rPr>
              <w:t>Î4</w:t>
            </w:r>
          </w:p>
        </w:tc>
        <w:tc>
          <w:tcPr>
            <w:tcW w:w="720" w:type="dxa"/>
            <w:shd w:val="clear" w:color="auto" w:fill="C6EFCE"/>
            <w:noWrap/>
            <w:hideMark/>
          </w:tcPr>
          <w:p w14:paraId="250E1029" w14:textId="77777777" w:rsidR="00C45D59" w:rsidRDefault="009B0962">
            <w:pPr>
              <w:pStyle w:val="P68B1DB1-Normal12"/>
              <w:spacing w:after="0" w:line="240" w:lineRule="auto"/>
              <w:rPr>
                <w:rFonts w:eastAsia="Times New Roman"/>
                <w:noProof/>
              </w:rPr>
            </w:pPr>
            <w:r>
              <w:rPr>
                <w:noProof/>
              </w:rPr>
              <w:t>2023</w:t>
            </w:r>
          </w:p>
        </w:tc>
        <w:tc>
          <w:tcPr>
            <w:tcW w:w="4056" w:type="dxa"/>
            <w:shd w:val="clear" w:color="auto" w:fill="C6EFCE"/>
            <w:noWrap/>
            <w:hideMark/>
          </w:tcPr>
          <w:p w14:paraId="278EBA21" w14:textId="77777777" w:rsidR="00C45D59" w:rsidRDefault="009B0962">
            <w:pPr>
              <w:pStyle w:val="P68B1DB1-Normal12"/>
              <w:spacing w:after="0" w:line="240" w:lineRule="auto"/>
              <w:rPr>
                <w:rFonts w:eastAsia="Times New Roman"/>
                <w:noProof/>
              </w:rPr>
            </w:pPr>
            <w:r>
              <w:rPr>
                <w:noProof/>
              </w:rPr>
              <w:t xml:space="preserve">Selectarea „Investițiilor empirice de mare importanță” prin decizia de aprobare a Comitetului interministerial pentru investiții strategice (atestată prin publicarea deciziei). În ceea ce privește investițiile în energie, investițiile eligibile cuprind investiții în a) infrastructură cu criterii energetice specifice pentru construirea de clădiri noi, b) proiecte hibride de producere a energiei electrice din surse regenerabile pe insule neconectate, c) investiții pentru producția de hidrogen verde, d) sisteme de stocare a energiei electrice produse din surse regenerabile sau e) instalații ale parcurilor eoliene offshore și ale parcurilor fotovoltaice offshore în conformitate cu Orientările tehnice de „a nu prejudicia în mod semnificativ” (2021/C58/01) prin utilizarea unei liste de excludere și a cerinței de conformitate cu legislația UE și națională relevantă în materie de mediu. </w:t>
            </w:r>
          </w:p>
          <w:p w14:paraId="29875789" w14:textId="77777777" w:rsidR="00C45D59" w:rsidRDefault="00C45D59">
            <w:pPr>
              <w:spacing w:after="0" w:line="240" w:lineRule="auto"/>
              <w:rPr>
                <w:rFonts w:ascii="Times New Roman" w:eastAsia="Times New Roman" w:hAnsi="Times New Roman" w:cs="Times New Roman"/>
                <w:noProof/>
                <w:color w:val="006100"/>
                <w:sz w:val="18"/>
                <w:szCs w:val="18"/>
              </w:rPr>
            </w:pPr>
          </w:p>
          <w:p w14:paraId="4835EA8D" w14:textId="77777777" w:rsidR="00C45D59" w:rsidRDefault="009B0962">
            <w:pPr>
              <w:pStyle w:val="P68B1DB1-Normal12"/>
              <w:spacing w:after="0" w:line="240" w:lineRule="auto"/>
              <w:rPr>
                <w:rFonts w:eastAsia="Times New Roman"/>
                <w:noProof/>
              </w:rPr>
            </w:pPr>
            <w:r>
              <w:rPr>
                <w:noProof/>
              </w:rPr>
              <w:t>Construirea de clădiri noi trebuie să respecte o cerere de energie primară (PED) cu cel puțin 20 % mai mică decât cerința privind clădirile al căror consum de energie este aproape egal cu zero (directive naționale).</w:t>
            </w:r>
          </w:p>
        </w:tc>
      </w:tr>
      <w:tr w:rsidR="00C45D59" w14:paraId="05831A8B" w14:textId="77777777" w:rsidTr="00242B1C">
        <w:trPr>
          <w:trHeight w:val="313"/>
          <w:jc w:val="center"/>
        </w:trPr>
        <w:tc>
          <w:tcPr>
            <w:tcW w:w="619" w:type="dxa"/>
            <w:shd w:val="clear" w:color="auto" w:fill="C6EFCE"/>
            <w:noWrap/>
            <w:hideMark/>
          </w:tcPr>
          <w:p w14:paraId="17D15FB6" w14:textId="77777777" w:rsidR="00C45D59" w:rsidRDefault="009B0962">
            <w:pPr>
              <w:pStyle w:val="P68B1DB1-Normal12"/>
              <w:spacing w:after="0" w:line="240" w:lineRule="auto"/>
              <w:rPr>
                <w:rFonts w:eastAsia="Times New Roman"/>
                <w:noProof/>
              </w:rPr>
            </w:pPr>
            <w:r>
              <w:rPr>
                <w:noProof/>
              </w:rPr>
              <w:t>304</w:t>
            </w:r>
          </w:p>
        </w:tc>
        <w:tc>
          <w:tcPr>
            <w:tcW w:w="2084" w:type="dxa"/>
            <w:shd w:val="clear" w:color="auto" w:fill="C6EFCE"/>
            <w:noWrap/>
            <w:hideMark/>
          </w:tcPr>
          <w:p w14:paraId="565189C7" w14:textId="77777777" w:rsidR="00C45D59" w:rsidRDefault="009B0962">
            <w:pPr>
              <w:pStyle w:val="P68B1DB1-Normal12"/>
              <w:spacing w:after="0" w:line="240" w:lineRule="auto"/>
              <w:rPr>
                <w:rFonts w:eastAsia="Times New Roman"/>
                <w:noProof/>
              </w:rPr>
            </w:pPr>
            <w:r>
              <w:rPr>
                <w:noProof/>
              </w:rPr>
              <w:t>17-4.6. Modernizarea și îmbunătățirea rezilienței sectoarelor economice esențiale – 16634_Noi parcuri industriale</w:t>
            </w:r>
          </w:p>
        </w:tc>
        <w:tc>
          <w:tcPr>
            <w:tcW w:w="1298" w:type="dxa"/>
            <w:shd w:val="clear" w:color="auto" w:fill="C6EFCE"/>
            <w:noWrap/>
            <w:hideMark/>
          </w:tcPr>
          <w:p w14:paraId="111F8E22" w14:textId="77777777" w:rsidR="00C45D59" w:rsidRDefault="009B0962">
            <w:pPr>
              <w:pStyle w:val="P68B1DB1-Normal12"/>
              <w:spacing w:after="0" w:line="240" w:lineRule="auto"/>
              <w:rPr>
                <w:rFonts w:eastAsia="Times New Roman"/>
                <w:noProof/>
              </w:rPr>
            </w:pPr>
            <w:r>
              <w:rPr>
                <w:noProof/>
              </w:rPr>
              <w:t>Etapă</w:t>
            </w:r>
          </w:p>
        </w:tc>
        <w:tc>
          <w:tcPr>
            <w:tcW w:w="1396" w:type="dxa"/>
            <w:shd w:val="clear" w:color="auto" w:fill="C6EFCE"/>
            <w:noWrap/>
            <w:hideMark/>
          </w:tcPr>
          <w:p w14:paraId="029C64FA" w14:textId="77777777" w:rsidR="00C45D59" w:rsidRDefault="009B0962">
            <w:pPr>
              <w:pStyle w:val="P68B1DB1-Normal12"/>
              <w:spacing w:after="0" w:line="240" w:lineRule="auto"/>
              <w:rPr>
                <w:rFonts w:eastAsia="Times New Roman"/>
                <w:noProof/>
              </w:rPr>
            </w:pPr>
            <w:r>
              <w:rPr>
                <w:noProof/>
              </w:rPr>
              <w:t>Parcurile industriale – reformă legislativă (legislație secundară)</w:t>
            </w:r>
          </w:p>
        </w:tc>
        <w:tc>
          <w:tcPr>
            <w:tcW w:w="1823" w:type="dxa"/>
            <w:shd w:val="clear" w:color="auto" w:fill="C6EFCE"/>
            <w:noWrap/>
            <w:hideMark/>
          </w:tcPr>
          <w:p w14:paraId="44DA8E41" w14:textId="77777777" w:rsidR="00C45D59" w:rsidRDefault="009B0962">
            <w:pPr>
              <w:pStyle w:val="P68B1DB1-Normal12"/>
              <w:spacing w:after="0" w:line="240" w:lineRule="auto"/>
              <w:rPr>
                <w:rFonts w:eastAsia="Times New Roman"/>
                <w:noProof/>
              </w:rPr>
            </w:pPr>
            <w:r>
              <w:rPr>
                <w:noProof/>
              </w:rPr>
              <w:t xml:space="preserve">Intrarea în vigoare a întregii legislații necesare </w:t>
            </w:r>
          </w:p>
        </w:tc>
        <w:tc>
          <w:tcPr>
            <w:tcW w:w="866" w:type="dxa"/>
            <w:shd w:val="clear" w:color="auto" w:fill="C6EFCE"/>
            <w:noWrap/>
            <w:hideMark/>
          </w:tcPr>
          <w:p w14:paraId="0F903FBE" w14:textId="77777777" w:rsidR="00C45D59" w:rsidRDefault="009B0962">
            <w:pPr>
              <w:pStyle w:val="P68B1DB1-Normal12"/>
              <w:spacing w:after="0" w:line="240" w:lineRule="auto"/>
              <w:rPr>
                <w:rFonts w:eastAsia="Times New Roman"/>
                <w:noProof/>
              </w:rPr>
            </w:pPr>
            <w:r>
              <w:rPr>
                <w:noProof/>
              </w:rPr>
              <w:t xml:space="preserve"> </w:t>
            </w:r>
          </w:p>
        </w:tc>
        <w:tc>
          <w:tcPr>
            <w:tcW w:w="857" w:type="dxa"/>
            <w:shd w:val="clear" w:color="auto" w:fill="C6EFCE"/>
            <w:noWrap/>
            <w:hideMark/>
          </w:tcPr>
          <w:p w14:paraId="2BEA0443" w14:textId="77777777" w:rsidR="00C45D59" w:rsidRDefault="009B0962">
            <w:pPr>
              <w:pStyle w:val="P68B1DB1-Normal12"/>
              <w:spacing w:after="0" w:line="240" w:lineRule="auto"/>
              <w:rPr>
                <w:rFonts w:eastAsia="Times New Roman"/>
                <w:noProof/>
              </w:rPr>
            </w:pPr>
            <w:r>
              <w:rPr>
                <w:noProof/>
              </w:rPr>
              <w:t xml:space="preserve"> </w:t>
            </w:r>
          </w:p>
        </w:tc>
        <w:tc>
          <w:tcPr>
            <w:tcW w:w="691" w:type="dxa"/>
            <w:shd w:val="clear" w:color="auto" w:fill="C6EFCE"/>
            <w:noWrap/>
            <w:hideMark/>
          </w:tcPr>
          <w:p w14:paraId="4BB24692" w14:textId="77777777" w:rsidR="00C45D59" w:rsidRDefault="009B0962">
            <w:pPr>
              <w:pStyle w:val="P68B1DB1-Normal12"/>
              <w:spacing w:after="0" w:line="240" w:lineRule="auto"/>
              <w:rPr>
                <w:rFonts w:eastAsia="Times New Roman"/>
                <w:noProof/>
              </w:rPr>
            </w:pPr>
            <w:r>
              <w:rPr>
                <w:noProof/>
              </w:rPr>
              <w:t xml:space="preserve"> </w:t>
            </w:r>
          </w:p>
        </w:tc>
        <w:tc>
          <w:tcPr>
            <w:tcW w:w="1092" w:type="dxa"/>
            <w:shd w:val="clear" w:color="auto" w:fill="C6EFCE"/>
            <w:noWrap/>
            <w:hideMark/>
          </w:tcPr>
          <w:p w14:paraId="114A2CC7" w14:textId="77777777" w:rsidR="00C45D59" w:rsidRDefault="009B0962">
            <w:pPr>
              <w:pStyle w:val="P68B1DB1-Normal12"/>
              <w:spacing w:after="0" w:line="240" w:lineRule="auto"/>
              <w:rPr>
                <w:rFonts w:eastAsia="Times New Roman"/>
                <w:noProof/>
              </w:rPr>
            </w:pPr>
            <w:r>
              <w:rPr>
                <w:noProof/>
              </w:rPr>
              <w:t>Î2</w:t>
            </w:r>
          </w:p>
        </w:tc>
        <w:tc>
          <w:tcPr>
            <w:tcW w:w="720" w:type="dxa"/>
            <w:shd w:val="clear" w:color="auto" w:fill="C6EFCE"/>
            <w:noWrap/>
            <w:hideMark/>
          </w:tcPr>
          <w:p w14:paraId="65A48AAF" w14:textId="77777777" w:rsidR="00C45D59" w:rsidRDefault="009B0962">
            <w:pPr>
              <w:pStyle w:val="P68B1DB1-Normal12"/>
              <w:spacing w:after="0" w:line="240" w:lineRule="auto"/>
              <w:rPr>
                <w:rFonts w:eastAsia="Times New Roman"/>
                <w:noProof/>
              </w:rPr>
            </w:pPr>
            <w:r>
              <w:rPr>
                <w:noProof/>
              </w:rPr>
              <w:t>2024</w:t>
            </w:r>
          </w:p>
        </w:tc>
        <w:tc>
          <w:tcPr>
            <w:tcW w:w="4056" w:type="dxa"/>
            <w:shd w:val="clear" w:color="auto" w:fill="C6EFCE"/>
            <w:noWrap/>
            <w:hideMark/>
          </w:tcPr>
          <w:p w14:paraId="746944D8" w14:textId="77777777" w:rsidR="00C45D59" w:rsidRDefault="009B0962">
            <w:pPr>
              <w:pStyle w:val="P68B1DB1-Normal12"/>
              <w:spacing w:after="0" w:line="240" w:lineRule="auto"/>
              <w:rPr>
                <w:rFonts w:eastAsia="Times New Roman"/>
                <w:noProof/>
              </w:rPr>
            </w:pPr>
            <w:r>
              <w:rPr>
                <w:noProof/>
              </w:rPr>
              <w:t>Intrarea în vigoare a întregii legislații secundare necesare pentru operaționalizarea noului cadru de îmbunătățire a cadrului de reglementare pentru parcurile de afaceri industriale, inclusiv abordarea incertitudinilor juridice, soluționarea problemelor de guvernanță și furnizarea de stimulente eficace pentru soluționarea concentrărilor industriale informale.</w:t>
            </w:r>
          </w:p>
        </w:tc>
      </w:tr>
      <w:tr w:rsidR="00C45D59" w14:paraId="210F8154" w14:textId="77777777" w:rsidTr="00242B1C">
        <w:trPr>
          <w:trHeight w:val="313"/>
          <w:jc w:val="center"/>
        </w:trPr>
        <w:tc>
          <w:tcPr>
            <w:tcW w:w="619" w:type="dxa"/>
            <w:shd w:val="clear" w:color="auto" w:fill="C6EFCE"/>
            <w:noWrap/>
          </w:tcPr>
          <w:p w14:paraId="119DF495" w14:textId="77777777" w:rsidR="00C45D59" w:rsidRDefault="009B0962">
            <w:pPr>
              <w:pStyle w:val="P68B1DB1-Normal12"/>
              <w:spacing w:after="0" w:line="240" w:lineRule="auto"/>
              <w:rPr>
                <w:rFonts w:eastAsia="Times New Roman"/>
                <w:noProof/>
              </w:rPr>
            </w:pPr>
            <w:r>
              <w:rPr>
                <w:noProof/>
              </w:rPr>
              <w:t>307</w:t>
            </w:r>
          </w:p>
        </w:tc>
        <w:tc>
          <w:tcPr>
            <w:tcW w:w="2084" w:type="dxa"/>
            <w:shd w:val="clear" w:color="auto" w:fill="C6EFCE"/>
            <w:noWrap/>
          </w:tcPr>
          <w:p w14:paraId="73BCA070" w14:textId="77777777" w:rsidR="00C45D59" w:rsidRDefault="009B0962">
            <w:pPr>
              <w:pStyle w:val="P68B1DB1-Normal12"/>
              <w:spacing w:after="0" w:line="240" w:lineRule="auto"/>
              <w:rPr>
                <w:rFonts w:eastAsia="Times New Roman"/>
                <w:noProof/>
              </w:rPr>
            </w:pPr>
            <w:r>
              <w:rPr>
                <w:noProof/>
              </w:rPr>
              <w:t>17-4.6. Modernizarea și îmbunătățirea rezilienței sectoarelor economice esențiale – 16634_ Parcuri industriale</w:t>
            </w:r>
          </w:p>
        </w:tc>
        <w:tc>
          <w:tcPr>
            <w:tcW w:w="1298" w:type="dxa"/>
            <w:shd w:val="clear" w:color="auto" w:fill="C6EFCE"/>
            <w:noWrap/>
          </w:tcPr>
          <w:p w14:paraId="2663DE40" w14:textId="77777777" w:rsidR="00C45D59" w:rsidRDefault="009B0962">
            <w:pPr>
              <w:pStyle w:val="P68B1DB1-Normal12"/>
              <w:spacing w:after="0" w:line="240" w:lineRule="auto"/>
              <w:rPr>
                <w:rFonts w:eastAsia="Times New Roman"/>
                <w:noProof/>
              </w:rPr>
            </w:pPr>
            <w:r>
              <w:rPr>
                <w:noProof/>
              </w:rPr>
              <w:t>Etapă</w:t>
            </w:r>
          </w:p>
        </w:tc>
        <w:tc>
          <w:tcPr>
            <w:tcW w:w="1396" w:type="dxa"/>
            <w:shd w:val="clear" w:color="auto" w:fill="C6EFCE"/>
            <w:noWrap/>
          </w:tcPr>
          <w:p w14:paraId="605216F0" w14:textId="77777777" w:rsidR="00C45D59" w:rsidRDefault="009B0962">
            <w:pPr>
              <w:pStyle w:val="P68B1DB1-Normal12"/>
              <w:spacing w:after="0" w:line="240" w:lineRule="auto"/>
              <w:rPr>
                <w:rFonts w:eastAsia="Times New Roman"/>
                <w:noProof/>
              </w:rPr>
            </w:pPr>
            <w:r>
              <w:rPr>
                <w:noProof/>
              </w:rPr>
              <w:t>Parcuri industriale – executarea planurilor de investiții</w:t>
            </w:r>
          </w:p>
        </w:tc>
        <w:tc>
          <w:tcPr>
            <w:tcW w:w="1823" w:type="dxa"/>
            <w:shd w:val="clear" w:color="auto" w:fill="C6EFCE"/>
            <w:noWrap/>
          </w:tcPr>
          <w:p w14:paraId="4846DF49" w14:textId="64530968" w:rsidR="00C45D59" w:rsidRDefault="009B0962">
            <w:pPr>
              <w:pStyle w:val="P68B1DB1-Normal12"/>
              <w:spacing w:after="0" w:line="240" w:lineRule="auto"/>
              <w:rPr>
                <w:rFonts w:eastAsia="Times New Roman"/>
                <w:noProof/>
              </w:rPr>
            </w:pPr>
            <w:r>
              <w:rPr>
                <w:noProof/>
              </w:rPr>
              <w:t xml:space="preserve">Raport de certificare prin care se verifică executarea planurilor de investiții </w:t>
            </w:r>
          </w:p>
          <w:p w14:paraId="61F0D526" w14:textId="77777777" w:rsidR="00C45D59" w:rsidRDefault="00C45D59">
            <w:pPr>
              <w:spacing w:after="0" w:line="240" w:lineRule="auto"/>
              <w:ind w:left="198" w:hanging="198"/>
              <w:rPr>
                <w:rFonts w:ascii="Times New Roman" w:eastAsia="Times New Roman" w:hAnsi="Times New Roman" w:cs="Times New Roman"/>
                <w:noProof/>
                <w:color w:val="006100"/>
                <w:sz w:val="18"/>
                <w:szCs w:val="18"/>
              </w:rPr>
            </w:pPr>
          </w:p>
        </w:tc>
        <w:tc>
          <w:tcPr>
            <w:tcW w:w="866" w:type="dxa"/>
            <w:shd w:val="clear" w:color="auto" w:fill="C6EFCE"/>
            <w:noWrap/>
          </w:tcPr>
          <w:p w14:paraId="6F2E06A4"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57" w:type="dxa"/>
            <w:shd w:val="clear" w:color="auto" w:fill="C6EFCE"/>
            <w:noWrap/>
          </w:tcPr>
          <w:p w14:paraId="53C1BABC"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691" w:type="dxa"/>
            <w:shd w:val="clear" w:color="auto" w:fill="C6EFCE"/>
            <w:noWrap/>
          </w:tcPr>
          <w:p w14:paraId="4A25B38F"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092" w:type="dxa"/>
            <w:shd w:val="clear" w:color="auto" w:fill="C6EFCE"/>
            <w:noWrap/>
          </w:tcPr>
          <w:p w14:paraId="2366590E" w14:textId="77777777" w:rsidR="00C45D59" w:rsidRDefault="009B0962">
            <w:pPr>
              <w:pStyle w:val="P68B1DB1-Normal12"/>
              <w:spacing w:after="0" w:line="240" w:lineRule="auto"/>
              <w:rPr>
                <w:rFonts w:eastAsia="Times New Roman"/>
                <w:noProof/>
              </w:rPr>
            </w:pPr>
            <w:r>
              <w:rPr>
                <w:noProof/>
              </w:rPr>
              <w:t>Î4</w:t>
            </w:r>
          </w:p>
        </w:tc>
        <w:tc>
          <w:tcPr>
            <w:tcW w:w="720" w:type="dxa"/>
            <w:shd w:val="clear" w:color="auto" w:fill="C6EFCE"/>
            <w:noWrap/>
          </w:tcPr>
          <w:p w14:paraId="28733B57" w14:textId="77777777" w:rsidR="00C45D59" w:rsidRDefault="009B0962">
            <w:pPr>
              <w:pStyle w:val="P68B1DB1-Normal12"/>
              <w:spacing w:after="0" w:line="240" w:lineRule="auto"/>
              <w:rPr>
                <w:rFonts w:eastAsia="Times New Roman"/>
                <w:noProof/>
              </w:rPr>
            </w:pPr>
            <w:r>
              <w:rPr>
                <w:noProof/>
              </w:rPr>
              <w:t>2025</w:t>
            </w:r>
          </w:p>
        </w:tc>
        <w:tc>
          <w:tcPr>
            <w:tcW w:w="4056" w:type="dxa"/>
            <w:shd w:val="clear" w:color="auto" w:fill="C6EFCE"/>
            <w:noWrap/>
          </w:tcPr>
          <w:p w14:paraId="67B8367F" w14:textId="77AFFF16" w:rsidR="00C45D59" w:rsidRDefault="009B0962">
            <w:pPr>
              <w:pStyle w:val="P68B1DB1-Normal12"/>
              <w:spacing w:after="0" w:line="240" w:lineRule="auto"/>
              <w:rPr>
                <w:rFonts w:eastAsia="Times New Roman"/>
                <w:noProof/>
              </w:rPr>
            </w:pPr>
            <w:r>
              <w:rPr>
                <w:noProof/>
              </w:rPr>
              <w:t xml:space="preserve">Executarea planurilor de investiții pentru un total combinat de 22 parcuri industriale și substații de transport al energiei electrice. </w:t>
            </w:r>
          </w:p>
        </w:tc>
      </w:tr>
      <w:tr w:rsidR="00C45D59" w14:paraId="0F0BB2BE" w14:textId="77777777" w:rsidTr="00242B1C">
        <w:trPr>
          <w:trHeight w:val="313"/>
          <w:jc w:val="center"/>
        </w:trPr>
        <w:tc>
          <w:tcPr>
            <w:tcW w:w="619" w:type="dxa"/>
            <w:shd w:val="clear" w:color="auto" w:fill="C6EFCE"/>
            <w:noWrap/>
          </w:tcPr>
          <w:p w14:paraId="6AE12929" w14:textId="77777777" w:rsidR="00C45D59" w:rsidRDefault="009B0962">
            <w:pPr>
              <w:pStyle w:val="P68B1DB1-Normal12"/>
              <w:spacing w:after="0" w:line="240" w:lineRule="auto"/>
              <w:rPr>
                <w:rFonts w:eastAsia="Times New Roman"/>
                <w:noProof/>
              </w:rPr>
            </w:pPr>
            <w:r>
              <w:rPr>
                <w:noProof/>
              </w:rPr>
              <w:t>308</w:t>
            </w:r>
          </w:p>
        </w:tc>
        <w:tc>
          <w:tcPr>
            <w:tcW w:w="2084" w:type="dxa"/>
            <w:shd w:val="clear" w:color="auto" w:fill="C6EFCE"/>
            <w:noWrap/>
          </w:tcPr>
          <w:p w14:paraId="5AF50C32" w14:textId="77777777" w:rsidR="00C45D59" w:rsidRDefault="009B0962">
            <w:pPr>
              <w:pStyle w:val="P68B1DB1-Normal12"/>
              <w:spacing w:after="0" w:line="240" w:lineRule="auto"/>
              <w:rPr>
                <w:rFonts w:eastAsia="Times New Roman"/>
                <w:noProof/>
              </w:rPr>
            </w:pPr>
            <w:r>
              <w:rPr>
                <w:noProof/>
              </w:rPr>
              <w:t>17-4.6. Modernizarea și îmbunătățirea rezilienței sectoarelor economice esențiale – 16593_Modificarea cadrului juridic pentru atragerea de investiții strategice</w:t>
            </w:r>
          </w:p>
        </w:tc>
        <w:tc>
          <w:tcPr>
            <w:tcW w:w="1298" w:type="dxa"/>
            <w:shd w:val="clear" w:color="auto" w:fill="C6EFCE"/>
            <w:noWrap/>
          </w:tcPr>
          <w:p w14:paraId="05E1AF36" w14:textId="77777777" w:rsidR="00C45D59" w:rsidRDefault="009B0962">
            <w:pPr>
              <w:pStyle w:val="P68B1DB1-Normal12"/>
              <w:spacing w:after="0" w:line="240" w:lineRule="auto"/>
              <w:rPr>
                <w:rFonts w:eastAsia="Times New Roman"/>
                <w:noProof/>
              </w:rPr>
            </w:pPr>
            <w:r>
              <w:rPr>
                <w:noProof/>
              </w:rPr>
              <w:t>Etapă</w:t>
            </w:r>
          </w:p>
        </w:tc>
        <w:tc>
          <w:tcPr>
            <w:tcW w:w="1396" w:type="dxa"/>
            <w:shd w:val="clear" w:color="auto" w:fill="C6EFCE"/>
            <w:noWrap/>
          </w:tcPr>
          <w:p w14:paraId="3E0B6450" w14:textId="77777777" w:rsidR="00C45D59" w:rsidRDefault="009B0962">
            <w:pPr>
              <w:pStyle w:val="P68B1DB1-Normal12"/>
              <w:spacing w:after="0" w:line="240" w:lineRule="auto"/>
              <w:rPr>
                <w:rFonts w:eastAsia="Times New Roman"/>
                <w:noProof/>
              </w:rPr>
            </w:pPr>
            <w:r>
              <w:rPr>
                <w:noProof/>
              </w:rPr>
              <w:t>Investiții strategice – Executarea planurilor de investiții</w:t>
            </w:r>
          </w:p>
        </w:tc>
        <w:tc>
          <w:tcPr>
            <w:tcW w:w="1823" w:type="dxa"/>
            <w:shd w:val="clear" w:color="auto" w:fill="C6EFCE"/>
            <w:noWrap/>
          </w:tcPr>
          <w:p w14:paraId="561425A8" w14:textId="35D9D7F8" w:rsidR="00C45D59" w:rsidRDefault="009B0962">
            <w:pPr>
              <w:pStyle w:val="P68B1DB1-Normal12"/>
              <w:spacing w:after="0" w:line="240" w:lineRule="auto"/>
              <w:rPr>
                <w:rFonts w:eastAsia="Times New Roman"/>
                <w:noProof/>
              </w:rPr>
            </w:pPr>
            <w:r>
              <w:rPr>
                <w:noProof/>
              </w:rPr>
              <w:t>Certificări tehnice și rapoarte de verificare a executării părții MRR din cele 5 de planuri de investiții.</w:t>
            </w:r>
          </w:p>
        </w:tc>
        <w:tc>
          <w:tcPr>
            <w:tcW w:w="866" w:type="dxa"/>
            <w:shd w:val="clear" w:color="auto" w:fill="C6EFCE"/>
            <w:noWrap/>
          </w:tcPr>
          <w:p w14:paraId="5DF57AA4"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57" w:type="dxa"/>
            <w:shd w:val="clear" w:color="auto" w:fill="C6EFCE"/>
            <w:noWrap/>
          </w:tcPr>
          <w:p w14:paraId="2D6ED2E6"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691" w:type="dxa"/>
            <w:shd w:val="clear" w:color="auto" w:fill="C6EFCE"/>
            <w:noWrap/>
          </w:tcPr>
          <w:p w14:paraId="0F9D9BEC"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092" w:type="dxa"/>
            <w:shd w:val="clear" w:color="auto" w:fill="C6EFCE"/>
            <w:noWrap/>
          </w:tcPr>
          <w:p w14:paraId="2C736276" w14:textId="77777777" w:rsidR="00C45D59" w:rsidRDefault="009B0962">
            <w:pPr>
              <w:pStyle w:val="P68B1DB1-Normal12"/>
              <w:spacing w:after="0" w:line="240" w:lineRule="auto"/>
              <w:rPr>
                <w:rFonts w:eastAsia="Times New Roman"/>
                <w:noProof/>
              </w:rPr>
            </w:pPr>
            <w:r>
              <w:rPr>
                <w:noProof/>
              </w:rPr>
              <w:t>Î4</w:t>
            </w:r>
          </w:p>
        </w:tc>
        <w:tc>
          <w:tcPr>
            <w:tcW w:w="720" w:type="dxa"/>
            <w:shd w:val="clear" w:color="auto" w:fill="C6EFCE"/>
            <w:noWrap/>
          </w:tcPr>
          <w:p w14:paraId="61950568" w14:textId="77777777" w:rsidR="00C45D59" w:rsidRDefault="009B0962">
            <w:pPr>
              <w:pStyle w:val="P68B1DB1-Normal12"/>
              <w:spacing w:after="0" w:line="240" w:lineRule="auto"/>
              <w:rPr>
                <w:rFonts w:eastAsia="Times New Roman"/>
                <w:noProof/>
              </w:rPr>
            </w:pPr>
            <w:r>
              <w:rPr>
                <w:noProof/>
              </w:rPr>
              <w:t>2025</w:t>
            </w:r>
          </w:p>
        </w:tc>
        <w:tc>
          <w:tcPr>
            <w:tcW w:w="4056" w:type="dxa"/>
            <w:shd w:val="clear" w:color="auto" w:fill="C6EFCE"/>
            <w:noWrap/>
          </w:tcPr>
          <w:p w14:paraId="438501F1" w14:textId="013F0B02" w:rsidR="00C45D59" w:rsidRDefault="009B0962">
            <w:pPr>
              <w:pStyle w:val="P68B1DB1-Normal12"/>
              <w:spacing w:after="0" w:line="240" w:lineRule="auto"/>
              <w:rPr>
                <w:noProof/>
              </w:rPr>
            </w:pPr>
            <w:r>
              <w:rPr>
                <w:noProof/>
              </w:rPr>
              <w:t xml:space="preserve">Executarea planurilor de investiții pentru 4 Investiții empirice de mare importanță selectate în conformitate cu deciziile de aprobare ale Comitetului interministerial pentru investiții strategice. </w:t>
            </w:r>
          </w:p>
          <w:p w14:paraId="71203643" w14:textId="77777777" w:rsidR="00C45D59" w:rsidRDefault="00C45D59">
            <w:pPr>
              <w:spacing w:after="0" w:line="240" w:lineRule="auto"/>
              <w:rPr>
                <w:rFonts w:ascii="Times New Roman" w:hAnsi="Times New Roman" w:cs="Times New Roman"/>
                <w:noProof/>
                <w:color w:val="006100"/>
                <w:sz w:val="18"/>
                <w:szCs w:val="18"/>
              </w:rPr>
            </w:pPr>
          </w:p>
          <w:p w14:paraId="2CFD5DFE" w14:textId="1F0E711C" w:rsidR="00C45D59" w:rsidRDefault="009B0962">
            <w:pPr>
              <w:pStyle w:val="P68B1DB1-Normal23"/>
              <w:spacing w:after="0" w:line="240" w:lineRule="auto"/>
              <w:rPr>
                <w:noProof/>
              </w:rPr>
            </w:pPr>
            <w:r>
              <w:rPr>
                <w:noProof/>
              </w:rPr>
              <w:t>Execuția părții sprijinite de MRR pentru o a 5-a</w:t>
            </w:r>
            <w:r>
              <w:rPr>
                <w:noProof/>
                <w:vertAlign w:val="superscript"/>
              </w:rPr>
              <w:t xml:space="preserve"> investiție</w:t>
            </w:r>
            <w:r>
              <w:rPr>
                <w:noProof/>
              </w:rPr>
              <w:t xml:space="preserve"> emblematică de mare importanță, selectată în conformitate cu decizia de aprobare a Comitetului interministerial pentru investiții strategice și astfel cum se descrie în decizia ministerială relevantă pentru acordarea de stimulente.</w:t>
            </w:r>
          </w:p>
        </w:tc>
      </w:tr>
      <w:tr w:rsidR="00C45D59" w14:paraId="10B0C2AA" w14:textId="77777777" w:rsidTr="00242B1C">
        <w:trPr>
          <w:trHeight w:val="313"/>
          <w:jc w:val="center"/>
        </w:trPr>
        <w:tc>
          <w:tcPr>
            <w:tcW w:w="619" w:type="dxa"/>
            <w:shd w:val="clear" w:color="auto" w:fill="C6EFCE"/>
            <w:noWrap/>
          </w:tcPr>
          <w:p w14:paraId="4ED4D1DA" w14:textId="77777777" w:rsidR="00C45D59" w:rsidRDefault="009B0962">
            <w:pPr>
              <w:pStyle w:val="P68B1DB1-Normal12"/>
              <w:spacing w:after="0" w:line="240" w:lineRule="auto"/>
              <w:rPr>
                <w:rFonts w:eastAsia="Times New Roman"/>
                <w:noProof/>
              </w:rPr>
            </w:pPr>
            <w:r>
              <w:rPr>
                <w:noProof/>
              </w:rPr>
              <w:t>309</w:t>
            </w:r>
          </w:p>
        </w:tc>
        <w:tc>
          <w:tcPr>
            <w:tcW w:w="2084" w:type="dxa"/>
            <w:shd w:val="clear" w:color="auto" w:fill="C6EFCE"/>
            <w:noWrap/>
          </w:tcPr>
          <w:p w14:paraId="55838630" w14:textId="77777777" w:rsidR="00C45D59" w:rsidRDefault="009B0962">
            <w:pPr>
              <w:pStyle w:val="P68B1DB1-Normal12"/>
              <w:spacing w:after="0" w:line="240" w:lineRule="auto"/>
              <w:rPr>
                <w:rFonts w:eastAsia="Times New Roman"/>
                <w:noProof/>
              </w:rPr>
            </w:pPr>
            <w:r>
              <w:rPr>
                <w:noProof/>
              </w:rPr>
              <w:t>17-4.6. Modernizarea și îmbunătățirea rezilienței sectoarelor economice esențiale – 16721_Accelerarea producției inteligente</w:t>
            </w:r>
          </w:p>
        </w:tc>
        <w:tc>
          <w:tcPr>
            <w:tcW w:w="1298" w:type="dxa"/>
            <w:shd w:val="clear" w:color="auto" w:fill="C6EFCE"/>
            <w:noWrap/>
          </w:tcPr>
          <w:p w14:paraId="31BFD227" w14:textId="77777777" w:rsidR="00C45D59" w:rsidRDefault="009B0962">
            <w:pPr>
              <w:pStyle w:val="P68B1DB1-Normal12"/>
              <w:spacing w:after="0" w:line="240" w:lineRule="auto"/>
              <w:rPr>
                <w:rFonts w:eastAsia="Times New Roman"/>
                <w:noProof/>
              </w:rPr>
            </w:pPr>
            <w:r>
              <w:rPr>
                <w:noProof/>
              </w:rPr>
              <w:t>Etapă</w:t>
            </w:r>
          </w:p>
        </w:tc>
        <w:tc>
          <w:tcPr>
            <w:tcW w:w="1396" w:type="dxa"/>
            <w:shd w:val="clear" w:color="auto" w:fill="C6EFCE"/>
            <w:noWrap/>
          </w:tcPr>
          <w:p w14:paraId="26EDFF88" w14:textId="77777777" w:rsidR="00C45D59" w:rsidRDefault="009B0962">
            <w:pPr>
              <w:pStyle w:val="P68B1DB1-Normal12"/>
              <w:spacing w:after="0" w:line="240" w:lineRule="auto"/>
              <w:rPr>
                <w:rFonts w:eastAsia="Times New Roman"/>
                <w:noProof/>
              </w:rPr>
            </w:pPr>
            <w:r>
              <w:rPr>
                <w:noProof/>
              </w:rPr>
              <w:t>Industria prelucrătoare – Executarea planurilor de investiții</w:t>
            </w:r>
          </w:p>
        </w:tc>
        <w:tc>
          <w:tcPr>
            <w:tcW w:w="1823" w:type="dxa"/>
            <w:shd w:val="clear" w:color="auto" w:fill="C6EFCE"/>
            <w:noWrap/>
          </w:tcPr>
          <w:p w14:paraId="1370C453" w14:textId="6A95EAE5" w:rsidR="00C45D59" w:rsidRDefault="009B0962">
            <w:pPr>
              <w:pStyle w:val="P68B1DB1-Normal12"/>
              <w:spacing w:after="0" w:line="240" w:lineRule="auto"/>
              <w:rPr>
                <w:noProof/>
              </w:rPr>
            </w:pPr>
            <w:r>
              <w:rPr>
                <w:noProof/>
              </w:rPr>
              <w:t>Raport de certificare prin care se verifică executarea planurilor de investiții</w:t>
            </w:r>
          </w:p>
        </w:tc>
        <w:tc>
          <w:tcPr>
            <w:tcW w:w="866" w:type="dxa"/>
            <w:shd w:val="clear" w:color="auto" w:fill="C6EFCE"/>
            <w:noWrap/>
          </w:tcPr>
          <w:p w14:paraId="6828554E"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57" w:type="dxa"/>
            <w:shd w:val="clear" w:color="auto" w:fill="C6EFCE"/>
            <w:noWrap/>
          </w:tcPr>
          <w:p w14:paraId="6E5D712B"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691" w:type="dxa"/>
            <w:shd w:val="clear" w:color="auto" w:fill="C6EFCE"/>
            <w:noWrap/>
          </w:tcPr>
          <w:p w14:paraId="11CB64AD"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092" w:type="dxa"/>
            <w:shd w:val="clear" w:color="auto" w:fill="C6EFCE"/>
            <w:noWrap/>
          </w:tcPr>
          <w:p w14:paraId="42E2039C" w14:textId="77777777" w:rsidR="00C45D59" w:rsidRDefault="009B0962">
            <w:pPr>
              <w:pStyle w:val="P68B1DB1-Normal12"/>
              <w:spacing w:after="0" w:line="240" w:lineRule="auto"/>
              <w:rPr>
                <w:rFonts w:eastAsia="Times New Roman"/>
                <w:noProof/>
              </w:rPr>
            </w:pPr>
            <w:r>
              <w:rPr>
                <w:noProof/>
              </w:rPr>
              <w:t>Î4</w:t>
            </w:r>
          </w:p>
        </w:tc>
        <w:tc>
          <w:tcPr>
            <w:tcW w:w="720" w:type="dxa"/>
            <w:shd w:val="clear" w:color="auto" w:fill="C6EFCE"/>
            <w:noWrap/>
          </w:tcPr>
          <w:p w14:paraId="73B14B70" w14:textId="77777777" w:rsidR="00C45D59" w:rsidRDefault="009B0962">
            <w:pPr>
              <w:pStyle w:val="P68B1DB1-Normal12"/>
              <w:spacing w:after="0" w:line="240" w:lineRule="auto"/>
              <w:rPr>
                <w:rFonts w:eastAsia="Times New Roman"/>
                <w:noProof/>
              </w:rPr>
            </w:pPr>
            <w:r>
              <w:rPr>
                <w:noProof/>
              </w:rPr>
              <w:t>2025</w:t>
            </w:r>
          </w:p>
        </w:tc>
        <w:tc>
          <w:tcPr>
            <w:tcW w:w="4056" w:type="dxa"/>
            <w:shd w:val="clear" w:color="auto" w:fill="C6EFCE"/>
            <w:noWrap/>
          </w:tcPr>
          <w:p w14:paraId="73A80ABC" w14:textId="6646BCE1" w:rsidR="00C45D59" w:rsidRDefault="009B0962">
            <w:pPr>
              <w:pStyle w:val="P68B1DB1-Normal12"/>
              <w:spacing w:after="0" w:line="240" w:lineRule="auto"/>
              <w:rPr>
                <w:rFonts w:eastAsia="Times New Roman"/>
                <w:noProof/>
              </w:rPr>
            </w:pPr>
            <w:r>
              <w:rPr>
                <w:noProof/>
              </w:rPr>
              <w:t>Executarea a cel puțin 36 de planuri de investiții.</w:t>
            </w:r>
          </w:p>
        </w:tc>
      </w:tr>
    </w:tbl>
    <w:p w14:paraId="6828AAAE" w14:textId="77777777" w:rsidR="00C45D59" w:rsidRDefault="00C45D59">
      <w:pPr>
        <w:spacing w:before="120" w:after="0" w:line="240" w:lineRule="auto"/>
        <w:jc w:val="both"/>
        <w:rPr>
          <w:rFonts w:ascii="Times New Roman" w:hAnsi="Times New Roman" w:cs="Times New Roman"/>
          <w:noProof/>
          <w:sz w:val="24"/>
        </w:rPr>
      </w:pPr>
    </w:p>
    <w:p w14:paraId="7B28B484" w14:textId="77777777" w:rsidR="00C45D59" w:rsidRDefault="00C45D59">
      <w:pPr>
        <w:spacing w:before="120" w:after="0" w:line="240" w:lineRule="auto"/>
        <w:jc w:val="both"/>
        <w:rPr>
          <w:rFonts w:ascii="Times New Roman" w:hAnsi="Times New Roman" w:cs="Times New Roman"/>
          <w:noProof/>
          <w:sz w:val="24"/>
        </w:rPr>
        <w:sectPr w:rsidR="00C45D59">
          <w:headerReference w:type="even" r:id="rId342"/>
          <w:headerReference w:type="default" r:id="rId343"/>
          <w:footerReference w:type="even" r:id="rId344"/>
          <w:footerReference w:type="default" r:id="rId345"/>
          <w:headerReference w:type="first" r:id="rId346"/>
          <w:footerReference w:type="first" r:id="rId347"/>
          <w:pgSz w:w="16839" w:h="11907" w:orient="landscape"/>
          <w:pgMar w:top="1134" w:right="1134" w:bottom="1134" w:left="1134" w:header="567" w:footer="567" w:gutter="0"/>
          <w:cols w:space="720"/>
          <w:docGrid w:linePitch="360"/>
        </w:sectPr>
      </w:pPr>
    </w:p>
    <w:p w14:paraId="63A22DF4" w14:textId="77777777" w:rsidR="00C45D59" w:rsidRDefault="009B0962">
      <w:pPr>
        <w:pStyle w:val="P68B1DB1-Normal9"/>
        <w:keepNext/>
        <w:keepLines/>
        <w:spacing w:before="40" w:after="0" w:line="240" w:lineRule="auto"/>
        <w:jc w:val="both"/>
        <w:outlineLvl w:val="4"/>
        <w:rPr>
          <w:rFonts w:eastAsia="Times New Roman"/>
          <w:noProof/>
        </w:rPr>
      </w:pPr>
      <w:r>
        <w:rPr>
          <w:noProof/>
        </w:rPr>
        <w:t>Grupul 28: Agricultură</w:t>
      </w:r>
    </w:p>
    <w:p w14:paraId="5FC9C92C" w14:textId="77777777" w:rsidR="00C45D59" w:rsidRDefault="009B0962">
      <w:pPr>
        <w:pStyle w:val="P68B1DB1-Normal5"/>
        <w:numPr>
          <w:ilvl w:val="0"/>
          <w:numId w:val="83"/>
        </w:numPr>
        <w:spacing w:before="120" w:after="0" w:line="240" w:lineRule="auto"/>
        <w:jc w:val="both"/>
        <w:rPr>
          <w:rFonts w:cs="Times New Roman"/>
          <w:noProof/>
        </w:rPr>
      </w:pPr>
      <w:r>
        <w:rPr>
          <w:noProof/>
        </w:rPr>
        <w:t xml:space="preserve">Transformarea economică a sectoarelor agricol </w:t>
      </w:r>
      <w:r>
        <w:rPr>
          <w:noProof/>
          <w:szCs w:val="24"/>
        </w:rPr>
        <w:t xml:space="preserve">și de acvacultură </w:t>
      </w:r>
      <w:r>
        <w:rPr>
          <w:noProof/>
        </w:rPr>
        <w:t>(ID: 16626)</w:t>
      </w:r>
    </w:p>
    <w:p w14:paraId="5B378D86" w14:textId="77777777" w:rsidR="00C45D59" w:rsidRDefault="009B0962">
      <w:pPr>
        <w:pStyle w:val="P68B1DB1-Normal5"/>
        <w:numPr>
          <w:ilvl w:val="0"/>
          <w:numId w:val="83"/>
        </w:numPr>
        <w:spacing w:before="120" w:after="0" w:line="240" w:lineRule="auto"/>
        <w:jc w:val="both"/>
        <w:rPr>
          <w:rFonts w:cs="Times New Roman"/>
          <w:noProof/>
        </w:rPr>
      </w:pPr>
      <w:r>
        <w:rPr>
          <w:noProof/>
        </w:rPr>
        <w:t>Transformarea digitală a sectorului agroalimentar (ID: 16653)</w:t>
      </w:r>
    </w:p>
    <w:tbl>
      <w:tblPr>
        <w:tblW w:w="162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6"/>
        <w:gridCol w:w="2298"/>
        <w:gridCol w:w="1589"/>
        <w:gridCol w:w="1666"/>
        <w:gridCol w:w="1704"/>
        <w:gridCol w:w="899"/>
        <w:gridCol w:w="896"/>
        <w:gridCol w:w="866"/>
        <w:gridCol w:w="1006"/>
        <w:gridCol w:w="687"/>
        <w:gridCol w:w="4332"/>
      </w:tblGrid>
      <w:tr w:rsidR="00C45D59" w14:paraId="4C38A5E7" w14:textId="77777777">
        <w:trPr>
          <w:trHeight w:val="731"/>
          <w:tblHeader/>
          <w:jc w:val="center"/>
        </w:trPr>
        <w:tc>
          <w:tcPr>
            <w:tcW w:w="786" w:type="dxa"/>
            <w:vMerge w:val="restart"/>
            <w:shd w:val="clear" w:color="auto" w:fill="BDD7EE"/>
            <w:vAlign w:val="center"/>
            <w:hideMark/>
          </w:tcPr>
          <w:p w14:paraId="7D3D4723" w14:textId="7C729251" w:rsidR="00C45D59" w:rsidRDefault="00097639">
            <w:pPr>
              <w:pStyle w:val="P68B1DB1-Normal41"/>
              <w:spacing w:after="0" w:line="240" w:lineRule="auto"/>
              <w:jc w:val="center"/>
              <w:rPr>
                <w:rFonts w:eastAsia="Times New Roman" w:cs="Times New Roman"/>
                <w:noProof/>
              </w:rPr>
            </w:pPr>
            <w:r>
              <w:rPr>
                <w:noProof/>
              </w:rPr>
              <w:t>Nr. crt.</w:t>
            </w:r>
          </w:p>
        </w:tc>
        <w:tc>
          <w:tcPr>
            <w:tcW w:w="2298" w:type="dxa"/>
            <w:vMerge w:val="restart"/>
            <w:shd w:val="clear" w:color="auto" w:fill="BDD7EE"/>
            <w:vAlign w:val="center"/>
            <w:hideMark/>
          </w:tcPr>
          <w:p w14:paraId="32DEF46A" w14:textId="77777777" w:rsidR="00C45D59" w:rsidRDefault="009B0962">
            <w:pPr>
              <w:pStyle w:val="P68B1DB1-Normal41"/>
              <w:spacing w:after="0" w:line="240" w:lineRule="auto"/>
              <w:jc w:val="center"/>
              <w:rPr>
                <w:rFonts w:eastAsia="Times New Roman" w:cs="Times New Roman"/>
                <w:noProof/>
              </w:rPr>
            </w:pPr>
            <w:r>
              <w:rPr>
                <w:noProof/>
              </w:rPr>
              <w:t>Măsură conexă (reformă sau investiții)</w:t>
            </w:r>
          </w:p>
        </w:tc>
        <w:tc>
          <w:tcPr>
            <w:tcW w:w="1589" w:type="dxa"/>
            <w:vMerge w:val="restart"/>
            <w:shd w:val="clear" w:color="auto" w:fill="BDD7EE"/>
            <w:vAlign w:val="center"/>
            <w:hideMark/>
          </w:tcPr>
          <w:p w14:paraId="2E535329" w14:textId="77777777" w:rsidR="00C45D59" w:rsidRDefault="009B0962">
            <w:pPr>
              <w:pStyle w:val="P68B1DB1-Normal41"/>
              <w:spacing w:after="0" w:line="240" w:lineRule="auto"/>
              <w:jc w:val="center"/>
              <w:rPr>
                <w:rFonts w:eastAsia="Times New Roman" w:cs="Times New Roman"/>
                <w:noProof/>
              </w:rPr>
            </w:pPr>
            <w:r>
              <w:rPr>
                <w:noProof/>
              </w:rPr>
              <w:t>Etapă/Obiectiv</w:t>
            </w:r>
          </w:p>
        </w:tc>
        <w:tc>
          <w:tcPr>
            <w:tcW w:w="1666" w:type="dxa"/>
            <w:vMerge w:val="restart"/>
            <w:shd w:val="clear" w:color="auto" w:fill="BDD7EE"/>
            <w:vAlign w:val="center"/>
            <w:hideMark/>
          </w:tcPr>
          <w:p w14:paraId="4DAA1EC4" w14:textId="77777777" w:rsidR="00C45D59" w:rsidRDefault="009B0962">
            <w:pPr>
              <w:pStyle w:val="P68B1DB1-Normal41"/>
              <w:spacing w:after="0" w:line="240" w:lineRule="auto"/>
              <w:jc w:val="center"/>
              <w:rPr>
                <w:rFonts w:eastAsia="Times New Roman" w:cs="Times New Roman"/>
                <w:noProof/>
              </w:rPr>
            </w:pPr>
            <w:r>
              <w:rPr>
                <w:noProof/>
              </w:rPr>
              <w:t>Nume</w:t>
            </w:r>
          </w:p>
        </w:tc>
        <w:tc>
          <w:tcPr>
            <w:tcW w:w="1704" w:type="dxa"/>
            <w:vMerge w:val="restart"/>
            <w:shd w:val="clear" w:color="auto" w:fill="BDD7EE"/>
            <w:vAlign w:val="center"/>
            <w:hideMark/>
          </w:tcPr>
          <w:p w14:paraId="126B1B00" w14:textId="77777777" w:rsidR="00C45D59" w:rsidRDefault="009B0962">
            <w:pPr>
              <w:pStyle w:val="P68B1DB1-Normal41"/>
              <w:spacing w:after="0" w:line="240" w:lineRule="auto"/>
              <w:jc w:val="center"/>
              <w:rPr>
                <w:rFonts w:eastAsia="Times New Roman" w:cs="Times New Roman"/>
                <w:noProof/>
              </w:rPr>
            </w:pPr>
            <w:r>
              <w:rPr>
                <w:noProof/>
              </w:rPr>
              <w:t>Indicatori calitativi (pentru obiectivele de etapă)</w:t>
            </w:r>
          </w:p>
        </w:tc>
        <w:tc>
          <w:tcPr>
            <w:tcW w:w="2343" w:type="dxa"/>
            <w:gridSpan w:val="3"/>
            <w:shd w:val="clear" w:color="auto" w:fill="BDD7EE"/>
            <w:vAlign w:val="center"/>
            <w:hideMark/>
          </w:tcPr>
          <w:p w14:paraId="31F781A7" w14:textId="1DA2C58A" w:rsidR="00C45D59" w:rsidRDefault="009B0962">
            <w:pPr>
              <w:pStyle w:val="P68B1DB1-Normal41"/>
              <w:spacing w:after="0" w:line="240" w:lineRule="auto"/>
              <w:jc w:val="center"/>
              <w:rPr>
                <w:rFonts w:eastAsia="Times New Roman" w:cs="Times New Roman"/>
                <w:noProof/>
              </w:rPr>
            </w:pPr>
            <w:r>
              <w:rPr>
                <w:noProof/>
              </w:rPr>
              <w:t>Indicatori cantitativi (pentru ținte)</w:t>
            </w:r>
          </w:p>
        </w:tc>
        <w:tc>
          <w:tcPr>
            <w:tcW w:w="1533" w:type="dxa"/>
            <w:gridSpan w:val="2"/>
            <w:shd w:val="clear" w:color="auto" w:fill="BDD7EE"/>
            <w:vAlign w:val="center"/>
            <w:hideMark/>
          </w:tcPr>
          <w:p w14:paraId="7F35B569" w14:textId="77777777" w:rsidR="00C45D59" w:rsidRDefault="009B0962">
            <w:pPr>
              <w:pStyle w:val="P68B1DB1-Normal41"/>
              <w:spacing w:after="0" w:line="240" w:lineRule="auto"/>
              <w:jc w:val="center"/>
              <w:rPr>
                <w:rFonts w:eastAsia="Times New Roman" w:cs="Times New Roman"/>
                <w:noProof/>
              </w:rPr>
            </w:pPr>
            <w:r>
              <w:rPr>
                <w:noProof/>
              </w:rPr>
              <w:t xml:space="preserve">Calendar orientativ pentru finalizare </w:t>
            </w:r>
          </w:p>
        </w:tc>
        <w:tc>
          <w:tcPr>
            <w:tcW w:w="4332" w:type="dxa"/>
            <w:vMerge w:val="restart"/>
            <w:shd w:val="clear" w:color="auto" w:fill="BDD7EE"/>
            <w:vAlign w:val="center"/>
            <w:hideMark/>
          </w:tcPr>
          <w:p w14:paraId="4A7D83DE" w14:textId="77777777" w:rsidR="00C45D59" w:rsidRDefault="009B0962">
            <w:pPr>
              <w:pStyle w:val="P68B1DB1-Normal41"/>
              <w:spacing w:after="0" w:line="240" w:lineRule="auto"/>
              <w:jc w:val="center"/>
              <w:rPr>
                <w:rFonts w:eastAsia="Times New Roman" w:cs="Times New Roman"/>
                <w:noProof/>
              </w:rPr>
            </w:pPr>
            <w:r>
              <w:rPr>
                <w:noProof/>
              </w:rPr>
              <w:t>Descrierea fiecărui jalon și a fiecărei ținte</w:t>
            </w:r>
          </w:p>
        </w:tc>
      </w:tr>
      <w:tr w:rsidR="00C45D59" w14:paraId="00CF71A8" w14:textId="77777777">
        <w:trPr>
          <w:trHeight w:val="504"/>
          <w:tblHeader/>
          <w:jc w:val="center"/>
        </w:trPr>
        <w:tc>
          <w:tcPr>
            <w:tcW w:w="786" w:type="dxa"/>
            <w:vMerge/>
            <w:vAlign w:val="center"/>
            <w:hideMark/>
          </w:tcPr>
          <w:p w14:paraId="344168FC" w14:textId="77777777" w:rsidR="00C45D59" w:rsidRDefault="00C45D59">
            <w:pPr>
              <w:spacing w:after="0" w:line="240" w:lineRule="auto"/>
              <w:rPr>
                <w:rFonts w:ascii="Times New Roman" w:eastAsia="Times New Roman" w:hAnsi="Times New Roman" w:cs="Times New Roman"/>
                <w:b/>
                <w:noProof/>
                <w:sz w:val="18"/>
                <w:szCs w:val="18"/>
              </w:rPr>
            </w:pPr>
          </w:p>
        </w:tc>
        <w:tc>
          <w:tcPr>
            <w:tcW w:w="2298" w:type="dxa"/>
            <w:vMerge/>
            <w:vAlign w:val="center"/>
            <w:hideMark/>
          </w:tcPr>
          <w:p w14:paraId="4C654BC3" w14:textId="77777777" w:rsidR="00C45D59" w:rsidRDefault="00C45D59">
            <w:pPr>
              <w:spacing w:after="0" w:line="240" w:lineRule="auto"/>
              <w:rPr>
                <w:rFonts w:ascii="Times New Roman" w:eastAsia="Times New Roman" w:hAnsi="Times New Roman" w:cs="Times New Roman"/>
                <w:b/>
                <w:noProof/>
                <w:sz w:val="18"/>
                <w:szCs w:val="18"/>
              </w:rPr>
            </w:pPr>
          </w:p>
        </w:tc>
        <w:tc>
          <w:tcPr>
            <w:tcW w:w="1589" w:type="dxa"/>
            <w:vMerge/>
            <w:vAlign w:val="center"/>
            <w:hideMark/>
          </w:tcPr>
          <w:p w14:paraId="651844DD" w14:textId="77777777" w:rsidR="00C45D59" w:rsidRDefault="00C45D59">
            <w:pPr>
              <w:spacing w:after="0" w:line="240" w:lineRule="auto"/>
              <w:rPr>
                <w:rFonts w:ascii="Times New Roman" w:eastAsia="Times New Roman" w:hAnsi="Times New Roman" w:cs="Times New Roman"/>
                <w:b/>
                <w:noProof/>
                <w:sz w:val="18"/>
                <w:szCs w:val="18"/>
              </w:rPr>
            </w:pPr>
          </w:p>
        </w:tc>
        <w:tc>
          <w:tcPr>
            <w:tcW w:w="1666" w:type="dxa"/>
            <w:vMerge/>
            <w:vAlign w:val="center"/>
            <w:hideMark/>
          </w:tcPr>
          <w:p w14:paraId="6F16C7FF" w14:textId="77777777" w:rsidR="00C45D59" w:rsidRDefault="00C45D59">
            <w:pPr>
              <w:spacing w:after="0" w:line="240" w:lineRule="auto"/>
              <w:rPr>
                <w:rFonts w:ascii="Times New Roman" w:eastAsia="Times New Roman" w:hAnsi="Times New Roman" w:cs="Times New Roman"/>
                <w:b/>
                <w:noProof/>
                <w:sz w:val="18"/>
                <w:szCs w:val="18"/>
              </w:rPr>
            </w:pPr>
          </w:p>
        </w:tc>
        <w:tc>
          <w:tcPr>
            <w:tcW w:w="1704" w:type="dxa"/>
            <w:vMerge/>
            <w:vAlign w:val="center"/>
            <w:hideMark/>
          </w:tcPr>
          <w:p w14:paraId="58036930" w14:textId="77777777" w:rsidR="00C45D59" w:rsidRDefault="00C45D59">
            <w:pPr>
              <w:spacing w:after="0" w:line="240" w:lineRule="auto"/>
              <w:rPr>
                <w:rFonts w:ascii="Times New Roman" w:eastAsia="Times New Roman" w:hAnsi="Times New Roman" w:cs="Times New Roman"/>
                <w:b/>
                <w:noProof/>
                <w:sz w:val="18"/>
                <w:szCs w:val="18"/>
              </w:rPr>
            </w:pPr>
          </w:p>
        </w:tc>
        <w:tc>
          <w:tcPr>
            <w:tcW w:w="899" w:type="dxa"/>
            <w:shd w:val="clear" w:color="auto" w:fill="BDD7EE"/>
            <w:vAlign w:val="center"/>
            <w:hideMark/>
          </w:tcPr>
          <w:p w14:paraId="15E7317A" w14:textId="77777777" w:rsidR="00C45D59" w:rsidRDefault="009B0962">
            <w:pPr>
              <w:pStyle w:val="P68B1DB1-Normal41"/>
              <w:spacing w:after="0" w:line="240" w:lineRule="auto"/>
              <w:jc w:val="center"/>
              <w:rPr>
                <w:rFonts w:eastAsia="Times New Roman" w:cs="Times New Roman"/>
                <w:noProof/>
              </w:rPr>
            </w:pPr>
            <w:r>
              <w:rPr>
                <w:noProof/>
              </w:rPr>
              <w:t>Unitatea de măsură</w:t>
            </w:r>
          </w:p>
        </w:tc>
        <w:tc>
          <w:tcPr>
            <w:tcW w:w="857" w:type="dxa"/>
            <w:shd w:val="clear" w:color="auto" w:fill="BDD7EE"/>
            <w:vAlign w:val="center"/>
            <w:hideMark/>
          </w:tcPr>
          <w:p w14:paraId="6161E365" w14:textId="77777777" w:rsidR="00C45D59" w:rsidRDefault="009B0962">
            <w:pPr>
              <w:pStyle w:val="P68B1DB1-Normal41"/>
              <w:spacing w:after="0" w:line="240" w:lineRule="auto"/>
              <w:jc w:val="center"/>
              <w:rPr>
                <w:rFonts w:eastAsia="Times New Roman" w:cs="Times New Roman"/>
                <w:noProof/>
              </w:rPr>
            </w:pPr>
            <w:r>
              <w:rPr>
                <w:noProof/>
              </w:rPr>
              <w:t xml:space="preserve">Situația de referință </w:t>
            </w:r>
          </w:p>
        </w:tc>
        <w:tc>
          <w:tcPr>
            <w:tcW w:w="587" w:type="dxa"/>
            <w:shd w:val="clear" w:color="auto" w:fill="BDD7EE"/>
            <w:vAlign w:val="center"/>
            <w:hideMark/>
          </w:tcPr>
          <w:p w14:paraId="035D7DE0" w14:textId="77777777" w:rsidR="00C45D59" w:rsidRDefault="009B0962">
            <w:pPr>
              <w:pStyle w:val="P68B1DB1-Normal41"/>
              <w:spacing w:after="0" w:line="240" w:lineRule="auto"/>
              <w:jc w:val="center"/>
              <w:rPr>
                <w:rFonts w:eastAsia="Times New Roman" w:cs="Times New Roman"/>
                <w:noProof/>
              </w:rPr>
            </w:pPr>
            <w:r>
              <w:rPr>
                <w:noProof/>
              </w:rPr>
              <w:t xml:space="preserve">Obiectiv </w:t>
            </w:r>
          </w:p>
        </w:tc>
        <w:tc>
          <w:tcPr>
            <w:tcW w:w="846" w:type="dxa"/>
            <w:shd w:val="clear" w:color="auto" w:fill="BDD7EE"/>
            <w:vAlign w:val="center"/>
            <w:hideMark/>
          </w:tcPr>
          <w:p w14:paraId="34B2A83B" w14:textId="77777777" w:rsidR="00C45D59" w:rsidRDefault="009B0962">
            <w:pPr>
              <w:pStyle w:val="P68B1DB1-Normal41"/>
              <w:spacing w:after="0" w:line="240" w:lineRule="auto"/>
              <w:jc w:val="center"/>
              <w:rPr>
                <w:rFonts w:eastAsia="Times New Roman" w:cs="Times New Roman"/>
                <w:noProof/>
              </w:rPr>
            </w:pPr>
            <w:r>
              <w:rPr>
                <w:noProof/>
              </w:rPr>
              <w:t>Trimestru</w:t>
            </w:r>
          </w:p>
        </w:tc>
        <w:tc>
          <w:tcPr>
            <w:tcW w:w="687" w:type="dxa"/>
            <w:shd w:val="clear" w:color="auto" w:fill="BDD7EE"/>
            <w:vAlign w:val="center"/>
            <w:hideMark/>
          </w:tcPr>
          <w:p w14:paraId="44ECBF91" w14:textId="77777777" w:rsidR="00C45D59" w:rsidRDefault="009B0962">
            <w:pPr>
              <w:pStyle w:val="P68B1DB1-Normal41"/>
              <w:spacing w:after="0" w:line="240" w:lineRule="auto"/>
              <w:jc w:val="center"/>
              <w:rPr>
                <w:rFonts w:eastAsia="Times New Roman" w:cs="Times New Roman"/>
                <w:noProof/>
              </w:rPr>
            </w:pPr>
            <w:r>
              <w:rPr>
                <w:noProof/>
              </w:rPr>
              <w:t>Anul</w:t>
            </w:r>
          </w:p>
        </w:tc>
        <w:tc>
          <w:tcPr>
            <w:tcW w:w="4332" w:type="dxa"/>
            <w:vMerge/>
            <w:vAlign w:val="center"/>
            <w:hideMark/>
          </w:tcPr>
          <w:p w14:paraId="497DF93D" w14:textId="77777777" w:rsidR="00C45D59" w:rsidRDefault="00C45D59">
            <w:pPr>
              <w:spacing w:after="0" w:line="240" w:lineRule="auto"/>
              <w:rPr>
                <w:rFonts w:ascii="Times New Roman" w:eastAsia="Times New Roman" w:hAnsi="Times New Roman" w:cs="Times New Roman"/>
                <w:b/>
                <w:noProof/>
                <w:sz w:val="18"/>
                <w:szCs w:val="18"/>
              </w:rPr>
            </w:pPr>
          </w:p>
        </w:tc>
      </w:tr>
      <w:tr w:rsidR="00C45D59" w14:paraId="3FAD1573" w14:textId="77777777">
        <w:trPr>
          <w:trHeight w:val="309"/>
          <w:jc w:val="center"/>
        </w:trPr>
        <w:tc>
          <w:tcPr>
            <w:tcW w:w="786" w:type="dxa"/>
            <w:shd w:val="clear" w:color="auto" w:fill="C6EFCE"/>
            <w:noWrap/>
          </w:tcPr>
          <w:p w14:paraId="3147DB00" w14:textId="77777777" w:rsidR="00C45D59" w:rsidRDefault="009B0962">
            <w:pPr>
              <w:pStyle w:val="P68B1DB1-Normal12"/>
              <w:spacing w:after="0" w:line="240" w:lineRule="auto"/>
              <w:rPr>
                <w:rFonts w:eastAsia="Times New Roman"/>
                <w:noProof/>
              </w:rPr>
            </w:pPr>
            <w:r>
              <w:rPr>
                <w:noProof/>
              </w:rPr>
              <w:t>310</w:t>
            </w:r>
          </w:p>
        </w:tc>
        <w:tc>
          <w:tcPr>
            <w:tcW w:w="2298" w:type="dxa"/>
            <w:shd w:val="clear" w:color="auto" w:fill="C6EFCE"/>
            <w:noWrap/>
          </w:tcPr>
          <w:p w14:paraId="2CA965D8" w14:textId="77777777" w:rsidR="00C45D59" w:rsidRDefault="009B0962">
            <w:pPr>
              <w:pStyle w:val="P68B1DB1-Normal12"/>
              <w:spacing w:after="0" w:line="240" w:lineRule="auto"/>
              <w:rPr>
                <w:rFonts w:eastAsia="Times New Roman"/>
                <w:noProof/>
              </w:rPr>
            </w:pPr>
            <w:r>
              <w:rPr>
                <w:noProof/>
              </w:rPr>
              <w:t>17-4.6. Modernizarea și îmbunătățirea rezilienței sectoarelor economice esențiale – 16626_Transformarea economică în sectorul agricol</w:t>
            </w:r>
          </w:p>
        </w:tc>
        <w:tc>
          <w:tcPr>
            <w:tcW w:w="1589" w:type="dxa"/>
            <w:shd w:val="clear" w:color="auto" w:fill="C6EFCE"/>
            <w:noWrap/>
          </w:tcPr>
          <w:p w14:paraId="79B4E273" w14:textId="77777777" w:rsidR="00C45D59" w:rsidRDefault="009B0962">
            <w:pPr>
              <w:pStyle w:val="P68B1DB1-Normal12"/>
              <w:spacing w:after="0" w:line="240" w:lineRule="auto"/>
              <w:rPr>
                <w:rFonts w:eastAsia="Times New Roman"/>
                <w:noProof/>
              </w:rPr>
            </w:pPr>
            <w:r>
              <w:rPr>
                <w:noProof/>
              </w:rPr>
              <w:t>Etapă</w:t>
            </w:r>
          </w:p>
        </w:tc>
        <w:tc>
          <w:tcPr>
            <w:tcW w:w="1666" w:type="dxa"/>
            <w:shd w:val="clear" w:color="auto" w:fill="C6EFCE"/>
            <w:noWrap/>
          </w:tcPr>
          <w:p w14:paraId="2B604935" w14:textId="77777777" w:rsidR="00C45D59" w:rsidRDefault="009B0962">
            <w:pPr>
              <w:pStyle w:val="P68B1DB1-Normal12"/>
              <w:spacing w:after="0" w:line="240" w:lineRule="auto"/>
              <w:rPr>
                <w:rFonts w:eastAsia="Times New Roman"/>
                <w:noProof/>
              </w:rPr>
            </w:pPr>
            <w:r>
              <w:rPr>
                <w:noProof/>
              </w:rPr>
              <w:t>Transformarea economică a agriculturii: Lansarea programului</w:t>
            </w:r>
          </w:p>
        </w:tc>
        <w:tc>
          <w:tcPr>
            <w:tcW w:w="1704" w:type="dxa"/>
            <w:shd w:val="clear" w:color="auto" w:fill="C6EFCE"/>
            <w:noWrap/>
          </w:tcPr>
          <w:p w14:paraId="27E53605" w14:textId="77777777" w:rsidR="00C45D59" w:rsidRDefault="009B0962">
            <w:pPr>
              <w:pStyle w:val="P68B1DB1-Normal12"/>
              <w:spacing w:after="0" w:line="240" w:lineRule="auto"/>
              <w:rPr>
                <w:noProof/>
              </w:rPr>
            </w:pPr>
            <w:r>
              <w:rPr>
                <w:noProof/>
              </w:rPr>
              <w:t>Semnarea contractului cu partenerul de implementare</w:t>
            </w:r>
          </w:p>
          <w:p w14:paraId="1F562766" w14:textId="77777777" w:rsidR="00C45D59" w:rsidRDefault="00C45D59">
            <w:pPr>
              <w:spacing w:after="0" w:line="240" w:lineRule="auto"/>
              <w:rPr>
                <w:rFonts w:ascii="Times New Roman" w:hAnsi="Times New Roman" w:cs="Times New Roman"/>
                <w:noProof/>
                <w:color w:val="006100"/>
                <w:sz w:val="18"/>
                <w:szCs w:val="18"/>
              </w:rPr>
            </w:pPr>
          </w:p>
          <w:p w14:paraId="473235C4"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99" w:type="dxa"/>
            <w:shd w:val="clear" w:color="auto" w:fill="C6EFCE"/>
            <w:noWrap/>
          </w:tcPr>
          <w:p w14:paraId="6C458581"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57" w:type="dxa"/>
            <w:shd w:val="clear" w:color="auto" w:fill="C6EFCE"/>
            <w:noWrap/>
          </w:tcPr>
          <w:p w14:paraId="421F95E2"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587" w:type="dxa"/>
            <w:shd w:val="clear" w:color="auto" w:fill="C6EFCE"/>
            <w:noWrap/>
          </w:tcPr>
          <w:p w14:paraId="50C5C7DB"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46" w:type="dxa"/>
            <w:shd w:val="clear" w:color="auto" w:fill="C6EFCE"/>
            <w:noWrap/>
          </w:tcPr>
          <w:p w14:paraId="4E9104B5" w14:textId="77777777" w:rsidR="00C45D59" w:rsidRDefault="009B0962">
            <w:pPr>
              <w:pStyle w:val="P68B1DB1-Normal12"/>
              <w:spacing w:after="0" w:line="240" w:lineRule="auto"/>
              <w:rPr>
                <w:rFonts w:eastAsia="Times New Roman"/>
                <w:noProof/>
              </w:rPr>
            </w:pPr>
            <w:r>
              <w:rPr>
                <w:noProof/>
              </w:rPr>
              <w:t>Î1</w:t>
            </w:r>
          </w:p>
        </w:tc>
        <w:tc>
          <w:tcPr>
            <w:tcW w:w="687" w:type="dxa"/>
            <w:shd w:val="clear" w:color="auto" w:fill="C6EFCE"/>
            <w:noWrap/>
          </w:tcPr>
          <w:p w14:paraId="2C6E8007" w14:textId="77777777" w:rsidR="00C45D59" w:rsidRDefault="009B0962">
            <w:pPr>
              <w:pStyle w:val="P68B1DB1-Normal12"/>
              <w:spacing w:after="0" w:line="240" w:lineRule="auto"/>
              <w:rPr>
                <w:rFonts w:eastAsia="Times New Roman"/>
                <w:noProof/>
              </w:rPr>
            </w:pPr>
            <w:r>
              <w:rPr>
                <w:noProof/>
              </w:rPr>
              <w:t>2022</w:t>
            </w:r>
          </w:p>
        </w:tc>
        <w:tc>
          <w:tcPr>
            <w:tcW w:w="4332" w:type="dxa"/>
            <w:shd w:val="clear" w:color="auto" w:fill="C6EFCE"/>
            <w:noWrap/>
          </w:tcPr>
          <w:p w14:paraId="26325214" w14:textId="77777777" w:rsidR="00C45D59" w:rsidRDefault="009B0962">
            <w:pPr>
              <w:pStyle w:val="P68B1DB1-Normal12"/>
              <w:spacing w:after="0" w:line="240" w:lineRule="auto"/>
              <w:rPr>
                <w:noProof/>
              </w:rPr>
            </w:pPr>
            <w:r>
              <w:rPr>
                <w:noProof/>
              </w:rPr>
              <w:t>Lansarea cererilor de propuneri pentru transformarea economică a sectorului agricol:</w:t>
            </w:r>
          </w:p>
          <w:p w14:paraId="73839251" w14:textId="77777777" w:rsidR="00C45D59" w:rsidRDefault="009B0962">
            <w:pPr>
              <w:pStyle w:val="P68B1DB1-Normal12"/>
              <w:spacing w:after="0" w:line="240" w:lineRule="auto"/>
              <w:rPr>
                <w:noProof/>
              </w:rPr>
            </w:pPr>
            <w:r>
              <w:rPr>
                <w:noProof/>
              </w:rPr>
              <w:t>Cereri competitive de propuneri cu termeni de referință, inclusiv criterii de eligibilitate care să asigure faptul că proiectele selectate respectă Orientările tehnice de „a nu prejudicia în mod semnificativ” (2021/C58/01) prin utilizarea unei liste de excludere și a cerinței de conformitate cu legislația UE și națională relevantă în materie de mediu.</w:t>
            </w:r>
          </w:p>
          <w:p w14:paraId="19913174" w14:textId="77777777" w:rsidR="00C45D59" w:rsidRDefault="00C45D59">
            <w:pPr>
              <w:spacing w:after="0" w:line="240" w:lineRule="auto"/>
              <w:rPr>
                <w:rFonts w:ascii="Times New Roman" w:hAnsi="Times New Roman" w:cs="Times New Roman"/>
                <w:noProof/>
                <w:color w:val="006100"/>
                <w:sz w:val="18"/>
                <w:szCs w:val="18"/>
              </w:rPr>
            </w:pPr>
          </w:p>
          <w:p w14:paraId="7222E4B6" w14:textId="77777777" w:rsidR="00C45D59" w:rsidRDefault="009B0962">
            <w:pPr>
              <w:pStyle w:val="P68B1DB1-Normal12"/>
              <w:spacing w:after="0" w:line="240" w:lineRule="auto"/>
              <w:rPr>
                <w:rFonts w:eastAsia="Times New Roman"/>
                <w:noProof/>
              </w:rPr>
            </w:pPr>
            <w:r>
              <w:rPr>
                <w:noProof/>
              </w:rPr>
              <w:t>Cererile competitive includ următoarele acțiuni: acțiuni legate de modernizarea energetică a unităților de producție, a clădirilor și a echipamentelor mecanice cu consum redus de energie, modernizarea energetică a instalațiilor turistice (clădiri), mijloace de transport ecologice (autoturisme electrice, biciclete etc.), sprijin pentru procese de producție ecologice și utilizarea eficientă a resurselor în IMM-uri, energie din surse regenerabile (solară), măsuri de adaptare la schimbările climatice și de prevenire a acestora, precum și gestionarea riscurilor legate de climă, protecția biodiversității și patrimoniul și resursele naturale.</w:t>
            </w:r>
          </w:p>
        </w:tc>
      </w:tr>
      <w:tr w:rsidR="00C45D59" w14:paraId="0E6C20AD" w14:textId="77777777">
        <w:trPr>
          <w:trHeight w:val="309"/>
          <w:jc w:val="center"/>
        </w:trPr>
        <w:tc>
          <w:tcPr>
            <w:tcW w:w="786" w:type="dxa"/>
            <w:shd w:val="clear" w:color="auto" w:fill="C6EFCE"/>
            <w:noWrap/>
            <w:hideMark/>
          </w:tcPr>
          <w:p w14:paraId="6E1CB604" w14:textId="77777777" w:rsidR="00C45D59" w:rsidRDefault="009B0962">
            <w:pPr>
              <w:pStyle w:val="P68B1DB1-Normal12"/>
              <w:spacing w:after="0" w:line="240" w:lineRule="auto"/>
              <w:rPr>
                <w:rFonts w:eastAsia="Times New Roman"/>
                <w:noProof/>
              </w:rPr>
            </w:pPr>
            <w:r>
              <w:rPr>
                <w:noProof/>
              </w:rPr>
              <w:t>311</w:t>
            </w:r>
          </w:p>
        </w:tc>
        <w:tc>
          <w:tcPr>
            <w:tcW w:w="2298" w:type="dxa"/>
            <w:shd w:val="clear" w:color="auto" w:fill="C6EFCE"/>
            <w:noWrap/>
            <w:hideMark/>
          </w:tcPr>
          <w:p w14:paraId="5E7F9E1A" w14:textId="77777777" w:rsidR="00C45D59" w:rsidRDefault="009B0962">
            <w:pPr>
              <w:pStyle w:val="P68B1DB1-Normal12"/>
              <w:spacing w:after="0" w:line="240" w:lineRule="auto"/>
              <w:rPr>
                <w:rFonts w:eastAsia="Times New Roman"/>
                <w:noProof/>
              </w:rPr>
            </w:pPr>
            <w:r>
              <w:rPr>
                <w:noProof/>
              </w:rPr>
              <w:t xml:space="preserve"> 17-4.6. Modernizarea și îmbunătățirea rezilienței sectoarelor economice esențiale – 16653_Transformarea digitală a sectorului agroalimentar </w:t>
            </w:r>
          </w:p>
        </w:tc>
        <w:tc>
          <w:tcPr>
            <w:tcW w:w="1589" w:type="dxa"/>
            <w:shd w:val="clear" w:color="auto" w:fill="C6EFCE"/>
            <w:noWrap/>
            <w:hideMark/>
          </w:tcPr>
          <w:p w14:paraId="60E145F4" w14:textId="77777777" w:rsidR="00C45D59" w:rsidRDefault="009B0962">
            <w:pPr>
              <w:pStyle w:val="P68B1DB1-Normal12"/>
              <w:spacing w:after="0" w:line="240" w:lineRule="auto"/>
              <w:rPr>
                <w:rFonts w:eastAsia="Times New Roman"/>
                <w:noProof/>
              </w:rPr>
            </w:pPr>
            <w:r>
              <w:rPr>
                <w:noProof/>
              </w:rPr>
              <w:t> Etapă</w:t>
            </w:r>
          </w:p>
        </w:tc>
        <w:tc>
          <w:tcPr>
            <w:tcW w:w="1666" w:type="dxa"/>
            <w:shd w:val="clear" w:color="auto" w:fill="C6EFCE"/>
            <w:noWrap/>
            <w:hideMark/>
          </w:tcPr>
          <w:p w14:paraId="3D457ACE" w14:textId="77777777" w:rsidR="00C45D59" w:rsidRDefault="009B0962">
            <w:pPr>
              <w:pStyle w:val="P68B1DB1-Normal12"/>
              <w:spacing w:after="0" w:line="240" w:lineRule="auto"/>
              <w:rPr>
                <w:rFonts w:eastAsia="Times New Roman"/>
                <w:noProof/>
              </w:rPr>
            </w:pPr>
            <w:r>
              <w:rPr>
                <w:noProof/>
              </w:rPr>
              <w:t xml:space="preserve">Lansarea cererii de propuneri pentru transformarea digitală a sectorului agroalimentar </w:t>
            </w:r>
          </w:p>
        </w:tc>
        <w:tc>
          <w:tcPr>
            <w:tcW w:w="1704" w:type="dxa"/>
            <w:shd w:val="clear" w:color="auto" w:fill="C6EFCE"/>
            <w:noWrap/>
            <w:hideMark/>
          </w:tcPr>
          <w:p w14:paraId="2D851085" w14:textId="77777777" w:rsidR="00C45D59" w:rsidRDefault="009B0962">
            <w:pPr>
              <w:pStyle w:val="P68B1DB1-Normal12"/>
              <w:spacing w:after="0" w:line="240" w:lineRule="auto"/>
              <w:rPr>
                <w:rFonts w:eastAsia="Times New Roman"/>
                <w:noProof/>
              </w:rPr>
            </w:pPr>
            <w:r>
              <w:rPr>
                <w:noProof/>
              </w:rPr>
              <w:t xml:space="preserve">Lansarea cererii de propuneri </w:t>
            </w:r>
          </w:p>
        </w:tc>
        <w:tc>
          <w:tcPr>
            <w:tcW w:w="899" w:type="dxa"/>
            <w:shd w:val="clear" w:color="auto" w:fill="C6EFCE"/>
            <w:noWrap/>
          </w:tcPr>
          <w:p w14:paraId="64D7966E"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57" w:type="dxa"/>
            <w:shd w:val="clear" w:color="auto" w:fill="C6EFCE"/>
            <w:noWrap/>
          </w:tcPr>
          <w:p w14:paraId="3DB2EB2E"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587" w:type="dxa"/>
            <w:shd w:val="clear" w:color="auto" w:fill="C6EFCE"/>
            <w:noWrap/>
          </w:tcPr>
          <w:p w14:paraId="13F508CC"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46" w:type="dxa"/>
            <w:shd w:val="clear" w:color="auto" w:fill="C6EFCE"/>
            <w:noWrap/>
            <w:hideMark/>
          </w:tcPr>
          <w:p w14:paraId="3A5F3FB8" w14:textId="77777777" w:rsidR="00C45D59" w:rsidRDefault="009B0962">
            <w:pPr>
              <w:pStyle w:val="P68B1DB1-Normal12"/>
              <w:spacing w:after="0" w:line="240" w:lineRule="auto"/>
              <w:rPr>
                <w:rFonts w:eastAsia="Times New Roman"/>
                <w:noProof/>
              </w:rPr>
            </w:pPr>
            <w:r>
              <w:rPr>
                <w:noProof/>
              </w:rPr>
              <w:t>Î3</w:t>
            </w:r>
          </w:p>
        </w:tc>
        <w:tc>
          <w:tcPr>
            <w:tcW w:w="687" w:type="dxa"/>
            <w:shd w:val="clear" w:color="auto" w:fill="C6EFCE"/>
            <w:noWrap/>
            <w:hideMark/>
          </w:tcPr>
          <w:p w14:paraId="731C45DD" w14:textId="77777777" w:rsidR="00C45D59" w:rsidRDefault="009B0962">
            <w:pPr>
              <w:pStyle w:val="P68B1DB1-Normal12"/>
              <w:spacing w:after="0" w:line="240" w:lineRule="auto"/>
              <w:rPr>
                <w:rFonts w:eastAsia="Times New Roman"/>
                <w:noProof/>
              </w:rPr>
            </w:pPr>
            <w:r>
              <w:rPr>
                <w:noProof/>
              </w:rPr>
              <w:t>2022 </w:t>
            </w:r>
          </w:p>
        </w:tc>
        <w:tc>
          <w:tcPr>
            <w:tcW w:w="4332" w:type="dxa"/>
            <w:shd w:val="clear" w:color="auto" w:fill="C6EFCE"/>
            <w:noWrap/>
            <w:hideMark/>
          </w:tcPr>
          <w:p w14:paraId="1EB12F31" w14:textId="77777777" w:rsidR="00C45D59" w:rsidRDefault="009B0962">
            <w:pPr>
              <w:pStyle w:val="P68B1DB1-Normal12"/>
              <w:spacing w:after="0" w:line="240" w:lineRule="auto"/>
              <w:rPr>
                <w:rFonts w:eastAsia="Times New Roman"/>
                <w:noProof/>
              </w:rPr>
            </w:pPr>
            <w:r>
              <w:rPr>
                <w:noProof/>
              </w:rPr>
              <w:t>Lansarea cererii de propuneri pentru proiectul de transformare digitală pentru dezvoltarea unei infrastructuri agricole digitale deschise la scară largă și a unui mediu agricol cognitiv pentru procesul de producție și gestionarea resurselor naturale.</w:t>
            </w:r>
          </w:p>
        </w:tc>
      </w:tr>
      <w:tr w:rsidR="00C45D59" w14:paraId="53565CBF" w14:textId="77777777">
        <w:trPr>
          <w:trHeight w:val="3855"/>
          <w:jc w:val="center"/>
        </w:trPr>
        <w:tc>
          <w:tcPr>
            <w:tcW w:w="786" w:type="dxa"/>
            <w:shd w:val="clear" w:color="auto" w:fill="C6EFCE"/>
            <w:noWrap/>
            <w:hideMark/>
          </w:tcPr>
          <w:p w14:paraId="652E5753" w14:textId="77777777" w:rsidR="00C45D59" w:rsidRDefault="009B0962">
            <w:pPr>
              <w:pStyle w:val="P68B1DB1-Normal12"/>
              <w:spacing w:after="0" w:line="240" w:lineRule="auto"/>
              <w:rPr>
                <w:rFonts w:eastAsia="Times New Roman"/>
                <w:noProof/>
              </w:rPr>
            </w:pPr>
            <w:r>
              <w:rPr>
                <w:noProof/>
              </w:rPr>
              <w:t>313</w:t>
            </w:r>
          </w:p>
        </w:tc>
        <w:tc>
          <w:tcPr>
            <w:tcW w:w="2298" w:type="dxa"/>
            <w:shd w:val="clear" w:color="auto" w:fill="C6EFCE"/>
            <w:noWrap/>
            <w:hideMark/>
          </w:tcPr>
          <w:p w14:paraId="3DD8FA1F" w14:textId="77777777" w:rsidR="00C45D59" w:rsidRDefault="009B0962">
            <w:pPr>
              <w:pStyle w:val="P68B1DB1-Normal12"/>
              <w:spacing w:after="0" w:line="240" w:lineRule="auto"/>
              <w:rPr>
                <w:rFonts w:eastAsia="Times New Roman"/>
                <w:noProof/>
              </w:rPr>
            </w:pPr>
            <w:r>
              <w:rPr>
                <w:noProof/>
              </w:rPr>
              <w:t> 17-4.6. Modernizarea și îmbunătățirea rezilienței sectoarelor economice esențiale – 16653_Transformarea digitală a sectorului agroalimentar</w:t>
            </w:r>
          </w:p>
        </w:tc>
        <w:tc>
          <w:tcPr>
            <w:tcW w:w="1589" w:type="dxa"/>
            <w:shd w:val="clear" w:color="auto" w:fill="C6EFCE"/>
            <w:noWrap/>
            <w:hideMark/>
          </w:tcPr>
          <w:p w14:paraId="4800517A" w14:textId="77777777" w:rsidR="00C45D59" w:rsidRDefault="009B0962">
            <w:pPr>
              <w:pStyle w:val="P68B1DB1-Normal12"/>
              <w:spacing w:after="0" w:line="240" w:lineRule="auto"/>
              <w:rPr>
                <w:rFonts w:eastAsia="Times New Roman"/>
                <w:noProof/>
              </w:rPr>
            </w:pPr>
            <w:r>
              <w:rPr>
                <w:noProof/>
              </w:rPr>
              <w:t>Etapă</w:t>
            </w:r>
          </w:p>
        </w:tc>
        <w:tc>
          <w:tcPr>
            <w:tcW w:w="1666" w:type="dxa"/>
            <w:shd w:val="clear" w:color="auto" w:fill="C6EFCE"/>
            <w:noWrap/>
            <w:hideMark/>
          </w:tcPr>
          <w:p w14:paraId="4F428378" w14:textId="77777777" w:rsidR="00C45D59" w:rsidRDefault="009B0962">
            <w:pPr>
              <w:pStyle w:val="P68B1DB1-Normal12"/>
              <w:spacing w:after="0" w:line="240" w:lineRule="auto"/>
              <w:rPr>
                <w:rFonts w:eastAsia="Times New Roman"/>
                <w:noProof/>
              </w:rPr>
            </w:pPr>
            <w:r>
              <w:rPr>
                <w:noProof/>
              </w:rPr>
              <w:t>Realizarea transformării digitale a proiectelor din sectorul agroalimentar</w:t>
            </w:r>
          </w:p>
        </w:tc>
        <w:tc>
          <w:tcPr>
            <w:tcW w:w="1704" w:type="dxa"/>
            <w:shd w:val="clear" w:color="auto" w:fill="C6EFCE"/>
            <w:noWrap/>
            <w:hideMark/>
          </w:tcPr>
          <w:p w14:paraId="45BA7DBE" w14:textId="77777777" w:rsidR="00C45D59" w:rsidRDefault="009B0962">
            <w:pPr>
              <w:pStyle w:val="P68B1DB1-Normal12"/>
              <w:spacing w:after="0" w:line="240" w:lineRule="auto"/>
              <w:rPr>
                <w:rFonts w:eastAsia="Times New Roman"/>
                <w:noProof/>
              </w:rPr>
            </w:pPr>
            <w:r>
              <w:rPr>
                <w:noProof/>
              </w:rPr>
              <w:t>Realizarea 1) transformării digitale a sectorului agricol și 2) proiectelor agricole orientate spre exterior</w:t>
            </w:r>
          </w:p>
        </w:tc>
        <w:tc>
          <w:tcPr>
            <w:tcW w:w="899" w:type="dxa"/>
            <w:shd w:val="clear" w:color="auto" w:fill="C6EFCE"/>
            <w:noWrap/>
            <w:hideMark/>
          </w:tcPr>
          <w:p w14:paraId="1E76B220"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57" w:type="dxa"/>
            <w:shd w:val="clear" w:color="auto" w:fill="C6EFCE"/>
            <w:noWrap/>
            <w:hideMark/>
          </w:tcPr>
          <w:p w14:paraId="4A9C2FC5"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587" w:type="dxa"/>
            <w:shd w:val="clear" w:color="auto" w:fill="C6EFCE"/>
            <w:noWrap/>
            <w:hideMark/>
          </w:tcPr>
          <w:p w14:paraId="64E1709B"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46" w:type="dxa"/>
            <w:shd w:val="clear" w:color="auto" w:fill="C6EFCE"/>
            <w:noWrap/>
            <w:hideMark/>
          </w:tcPr>
          <w:p w14:paraId="37A9D48F" w14:textId="77777777" w:rsidR="00C45D59" w:rsidRDefault="009B0962">
            <w:pPr>
              <w:pStyle w:val="P68B1DB1-Normal12"/>
              <w:spacing w:after="0" w:line="240" w:lineRule="auto"/>
              <w:rPr>
                <w:rFonts w:eastAsia="Times New Roman"/>
                <w:noProof/>
              </w:rPr>
            </w:pPr>
            <w:r>
              <w:rPr>
                <w:noProof/>
              </w:rPr>
              <w:t>Î4</w:t>
            </w:r>
          </w:p>
        </w:tc>
        <w:tc>
          <w:tcPr>
            <w:tcW w:w="687" w:type="dxa"/>
            <w:shd w:val="clear" w:color="auto" w:fill="C6EFCE"/>
            <w:noWrap/>
            <w:hideMark/>
          </w:tcPr>
          <w:p w14:paraId="094C3B28" w14:textId="77777777" w:rsidR="00C45D59" w:rsidRDefault="009B0962">
            <w:pPr>
              <w:pStyle w:val="P68B1DB1-Normal12"/>
              <w:spacing w:after="0" w:line="240" w:lineRule="auto"/>
              <w:rPr>
                <w:rFonts w:eastAsia="Times New Roman"/>
                <w:noProof/>
              </w:rPr>
            </w:pPr>
            <w:r>
              <w:rPr>
                <w:noProof/>
              </w:rPr>
              <w:t>2024 </w:t>
            </w:r>
          </w:p>
        </w:tc>
        <w:tc>
          <w:tcPr>
            <w:tcW w:w="4332" w:type="dxa"/>
            <w:shd w:val="clear" w:color="auto" w:fill="C6EFCE"/>
            <w:noWrap/>
            <w:hideMark/>
          </w:tcPr>
          <w:p w14:paraId="4C8632C4" w14:textId="77777777" w:rsidR="00C45D59" w:rsidRDefault="009B0962">
            <w:pPr>
              <w:pStyle w:val="P68B1DB1-Normal12"/>
              <w:spacing w:after="0" w:line="240" w:lineRule="auto"/>
              <w:rPr>
                <w:noProof/>
              </w:rPr>
            </w:pPr>
            <w:r>
              <w:rPr>
                <w:noProof/>
              </w:rPr>
              <w:t>Realizarea 1) transformării digitale a sectorului agricol și 2) proiectelor agricole orientate spre exterior.</w:t>
            </w:r>
          </w:p>
        </w:tc>
      </w:tr>
      <w:tr w:rsidR="00C45D59" w14:paraId="4A90AF16" w14:textId="77777777">
        <w:trPr>
          <w:trHeight w:val="309"/>
          <w:jc w:val="center"/>
        </w:trPr>
        <w:tc>
          <w:tcPr>
            <w:tcW w:w="786" w:type="dxa"/>
            <w:shd w:val="clear" w:color="auto" w:fill="C6EFCE"/>
            <w:noWrap/>
            <w:hideMark/>
          </w:tcPr>
          <w:p w14:paraId="3330F988" w14:textId="77777777" w:rsidR="00C45D59" w:rsidRDefault="009B0962">
            <w:pPr>
              <w:pStyle w:val="P68B1DB1-Normal12"/>
              <w:spacing w:line="240" w:lineRule="auto"/>
              <w:rPr>
                <w:noProof/>
              </w:rPr>
            </w:pPr>
            <w:r>
              <w:rPr>
                <w:noProof/>
              </w:rPr>
              <w:t>313a</w:t>
            </w:r>
          </w:p>
        </w:tc>
        <w:tc>
          <w:tcPr>
            <w:tcW w:w="2298" w:type="dxa"/>
            <w:shd w:val="clear" w:color="auto" w:fill="C6EFCE"/>
            <w:noWrap/>
            <w:hideMark/>
          </w:tcPr>
          <w:p w14:paraId="78E1B0B1" w14:textId="77777777" w:rsidR="00C45D59" w:rsidRDefault="009B0962">
            <w:pPr>
              <w:pStyle w:val="P68B1DB1-Normal12"/>
              <w:spacing w:line="240" w:lineRule="auto"/>
              <w:rPr>
                <w:rFonts w:eastAsia="Times New Roman"/>
                <w:noProof/>
              </w:rPr>
            </w:pPr>
            <w:r>
              <w:rPr>
                <w:noProof/>
              </w:rPr>
              <w:t>17-4.6. Modernizarea și îmbunătățirea rezilienței sectoarelor economice esențiale – 16653_Transformarea digitală a sectorului agroalimentar</w:t>
            </w:r>
          </w:p>
        </w:tc>
        <w:tc>
          <w:tcPr>
            <w:tcW w:w="1589" w:type="dxa"/>
            <w:shd w:val="clear" w:color="auto" w:fill="C6EFCE"/>
            <w:noWrap/>
            <w:hideMark/>
          </w:tcPr>
          <w:p w14:paraId="054471C9" w14:textId="77777777" w:rsidR="00C45D59" w:rsidRDefault="009B0962">
            <w:pPr>
              <w:pStyle w:val="P68B1DB1-Normal12"/>
              <w:spacing w:after="0" w:line="240" w:lineRule="auto"/>
              <w:rPr>
                <w:rFonts w:eastAsia="Times New Roman"/>
                <w:noProof/>
              </w:rPr>
            </w:pPr>
            <w:r>
              <w:rPr>
                <w:noProof/>
              </w:rPr>
              <w:t>Etapă</w:t>
            </w:r>
          </w:p>
        </w:tc>
        <w:tc>
          <w:tcPr>
            <w:tcW w:w="1666" w:type="dxa"/>
            <w:shd w:val="clear" w:color="auto" w:fill="C6EFCE"/>
            <w:noWrap/>
            <w:hideMark/>
          </w:tcPr>
          <w:p w14:paraId="2DCDECAF" w14:textId="77777777" w:rsidR="00C45D59" w:rsidRDefault="009B0962">
            <w:pPr>
              <w:pStyle w:val="P68B1DB1-Normal12"/>
              <w:spacing w:after="0" w:line="240" w:lineRule="auto"/>
              <w:rPr>
                <w:rFonts w:eastAsia="Times New Roman"/>
                <w:noProof/>
              </w:rPr>
            </w:pPr>
            <w:r>
              <w:rPr>
                <w:noProof/>
              </w:rPr>
              <w:t>Realizarea transformării digitale a proiectelor din sectorul agroalimentar</w:t>
            </w:r>
          </w:p>
        </w:tc>
        <w:tc>
          <w:tcPr>
            <w:tcW w:w="1704" w:type="dxa"/>
            <w:shd w:val="clear" w:color="auto" w:fill="C6EFCE"/>
            <w:noWrap/>
            <w:hideMark/>
          </w:tcPr>
          <w:p w14:paraId="4FFDC60C" w14:textId="77777777" w:rsidR="00C45D59" w:rsidRDefault="009B0962">
            <w:pPr>
              <w:pStyle w:val="P68B1DB1-Normal12"/>
              <w:spacing w:line="240" w:lineRule="auto"/>
              <w:rPr>
                <w:noProof/>
              </w:rPr>
            </w:pPr>
            <w:r>
              <w:rPr>
                <w:noProof/>
              </w:rPr>
              <w:t>Realizarea extinderii proiectului „Transformarea digitală a sectorului agricol”</w:t>
            </w:r>
          </w:p>
        </w:tc>
        <w:tc>
          <w:tcPr>
            <w:tcW w:w="899" w:type="dxa"/>
            <w:shd w:val="clear" w:color="auto" w:fill="C6EFCE"/>
            <w:noWrap/>
            <w:hideMark/>
          </w:tcPr>
          <w:p w14:paraId="55A39758" w14:textId="77777777" w:rsidR="00C45D59" w:rsidRDefault="00C45D59">
            <w:pPr>
              <w:spacing w:line="240" w:lineRule="auto"/>
              <w:rPr>
                <w:rFonts w:ascii="Times New Roman" w:eastAsia="Times New Roman" w:hAnsi="Times New Roman" w:cs="Times New Roman"/>
                <w:noProof/>
                <w:color w:val="006100"/>
                <w:sz w:val="18"/>
                <w:szCs w:val="18"/>
              </w:rPr>
            </w:pPr>
          </w:p>
        </w:tc>
        <w:tc>
          <w:tcPr>
            <w:tcW w:w="857" w:type="dxa"/>
            <w:shd w:val="clear" w:color="auto" w:fill="C6EFCE"/>
            <w:noWrap/>
            <w:hideMark/>
          </w:tcPr>
          <w:p w14:paraId="7FF1F4C4" w14:textId="77777777" w:rsidR="00C45D59" w:rsidRDefault="00C45D59">
            <w:pPr>
              <w:spacing w:line="240" w:lineRule="auto"/>
              <w:rPr>
                <w:rFonts w:ascii="Times New Roman" w:eastAsia="Times New Roman" w:hAnsi="Times New Roman" w:cs="Times New Roman"/>
                <w:noProof/>
                <w:color w:val="006100"/>
                <w:sz w:val="18"/>
                <w:szCs w:val="18"/>
              </w:rPr>
            </w:pPr>
          </w:p>
        </w:tc>
        <w:tc>
          <w:tcPr>
            <w:tcW w:w="587" w:type="dxa"/>
            <w:shd w:val="clear" w:color="auto" w:fill="C6EFCE"/>
            <w:noWrap/>
            <w:hideMark/>
          </w:tcPr>
          <w:p w14:paraId="0047EF54" w14:textId="77777777" w:rsidR="00C45D59" w:rsidRDefault="00C45D59">
            <w:pPr>
              <w:spacing w:line="240" w:lineRule="auto"/>
              <w:rPr>
                <w:rFonts w:ascii="Times New Roman" w:eastAsia="Times New Roman" w:hAnsi="Times New Roman" w:cs="Times New Roman"/>
                <w:noProof/>
                <w:color w:val="006100"/>
                <w:sz w:val="18"/>
                <w:szCs w:val="18"/>
              </w:rPr>
            </w:pPr>
          </w:p>
        </w:tc>
        <w:tc>
          <w:tcPr>
            <w:tcW w:w="846" w:type="dxa"/>
            <w:shd w:val="clear" w:color="auto" w:fill="C6EFCE"/>
            <w:noWrap/>
            <w:hideMark/>
          </w:tcPr>
          <w:p w14:paraId="62B52130" w14:textId="77777777" w:rsidR="00C45D59" w:rsidRDefault="009B0962">
            <w:pPr>
              <w:pStyle w:val="P68B1DB1-Normal12"/>
              <w:spacing w:line="240" w:lineRule="auto"/>
              <w:rPr>
                <w:noProof/>
              </w:rPr>
            </w:pPr>
            <w:r>
              <w:rPr>
                <w:noProof/>
              </w:rPr>
              <w:t>Î4</w:t>
            </w:r>
          </w:p>
        </w:tc>
        <w:tc>
          <w:tcPr>
            <w:tcW w:w="687" w:type="dxa"/>
            <w:shd w:val="clear" w:color="auto" w:fill="C6EFCE"/>
            <w:noWrap/>
            <w:hideMark/>
          </w:tcPr>
          <w:p w14:paraId="59C706B4" w14:textId="77777777" w:rsidR="00C45D59" w:rsidRDefault="009B0962">
            <w:pPr>
              <w:pStyle w:val="P68B1DB1-Normal12"/>
              <w:spacing w:line="240" w:lineRule="auto"/>
              <w:rPr>
                <w:noProof/>
              </w:rPr>
            </w:pPr>
            <w:r>
              <w:rPr>
                <w:noProof/>
              </w:rPr>
              <w:t>2025</w:t>
            </w:r>
          </w:p>
        </w:tc>
        <w:tc>
          <w:tcPr>
            <w:tcW w:w="4332" w:type="dxa"/>
            <w:shd w:val="clear" w:color="auto" w:fill="C6EFCE"/>
            <w:noWrap/>
            <w:hideMark/>
          </w:tcPr>
          <w:p w14:paraId="43590E91" w14:textId="77777777" w:rsidR="00C45D59" w:rsidRDefault="009B0962">
            <w:pPr>
              <w:pStyle w:val="P68B1DB1-Normal12"/>
              <w:spacing w:line="240" w:lineRule="auto"/>
              <w:jc w:val="both"/>
              <w:rPr>
                <w:noProof/>
              </w:rPr>
            </w:pPr>
            <w:r>
              <w:rPr>
                <w:noProof/>
              </w:rPr>
              <w:t>Realizarea extinderii transformării digitale a sectorului agricol.</w:t>
            </w:r>
          </w:p>
        </w:tc>
      </w:tr>
      <w:tr w:rsidR="00C45D59" w14:paraId="3F62D974" w14:textId="77777777">
        <w:trPr>
          <w:trHeight w:val="309"/>
          <w:jc w:val="center"/>
        </w:trPr>
        <w:tc>
          <w:tcPr>
            <w:tcW w:w="786" w:type="dxa"/>
            <w:shd w:val="clear" w:color="auto" w:fill="C6EFCE"/>
            <w:noWrap/>
            <w:hideMark/>
          </w:tcPr>
          <w:p w14:paraId="2B99B3BD" w14:textId="77777777" w:rsidR="00C45D59" w:rsidRDefault="009B0962">
            <w:pPr>
              <w:pStyle w:val="P68B1DB1-Normal12"/>
              <w:spacing w:after="0" w:line="240" w:lineRule="auto"/>
              <w:rPr>
                <w:rFonts w:eastAsia="Times New Roman"/>
                <w:noProof/>
              </w:rPr>
            </w:pPr>
            <w:r>
              <w:rPr>
                <w:noProof/>
              </w:rPr>
              <w:t>314</w:t>
            </w:r>
          </w:p>
        </w:tc>
        <w:tc>
          <w:tcPr>
            <w:tcW w:w="2298" w:type="dxa"/>
            <w:shd w:val="clear" w:color="auto" w:fill="C6EFCE"/>
            <w:noWrap/>
            <w:hideMark/>
          </w:tcPr>
          <w:p w14:paraId="42911DD8" w14:textId="77777777" w:rsidR="00C45D59" w:rsidRDefault="009B0962">
            <w:pPr>
              <w:pStyle w:val="P68B1DB1-Normal12"/>
              <w:spacing w:after="0" w:line="240" w:lineRule="auto"/>
              <w:rPr>
                <w:rFonts w:eastAsia="Times New Roman"/>
                <w:noProof/>
              </w:rPr>
            </w:pPr>
            <w:r>
              <w:rPr>
                <w:noProof/>
              </w:rPr>
              <w:t>17-4.6. Modernizarea și îmbunătățirea rezilienței sectoarelor economice esențiale – 16626_Transformarea economică a sectoarelor agricol și de acvacultură</w:t>
            </w:r>
          </w:p>
        </w:tc>
        <w:tc>
          <w:tcPr>
            <w:tcW w:w="1589" w:type="dxa"/>
            <w:shd w:val="clear" w:color="auto" w:fill="C6EFCE"/>
            <w:noWrap/>
            <w:hideMark/>
          </w:tcPr>
          <w:p w14:paraId="5432CC8C" w14:textId="77777777" w:rsidR="00C45D59" w:rsidRDefault="009B0962">
            <w:pPr>
              <w:pStyle w:val="P68B1DB1-Normal12"/>
              <w:spacing w:after="0" w:line="240" w:lineRule="auto"/>
              <w:rPr>
                <w:rFonts w:eastAsia="Times New Roman"/>
                <w:noProof/>
              </w:rPr>
            </w:pPr>
            <w:r>
              <w:rPr>
                <w:noProof/>
              </w:rPr>
              <w:t>Etapă</w:t>
            </w:r>
          </w:p>
        </w:tc>
        <w:tc>
          <w:tcPr>
            <w:tcW w:w="1666" w:type="dxa"/>
            <w:shd w:val="clear" w:color="auto" w:fill="C6EFCE"/>
            <w:noWrap/>
            <w:hideMark/>
          </w:tcPr>
          <w:p w14:paraId="3BDDF1F9" w14:textId="5D4A66D0" w:rsidR="00C45D59" w:rsidRDefault="009B0962">
            <w:pPr>
              <w:pStyle w:val="P68B1DB1-Normal12"/>
              <w:spacing w:after="0" w:line="240" w:lineRule="auto"/>
              <w:rPr>
                <w:rFonts w:eastAsia="Times New Roman"/>
                <w:noProof/>
              </w:rPr>
            </w:pPr>
            <w:r>
              <w:rPr>
                <w:noProof/>
              </w:rPr>
              <w:t>Realizarea transformării economice a proiectelor din domeniul agriculturii și acvaculturii</w:t>
            </w:r>
          </w:p>
        </w:tc>
        <w:tc>
          <w:tcPr>
            <w:tcW w:w="1704" w:type="dxa"/>
            <w:shd w:val="clear" w:color="auto" w:fill="C6EFCE"/>
            <w:noWrap/>
            <w:hideMark/>
          </w:tcPr>
          <w:p w14:paraId="4C98B280" w14:textId="2F5C4344" w:rsidR="00C45D59" w:rsidRDefault="009B0962">
            <w:pPr>
              <w:pStyle w:val="P68B1DB1-Normal12"/>
              <w:spacing w:after="0" w:line="240" w:lineRule="auto"/>
              <w:rPr>
                <w:rFonts w:eastAsia="Times New Roman"/>
                <w:noProof/>
              </w:rPr>
            </w:pPr>
            <w:r>
              <w:rPr>
                <w:noProof/>
              </w:rPr>
              <w:t>Raport de certificare pentru verificarea execuției proiectului</w:t>
            </w:r>
          </w:p>
        </w:tc>
        <w:tc>
          <w:tcPr>
            <w:tcW w:w="899" w:type="dxa"/>
            <w:shd w:val="clear" w:color="auto" w:fill="C6EFCE"/>
            <w:noWrap/>
            <w:hideMark/>
          </w:tcPr>
          <w:p w14:paraId="1904B890"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57" w:type="dxa"/>
            <w:shd w:val="clear" w:color="auto" w:fill="C6EFCE"/>
            <w:noWrap/>
            <w:hideMark/>
          </w:tcPr>
          <w:p w14:paraId="65291A8B"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587" w:type="dxa"/>
            <w:shd w:val="clear" w:color="auto" w:fill="C6EFCE"/>
            <w:noWrap/>
            <w:hideMark/>
          </w:tcPr>
          <w:p w14:paraId="74EC231B"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46" w:type="dxa"/>
            <w:shd w:val="clear" w:color="auto" w:fill="C6EFCE"/>
            <w:noWrap/>
            <w:hideMark/>
          </w:tcPr>
          <w:p w14:paraId="220BB022" w14:textId="77777777" w:rsidR="00C45D59" w:rsidRDefault="009B0962">
            <w:pPr>
              <w:pStyle w:val="P68B1DB1-Normal12"/>
              <w:spacing w:after="0" w:line="240" w:lineRule="auto"/>
              <w:rPr>
                <w:rFonts w:eastAsia="Times New Roman"/>
                <w:noProof/>
              </w:rPr>
            </w:pPr>
            <w:r>
              <w:rPr>
                <w:noProof/>
              </w:rPr>
              <w:t>Î4</w:t>
            </w:r>
          </w:p>
        </w:tc>
        <w:tc>
          <w:tcPr>
            <w:tcW w:w="687" w:type="dxa"/>
            <w:shd w:val="clear" w:color="auto" w:fill="C6EFCE"/>
            <w:noWrap/>
            <w:hideMark/>
          </w:tcPr>
          <w:p w14:paraId="3570BC6D" w14:textId="77777777" w:rsidR="00C45D59" w:rsidRDefault="009B0962">
            <w:pPr>
              <w:pStyle w:val="P68B1DB1-Normal12"/>
              <w:spacing w:after="0" w:line="240" w:lineRule="auto"/>
              <w:rPr>
                <w:rFonts w:eastAsia="Times New Roman"/>
                <w:noProof/>
              </w:rPr>
            </w:pPr>
            <w:r>
              <w:rPr>
                <w:noProof/>
              </w:rPr>
              <w:t>2025</w:t>
            </w:r>
          </w:p>
        </w:tc>
        <w:tc>
          <w:tcPr>
            <w:tcW w:w="4332" w:type="dxa"/>
            <w:shd w:val="clear" w:color="auto" w:fill="C6EFCE"/>
            <w:noWrap/>
            <w:hideMark/>
          </w:tcPr>
          <w:p w14:paraId="40F984A7" w14:textId="261DB79A" w:rsidR="00C45D59" w:rsidRDefault="009B0962">
            <w:pPr>
              <w:pStyle w:val="P68B1DB1-Normal12"/>
              <w:spacing w:before="120" w:after="0" w:line="240" w:lineRule="auto"/>
              <w:jc w:val="both"/>
              <w:rPr>
                <w:noProof/>
              </w:rPr>
            </w:pPr>
            <w:r>
              <w:rPr>
                <w:noProof/>
              </w:rPr>
              <w:t xml:space="preserve">225 de proiecte executate </w:t>
            </w:r>
          </w:p>
        </w:tc>
      </w:tr>
    </w:tbl>
    <w:p w14:paraId="4E3D085D" w14:textId="77777777" w:rsidR="00C45D59" w:rsidRDefault="00C45D59">
      <w:pPr>
        <w:spacing w:before="120" w:after="120" w:line="240" w:lineRule="auto"/>
        <w:ind w:left="709"/>
        <w:jc w:val="both"/>
        <w:rPr>
          <w:rFonts w:ascii="Times New Roman" w:hAnsi="Times New Roman" w:cs="Times New Roman"/>
          <w:noProof/>
          <w:sz w:val="24"/>
          <w:szCs w:val="24"/>
        </w:rPr>
      </w:pPr>
    </w:p>
    <w:p w14:paraId="1676ADBB" w14:textId="77777777" w:rsidR="00C45D59" w:rsidRDefault="00C45D59">
      <w:pPr>
        <w:spacing w:before="120" w:after="120" w:line="240" w:lineRule="auto"/>
        <w:ind w:left="709"/>
        <w:jc w:val="both"/>
        <w:rPr>
          <w:rFonts w:ascii="Times New Roman" w:hAnsi="Times New Roman" w:cs="Times New Roman"/>
          <w:noProof/>
          <w:sz w:val="24"/>
        </w:rPr>
        <w:sectPr w:rsidR="00C45D59">
          <w:headerReference w:type="even" r:id="rId348"/>
          <w:headerReference w:type="default" r:id="rId349"/>
          <w:footerReference w:type="even" r:id="rId350"/>
          <w:footerReference w:type="default" r:id="rId351"/>
          <w:headerReference w:type="first" r:id="rId352"/>
          <w:footerReference w:type="first" r:id="rId353"/>
          <w:pgSz w:w="16839" w:h="11907" w:orient="landscape"/>
          <w:pgMar w:top="1134" w:right="1134" w:bottom="1134" w:left="1134" w:header="567" w:footer="567" w:gutter="0"/>
          <w:cols w:space="720"/>
          <w:docGrid w:linePitch="360"/>
        </w:sectPr>
      </w:pPr>
    </w:p>
    <w:p w14:paraId="61F39F85" w14:textId="77777777" w:rsidR="00C45D59" w:rsidRDefault="009B0962">
      <w:pPr>
        <w:pStyle w:val="P68B1DB1-Normal17"/>
        <w:spacing w:before="120" w:after="120" w:line="240" w:lineRule="auto"/>
        <w:ind w:firstLine="6"/>
        <w:jc w:val="both"/>
        <w:outlineLvl w:val="3"/>
        <w:rPr>
          <w:rFonts w:cs="Times New Roman"/>
          <w:bCs/>
          <w:noProof/>
        </w:rPr>
      </w:pPr>
      <w:r>
        <w:rPr>
          <w:noProof/>
        </w:rPr>
        <w:t>R. COMPONENTA 4.7: ÎMBUNĂTĂȚIREA COMPETITIVITĂȚII ȘI PROMOVAREA INVESTIȚIILOR PRIVATE ȘI A EXPORTURILOR</w:t>
      </w:r>
    </w:p>
    <w:p w14:paraId="5A3BA12F" w14:textId="77777777" w:rsidR="00C45D59" w:rsidRDefault="009B0962">
      <w:pPr>
        <w:pStyle w:val="P68B1DB1-Normal5"/>
        <w:spacing w:before="120" w:after="120" w:line="240" w:lineRule="auto"/>
        <w:jc w:val="both"/>
        <w:rPr>
          <w:rFonts w:cs="Times New Roman"/>
          <w:noProof/>
        </w:rPr>
      </w:pPr>
      <w:r>
        <w:rPr>
          <w:noProof/>
        </w:rPr>
        <w:t>Această componentă a planului de redresare și reziliență al Greciei urmărește să stimuleze investițiile private și să sporească expansiunea economică prin abordarea problemelor structurale pe termen lung și prin crearea unui mediu de afaceri favorabil dezvoltării activității economice. Aceasta constă în măsuri de încurajare a creșterii dimensiunii întreprinderilor pentru a realiza economii de scară și pentru a le ajuta să pătrundă pe piețele străine, să elimine sarcinile administrative excesive pentru întreprinderi, să promoveze conformitatea și condiții de concurență echitabile printr-o supraveghere eficace a pieței și să creeze un cadru de reglementare mai simplu și mai previzibil. Aceste măsuri sunt completate de propunerea de a utiliza sprijinul sub formă de împrumut în cadrul Mecanismului de redresare și reziliență pentru a facilita furnizarea de stimulente financiare sectorului privat, cu scopul de a promova investițiile private. Se preconizează că acest sprijin sub formă de împrumut va fi direcționat către economie prin trei canale diferite, și anume instituțiile financiare (prin achiziții de obligațiuni corporative sau împrumuturi sindicalizate), o platformă de capitaluri proprii și utilizarea unei părți din compartimentul național InvestEU al Greciei. Componenta sprijină abordarea recomandării specifice fiecărei țări privind investițiile publice și private (Recomandarea specifică fiecărei țări 3 2020 și Recomandarea specifică fiecărei țări 2 2019). Se preconizează că nicio măsură din cadrul acestei componente nu prejudiciază în mod semnificativ obiectivele de mediu în sensul articolului 17 din Regulamentul (UE) 2020/852, ținând seama de descrierea măsurilor și a etapelor de atenuare prevăzute în planul de redresare și reziliență în conformitate cu Orientările tehnice privind aplicarea principiului de „a nu prejudicia în mod semnificativ” (2021/C58/01).</w:t>
      </w:r>
    </w:p>
    <w:p w14:paraId="3CA3692F" w14:textId="77777777" w:rsidR="00C45D59" w:rsidRDefault="009B0962">
      <w:pPr>
        <w:pStyle w:val="P68B1DB1-Normal6"/>
        <w:spacing w:before="120" w:after="120" w:line="240" w:lineRule="auto"/>
        <w:jc w:val="both"/>
        <w:rPr>
          <w:rFonts w:cs="Times New Roman"/>
          <w:i/>
          <w:noProof/>
          <w:color w:val="4F81BD"/>
        </w:rPr>
      </w:pPr>
      <w:r>
        <w:rPr>
          <w:noProof/>
        </w:rPr>
        <w:t>R.1. Descrierea reformelor și a investițiilor pentru sprijinul financiar nerambursabil</w:t>
      </w:r>
    </w:p>
    <w:p w14:paraId="6406F322" w14:textId="77777777" w:rsidR="00C45D59" w:rsidRDefault="009B0962">
      <w:pPr>
        <w:pStyle w:val="P68B1DB1-Normal7"/>
        <w:spacing w:before="120" w:after="120" w:line="240" w:lineRule="auto"/>
        <w:jc w:val="both"/>
        <w:rPr>
          <w:rFonts w:cs="Times New Roman"/>
          <w:noProof/>
        </w:rPr>
      </w:pPr>
      <w:r>
        <w:rPr>
          <w:b/>
          <w:noProof/>
        </w:rPr>
        <w:t>Reformă:</w:t>
      </w:r>
      <w:r>
        <w:rPr>
          <w:noProof/>
        </w:rPr>
        <w:t xml:space="preserve"> Acțiuni de simplificare a mediului de afaceri și de îmbunătățire a calității și siguranței acestuia (măsura ID 16543)</w:t>
      </w:r>
    </w:p>
    <w:p w14:paraId="79AA4EFE" w14:textId="01BEBDB3" w:rsidR="00C45D59" w:rsidRDefault="009B0962">
      <w:pPr>
        <w:pStyle w:val="P68B1DB1-Normal7"/>
        <w:spacing w:before="120" w:after="120" w:line="240" w:lineRule="auto"/>
        <w:jc w:val="both"/>
        <w:rPr>
          <w:noProof/>
        </w:rPr>
      </w:pPr>
      <w:r>
        <w:rPr>
          <w:noProof/>
        </w:rPr>
        <w:t xml:space="preserve">Obiectivul reformei este de a face mediul de afaceri mai favorabil investițiilor, de a facilita intrarea pe piață a întreprinderilor și crearea de locuri de muncă, precum și de a asigura o supraveghere eficace a pieței. Reforma cuprinde intervenții de reglementare și administrative menite să simplifice procedurile și cerințele legate de activitatea economică, să faciliteze securitatea în materie de reglementare și să abordeze lacunele din cadrul de supraveghere a pieței. </w:t>
      </w:r>
    </w:p>
    <w:p w14:paraId="15A558D7" w14:textId="77777777" w:rsidR="00C45D59" w:rsidRDefault="009B0962">
      <w:pPr>
        <w:pStyle w:val="P68B1DB1-Normal7"/>
        <w:spacing w:before="120" w:after="120" w:line="240" w:lineRule="auto"/>
        <w:jc w:val="both"/>
        <w:rPr>
          <w:rFonts w:cs="Times New Roman"/>
          <w:noProof/>
        </w:rPr>
      </w:pPr>
      <w:r>
        <w:rPr>
          <w:b/>
          <w:noProof/>
        </w:rPr>
        <w:t>Reformă:</w:t>
      </w:r>
      <w:r>
        <w:rPr>
          <w:noProof/>
        </w:rPr>
        <w:t xml:space="preserve"> Ușurința desfășurării activității (măsura ID 16591)</w:t>
      </w:r>
    </w:p>
    <w:p w14:paraId="2B977AF7" w14:textId="77777777" w:rsidR="00C45D59" w:rsidRDefault="009B0962">
      <w:pPr>
        <w:pStyle w:val="P68B1DB1-Normal5"/>
        <w:spacing w:before="120" w:after="120" w:line="240" w:lineRule="auto"/>
        <w:jc w:val="both"/>
        <w:rPr>
          <w:noProof/>
        </w:rPr>
      </w:pPr>
      <w:r>
        <w:rPr>
          <w:noProof/>
        </w:rPr>
        <w:t>Reforma urmărește să îmbunătățească mediul de afaceri și să reducă sarcina administrativă și de reglementare pentru întreprinderi. Reforma urmărește, de asemenea, să îmbunătățească poziția Greciei în ceea ce privește indicatorii internaționali, în special inițiativa „Doing Business” a Băncii Mondiale, și anume obținerea de credite, obținerea de energie electrică, înregistrarea proprietăților și obținerea unei autorizații de construcție, prin reducerea procedurilor, a timpului și a costurilor și prin asigurarea unui cadru legislativ stabil și previzibil. Mai precis, aceasta cuprinde o serie de intervenții menite să reducă complexitatea proceselor, costurile și timpul implicate în fiecare dintre domeniile menționate mai sus, precum și formarea personalului din sectorul public implicat în astfel de procese și activități de informare a principalelor părți interesate. Punerea în aplicare a reformei se finalizează până la 30 iunie 2024.</w:t>
      </w:r>
    </w:p>
    <w:p w14:paraId="6253AC6E" w14:textId="32DEE22C" w:rsidR="00C45D59" w:rsidRDefault="009B0962">
      <w:pPr>
        <w:pStyle w:val="P68B1DB1-Normal5"/>
        <w:spacing w:before="120" w:after="120" w:line="240" w:lineRule="auto"/>
        <w:jc w:val="both"/>
        <w:rPr>
          <w:rFonts w:cs="Times New Roman"/>
          <w:noProof/>
        </w:rPr>
      </w:pPr>
      <w:r>
        <w:rPr>
          <w:b/>
          <w:noProof/>
        </w:rPr>
        <w:t>Reformă:</w:t>
      </w:r>
      <w:r>
        <w:rPr>
          <w:noProof/>
        </w:rPr>
        <w:t xml:space="preserve"> Regimul de stimulare a productivității și a extinderii întreprinderilor (creșterea dimensiunii întreprinderilor) (măsura ID 16598)</w:t>
      </w:r>
    </w:p>
    <w:p w14:paraId="21CB585A" w14:textId="6D552C6C" w:rsidR="00C45D59" w:rsidRDefault="009B0962">
      <w:pPr>
        <w:pStyle w:val="P68B1DB1-Normal5"/>
        <w:spacing w:before="120" w:after="120" w:line="240" w:lineRule="auto"/>
        <w:jc w:val="both"/>
        <w:rPr>
          <w:rFonts w:cs="Times New Roman"/>
          <w:noProof/>
        </w:rPr>
      </w:pPr>
      <w:r>
        <w:rPr>
          <w:noProof/>
        </w:rPr>
        <w:t>Reforma urmărește să abordeze deficiențele asociate cu dimensiunea predominant mică a întreprinderilor elene. Aceasta creează o serie de stimulente fiscale și de altă natură pentru a încuraja persoanele care desfășoară o activitate independentă, precum și microîntreprinderile și întreprinderile mici și mijlocii să își sporească economiile de scară prin fuziuni, transformări, achiziții și sisteme și platforme de cooperare, cum ar fi întreprinderile comune și clusterele, care promovează, de asemenea, o productivitate mai mare și creșterea exporturilor. Punerea în aplicare a reformei se finalizează până la 31 martie 2022.</w:t>
      </w:r>
    </w:p>
    <w:p w14:paraId="11092AA6" w14:textId="77777777" w:rsidR="00C45D59" w:rsidRDefault="00C45D59">
      <w:pPr>
        <w:spacing w:before="120" w:after="120" w:line="240" w:lineRule="auto"/>
        <w:ind w:left="709"/>
        <w:jc w:val="both"/>
        <w:rPr>
          <w:rFonts w:ascii="Times New Roman" w:hAnsi="Times New Roman" w:cs="Times New Roman"/>
          <w:noProof/>
          <w:sz w:val="24"/>
        </w:rPr>
        <w:sectPr w:rsidR="00C45D59">
          <w:headerReference w:type="even" r:id="rId354"/>
          <w:headerReference w:type="default" r:id="rId355"/>
          <w:footerReference w:type="even" r:id="rId356"/>
          <w:footerReference w:type="default" r:id="rId357"/>
          <w:headerReference w:type="first" r:id="rId358"/>
          <w:footerReference w:type="first" r:id="rId359"/>
          <w:pgSz w:w="11907" w:h="16839"/>
          <w:pgMar w:top="1134" w:right="1134" w:bottom="1134" w:left="1134" w:header="567" w:footer="567" w:gutter="0"/>
          <w:cols w:space="720"/>
          <w:docGrid w:linePitch="360"/>
        </w:sectPr>
      </w:pPr>
    </w:p>
    <w:p w14:paraId="27B5CD64" w14:textId="77777777" w:rsidR="00C45D59" w:rsidRDefault="009B0962">
      <w:pPr>
        <w:pStyle w:val="P68B1DB1-Normal6"/>
        <w:spacing w:before="120" w:after="120" w:line="240" w:lineRule="auto"/>
        <w:jc w:val="both"/>
        <w:rPr>
          <w:rFonts w:cs="Times New Roman"/>
          <w:noProof/>
        </w:rPr>
      </w:pPr>
      <w:r>
        <w:rPr>
          <w:noProof/>
        </w:rPr>
        <w:t>R.2. Jaloane, ținte, indicatori și calendarul de monitorizare și implementare aplicabile sprijinului financiar nerambursabil</w:t>
      </w:r>
    </w:p>
    <w:p w14:paraId="049539D1" w14:textId="77777777" w:rsidR="00C45D59" w:rsidRDefault="009B0962">
      <w:pPr>
        <w:pStyle w:val="P68B1DB1-Normal9"/>
        <w:keepNext/>
        <w:keepLines/>
        <w:spacing w:before="40" w:after="0" w:line="240" w:lineRule="auto"/>
        <w:jc w:val="both"/>
        <w:outlineLvl w:val="4"/>
        <w:rPr>
          <w:rFonts w:eastAsia="Times New Roman"/>
          <w:noProof/>
          <w:szCs w:val="24"/>
        </w:rPr>
      </w:pPr>
      <w:r>
        <w:rPr>
          <w:noProof/>
        </w:rPr>
        <w:t>Reforma cheie 10: Acțiuni de simplificare a mediului de afaceri și de îmbunătățire a calității și siguranței acestuia – Echitatea desfășurării activității</w:t>
      </w:r>
    </w:p>
    <w:tbl>
      <w:tblPr>
        <w:tblW w:w="15567"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4A0" w:firstRow="1" w:lastRow="0" w:firstColumn="1" w:lastColumn="0" w:noHBand="0" w:noVBand="1"/>
      </w:tblPr>
      <w:tblGrid>
        <w:gridCol w:w="684"/>
        <w:gridCol w:w="1680"/>
        <w:gridCol w:w="1376"/>
        <w:gridCol w:w="1592"/>
        <w:gridCol w:w="1694"/>
        <w:gridCol w:w="983"/>
        <w:gridCol w:w="896"/>
        <w:gridCol w:w="866"/>
        <w:gridCol w:w="1006"/>
        <w:gridCol w:w="707"/>
        <w:gridCol w:w="4449"/>
      </w:tblGrid>
      <w:tr w:rsidR="00C45D59" w14:paraId="006DE12F" w14:textId="77777777">
        <w:trPr>
          <w:trHeight w:val="685"/>
          <w:tblHeader/>
          <w:jc w:val="center"/>
        </w:trPr>
        <w:tc>
          <w:tcPr>
            <w:tcW w:w="684" w:type="dxa"/>
            <w:vMerge w:val="restart"/>
            <w:shd w:val="clear" w:color="auto" w:fill="BDD7EE"/>
            <w:vAlign w:val="center"/>
            <w:hideMark/>
          </w:tcPr>
          <w:p w14:paraId="6BD7BB26" w14:textId="66CA3B95" w:rsidR="00C45D59" w:rsidRDefault="00097639">
            <w:pPr>
              <w:pStyle w:val="P68B1DB1-Normal10"/>
              <w:spacing w:after="0" w:line="240" w:lineRule="auto"/>
              <w:jc w:val="center"/>
              <w:rPr>
                <w:rFonts w:eastAsia="Times New Roman" w:cs="Times New Roman"/>
                <w:bCs/>
                <w:noProof/>
                <w:szCs w:val="18"/>
              </w:rPr>
            </w:pPr>
            <w:r>
              <w:rPr>
                <w:noProof/>
              </w:rPr>
              <w:t xml:space="preserve">Nr. crt. </w:t>
            </w:r>
          </w:p>
        </w:tc>
        <w:tc>
          <w:tcPr>
            <w:tcW w:w="1680" w:type="dxa"/>
            <w:vMerge w:val="restart"/>
            <w:shd w:val="clear" w:color="auto" w:fill="BDD7EE"/>
            <w:vAlign w:val="center"/>
            <w:hideMark/>
          </w:tcPr>
          <w:p w14:paraId="4E3391CC" w14:textId="77777777" w:rsidR="00C45D59" w:rsidRDefault="009B0962">
            <w:pPr>
              <w:pStyle w:val="P68B1DB1-Normal10"/>
              <w:spacing w:after="0" w:line="240" w:lineRule="auto"/>
              <w:jc w:val="center"/>
              <w:rPr>
                <w:rFonts w:eastAsia="Times New Roman" w:cs="Times New Roman"/>
                <w:bCs/>
                <w:noProof/>
                <w:szCs w:val="18"/>
              </w:rPr>
            </w:pPr>
            <w:r>
              <w:rPr>
                <w:noProof/>
              </w:rPr>
              <w:t>Măsură conexă (reformă sau investiții)</w:t>
            </w:r>
          </w:p>
        </w:tc>
        <w:tc>
          <w:tcPr>
            <w:tcW w:w="1107" w:type="dxa"/>
            <w:vMerge w:val="restart"/>
            <w:shd w:val="clear" w:color="auto" w:fill="BDD7EE"/>
            <w:vAlign w:val="center"/>
            <w:hideMark/>
          </w:tcPr>
          <w:p w14:paraId="2B6D15A7" w14:textId="77777777" w:rsidR="00C45D59" w:rsidRDefault="009B0962">
            <w:pPr>
              <w:pStyle w:val="P68B1DB1-Normal10"/>
              <w:spacing w:after="0" w:line="240" w:lineRule="auto"/>
              <w:jc w:val="center"/>
              <w:rPr>
                <w:rFonts w:eastAsia="Times New Roman" w:cs="Times New Roman"/>
                <w:bCs/>
                <w:noProof/>
                <w:szCs w:val="18"/>
              </w:rPr>
            </w:pPr>
            <w:r>
              <w:rPr>
                <w:noProof/>
              </w:rPr>
              <w:t>Etapă/Obiectiv</w:t>
            </w:r>
          </w:p>
        </w:tc>
        <w:tc>
          <w:tcPr>
            <w:tcW w:w="1592" w:type="dxa"/>
            <w:vMerge w:val="restart"/>
            <w:shd w:val="clear" w:color="auto" w:fill="BDD7EE"/>
            <w:vAlign w:val="center"/>
            <w:hideMark/>
          </w:tcPr>
          <w:p w14:paraId="12E479A5" w14:textId="48FAA3A0" w:rsidR="00C45D59" w:rsidRDefault="00037E31">
            <w:pPr>
              <w:pStyle w:val="P68B1DB1-Normal10"/>
              <w:spacing w:after="0" w:line="240" w:lineRule="auto"/>
              <w:jc w:val="center"/>
              <w:rPr>
                <w:rFonts w:eastAsia="Times New Roman" w:cs="Times New Roman"/>
                <w:bCs/>
                <w:noProof/>
                <w:szCs w:val="18"/>
              </w:rPr>
            </w:pPr>
            <w:r>
              <w:rPr>
                <w:noProof/>
              </w:rPr>
              <w:t>Denumire</w:t>
            </w:r>
          </w:p>
        </w:tc>
        <w:tc>
          <w:tcPr>
            <w:tcW w:w="1694" w:type="dxa"/>
            <w:vMerge w:val="restart"/>
            <w:shd w:val="clear" w:color="auto" w:fill="BDD7EE"/>
            <w:vAlign w:val="center"/>
            <w:hideMark/>
          </w:tcPr>
          <w:p w14:paraId="621B577A" w14:textId="77777777" w:rsidR="00C45D59" w:rsidRDefault="009B0962">
            <w:pPr>
              <w:pStyle w:val="P68B1DB1-Normal10"/>
              <w:spacing w:after="0" w:line="240" w:lineRule="auto"/>
              <w:jc w:val="center"/>
              <w:rPr>
                <w:rFonts w:eastAsia="Times New Roman" w:cs="Times New Roman"/>
                <w:bCs/>
                <w:noProof/>
                <w:szCs w:val="18"/>
              </w:rPr>
            </w:pPr>
            <w:r>
              <w:rPr>
                <w:noProof/>
              </w:rPr>
              <w:t>Indicatori calitativi (pentru obiectivele de etapă)</w:t>
            </w:r>
          </w:p>
        </w:tc>
        <w:tc>
          <w:tcPr>
            <w:tcW w:w="2667" w:type="dxa"/>
            <w:gridSpan w:val="3"/>
            <w:shd w:val="clear" w:color="auto" w:fill="BDD7EE"/>
            <w:vAlign w:val="center"/>
            <w:hideMark/>
          </w:tcPr>
          <w:p w14:paraId="4DF7C76D" w14:textId="77777777" w:rsidR="00C45D59" w:rsidRDefault="009B0962">
            <w:pPr>
              <w:pStyle w:val="P68B1DB1-Normal10"/>
              <w:spacing w:after="0" w:line="240" w:lineRule="auto"/>
              <w:jc w:val="center"/>
              <w:rPr>
                <w:rFonts w:eastAsia="Times New Roman" w:cs="Times New Roman"/>
                <w:bCs/>
                <w:noProof/>
                <w:szCs w:val="18"/>
              </w:rPr>
            </w:pPr>
            <w:r>
              <w:rPr>
                <w:noProof/>
              </w:rPr>
              <w:t>Indicatori cantitativi (pentru ținte)</w:t>
            </w:r>
          </w:p>
        </w:tc>
        <w:tc>
          <w:tcPr>
            <w:tcW w:w="1694" w:type="dxa"/>
            <w:gridSpan w:val="2"/>
            <w:shd w:val="clear" w:color="auto" w:fill="BDD7EE"/>
            <w:vAlign w:val="center"/>
            <w:hideMark/>
          </w:tcPr>
          <w:p w14:paraId="35AA6DDA" w14:textId="77777777" w:rsidR="00C45D59" w:rsidRDefault="009B0962">
            <w:pPr>
              <w:pStyle w:val="P68B1DB1-Normal10"/>
              <w:spacing w:after="0" w:line="240" w:lineRule="auto"/>
              <w:jc w:val="center"/>
              <w:rPr>
                <w:rFonts w:eastAsia="Times New Roman" w:cs="Times New Roman"/>
                <w:bCs/>
                <w:noProof/>
                <w:szCs w:val="18"/>
              </w:rPr>
            </w:pPr>
            <w:r>
              <w:rPr>
                <w:noProof/>
              </w:rPr>
              <w:t xml:space="preserve">Calendar orientativ pentru finalizare </w:t>
            </w:r>
          </w:p>
        </w:tc>
        <w:tc>
          <w:tcPr>
            <w:tcW w:w="4449" w:type="dxa"/>
            <w:vMerge w:val="restart"/>
            <w:shd w:val="clear" w:color="auto" w:fill="BDD7EE"/>
            <w:vAlign w:val="center"/>
            <w:hideMark/>
          </w:tcPr>
          <w:p w14:paraId="66450216" w14:textId="77777777" w:rsidR="00C45D59" w:rsidRDefault="009B0962">
            <w:pPr>
              <w:pStyle w:val="P68B1DB1-Normal10"/>
              <w:spacing w:after="0" w:line="240" w:lineRule="auto"/>
              <w:jc w:val="center"/>
              <w:rPr>
                <w:rFonts w:eastAsia="Times New Roman" w:cs="Times New Roman"/>
                <w:bCs/>
                <w:noProof/>
                <w:szCs w:val="18"/>
              </w:rPr>
            </w:pPr>
            <w:r>
              <w:rPr>
                <w:noProof/>
              </w:rPr>
              <w:t>Descrierea fiecărui jalon și a fiecărei ținte</w:t>
            </w:r>
          </w:p>
        </w:tc>
      </w:tr>
      <w:tr w:rsidR="00C45D59" w14:paraId="1669BD5F" w14:textId="77777777">
        <w:trPr>
          <w:trHeight w:val="458"/>
          <w:tblHeader/>
          <w:jc w:val="center"/>
        </w:trPr>
        <w:tc>
          <w:tcPr>
            <w:tcW w:w="684" w:type="dxa"/>
            <w:vMerge/>
            <w:vAlign w:val="center"/>
            <w:hideMark/>
          </w:tcPr>
          <w:p w14:paraId="12647DBA" w14:textId="77777777" w:rsidR="00C45D59" w:rsidRDefault="00C45D59">
            <w:pPr>
              <w:spacing w:after="0" w:line="240" w:lineRule="auto"/>
              <w:rPr>
                <w:rFonts w:ascii="Times New Roman" w:eastAsia="Times New Roman" w:hAnsi="Times New Roman" w:cs="Times New Roman"/>
                <w:b/>
                <w:bCs/>
                <w:noProof/>
                <w:sz w:val="18"/>
                <w:szCs w:val="18"/>
              </w:rPr>
            </w:pPr>
          </w:p>
        </w:tc>
        <w:tc>
          <w:tcPr>
            <w:tcW w:w="1680" w:type="dxa"/>
            <w:vMerge/>
            <w:vAlign w:val="center"/>
            <w:hideMark/>
          </w:tcPr>
          <w:p w14:paraId="3437FE25" w14:textId="77777777" w:rsidR="00C45D59" w:rsidRDefault="00C45D59">
            <w:pPr>
              <w:spacing w:after="0" w:line="240" w:lineRule="auto"/>
              <w:rPr>
                <w:rFonts w:ascii="Times New Roman" w:eastAsia="Times New Roman" w:hAnsi="Times New Roman" w:cs="Times New Roman"/>
                <w:b/>
                <w:bCs/>
                <w:noProof/>
                <w:sz w:val="18"/>
                <w:szCs w:val="18"/>
              </w:rPr>
            </w:pPr>
          </w:p>
        </w:tc>
        <w:tc>
          <w:tcPr>
            <w:tcW w:w="1107" w:type="dxa"/>
            <w:vMerge/>
            <w:vAlign w:val="center"/>
            <w:hideMark/>
          </w:tcPr>
          <w:p w14:paraId="631DB1E9" w14:textId="77777777" w:rsidR="00C45D59" w:rsidRDefault="00C45D59">
            <w:pPr>
              <w:spacing w:after="0" w:line="240" w:lineRule="auto"/>
              <w:rPr>
                <w:rFonts w:ascii="Times New Roman" w:eastAsia="Times New Roman" w:hAnsi="Times New Roman" w:cs="Times New Roman"/>
                <w:b/>
                <w:bCs/>
                <w:noProof/>
                <w:sz w:val="18"/>
                <w:szCs w:val="18"/>
              </w:rPr>
            </w:pPr>
          </w:p>
        </w:tc>
        <w:tc>
          <w:tcPr>
            <w:tcW w:w="1592" w:type="dxa"/>
            <w:vMerge/>
            <w:vAlign w:val="center"/>
            <w:hideMark/>
          </w:tcPr>
          <w:p w14:paraId="053F1F63" w14:textId="77777777" w:rsidR="00C45D59" w:rsidRDefault="00C45D59">
            <w:pPr>
              <w:spacing w:after="0" w:line="240" w:lineRule="auto"/>
              <w:rPr>
                <w:rFonts w:ascii="Times New Roman" w:eastAsia="Times New Roman" w:hAnsi="Times New Roman" w:cs="Times New Roman"/>
                <w:b/>
                <w:bCs/>
                <w:noProof/>
                <w:sz w:val="18"/>
                <w:szCs w:val="18"/>
              </w:rPr>
            </w:pPr>
          </w:p>
        </w:tc>
        <w:tc>
          <w:tcPr>
            <w:tcW w:w="1694" w:type="dxa"/>
            <w:vMerge/>
            <w:vAlign w:val="center"/>
            <w:hideMark/>
          </w:tcPr>
          <w:p w14:paraId="61A3CBC4" w14:textId="77777777" w:rsidR="00C45D59" w:rsidRDefault="00C45D59">
            <w:pPr>
              <w:spacing w:after="0" w:line="240" w:lineRule="auto"/>
              <w:rPr>
                <w:rFonts w:ascii="Times New Roman" w:eastAsia="Times New Roman" w:hAnsi="Times New Roman" w:cs="Times New Roman"/>
                <w:b/>
                <w:bCs/>
                <w:noProof/>
                <w:sz w:val="18"/>
                <w:szCs w:val="18"/>
              </w:rPr>
            </w:pPr>
          </w:p>
        </w:tc>
        <w:tc>
          <w:tcPr>
            <w:tcW w:w="983" w:type="dxa"/>
            <w:shd w:val="clear" w:color="auto" w:fill="BDD7EE"/>
            <w:vAlign w:val="center"/>
            <w:hideMark/>
          </w:tcPr>
          <w:p w14:paraId="63CCFDE2" w14:textId="77777777" w:rsidR="00C45D59" w:rsidRDefault="009B0962">
            <w:pPr>
              <w:pStyle w:val="P68B1DB1-Normal10"/>
              <w:spacing w:after="0" w:line="240" w:lineRule="auto"/>
              <w:jc w:val="center"/>
              <w:rPr>
                <w:rFonts w:eastAsia="Times New Roman" w:cs="Times New Roman"/>
                <w:bCs/>
                <w:noProof/>
                <w:szCs w:val="18"/>
              </w:rPr>
            </w:pPr>
            <w:r>
              <w:rPr>
                <w:noProof/>
              </w:rPr>
              <w:t>Unitatea de măsură</w:t>
            </w:r>
          </w:p>
        </w:tc>
        <w:tc>
          <w:tcPr>
            <w:tcW w:w="857" w:type="dxa"/>
            <w:shd w:val="clear" w:color="auto" w:fill="BDD7EE"/>
            <w:vAlign w:val="center"/>
            <w:hideMark/>
          </w:tcPr>
          <w:p w14:paraId="4A34C595" w14:textId="77777777" w:rsidR="00C45D59" w:rsidRDefault="009B0962">
            <w:pPr>
              <w:pStyle w:val="P68B1DB1-Normal10"/>
              <w:spacing w:after="0" w:line="240" w:lineRule="auto"/>
              <w:jc w:val="center"/>
              <w:rPr>
                <w:rFonts w:eastAsia="Times New Roman" w:cs="Times New Roman"/>
                <w:bCs/>
                <w:noProof/>
                <w:szCs w:val="18"/>
              </w:rPr>
            </w:pPr>
            <w:r>
              <w:rPr>
                <w:noProof/>
              </w:rPr>
              <w:t xml:space="preserve">Situația de referință </w:t>
            </w:r>
          </w:p>
        </w:tc>
        <w:tc>
          <w:tcPr>
            <w:tcW w:w="827" w:type="dxa"/>
            <w:shd w:val="clear" w:color="auto" w:fill="BDD7EE"/>
            <w:vAlign w:val="center"/>
            <w:hideMark/>
          </w:tcPr>
          <w:p w14:paraId="658CAFFB" w14:textId="77777777" w:rsidR="00C45D59" w:rsidRDefault="009B0962">
            <w:pPr>
              <w:pStyle w:val="P68B1DB1-Normal10"/>
              <w:spacing w:after="0" w:line="240" w:lineRule="auto"/>
              <w:jc w:val="center"/>
              <w:rPr>
                <w:rFonts w:eastAsia="Times New Roman" w:cs="Times New Roman"/>
                <w:bCs/>
                <w:noProof/>
                <w:szCs w:val="18"/>
              </w:rPr>
            </w:pPr>
            <w:r>
              <w:rPr>
                <w:noProof/>
              </w:rPr>
              <w:t xml:space="preserve">Obiectiv </w:t>
            </w:r>
          </w:p>
        </w:tc>
        <w:tc>
          <w:tcPr>
            <w:tcW w:w="987" w:type="dxa"/>
            <w:shd w:val="clear" w:color="auto" w:fill="BDD7EE"/>
            <w:vAlign w:val="center"/>
            <w:hideMark/>
          </w:tcPr>
          <w:p w14:paraId="61481BA1" w14:textId="77777777" w:rsidR="00C45D59" w:rsidRDefault="009B0962">
            <w:pPr>
              <w:pStyle w:val="P68B1DB1-Normal10"/>
              <w:spacing w:after="0" w:line="240" w:lineRule="auto"/>
              <w:jc w:val="center"/>
              <w:rPr>
                <w:rFonts w:eastAsia="Times New Roman" w:cs="Times New Roman"/>
                <w:bCs/>
                <w:noProof/>
                <w:szCs w:val="18"/>
              </w:rPr>
            </w:pPr>
            <w:r>
              <w:rPr>
                <w:noProof/>
              </w:rPr>
              <w:t>Trimestru</w:t>
            </w:r>
          </w:p>
        </w:tc>
        <w:tc>
          <w:tcPr>
            <w:tcW w:w="707" w:type="dxa"/>
            <w:shd w:val="clear" w:color="auto" w:fill="BDD7EE"/>
            <w:vAlign w:val="center"/>
            <w:hideMark/>
          </w:tcPr>
          <w:p w14:paraId="2658DB76" w14:textId="77777777" w:rsidR="00C45D59" w:rsidRDefault="009B0962">
            <w:pPr>
              <w:pStyle w:val="P68B1DB1-Normal10"/>
              <w:spacing w:after="0" w:line="240" w:lineRule="auto"/>
              <w:jc w:val="center"/>
              <w:rPr>
                <w:rFonts w:eastAsia="Times New Roman" w:cs="Times New Roman"/>
                <w:bCs/>
                <w:noProof/>
                <w:szCs w:val="18"/>
              </w:rPr>
            </w:pPr>
            <w:r>
              <w:rPr>
                <w:noProof/>
              </w:rPr>
              <w:t>Anul</w:t>
            </w:r>
          </w:p>
        </w:tc>
        <w:tc>
          <w:tcPr>
            <w:tcW w:w="4449" w:type="dxa"/>
            <w:vMerge/>
            <w:vAlign w:val="center"/>
            <w:hideMark/>
          </w:tcPr>
          <w:p w14:paraId="39E80DE4" w14:textId="77777777" w:rsidR="00C45D59" w:rsidRDefault="00C45D59">
            <w:pPr>
              <w:spacing w:after="0" w:line="240" w:lineRule="auto"/>
              <w:rPr>
                <w:rFonts w:ascii="Times New Roman" w:eastAsia="Times New Roman" w:hAnsi="Times New Roman" w:cs="Times New Roman"/>
                <w:b/>
                <w:bCs/>
                <w:noProof/>
                <w:sz w:val="18"/>
                <w:szCs w:val="18"/>
              </w:rPr>
            </w:pPr>
          </w:p>
        </w:tc>
      </w:tr>
      <w:tr w:rsidR="00C45D59" w14:paraId="2627AEB0" w14:textId="77777777">
        <w:trPr>
          <w:trHeight w:val="309"/>
          <w:jc w:val="center"/>
        </w:trPr>
        <w:tc>
          <w:tcPr>
            <w:tcW w:w="684" w:type="dxa"/>
            <w:shd w:val="clear" w:color="auto" w:fill="C6EFCE"/>
            <w:noWrap/>
          </w:tcPr>
          <w:p w14:paraId="71929B4F" w14:textId="77777777" w:rsidR="00C45D59" w:rsidRDefault="009B0962">
            <w:pPr>
              <w:pStyle w:val="P68B1DB1-Normal12"/>
              <w:spacing w:after="0" w:line="240" w:lineRule="auto"/>
              <w:rPr>
                <w:rFonts w:eastAsia="Times New Roman"/>
                <w:noProof/>
              </w:rPr>
            </w:pPr>
            <w:r>
              <w:rPr>
                <w:noProof/>
              </w:rPr>
              <w:t>317</w:t>
            </w:r>
          </w:p>
        </w:tc>
        <w:tc>
          <w:tcPr>
            <w:tcW w:w="1680" w:type="dxa"/>
            <w:shd w:val="clear" w:color="auto" w:fill="C6EFCE"/>
            <w:noWrap/>
          </w:tcPr>
          <w:p w14:paraId="205D0F93" w14:textId="77777777" w:rsidR="00C45D59" w:rsidRDefault="009B0962">
            <w:pPr>
              <w:pStyle w:val="P68B1DB1-Normal12"/>
              <w:spacing w:after="0" w:line="240" w:lineRule="auto"/>
              <w:rPr>
                <w:rFonts w:eastAsia="Times New Roman"/>
                <w:noProof/>
              </w:rPr>
            </w:pPr>
            <w:r>
              <w:rPr>
                <w:noProof/>
              </w:rPr>
              <w:t>18-4.7. Îmbunătățirea competitivității și promovarea investițiilor private și a exporturilor – 16543_Acțiuni pentru simplificarea mediului de afaceri și îmbunătățirea calității și siguranței acestuia</w:t>
            </w:r>
          </w:p>
        </w:tc>
        <w:tc>
          <w:tcPr>
            <w:tcW w:w="1107" w:type="dxa"/>
            <w:shd w:val="clear" w:color="auto" w:fill="C6EFCE"/>
            <w:noWrap/>
          </w:tcPr>
          <w:p w14:paraId="2D2B4735" w14:textId="77777777" w:rsidR="00C45D59" w:rsidRDefault="009B0962">
            <w:pPr>
              <w:pStyle w:val="P68B1DB1-Normal12"/>
              <w:spacing w:after="0" w:line="240" w:lineRule="auto"/>
              <w:rPr>
                <w:rFonts w:eastAsia="Times New Roman"/>
                <w:noProof/>
              </w:rPr>
            </w:pPr>
            <w:r>
              <w:rPr>
                <w:noProof/>
              </w:rPr>
              <w:t>Etapă</w:t>
            </w:r>
          </w:p>
        </w:tc>
        <w:tc>
          <w:tcPr>
            <w:tcW w:w="1592" w:type="dxa"/>
            <w:shd w:val="clear" w:color="auto" w:fill="C6EFCE"/>
            <w:noWrap/>
          </w:tcPr>
          <w:p w14:paraId="705776B2" w14:textId="77777777" w:rsidR="00C45D59" w:rsidRDefault="009B0962">
            <w:pPr>
              <w:pStyle w:val="P68B1DB1-Normal12"/>
              <w:spacing w:after="0" w:line="240" w:lineRule="auto"/>
              <w:rPr>
                <w:rFonts w:eastAsia="Times New Roman"/>
                <w:noProof/>
              </w:rPr>
            </w:pPr>
            <w:r>
              <w:rPr>
                <w:noProof/>
              </w:rPr>
              <w:t xml:space="preserve">Stabilirea politicii de calitate și a noului cadru de reglementare pentru o infrastructură de calitate </w:t>
            </w:r>
          </w:p>
        </w:tc>
        <w:tc>
          <w:tcPr>
            <w:tcW w:w="1694" w:type="dxa"/>
            <w:shd w:val="clear" w:color="auto" w:fill="C6EFCE"/>
            <w:noWrap/>
          </w:tcPr>
          <w:p w14:paraId="66717E93" w14:textId="77777777" w:rsidR="00C45D59" w:rsidRDefault="009B0962">
            <w:pPr>
              <w:pStyle w:val="P68B1DB1-Normal12"/>
              <w:spacing w:after="0" w:line="240" w:lineRule="auto"/>
              <w:rPr>
                <w:rFonts w:eastAsia="Times New Roman"/>
                <w:noProof/>
              </w:rPr>
            </w:pPr>
            <w:r>
              <w:rPr>
                <w:noProof/>
              </w:rPr>
              <w:t>Adoptarea unei strategii naționale privind infrastructura de calitate în Grecia) și adoptarea reglementărilor de abilitare necesare privind standardizarea, metrologia, acreditarea și evaluarea conformității prin intermediul actelor legislative necesare (a se furniza referința Jurnalului Oficial); și adoptarea modificărilor legislative la Legea nr. 3325/2005 (partea B privind înființarea, extinderea și modernizarea activităților de producție în regiunea Attica)</w:t>
            </w:r>
          </w:p>
        </w:tc>
        <w:tc>
          <w:tcPr>
            <w:tcW w:w="983" w:type="dxa"/>
            <w:shd w:val="clear" w:color="auto" w:fill="C6EFCE"/>
            <w:noWrap/>
          </w:tcPr>
          <w:p w14:paraId="2B11CD9B"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57" w:type="dxa"/>
            <w:shd w:val="clear" w:color="auto" w:fill="C6EFCE"/>
            <w:noWrap/>
          </w:tcPr>
          <w:p w14:paraId="650984FA"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27" w:type="dxa"/>
            <w:shd w:val="clear" w:color="auto" w:fill="C6EFCE"/>
            <w:noWrap/>
          </w:tcPr>
          <w:p w14:paraId="393F6A93"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987" w:type="dxa"/>
            <w:shd w:val="clear" w:color="auto" w:fill="C6EFCE"/>
            <w:noWrap/>
          </w:tcPr>
          <w:p w14:paraId="50E857A0" w14:textId="77777777" w:rsidR="00C45D59" w:rsidRDefault="009B0962">
            <w:pPr>
              <w:pStyle w:val="P68B1DB1-Normal12"/>
              <w:spacing w:after="0" w:line="240" w:lineRule="auto"/>
              <w:rPr>
                <w:rFonts w:eastAsia="Times New Roman"/>
                <w:noProof/>
              </w:rPr>
            </w:pPr>
            <w:r>
              <w:rPr>
                <w:noProof/>
              </w:rPr>
              <w:t>Î2</w:t>
            </w:r>
          </w:p>
        </w:tc>
        <w:tc>
          <w:tcPr>
            <w:tcW w:w="707" w:type="dxa"/>
            <w:shd w:val="clear" w:color="auto" w:fill="C6EFCE"/>
            <w:noWrap/>
          </w:tcPr>
          <w:p w14:paraId="7C76873D" w14:textId="77777777" w:rsidR="00C45D59" w:rsidRDefault="009B0962">
            <w:pPr>
              <w:pStyle w:val="P68B1DB1-Normal12"/>
              <w:spacing w:after="0" w:line="240" w:lineRule="auto"/>
              <w:rPr>
                <w:rFonts w:eastAsia="Times New Roman"/>
                <w:noProof/>
              </w:rPr>
            </w:pPr>
            <w:r>
              <w:rPr>
                <w:noProof/>
              </w:rPr>
              <w:t>2024</w:t>
            </w:r>
          </w:p>
        </w:tc>
        <w:tc>
          <w:tcPr>
            <w:tcW w:w="4449" w:type="dxa"/>
            <w:shd w:val="clear" w:color="auto" w:fill="C6EFCE"/>
            <w:noWrap/>
          </w:tcPr>
          <w:p w14:paraId="6A2F2180" w14:textId="77777777" w:rsidR="00C45D59" w:rsidRDefault="009B0962">
            <w:pPr>
              <w:pStyle w:val="P68B1DB1-Normal12"/>
              <w:spacing w:after="0" w:line="240" w:lineRule="auto"/>
              <w:rPr>
                <w:rFonts w:eastAsia="Times New Roman"/>
                <w:noProof/>
              </w:rPr>
            </w:pPr>
            <w:r>
              <w:rPr>
                <w:noProof/>
              </w:rPr>
              <w:t>elaborarea unui cadru modern de reglementare, organizațional și operațional pentru o infrastructură de calitate în Grecia, în conformitate cu Regulamentul (CE) nr. 765/2008 privind acreditarea organismelor de evaluare a conformității; și (b) intrarea în vigoare a legislației de reformare a cadrului de reglementare privind instalarea activităților de producție în Attica în vederea eliminării restricțiilor excesiv de ridicate care nu sunt proporționale cu obiectivele de politică.</w:t>
            </w:r>
          </w:p>
          <w:p w14:paraId="2D250C89" w14:textId="77777777" w:rsidR="00C45D59" w:rsidRDefault="00C45D59">
            <w:pPr>
              <w:spacing w:after="0" w:line="240" w:lineRule="auto"/>
              <w:rPr>
                <w:rFonts w:ascii="Times New Roman" w:eastAsia="Times New Roman" w:hAnsi="Times New Roman" w:cs="Times New Roman"/>
                <w:noProof/>
                <w:color w:val="006100"/>
                <w:sz w:val="18"/>
                <w:szCs w:val="18"/>
              </w:rPr>
            </w:pPr>
          </w:p>
          <w:p w14:paraId="015E9FDE" w14:textId="77777777" w:rsidR="00C45D59" w:rsidRDefault="009B0962">
            <w:pPr>
              <w:pStyle w:val="P68B1DB1-Normal12"/>
              <w:spacing w:after="0" w:line="240" w:lineRule="auto"/>
              <w:rPr>
                <w:rFonts w:eastAsia="Times New Roman"/>
                <w:noProof/>
              </w:rPr>
            </w:pPr>
            <w:r>
              <w:rPr>
                <w:noProof/>
              </w:rPr>
              <w:t>Domeniul de aplicare al literei (b) acoperă înființarea de noi unități industriale și modernizarea celor existente care funcționează în Attica, precum și relocarea și extinderea instalațiilor existente în Attica.</w:t>
            </w:r>
          </w:p>
        </w:tc>
      </w:tr>
      <w:tr w:rsidR="00C45D59" w14:paraId="7233B63B" w14:textId="77777777">
        <w:trPr>
          <w:trHeight w:val="309"/>
          <w:jc w:val="center"/>
        </w:trPr>
        <w:tc>
          <w:tcPr>
            <w:tcW w:w="684" w:type="dxa"/>
            <w:shd w:val="clear" w:color="auto" w:fill="C6EFCE"/>
            <w:noWrap/>
          </w:tcPr>
          <w:p w14:paraId="5B6561C4" w14:textId="77777777" w:rsidR="00C45D59" w:rsidRDefault="009B0962">
            <w:pPr>
              <w:pStyle w:val="P68B1DB1-Normal12"/>
              <w:spacing w:after="0" w:line="240" w:lineRule="auto"/>
              <w:rPr>
                <w:rFonts w:eastAsia="Times New Roman"/>
                <w:noProof/>
              </w:rPr>
            </w:pPr>
            <w:r>
              <w:rPr>
                <w:noProof/>
              </w:rPr>
              <w:t>318</w:t>
            </w:r>
          </w:p>
        </w:tc>
        <w:tc>
          <w:tcPr>
            <w:tcW w:w="1680" w:type="dxa"/>
            <w:shd w:val="clear" w:color="auto" w:fill="C6EFCE"/>
            <w:noWrap/>
          </w:tcPr>
          <w:p w14:paraId="5B647AA6" w14:textId="77777777" w:rsidR="00C45D59" w:rsidRDefault="009B0962">
            <w:pPr>
              <w:pStyle w:val="P68B1DB1-Normal12"/>
              <w:spacing w:after="0" w:line="240" w:lineRule="auto"/>
              <w:rPr>
                <w:rFonts w:eastAsia="Times New Roman"/>
                <w:noProof/>
              </w:rPr>
            </w:pPr>
            <w:r>
              <w:rPr>
                <w:noProof/>
              </w:rPr>
              <w:t>18-4.7. Îmbunătățirea competitivității și promovarea investițiilor private și a exporturilor – 16591_Ease of doing business</w:t>
            </w:r>
          </w:p>
        </w:tc>
        <w:tc>
          <w:tcPr>
            <w:tcW w:w="1107" w:type="dxa"/>
            <w:shd w:val="clear" w:color="auto" w:fill="C6EFCE"/>
            <w:noWrap/>
          </w:tcPr>
          <w:p w14:paraId="38C21DC1" w14:textId="77777777" w:rsidR="00C45D59" w:rsidRDefault="009B0962">
            <w:pPr>
              <w:pStyle w:val="P68B1DB1-Normal12"/>
              <w:spacing w:after="0" w:line="240" w:lineRule="auto"/>
              <w:rPr>
                <w:rFonts w:eastAsia="Times New Roman"/>
                <w:noProof/>
              </w:rPr>
            </w:pPr>
            <w:r>
              <w:rPr>
                <w:noProof/>
              </w:rPr>
              <w:t>Etapă</w:t>
            </w:r>
          </w:p>
        </w:tc>
        <w:tc>
          <w:tcPr>
            <w:tcW w:w="1592" w:type="dxa"/>
            <w:shd w:val="clear" w:color="auto" w:fill="C6EFCE"/>
            <w:noWrap/>
          </w:tcPr>
          <w:p w14:paraId="09FC3ABA" w14:textId="77777777" w:rsidR="00C45D59" w:rsidRDefault="009B0962">
            <w:pPr>
              <w:pStyle w:val="P68B1DB1-Normal12"/>
              <w:spacing w:after="0" w:line="240" w:lineRule="auto"/>
              <w:rPr>
                <w:rFonts w:eastAsia="Times New Roman"/>
                <w:noProof/>
              </w:rPr>
            </w:pPr>
            <w:r>
              <w:rPr>
                <w:noProof/>
              </w:rPr>
              <w:t>Îmbunătățirea mediului de afaceri – facilitarea desfășurării de activități economice</w:t>
            </w:r>
          </w:p>
        </w:tc>
        <w:tc>
          <w:tcPr>
            <w:tcW w:w="1694" w:type="dxa"/>
            <w:shd w:val="clear" w:color="auto" w:fill="C6EFCE"/>
            <w:noWrap/>
          </w:tcPr>
          <w:p w14:paraId="2C659B3B" w14:textId="77777777" w:rsidR="00C45D59" w:rsidRDefault="009B0962">
            <w:pPr>
              <w:pStyle w:val="P68B1DB1-Normal16"/>
              <w:spacing w:after="0" w:line="259" w:lineRule="auto"/>
              <w:rPr>
                <w:noProof/>
                <w:color w:val="006100"/>
              </w:rPr>
            </w:pPr>
            <w:r>
              <w:rPr>
                <w:noProof/>
              </w:rPr>
              <w:t>—</w:t>
            </w:r>
            <w:r>
              <w:rPr>
                <w:noProof/>
                <w:color w:val="006100"/>
              </w:rPr>
              <w:t>Pentru acțiunile care necesită legislație: Publicarea legislației în Jurnalul Oficial (referința Jurnalului Oficial)</w:t>
            </w:r>
          </w:p>
          <w:p w14:paraId="5100FFF9" w14:textId="77777777" w:rsidR="00C45D59" w:rsidRDefault="009B0962">
            <w:pPr>
              <w:pStyle w:val="P68B1DB1-Normal16"/>
              <w:spacing w:after="0" w:line="259" w:lineRule="auto"/>
              <w:rPr>
                <w:noProof/>
                <w:color w:val="006100"/>
              </w:rPr>
            </w:pPr>
            <w:r>
              <w:rPr>
                <w:noProof/>
              </w:rPr>
              <w:t>—</w:t>
            </w:r>
            <w:r>
              <w:rPr>
                <w:noProof/>
                <w:color w:val="006100"/>
              </w:rPr>
              <w:t xml:space="preserve">Pentru funcțiile, platformele și registrele de interoperabilitate: Operaționalizarea sistemelor (atestată de un raport) </w:t>
            </w:r>
          </w:p>
          <w:p w14:paraId="2E68CF9F" w14:textId="77777777" w:rsidR="00C45D59" w:rsidRDefault="009B0962">
            <w:pPr>
              <w:pStyle w:val="P68B1DB1-Normal16"/>
              <w:spacing w:after="0" w:line="259" w:lineRule="auto"/>
              <w:rPr>
                <w:noProof/>
                <w:color w:val="006100"/>
              </w:rPr>
            </w:pPr>
            <w:r>
              <w:rPr>
                <w:noProof/>
                <w:color w:val="006100"/>
              </w:rPr>
              <w:t>Livrarea echipamentelor pentru echipamente (atestată prin raport și dovada achiziționării)</w:t>
            </w:r>
          </w:p>
          <w:p w14:paraId="05F1CA47" w14:textId="77777777" w:rsidR="00C45D59" w:rsidRDefault="009B0962">
            <w:pPr>
              <w:pStyle w:val="P68B1DB1-Normal16"/>
              <w:spacing w:after="0" w:line="240" w:lineRule="auto"/>
              <w:rPr>
                <w:rFonts w:eastAsia="Times New Roman"/>
                <w:noProof/>
                <w:color w:val="006100"/>
              </w:rPr>
            </w:pPr>
            <w:r>
              <w:rPr>
                <w:noProof/>
              </w:rPr>
              <w:t>—</w:t>
            </w:r>
            <w:r>
              <w:rPr>
                <w:noProof/>
                <w:color w:val="006100"/>
              </w:rPr>
              <w:t>Finalizarea campaniilor și emiterea de orientări (atestate de orientări/circulare emise)</w:t>
            </w:r>
            <w:r>
              <w:rPr>
                <w:noProof/>
              </w:rPr>
              <w:t xml:space="preserve"> </w:t>
            </w:r>
          </w:p>
        </w:tc>
        <w:tc>
          <w:tcPr>
            <w:tcW w:w="983" w:type="dxa"/>
            <w:shd w:val="clear" w:color="auto" w:fill="C6EFCE"/>
            <w:noWrap/>
          </w:tcPr>
          <w:p w14:paraId="27E9AC28"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57" w:type="dxa"/>
            <w:shd w:val="clear" w:color="auto" w:fill="C6EFCE"/>
            <w:noWrap/>
          </w:tcPr>
          <w:p w14:paraId="4A7E545F"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27" w:type="dxa"/>
            <w:shd w:val="clear" w:color="auto" w:fill="C6EFCE"/>
            <w:noWrap/>
          </w:tcPr>
          <w:p w14:paraId="6B77922E"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987" w:type="dxa"/>
            <w:shd w:val="clear" w:color="auto" w:fill="C6EFCE"/>
            <w:noWrap/>
          </w:tcPr>
          <w:p w14:paraId="652FEE76" w14:textId="77777777" w:rsidR="00C45D59" w:rsidRDefault="009B0962">
            <w:pPr>
              <w:pStyle w:val="P68B1DB1-Normal12"/>
              <w:spacing w:after="0" w:line="240" w:lineRule="auto"/>
              <w:rPr>
                <w:rFonts w:eastAsia="Times New Roman"/>
                <w:noProof/>
              </w:rPr>
            </w:pPr>
            <w:r>
              <w:rPr>
                <w:noProof/>
              </w:rPr>
              <w:t>Î2</w:t>
            </w:r>
          </w:p>
        </w:tc>
        <w:tc>
          <w:tcPr>
            <w:tcW w:w="707" w:type="dxa"/>
            <w:shd w:val="clear" w:color="auto" w:fill="C6EFCE"/>
            <w:noWrap/>
          </w:tcPr>
          <w:p w14:paraId="7ADC1987" w14:textId="77777777" w:rsidR="00C45D59" w:rsidRDefault="009B0962">
            <w:pPr>
              <w:pStyle w:val="P68B1DB1-Normal12"/>
              <w:spacing w:after="0" w:line="240" w:lineRule="auto"/>
              <w:rPr>
                <w:rFonts w:eastAsia="Times New Roman"/>
                <w:noProof/>
              </w:rPr>
            </w:pPr>
            <w:r>
              <w:rPr>
                <w:noProof/>
              </w:rPr>
              <w:t>2024</w:t>
            </w:r>
          </w:p>
        </w:tc>
        <w:tc>
          <w:tcPr>
            <w:tcW w:w="4449" w:type="dxa"/>
            <w:shd w:val="clear" w:color="auto" w:fill="C6EFCE"/>
            <w:noWrap/>
          </w:tcPr>
          <w:p w14:paraId="68CC4920" w14:textId="77777777" w:rsidR="00C45D59" w:rsidRDefault="009B0962">
            <w:pPr>
              <w:pStyle w:val="P68B1DB1-Normal12"/>
              <w:spacing w:after="0" w:line="240" w:lineRule="auto"/>
              <w:rPr>
                <w:rFonts w:eastAsia="Times New Roman"/>
                <w:noProof/>
              </w:rPr>
            </w:pPr>
            <w:r>
              <w:rPr>
                <w:noProof/>
              </w:rPr>
              <w:t>Finalizarea reformei pentru a reduce complexitatea procedurilor, timpul și costurile în patru subdomenii: obținerea unui credit, obținerea unei conexiuni electrice, înregistrarea proprietății și obținerea unei autorizații de construcție</w:t>
            </w:r>
          </w:p>
          <w:p w14:paraId="001E3ED9" w14:textId="77777777" w:rsidR="00C45D59" w:rsidRDefault="009B0962">
            <w:pPr>
              <w:pStyle w:val="P68B1DB1-Normal12"/>
              <w:spacing w:after="0" w:line="240" w:lineRule="auto"/>
              <w:rPr>
                <w:rFonts w:eastAsia="Times New Roman"/>
                <w:noProof/>
              </w:rPr>
            </w:pPr>
            <w:r>
              <w:rPr>
                <w:noProof/>
              </w:rPr>
              <w:t>Mai precis, reforma include următoarele subproiecte și acțiuni:</w:t>
            </w:r>
          </w:p>
          <w:p w14:paraId="235DC5BA" w14:textId="77777777" w:rsidR="00C45D59" w:rsidRDefault="009B0962">
            <w:pPr>
              <w:pStyle w:val="P68B1DB1-Normal12"/>
              <w:spacing w:after="0" w:line="240" w:lineRule="auto"/>
              <w:rPr>
                <w:rFonts w:eastAsia="Times New Roman"/>
                <w:noProof/>
              </w:rPr>
            </w:pPr>
            <w:r>
              <w:rPr>
                <w:noProof/>
              </w:rPr>
              <w:t>1. Obținerea de credite</w:t>
            </w:r>
          </w:p>
          <w:p w14:paraId="5F774191" w14:textId="77777777" w:rsidR="00C45D59" w:rsidRDefault="009B0962">
            <w:pPr>
              <w:pStyle w:val="P68B1DB1-Normal12"/>
              <w:spacing w:after="0" w:line="240" w:lineRule="auto"/>
              <w:rPr>
                <w:rFonts w:eastAsia="Times New Roman"/>
                <w:noProof/>
              </w:rPr>
            </w:pPr>
            <w:r>
              <w:rPr>
                <w:noProof/>
              </w:rPr>
              <w:t>Stabilirea unui cadru de reglementare modern și fiabil privind valorile mobiliare</w:t>
            </w:r>
          </w:p>
          <w:p w14:paraId="7D1B4D76" w14:textId="77777777" w:rsidR="00C45D59" w:rsidRDefault="009B0962">
            <w:pPr>
              <w:pStyle w:val="P68B1DB1-Normal12"/>
              <w:spacing w:after="0" w:line="240" w:lineRule="auto"/>
              <w:rPr>
                <w:rFonts w:eastAsia="Times New Roman"/>
                <w:noProof/>
              </w:rPr>
            </w:pPr>
            <w:r>
              <w:rPr>
                <w:noProof/>
              </w:rPr>
              <w:t>— Crearea unui registru al tranzacțiilor sigure</w:t>
            </w:r>
          </w:p>
          <w:p w14:paraId="1B779664" w14:textId="77777777" w:rsidR="00C45D59" w:rsidRDefault="009B0962">
            <w:pPr>
              <w:pStyle w:val="P68B1DB1-Normal12"/>
              <w:spacing w:after="0" w:line="240" w:lineRule="auto"/>
              <w:rPr>
                <w:rFonts w:eastAsia="Times New Roman"/>
                <w:noProof/>
              </w:rPr>
            </w:pPr>
            <w:r>
              <w:rPr>
                <w:noProof/>
              </w:rPr>
              <w:t>2. Obținerea autorizației de construcție</w:t>
            </w:r>
          </w:p>
          <w:p w14:paraId="55D12ACE" w14:textId="77777777" w:rsidR="00C45D59" w:rsidRDefault="009B0962">
            <w:pPr>
              <w:pStyle w:val="P68B1DB1-Normal12"/>
              <w:spacing w:after="0" w:line="240" w:lineRule="auto"/>
              <w:rPr>
                <w:rFonts w:eastAsia="Times New Roman"/>
                <w:noProof/>
              </w:rPr>
            </w:pPr>
            <w:r>
              <w:rPr>
                <w:noProof/>
              </w:rPr>
              <w:t>— Realizarea interoperabilității operaționale între sistemul e-adeies pentru autorizațiile de construcție și alte sisteme publice</w:t>
            </w:r>
          </w:p>
          <w:p w14:paraId="54640EAE" w14:textId="77777777" w:rsidR="00C45D59" w:rsidRDefault="009B0962">
            <w:pPr>
              <w:pStyle w:val="P68B1DB1-Normal12"/>
              <w:spacing w:after="0" w:line="240" w:lineRule="auto"/>
              <w:rPr>
                <w:rFonts w:eastAsia="Times New Roman"/>
                <w:noProof/>
              </w:rPr>
            </w:pPr>
            <w:r>
              <w:rPr>
                <w:noProof/>
              </w:rPr>
              <w:t>— Punerea în aplicare a unor campanii de informare cu părțile interesate din sectorul privat</w:t>
            </w:r>
          </w:p>
          <w:p w14:paraId="1D940DFE" w14:textId="77777777" w:rsidR="00C45D59" w:rsidRDefault="009B0962">
            <w:pPr>
              <w:pStyle w:val="P68B1DB1-Normal12"/>
              <w:spacing w:after="0" w:line="240" w:lineRule="auto"/>
              <w:rPr>
                <w:rFonts w:eastAsia="Times New Roman"/>
                <w:noProof/>
              </w:rPr>
            </w:pPr>
            <w:r>
              <w:rPr>
                <w:noProof/>
              </w:rPr>
              <w:t xml:space="preserve">— Echiparea și formarea personalului </w:t>
            </w:r>
          </w:p>
          <w:p w14:paraId="53E98883" w14:textId="77777777" w:rsidR="00C45D59" w:rsidRDefault="009B0962">
            <w:pPr>
              <w:pStyle w:val="P68B1DB1-Normal12"/>
              <w:spacing w:after="0" w:line="240" w:lineRule="auto"/>
              <w:rPr>
                <w:rFonts w:eastAsia="Times New Roman"/>
                <w:noProof/>
              </w:rPr>
            </w:pPr>
            <w:r>
              <w:rPr>
                <w:noProof/>
              </w:rPr>
              <w:t>— Orientări puse la dispoziție online</w:t>
            </w:r>
          </w:p>
          <w:p w14:paraId="4126EF1E" w14:textId="77777777" w:rsidR="00C45D59" w:rsidRDefault="009B0962">
            <w:pPr>
              <w:pStyle w:val="P68B1DB1-Normal12"/>
              <w:spacing w:after="0" w:line="240" w:lineRule="auto"/>
              <w:rPr>
                <w:rFonts w:eastAsia="Times New Roman"/>
                <w:noProof/>
              </w:rPr>
            </w:pPr>
            <w:r>
              <w:rPr>
                <w:noProof/>
              </w:rPr>
              <w:t>Baremul de comisioane este disponibil online</w:t>
            </w:r>
          </w:p>
          <w:p w14:paraId="0DB03076" w14:textId="77777777" w:rsidR="00C45D59" w:rsidRDefault="009B0962">
            <w:pPr>
              <w:pStyle w:val="P68B1DB1-Normal12"/>
              <w:spacing w:after="0" w:line="240" w:lineRule="auto"/>
              <w:rPr>
                <w:rFonts w:eastAsia="Times New Roman"/>
                <w:noProof/>
              </w:rPr>
            </w:pPr>
            <w:r>
              <w:rPr>
                <w:noProof/>
              </w:rPr>
              <w:t>— Funcții de inspecție digitală internă pentru Departamentul de pompieri</w:t>
            </w:r>
          </w:p>
          <w:p w14:paraId="3B3FDB2F" w14:textId="77777777" w:rsidR="00C45D59" w:rsidRDefault="009B0962">
            <w:pPr>
              <w:pStyle w:val="P68B1DB1-Normal12"/>
              <w:spacing w:after="0" w:line="240" w:lineRule="auto"/>
              <w:rPr>
                <w:rFonts w:eastAsia="Times New Roman"/>
                <w:noProof/>
              </w:rPr>
            </w:pPr>
            <w:r>
              <w:rPr>
                <w:noProof/>
              </w:rPr>
              <w:t>3. Cum să obținem energie electrică</w:t>
            </w:r>
          </w:p>
          <w:p w14:paraId="1BC87C62" w14:textId="77777777" w:rsidR="00C45D59" w:rsidRDefault="009B0962">
            <w:pPr>
              <w:pStyle w:val="P68B1DB1-Normal12"/>
              <w:spacing w:after="0" w:line="240" w:lineRule="auto"/>
              <w:rPr>
                <w:rFonts w:eastAsia="Times New Roman"/>
                <w:noProof/>
              </w:rPr>
            </w:pPr>
            <w:r>
              <w:rPr>
                <w:noProof/>
              </w:rPr>
              <w:t>— Simplificarea/reducerea cerințelor de aplicare la HEDNO și unificarea sistemului de declarare a contoarelor pătrate către municipalități</w:t>
            </w:r>
          </w:p>
          <w:p w14:paraId="75587B10" w14:textId="77777777" w:rsidR="00C45D59" w:rsidRDefault="009B0962">
            <w:pPr>
              <w:pStyle w:val="P68B1DB1-Normal12"/>
              <w:spacing w:after="0" w:line="240" w:lineRule="auto"/>
              <w:rPr>
                <w:rFonts w:eastAsia="Times New Roman"/>
                <w:noProof/>
              </w:rPr>
            </w:pPr>
            <w:r>
              <w:rPr>
                <w:noProof/>
              </w:rPr>
              <w:t>4. Înregistrarea întreprinderii</w:t>
            </w:r>
          </w:p>
          <w:p w14:paraId="5E760F3E" w14:textId="77777777" w:rsidR="00C45D59" w:rsidRDefault="009B0962">
            <w:pPr>
              <w:pStyle w:val="P68B1DB1-Normal12"/>
              <w:spacing w:after="0" w:line="240" w:lineRule="auto"/>
              <w:rPr>
                <w:rFonts w:eastAsia="Times New Roman"/>
                <w:noProof/>
              </w:rPr>
            </w:pPr>
            <w:r>
              <w:rPr>
                <w:noProof/>
              </w:rPr>
              <w:t>— Crearea unei platforme electronice care să le permită cumpărătorilor să îndeplinească toate cerințele pentru transferul de proprietate online</w:t>
            </w:r>
          </w:p>
        </w:tc>
      </w:tr>
      <w:tr w:rsidR="00C45D59" w14:paraId="7282A516" w14:textId="77777777">
        <w:trPr>
          <w:trHeight w:val="309"/>
          <w:jc w:val="center"/>
        </w:trPr>
        <w:tc>
          <w:tcPr>
            <w:tcW w:w="684" w:type="dxa"/>
            <w:shd w:val="clear" w:color="auto" w:fill="C6EFCE"/>
            <w:noWrap/>
          </w:tcPr>
          <w:p w14:paraId="44E2E72D" w14:textId="77777777" w:rsidR="00C45D59" w:rsidRDefault="009B0962">
            <w:pPr>
              <w:pStyle w:val="P68B1DB1-Normal12"/>
              <w:spacing w:after="0" w:line="240" w:lineRule="auto"/>
              <w:rPr>
                <w:rFonts w:eastAsia="Times New Roman"/>
                <w:noProof/>
              </w:rPr>
            </w:pPr>
            <w:r>
              <w:rPr>
                <w:noProof/>
              </w:rPr>
              <w:t>319</w:t>
            </w:r>
          </w:p>
        </w:tc>
        <w:tc>
          <w:tcPr>
            <w:tcW w:w="1680" w:type="dxa"/>
            <w:shd w:val="clear" w:color="auto" w:fill="C6EFCE"/>
            <w:noWrap/>
          </w:tcPr>
          <w:p w14:paraId="4FCB78FF" w14:textId="77777777" w:rsidR="00C45D59" w:rsidRDefault="009B0962">
            <w:pPr>
              <w:pStyle w:val="P68B1DB1-Normal12"/>
              <w:spacing w:after="0" w:line="240" w:lineRule="auto"/>
              <w:rPr>
                <w:rFonts w:eastAsia="Times New Roman"/>
                <w:noProof/>
              </w:rPr>
            </w:pPr>
            <w:r>
              <w:rPr>
                <w:noProof/>
              </w:rPr>
              <w:t>18-4.7. Îmbunătățirea competitivității și promovarea investițiilor private și a exporturilor – 16543_Acțiuni pentru simplificarea mediului de afaceri și îmbunătățirea calității și siguranței acestuia</w:t>
            </w:r>
          </w:p>
        </w:tc>
        <w:tc>
          <w:tcPr>
            <w:tcW w:w="1107" w:type="dxa"/>
            <w:shd w:val="clear" w:color="auto" w:fill="C6EFCE"/>
            <w:noWrap/>
          </w:tcPr>
          <w:p w14:paraId="4BEDABB2" w14:textId="77777777" w:rsidR="00C45D59" w:rsidRDefault="009B0962">
            <w:pPr>
              <w:pStyle w:val="P68B1DB1-Normal12"/>
              <w:spacing w:after="0" w:line="240" w:lineRule="auto"/>
              <w:rPr>
                <w:rFonts w:eastAsia="Times New Roman"/>
                <w:noProof/>
              </w:rPr>
            </w:pPr>
            <w:r>
              <w:rPr>
                <w:noProof/>
              </w:rPr>
              <w:t>Etapă</w:t>
            </w:r>
          </w:p>
        </w:tc>
        <w:tc>
          <w:tcPr>
            <w:tcW w:w="1592" w:type="dxa"/>
            <w:shd w:val="clear" w:color="auto" w:fill="C6EFCE"/>
            <w:noWrap/>
          </w:tcPr>
          <w:p w14:paraId="77E0BC6E" w14:textId="77777777" w:rsidR="00C45D59" w:rsidRDefault="009B0962">
            <w:pPr>
              <w:pStyle w:val="P68B1DB1-Normal12"/>
              <w:spacing w:after="0" w:line="240" w:lineRule="auto"/>
              <w:rPr>
                <w:rFonts w:eastAsia="Times New Roman"/>
                <w:noProof/>
              </w:rPr>
            </w:pPr>
            <w:r>
              <w:rPr>
                <w:noProof/>
              </w:rPr>
              <w:t>Mediul de afaceri – simplificarea acordării licențelor și supravegherea pieței</w:t>
            </w:r>
          </w:p>
        </w:tc>
        <w:tc>
          <w:tcPr>
            <w:tcW w:w="1694" w:type="dxa"/>
            <w:shd w:val="clear" w:color="auto" w:fill="C6EFCE"/>
            <w:noWrap/>
          </w:tcPr>
          <w:p w14:paraId="03A9AFF7" w14:textId="76DE1657" w:rsidR="00C45D59" w:rsidRDefault="009B0962">
            <w:pPr>
              <w:pStyle w:val="P68B1DB1-Normal12"/>
              <w:spacing w:after="0" w:line="240" w:lineRule="auto"/>
              <w:rPr>
                <w:rFonts w:eastAsia="Times New Roman"/>
                <w:noProof/>
              </w:rPr>
            </w:pPr>
            <w:r>
              <w:rPr>
                <w:noProof/>
              </w:rPr>
              <w:t xml:space="preserve">Intrarea în vigoare a actelor juridice și realizarea acțiunilor administrative în cadrul reformelor </w:t>
            </w:r>
          </w:p>
        </w:tc>
        <w:tc>
          <w:tcPr>
            <w:tcW w:w="983" w:type="dxa"/>
            <w:shd w:val="clear" w:color="auto" w:fill="C6EFCE"/>
            <w:noWrap/>
          </w:tcPr>
          <w:p w14:paraId="1FD04EB4"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57" w:type="dxa"/>
            <w:shd w:val="clear" w:color="auto" w:fill="C6EFCE"/>
            <w:noWrap/>
          </w:tcPr>
          <w:p w14:paraId="15681D2B"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27" w:type="dxa"/>
            <w:shd w:val="clear" w:color="auto" w:fill="C6EFCE"/>
            <w:noWrap/>
          </w:tcPr>
          <w:p w14:paraId="5633C2ED"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987" w:type="dxa"/>
            <w:shd w:val="clear" w:color="auto" w:fill="C6EFCE"/>
            <w:noWrap/>
          </w:tcPr>
          <w:p w14:paraId="1AC9E2CE" w14:textId="77777777" w:rsidR="00C45D59" w:rsidRDefault="009B0962">
            <w:pPr>
              <w:pStyle w:val="P68B1DB1-Normal12"/>
              <w:spacing w:after="0" w:line="240" w:lineRule="auto"/>
              <w:rPr>
                <w:rFonts w:eastAsia="Times New Roman"/>
                <w:noProof/>
              </w:rPr>
            </w:pPr>
            <w:r>
              <w:rPr>
                <w:noProof/>
              </w:rPr>
              <w:t>Î4</w:t>
            </w:r>
          </w:p>
        </w:tc>
        <w:tc>
          <w:tcPr>
            <w:tcW w:w="707" w:type="dxa"/>
            <w:shd w:val="clear" w:color="auto" w:fill="C6EFCE"/>
            <w:noWrap/>
          </w:tcPr>
          <w:p w14:paraId="4E0EB11B" w14:textId="77777777" w:rsidR="00C45D59" w:rsidRDefault="009B0962">
            <w:pPr>
              <w:pStyle w:val="P68B1DB1-Normal12"/>
              <w:spacing w:after="0" w:line="240" w:lineRule="auto"/>
              <w:rPr>
                <w:rFonts w:eastAsia="Times New Roman"/>
                <w:noProof/>
              </w:rPr>
            </w:pPr>
            <w:r>
              <w:rPr>
                <w:noProof/>
              </w:rPr>
              <w:t>2025</w:t>
            </w:r>
          </w:p>
        </w:tc>
        <w:tc>
          <w:tcPr>
            <w:tcW w:w="4449" w:type="dxa"/>
            <w:shd w:val="clear" w:color="auto" w:fill="C6EFCE"/>
            <w:noWrap/>
          </w:tcPr>
          <w:p w14:paraId="24AD4276" w14:textId="77777777" w:rsidR="00C45D59" w:rsidRDefault="009B0962">
            <w:pPr>
              <w:pStyle w:val="P68B1DB1-Normal12"/>
              <w:spacing w:after="0" w:line="240" w:lineRule="auto"/>
              <w:rPr>
                <w:rFonts w:eastAsia="Times New Roman"/>
                <w:noProof/>
              </w:rPr>
            </w:pPr>
            <w:r>
              <w:rPr>
                <w:noProof/>
              </w:rPr>
              <w:t>— Să integreze în sistemul digital de acordare a licențelor pentru activitățile economice noile funcționalități recomandate în evaluarea ex post a impactului reformei în materie de acordare a licențelor care a avut loc;</w:t>
            </w:r>
          </w:p>
          <w:p w14:paraId="25DB60B1" w14:textId="77777777" w:rsidR="00C45D59" w:rsidRDefault="009B0962">
            <w:pPr>
              <w:pStyle w:val="P68B1DB1-Normal12"/>
              <w:spacing w:after="0" w:line="259" w:lineRule="auto"/>
              <w:ind w:left="12"/>
              <w:contextualSpacing/>
              <w:rPr>
                <w:rFonts w:eastAsia="Times New Roman"/>
                <w:noProof/>
              </w:rPr>
            </w:pPr>
            <w:r>
              <w:rPr>
                <w:noProof/>
              </w:rPr>
              <w:t xml:space="preserve">— Intrarea în vigoare a Legii nr. 4442/16 modificate pentru a include procesele de acordare a licențelor pentru noi activități economice (cantine, camere de internet, organizarea de congrese și expoziții comerciale, activități de îngrijire a copiilor, locuințe sociale pentru persoanele în vârstă și pentru persoanele cu handicap, centre de spas și de masaj neterapeutice, unități de bronzare artificială și depozitarea ambarcațiunilor în zone terestre), în conformitate cu principiile Legilor nr. 4442/2016 și nr. 4512/2018; </w:t>
            </w:r>
          </w:p>
          <w:p w14:paraId="6C192623" w14:textId="77777777" w:rsidR="00C45D59" w:rsidRDefault="009B0962">
            <w:pPr>
              <w:pStyle w:val="P68B1DB1-Normal12"/>
              <w:spacing w:after="0" w:line="240" w:lineRule="auto"/>
              <w:rPr>
                <w:rFonts w:eastAsia="Times New Roman"/>
                <w:noProof/>
              </w:rPr>
            </w:pPr>
            <w:r>
              <w:rPr>
                <w:noProof/>
              </w:rPr>
              <w:t>— Publicarea actelor de codificare administrativă (</w:t>
            </w:r>
            <w:r>
              <w:rPr>
                <w:i/>
                <w:noProof/>
              </w:rPr>
              <w:t>διοικητική κωδικοποίηση</w:t>
            </w:r>
            <w:r>
              <w:rPr>
                <w:noProof/>
              </w:rPr>
              <w:t xml:space="preserve">) din legile 3325/2005, 3982/2011, 4302/2014 și 4442/2016, </w:t>
            </w:r>
          </w:p>
          <w:p w14:paraId="1BD903A1" w14:textId="77777777" w:rsidR="00C45D59" w:rsidRDefault="009B0962">
            <w:pPr>
              <w:pStyle w:val="P68B1DB1-Normal12"/>
              <w:spacing w:after="0" w:line="240" w:lineRule="auto"/>
              <w:rPr>
                <w:rFonts w:eastAsia="Times New Roman"/>
                <w:noProof/>
              </w:rPr>
            </w:pPr>
            <w:r>
              <w:rPr>
                <w:noProof/>
              </w:rPr>
              <w:t xml:space="preserve">— Publicarea unei strategii naționale de supraveghere a pieței produselor menționate în Regulamentul 1020/2019 și </w:t>
            </w:r>
          </w:p>
          <w:p w14:paraId="4205C5D0" w14:textId="64CFAFBB" w:rsidR="00C45D59" w:rsidRDefault="009B0962">
            <w:pPr>
              <w:pStyle w:val="P68B1DB1-Normal12"/>
              <w:spacing w:after="0" w:line="240" w:lineRule="auto"/>
              <w:rPr>
                <w:rFonts w:eastAsia="Times New Roman"/>
                <w:noProof/>
              </w:rPr>
            </w:pPr>
            <w:r>
              <w:rPr>
                <w:noProof/>
              </w:rPr>
              <w:t>— Intrarea în vigoare a noului sistem de supraveghere a activităților economice în temeiul legislației 4512/18, prin intrarea în vigoare a actelor juridice pentru domeniile de inspecție privind protecția consumatorilor, sănătatea publică, sănătatea și siguranța la locul de muncă și siguranța infrastructurilor; și pentru instituirea unui sistem de evaluare a autorităților de inspecție pentru domeniile de inspecție privind protecția consumatorilor, sănătatea publică, sănătatea și siguranța la locul de muncă, siguranța infrastructurilor, siguranța alimentară, protecția mediului și siguranța produselor.</w:t>
            </w:r>
          </w:p>
        </w:tc>
      </w:tr>
    </w:tbl>
    <w:p w14:paraId="190425BF" w14:textId="77777777" w:rsidR="00C45D59" w:rsidRDefault="00C45D59">
      <w:pPr>
        <w:spacing w:before="120" w:after="120" w:line="240" w:lineRule="auto"/>
        <w:ind w:left="709"/>
        <w:jc w:val="both"/>
        <w:rPr>
          <w:rFonts w:ascii="Times New Roman" w:hAnsi="Times New Roman" w:cs="Times New Roman"/>
          <w:noProof/>
          <w:sz w:val="24"/>
          <w:szCs w:val="24"/>
        </w:rPr>
      </w:pPr>
    </w:p>
    <w:p w14:paraId="4F28C177" w14:textId="77777777" w:rsidR="00C45D59" w:rsidRDefault="00C45D59">
      <w:pPr>
        <w:spacing w:before="120" w:after="120" w:line="240" w:lineRule="auto"/>
        <w:ind w:left="709"/>
        <w:jc w:val="both"/>
        <w:rPr>
          <w:rFonts w:ascii="Times New Roman" w:hAnsi="Times New Roman" w:cs="Times New Roman"/>
          <w:noProof/>
          <w:sz w:val="24"/>
        </w:rPr>
        <w:sectPr w:rsidR="00C45D59">
          <w:headerReference w:type="even" r:id="rId360"/>
          <w:headerReference w:type="default" r:id="rId361"/>
          <w:footerReference w:type="even" r:id="rId362"/>
          <w:footerReference w:type="default" r:id="rId363"/>
          <w:headerReference w:type="first" r:id="rId364"/>
          <w:footerReference w:type="first" r:id="rId365"/>
          <w:pgSz w:w="16839" w:h="11907" w:orient="landscape"/>
          <w:pgMar w:top="1134" w:right="1134" w:bottom="1134" w:left="1134" w:header="567" w:footer="567" w:gutter="0"/>
          <w:cols w:space="720"/>
          <w:docGrid w:linePitch="360"/>
        </w:sectPr>
      </w:pPr>
    </w:p>
    <w:p w14:paraId="6992CB18" w14:textId="77777777" w:rsidR="00C45D59" w:rsidRDefault="009B0962">
      <w:pPr>
        <w:pStyle w:val="P68B1DB1-Normal6"/>
        <w:spacing w:before="120" w:after="120" w:line="240" w:lineRule="auto"/>
        <w:jc w:val="both"/>
        <w:rPr>
          <w:rFonts w:cs="Times New Roman"/>
          <w:bCs/>
          <w:i/>
          <w:iCs/>
          <w:noProof/>
          <w:color w:val="4F81BD"/>
        </w:rPr>
      </w:pPr>
      <w:r>
        <w:rPr>
          <w:noProof/>
        </w:rPr>
        <w:t xml:space="preserve">R.3. Descrierea reformelor și a investițiilor pentru împrumut </w:t>
      </w:r>
    </w:p>
    <w:p w14:paraId="3F8641E4" w14:textId="77777777" w:rsidR="00C45D59" w:rsidRDefault="009B0962">
      <w:pPr>
        <w:pStyle w:val="P68B1DB1-Normal5"/>
        <w:spacing w:before="120" w:after="120" w:line="240" w:lineRule="auto"/>
        <w:jc w:val="both"/>
        <w:rPr>
          <w:rFonts w:cs="Times New Roman"/>
          <w:noProof/>
        </w:rPr>
      </w:pPr>
      <w:r>
        <w:rPr>
          <w:b/>
          <w:noProof/>
        </w:rPr>
        <w:t>Investiții:</w:t>
      </w:r>
      <w:r>
        <w:rPr>
          <w:noProof/>
        </w:rPr>
        <w:t xml:space="preserve"> Facilitatea de împrumut (măsura ID 16980)</w:t>
      </w:r>
    </w:p>
    <w:p w14:paraId="1C9AB06E" w14:textId="0C8E8998" w:rsidR="00C45D59" w:rsidRDefault="009B0962">
      <w:pPr>
        <w:pStyle w:val="P68B1DB1-Normal7"/>
        <w:spacing w:before="120" w:after="120" w:line="240" w:lineRule="auto"/>
        <w:jc w:val="both"/>
        <w:rPr>
          <w:noProof/>
        </w:rPr>
      </w:pPr>
      <w:r>
        <w:rPr>
          <w:noProof/>
        </w:rPr>
        <w:t xml:space="preserve">Investiția se referă la utilizarea sprijinului sub formă de împrumut în cadrul Mecanismului de redresare și reziliență pentru a facilita furnizarea de stimulente financiare sectorului privat și pentru a promova investițiile private. Mecanismul de împrumut utilizează diferite canale de distribuție, și anume instituțiile financiare [prin achiziții de obligațiuni corporative sau împrumuturi sindicalizate (13 366 446 891 EUR), o platformă de capitaluri proprii (650 000 000 EUR) și compartimentul pentru statele membre al Programului InvestEU (900 000 000 EUR)]. </w:t>
      </w:r>
    </w:p>
    <w:p w14:paraId="756F3550" w14:textId="77777777" w:rsidR="00C45D59" w:rsidRDefault="009B0962">
      <w:pPr>
        <w:pStyle w:val="P68B1DB1-Normal5"/>
        <w:spacing w:before="120" w:after="120" w:line="240" w:lineRule="auto"/>
        <w:jc w:val="both"/>
        <w:rPr>
          <w:rFonts w:cs="Times New Roman"/>
          <w:noProof/>
          <w:szCs w:val="24"/>
        </w:rPr>
      </w:pPr>
      <w:r>
        <w:rPr>
          <w:noProof/>
        </w:rPr>
        <w:t xml:space="preserve">Pentru canalul de distribuție al instituțiilor financiare, împrumuturile sunt canalizate prin intermediul instituțiilor financiare internaționale (IFI) și al băncilor comerciale (CB). Împrumuturile acordate de stat acoperă maximum 50 % din costurile de investiții, cu o participare a instituțiilor financiare de cel puțin 30 % și o participare a debitorului de cel puțin 20 %. </w:t>
      </w:r>
    </w:p>
    <w:p w14:paraId="465D3799" w14:textId="22D03D8A" w:rsidR="00C45D59" w:rsidRDefault="009B0962">
      <w:pPr>
        <w:pStyle w:val="P68B1DB1-Normal5"/>
        <w:tabs>
          <w:tab w:val="left" w:pos="0"/>
        </w:tabs>
        <w:spacing w:before="120" w:after="120" w:line="240" w:lineRule="auto"/>
        <w:jc w:val="both"/>
        <w:rPr>
          <w:rFonts w:cs="Times New Roman"/>
          <w:noProof/>
          <w:szCs w:val="24"/>
        </w:rPr>
      </w:pPr>
      <w:r>
        <w:rPr>
          <w:noProof/>
        </w:rPr>
        <w:t>Împrumuturile prelungite în cadrul facilității de împrumut rambursate în primii 3 ani de la instituirea facilității de împrumut pot fi reutilizate pentru noi plăți ale împrumuturilor acordate în cadrul facilității de împrumut. În caz contrar, toate restituirile aferente mecanismului de împrumut sunt direcționate către contul separat, care este utilizat exclusiv pentru a asigura serviciul datoriei publice, contribuind astfel la sprijinirea sustenabilității finanțelor publice.</w:t>
      </w:r>
    </w:p>
    <w:p w14:paraId="012AB40A" w14:textId="77777777" w:rsidR="00C45D59" w:rsidRDefault="009B0962">
      <w:pPr>
        <w:pStyle w:val="P68B1DB1-Normal5"/>
        <w:tabs>
          <w:tab w:val="left" w:pos="0"/>
        </w:tabs>
        <w:spacing w:before="120" w:after="120" w:line="240" w:lineRule="auto"/>
        <w:jc w:val="both"/>
        <w:rPr>
          <w:rFonts w:cs="Times New Roman"/>
          <w:noProof/>
          <w:szCs w:val="24"/>
        </w:rPr>
      </w:pPr>
      <w:r>
        <w:rPr>
          <w:noProof/>
        </w:rPr>
        <w:t xml:space="preserve">Facilitatea de împrumut finanțează numai proiectele eligibile. În mod specific, IFI și OC se asigură că investițiile finanțate: </w:t>
      </w:r>
    </w:p>
    <w:p w14:paraId="5E4993BC" w14:textId="77777777" w:rsidR="00C45D59" w:rsidRDefault="009B0962">
      <w:pPr>
        <w:pStyle w:val="P68B1DB1-Normal5"/>
        <w:numPr>
          <w:ilvl w:val="0"/>
          <w:numId w:val="84"/>
        </w:numPr>
        <w:tabs>
          <w:tab w:val="left" w:pos="0"/>
        </w:tabs>
        <w:spacing w:before="120" w:after="120" w:line="240" w:lineRule="auto"/>
        <w:jc w:val="both"/>
        <w:rPr>
          <w:rFonts w:cs="Times New Roman"/>
          <w:noProof/>
          <w:szCs w:val="24"/>
        </w:rPr>
      </w:pPr>
      <w:r>
        <w:rPr>
          <w:noProof/>
        </w:rPr>
        <w:t>să aibă o valoare actualizată netă pozitivă, asigurându-se că decizia de finanțare se bazează pe criterii economice solide;</w:t>
      </w:r>
    </w:p>
    <w:p w14:paraId="47B584AA" w14:textId="77777777" w:rsidR="00C45D59" w:rsidRDefault="009B0962">
      <w:pPr>
        <w:pStyle w:val="P68B1DB1-Normal5"/>
        <w:numPr>
          <w:ilvl w:val="0"/>
          <w:numId w:val="84"/>
        </w:numPr>
        <w:tabs>
          <w:tab w:val="left" w:pos="0"/>
        </w:tabs>
        <w:spacing w:before="120" w:after="120" w:line="240" w:lineRule="auto"/>
        <w:jc w:val="both"/>
        <w:rPr>
          <w:rFonts w:cs="Times New Roman"/>
          <w:noProof/>
          <w:szCs w:val="24"/>
        </w:rPr>
      </w:pPr>
      <w:r>
        <w:rPr>
          <w:noProof/>
        </w:rPr>
        <w:t>sunt aliniate la cei cinci piloni strategici stabiliți pentru facilitatea de împrumut, și anume tranziția verde, digitalizarea, extroversiunea, economiile de scară prin fuziuni și achiziții, inovarea (C &amp; D);</w:t>
      </w:r>
    </w:p>
    <w:p w14:paraId="19AF4C3F" w14:textId="77777777" w:rsidR="00C45D59" w:rsidRDefault="009B0962">
      <w:pPr>
        <w:pStyle w:val="P68B1DB1-Normal5"/>
        <w:numPr>
          <w:ilvl w:val="0"/>
          <w:numId w:val="84"/>
        </w:numPr>
        <w:tabs>
          <w:tab w:val="left" w:pos="0"/>
        </w:tabs>
        <w:spacing w:before="120" w:after="120" w:line="240" w:lineRule="auto"/>
        <w:jc w:val="both"/>
        <w:rPr>
          <w:rFonts w:cs="Times New Roman"/>
          <w:noProof/>
          <w:szCs w:val="24"/>
        </w:rPr>
      </w:pPr>
      <w:r>
        <w:rPr>
          <w:noProof/>
        </w:rPr>
        <w:t xml:space="preserve">să respecte normele privind ajutoarele de stat. </w:t>
      </w:r>
    </w:p>
    <w:p w14:paraId="750CC23C" w14:textId="77777777" w:rsidR="00C45D59" w:rsidRDefault="009B0962">
      <w:pPr>
        <w:pStyle w:val="P68B1DB1-Normal5"/>
        <w:spacing w:before="120" w:after="120" w:line="240" w:lineRule="auto"/>
        <w:jc w:val="both"/>
        <w:rPr>
          <w:rFonts w:cs="Times New Roman"/>
          <w:noProof/>
        </w:rPr>
      </w:pPr>
      <w:r>
        <w:rPr>
          <w:noProof/>
        </w:rPr>
        <w:t>Pentru a se asigura că măsura respectă Orientările tehnice de „a nu prejudicia în mod semnificativ” (2021/C58/01), acordurile în contextul facilității de împrumut:</w:t>
      </w:r>
    </w:p>
    <w:p w14:paraId="05845E3A" w14:textId="77777777" w:rsidR="00C45D59" w:rsidRDefault="009B0962">
      <w:pPr>
        <w:pStyle w:val="P68B1DB1-Normal5"/>
        <w:numPr>
          <w:ilvl w:val="0"/>
          <w:numId w:val="85"/>
        </w:numPr>
        <w:tabs>
          <w:tab w:val="left" w:pos="0"/>
        </w:tabs>
        <w:spacing w:before="120" w:after="120" w:line="240" w:lineRule="auto"/>
        <w:jc w:val="both"/>
        <w:rPr>
          <w:rFonts w:cs="Times New Roman"/>
          <w:noProof/>
        </w:rPr>
      </w:pPr>
      <w:r>
        <w:rPr>
          <w:noProof/>
        </w:rPr>
        <w:t>să solicite aplicarea orientărilor tehnice ale Comisiei privind evaluarea durabilității pentru Fondul InvestEU;</w:t>
      </w:r>
    </w:p>
    <w:p w14:paraId="421F963C" w14:textId="77777777" w:rsidR="00C45D59" w:rsidRDefault="009B0962">
      <w:pPr>
        <w:pStyle w:val="P68B1DB1-Normal7"/>
        <w:numPr>
          <w:ilvl w:val="0"/>
          <w:numId w:val="85"/>
        </w:numPr>
        <w:tabs>
          <w:tab w:val="left" w:pos="0"/>
        </w:tabs>
        <w:spacing w:before="120" w:after="120" w:line="240" w:lineRule="auto"/>
        <w:jc w:val="both"/>
        <w:rPr>
          <w:rFonts w:cs="Times New Roman"/>
          <w:noProof/>
        </w:rPr>
      </w:pPr>
      <w:r>
        <w:rPr>
          <w:noProof/>
        </w:rPr>
        <w:t>excluderea de la eligibilitate a următoarelor activități și active: (I) activități și active legate de combustibilii fosili, inclusiv utilizarea în aval</w:t>
      </w:r>
      <w:r>
        <w:rPr>
          <w:noProof/>
        </w:rPr>
        <w:footnoteReference w:id="3"/>
      </w:r>
      <w:r>
        <w:rPr>
          <w:noProof/>
        </w:rPr>
        <w:t>; (II) activitățile și activele din cadrul schemei UE de comercializare a certificatelor de emisii (ETS) care realizează emisii preconizate de gaze cu efect de seră care nu sunt mai mici decât valorile de referință relevante</w:t>
      </w:r>
      <w:r>
        <w:rPr>
          <w:noProof/>
        </w:rPr>
        <w:footnoteReference w:id="4"/>
      </w:r>
      <w:r>
        <w:rPr>
          <w:noProof/>
        </w:rPr>
        <w:t>; (III) activități și active legate de depozitele de deșeuri, incineratoare</w:t>
      </w:r>
      <w:r>
        <w:rPr>
          <w:noProof/>
        </w:rPr>
        <w:footnoteReference w:id="5"/>
      </w:r>
      <w:r>
        <w:rPr>
          <w:noProof/>
        </w:rPr>
        <w:t xml:space="preserve"> și stații de tratare mecano-biologică</w:t>
      </w:r>
      <w:r>
        <w:rPr>
          <w:noProof/>
        </w:rPr>
        <w:footnoteReference w:id="6"/>
      </w:r>
      <w:r>
        <w:rPr>
          <w:noProof/>
        </w:rPr>
        <w:t>; și (iv) activitățile și activele în cazul cărora eliminarea pe termen lung a deșeurilor poate dăuna mediului; și</w:t>
      </w:r>
    </w:p>
    <w:p w14:paraId="50D35A5B" w14:textId="77777777" w:rsidR="00C45D59" w:rsidRDefault="009B0962">
      <w:pPr>
        <w:pStyle w:val="P68B1DB1-Normal5"/>
        <w:numPr>
          <w:ilvl w:val="0"/>
          <w:numId w:val="85"/>
        </w:numPr>
        <w:tabs>
          <w:tab w:val="left" w:pos="0"/>
        </w:tabs>
        <w:spacing w:before="120" w:after="120" w:line="240" w:lineRule="auto"/>
        <w:jc w:val="both"/>
        <w:rPr>
          <w:rFonts w:cs="Times New Roman"/>
          <w:noProof/>
        </w:rPr>
      </w:pPr>
      <w:r>
        <w:rPr>
          <w:noProof/>
        </w:rPr>
        <w:t>să solicite verificarea conformității juridice a proiectelor cu legislația UE și națională relevantă în materie de mediu pentru toate tranzacțiile, inclusiv pentru cele exceptate de la evaluarea durabilității.</w:t>
      </w:r>
    </w:p>
    <w:p w14:paraId="573E37BD" w14:textId="7B20D0D0" w:rsidR="00C45D59" w:rsidRDefault="009B0962">
      <w:pPr>
        <w:pStyle w:val="P68B1DB1-Normal7"/>
        <w:spacing w:before="120" w:after="120" w:line="240" w:lineRule="auto"/>
        <w:jc w:val="both"/>
        <w:rPr>
          <w:rFonts w:cs="Times New Roman"/>
          <w:noProof/>
        </w:rPr>
      </w:pPr>
      <w:r>
        <w:rPr>
          <w:noProof/>
        </w:rPr>
        <w:t xml:space="preserve">În plus, mecanismul de împrumut prevede un angajament ca canalul de distribuție al instituțiilor financiare să investească cel puțin 55 % din fonduri pentru a sprijini tranziția climatică și 28 % din fonduri pentru a sprijini tranziția digitală, utilizând metodologia din anexele VI și VII la Regulamentul privind Mecanismul de redresare și reziliență. </w:t>
      </w:r>
    </w:p>
    <w:p w14:paraId="08ED2FF8" w14:textId="202FF143" w:rsidR="00C45D59" w:rsidRDefault="009B0962">
      <w:pPr>
        <w:pStyle w:val="P68B1DB1-Normal7"/>
        <w:spacing w:before="120" w:after="120" w:line="240" w:lineRule="auto"/>
        <w:jc w:val="both"/>
        <w:rPr>
          <w:rFonts w:cs="Times New Roman"/>
          <w:noProof/>
        </w:rPr>
      </w:pPr>
      <w:r>
        <w:rPr>
          <w:noProof/>
        </w:rPr>
        <w:t>Auditorii independenți verifică respectarea principiului DNSH și a obiectivului climatic de 55 % și a obiectivului digital de 28 % înainte de fiecare cerere de plată.</w:t>
      </w:r>
    </w:p>
    <w:p w14:paraId="0E55FC90" w14:textId="7A2D6CF9" w:rsidR="00C45D59" w:rsidRDefault="009B0962">
      <w:pPr>
        <w:pStyle w:val="P68B1DB1-Normal14"/>
        <w:rPr>
          <w:rFonts w:ascii="Times New Roman" w:hAnsi="Times New Roman" w:cs="Times New Roman"/>
          <w:b/>
          <w:bCs/>
          <w:noProof/>
          <w:szCs w:val="24"/>
          <w:u w:val="single"/>
        </w:rPr>
      </w:pPr>
      <w:r>
        <w:rPr>
          <w:rFonts w:ascii="Times New Roman" w:hAnsi="Times New Roman" w:cs="Times New Roman"/>
          <w:b/>
          <w:noProof/>
          <w:szCs w:val="24"/>
        </w:rPr>
        <w:t xml:space="preserve">Investiții: </w:t>
      </w:r>
      <w:r>
        <w:rPr>
          <w:rFonts w:ascii="Times New Roman" w:hAnsi="Times New Roman" w:cs="Times New Roman"/>
          <w:noProof/>
          <w:szCs w:val="24"/>
        </w:rPr>
        <w:t>Injecția de capital în Banca Elenă de Dezvoltare</w:t>
      </w:r>
      <w:r w:rsidR="00CD2DBD">
        <w:rPr>
          <w:rFonts w:ascii="Times New Roman" w:hAnsi="Times New Roman" w:cs="Times New Roman"/>
          <w:noProof/>
          <w:szCs w:val="24"/>
        </w:rPr>
        <w:t xml:space="preserve"> </w:t>
      </w:r>
      <w:r>
        <w:rPr>
          <w:rFonts w:ascii="Times New Roman" w:hAnsi="Times New Roman"/>
          <w:noProof/>
        </w:rPr>
        <w:t>(măsura ID 16403)</w:t>
      </w:r>
      <w:r>
        <w:rPr>
          <w:rFonts w:ascii="Times New Roman" w:hAnsi="Times New Roman" w:cs="Times New Roman"/>
          <w:b/>
          <w:noProof/>
          <w:szCs w:val="24"/>
          <w:u w:val="single"/>
        </w:rPr>
        <w:t xml:space="preserve"> </w:t>
      </w:r>
    </w:p>
    <w:p w14:paraId="13C6CE06" w14:textId="7FCE446D" w:rsidR="00C45D59" w:rsidRDefault="009B0962">
      <w:pPr>
        <w:pStyle w:val="NormalWeb"/>
        <w:spacing w:line="240" w:lineRule="auto"/>
        <w:jc w:val="both"/>
        <w:rPr>
          <w:noProof/>
        </w:rPr>
      </w:pPr>
      <w:r>
        <w:rPr>
          <w:noProof/>
        </w:rPr>
        <w:t xml:space="preserve">Această măsură vizează sprijinirea potențialului de creștere al economiei Greciei prin ajustarea structurală a nivelului sprijinului public disponibil pentru a remedia disfuncționalitățile pieței și ineficiențele din cadrul economiei. Măsura constă într-o injecție de capital în valoare de 1 989 092 029 EUR în Banca Elenă de Dezvoltare. </w:t>
      </w:r>
    </w:p>
    <w:p w14:paraId="4CDA6803" w14:textId="77777777" w:rsidR="00C45D59" w:rsidRDefault="009B0962">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Banca Elenă de Dezvoltare adoptă o nouă politică de investiții pentru utilizarea capitalului suplimentar. Politica de investiții include descrierea produsului (produselor) financiar (e) cu tipul preconizat de beneficiari finali eligibili pe care se preconizează că îi va sprijini inițial capitalul suplimentar, inclusiv calendarul preconizat pentru punerea în aplicare și valoarea preconizată a fiecărui produs financiar. Banca Elenă de Dezvoltare utilizează pentru capitalul suplimentar același sistem de audit și control care a fost evaluat pozitiv de Comisie în conformitate cu articolul 157 din Regulamentul (UE, Euratom) 2024/2509. Politica de investiții impune ca produsul (produsele) financiar (e) pe care îl (le) sprijină capitalul suplimentar să respecte principiul de „a nu prejudicia în mod semnificativ”, astfel cum este prevăzut în Orientările tehnice privind aplicarea principiului de „a nu prejudicia în mod semnificativ” (2021/C58/01). În special, politica de investiții exclude de la eligibilitate următoarea listă de activități și active: (I) activitățile și activele legate de combustibilii fosili, inclusiv utilizarea în aval</w:t>
      </w:r>
      <w:r>
        <w:rPr>
          <w:rFonts w:ascii="Times New Roman" w:hAnsi="Times New Roman" w:cs="Times New Roman"/>
          <w:noProof/>
          <w:sz w:val="24"/>
          <w:szCs w:val="24"/>
        </w:rPr>
        <w:footnoteReference w:id="7"/>
      </w:r>
      <w:r>
        <w:rPr>
          <w:rFonts w:ascii="Times New Roman" w:hAnsi="Times New Roman" w:cs="Times New Roman"/>
          <w:noProof/>
          <w:sz w:val="24"/>
          <w:szCs w:val="24"/>
        </w:rPr>
        <w:t>, (ii) activitățile și activele din cadrul schemei UE de comercializare a certificatelor de emisii (ETS) care realizează emisii preconizate de gaze cu efect de seră care nu sunt mai mici decât valorile de referință relevante</w:t>
      </w:r>
      <w:r>
        <w:rPr>
          <w:rFonts w:ascii="Times New Roman" w:hAnsi="Times New Roman" w:cs="Times New Roman"/>
          <w:noProof/>
          <w:sz w:val="24"/>
          <w:szCs w:val="24"/>
        </w:rPr>
        <w:footnoteReference w:id="8"/>
      </w:r>
      <w:r>
        <w:rPr>
          <w:rFonts w:ascii="Times New Roman" w:hAnsi="Times New Roman" w:cs="Times New Roman"/>
          <w:noProof/>
          <w:sz w:val="24"/>
          <w:szCs w:val="24"/>
        </w:rPr>
        <w:t>, (iii) activitățile și activele legate de depozitele de deșeuri, incineratoare</w:t>
      </w:r>
      <w:r>
        <w:rPr>
          <w:rStyle w:val="FootnoteReference"/>
          <w:rFonts w:ascii="Times New Roman" w:hAnsi="Times New Roman" w:cs="Times New Roman"/>
          <w:noProof/>
          <w:sz w:val="24"/>
          <w:szCs w:val="24"/>
        </w:rPr>
        <w:footnoteReference w:id="9"/>
      </w:r>
      <w:r>
        <w:rPr>
          <w:rFonts w:ascii="Times New Roman" w:hAnsi="Times New Roman" w:cs="Times New Roman"/>
          <w:noProof/>
          <w:sz w:val="24"/>
          <w:szCs w:val="24"/>
        </w:rPr>
        <w:t xml:space="preserve"> și stațiile de tratare mecano-biologică</w:t>
      </w:r>
      <w:r>
        <w:rPr>
          <w:rStyle w:val="FootnoteReference"/>
          <w:rFonts w:ascii="Times New Roman" w:hAnsi="Times New Roman" w:cs="Times New Roman"/>
          <w:noProof/>
          <w:sz w:val="24"/>
          <w:szCs w:val="24"/>
        </w:rPr>
        <w:footnoteReference w:id="10"/>
      </w:r>
      <w:r>
        <w:rPr>
          <w:rFonts w:ascii="Times New Roman" w:hAnsi="Times New Roman" w:cs="Times New Roman"/>
          <w:noProof/>
          <w:sz w:val="24"/>
          <w:szCs w:val="24"/>
        </w:rPr>
        <w:t>. În plus, în cazul sprijinului general acordat întreprinderilor, politica de investiții va exclude întreprinderile cu un accent considerabil</w:t>
      </w:r>
      <w:r>
        <w:rPr>
          <w:rFonts w:ascii="Times New Roman" w:hAnsi="Times New Roman" w:cs="Times New Roman"/>
          <w:noProof/>
          <w:sz w:val="24"/>
          <w:szCs w:val="24"/>
        </w:rPr>
        <w:footnoteReference w:id="11"/>
      </w:r>
      <w:r>
        <w:rPr>
          <w:rFonts w:ascii="Times New Roman" w:hAnsi="Times New Roman" w:cs="Times New Roman"/>
          <w:noProof/>
          <w:sz w:val="24"/>
          <w:szCs w:val="24"/>
        </w:rPr>
        <w:t xml:space="preserve"> în următoarele sectoare: (I) producția de energie pe bază de combustibili fosili și activitățile conexe</w:t>
      </w:r>
      <w:r>
        <w:rPr>
          <w:rFonts w:ascii="Times New Roman" w:hAnsi="Times New Roman" w:cs="Times New Roman"/>
          <w:noProof/>
          <w:sz w:val="24"/>
          <w:szCs w:val="24"/>
        </w:rPr>
        <w:footnoteReference w:id="12"/>
      </w:r>
      <w:r>
        <w:rPr>
          <w:rFonts w:ascii="Times New Roman" w:hAnsi="Times New Roman" w:cs="Times New Roman"/>
          <w:noProof/>
          <w:sz w:val="24"/>
          <w:szCs w:val="24"/>
        </w:rPr>
        <w:t>; (II) industriile mari consumatoare de energie și/sau cu emisii ridicate de CO2</w:t>
      </w:r>
      <w:r>
        <w:rPr>
          <w:rFonts w:ascii="Times New Roman" w:hAnsi="Times New Roman" w:cs="Times New Roman"/>
          <w:noProof/>
          <w:sz w:val="24"/>
          <w:szCs w:val="24"/>
        </w:rPr>
        <w:footnoteReference w:id="13"/>
      </w:r>
      <w:r>
        <w:rPr>
          <w:rFonts w:ascii="Times New Roman" w:hAnsi="Times New Roman" w:cs="Times New Roman"/>
          <w:noProof/>
          <w:sz w:val="24"/>
          <w:szCs w:val="24"/>
        </w:rPr>
        <w:t>; (III) producția, închirierea sau vânzarea de vehicule poluante</w:t>
      </w:r>
      <w:r>
        <w:rPr>
          <w:rFonts w:ascii="Times New Roman" w:hAnsi="Times New Roman" w:cs="Times New Roman"/>
          <w:noProof/>
          <w:sz w:val="24"/>
          <w:szCs w:val="24"/>
        </w:rPr>
        <w:footnoteReference w:id="14"/>
      </w:r>
      <w:r>
        <w:rPr>
          <w:rFonts w:ascii="Times New Roman" w:hAnsi="Times New Roman" w:cs="Times New Roman"/>
          <w:noProof/>
          <w:sz w:val="24"/>
          <w:szCs w:val="24"/>
        </w:rPr>
        <w:t>; (IV) colectarea deșeurilor, tratarea și eliminarea deșeurilor</w:t>
      </w:r>
      <w:r>
        <w:rPr>
          <w:rFonts w:ascii="Times New Roman" w:hAnsi="Times New Roman" w:cs="Times New Roman"/>
          <w:noProof/>
          <w:sz w:val="24"/>
          <w:szCs w:val="24"/>
        </w:rPr>
        <w:footnoteReference w:id="15"/>
      </w:r>
      <w:r>
        <w:rPr>
          <w:rFonts w:ascii="Times New Roman" w:hAnsi="Times New Roman" w:cs="Times New Roman"/>
          <w:noProof/>
          <w:sz w:val="24"/>
          <w:szCs w:val="24"/>
        </w:rPr>
        <w:t>, (v) prelucrarea combustibilului nuclear, producția de energie nucleară. În plus, politica în materie de investiții impune</w:t>
      </w:r>
      <w:r>
        <w:rPr>
          <w:rFonts w:ascii="Times New Roman" w:hAnsi="Times New Roman" w:cs="Times New Roman"/>
          <w:b/>
          <w:noProof/>
          <w:sz w:val="24"/>
          <w:szCs w:val="24"/>
        </w:rPr>
        <w:t xml:space="preserve"> </w:t>
      </w:r>
      <w:r>
        <w:rPr>
          <w:rFonts w:ascii="Times New Roman" w:hAnsi="Times New Roman" w:cs="Times New Roman"/>
          <w:noProof/>
          <w:sz w:val="24"/>
          <w:szCs w:val="24"/>
        </w:rPr>
        <w:t>respectarea legislației UE și naționale relevante în domeniul mediului a beneficiarilor finali.</w:t>
      </w:r>
    </w:p>
    <w:p w14:paraId="71D51EE4" w14:textId="77777777" w:rsidR="00C45D59" w:rsidRDefault="009B0962">
      <w:pPr>
        <w:pStyle w:val="NormalWeb"/>
        <w:spacing w:before="120" w:after="120" w:line="240" w:lineRule="auto"/>
        <w:jc w:val="both"/>
        <w:rPr>
          <w:noProof/>
        </w:rPr>
      </w:pPr>
      <w:r>
        <w:rPr>
          <w:noProof/>
        </w:rPr>
        <w:t>Îndeplinirea satisfăcătoare a jaloanelor din cadrul acestei măsuri este condiționată de îndeplinirea satisfăcătoare a jalonului 384 al reformei 16405 – Evaluarea bazată pe piloni a Băncii Elene de Dezvoltare.</w:t>
      </w:r>
    </w:p>
    <w:p w14:paraId="524BFDD1" w14:textId="77777777" w:rsidR="00C45D59" w:rsidRDefault="00C45D59">
      <w:pPr>
        <w:spacing w:before="120" w:after="120" w:line="240" w:lineRule="auto"/>
        <w:jc w:val="both"/>
        <w:rPr>
          <w:rFonts w:ascii="Times New Roman" w:hAnsi="Times New Roman" w:cs="Times New Roman"/>
          <w:noProof/>
          <w:sz w:val="24"/>
          <w:szCs w:val="24"/>
        </w:rPr>
      </w:pPr>
    </w:p>
    <w:p w14:paraId="180F0EEF" w14:textId="7B20EA43" w:rsidR="00C45D59" w:rsidRDefault="009B0962">
      <w:pPr>
        <w:pStyle w:val="P68B1DB1-Normal14"/>
        <w:rPr>
          <w:rFonts w:ascii="Times New Roman" w:hAnsi="Times New Roman" w:cs="Times New Roman"/>
          <w:b/>
          <w:bCs/>
          <w:noProof/>
          <w:szCs w:val="24"/>
          <w:u w:val="single"/>
        </w:rPr>
      </w:pPr>
      <w:r>
        <w:rPr>
          <w:rFonts w:ascii="Times New Roman" w:hAnsi="Times New Roman" w:cs="Times New Roman"/>
          <w:b/>
          <w:noProof/>
          <w:szCs w:val="24"/>
        </w:rPr>
        <w:t xml:space="preserve">Reformă: </w:t>
      </w:r>
      <w:r>
        <w:rPr>
          <w:rFonts w:ascii="Times New Roman" w:hAnsi="Times New Roman" w:cs="Times New Roman"/>
          <w:noProof/>
          <w:szCs w:val="24"/>
        </w:rPr>
        <w:t>Evaluarea bazată pe piloni a Băncii Elene de Dezvoltare</w:t>
      </w:r>
      <w:r w:rsidR="00CD2DBD">
        <w:rPr>
          <w:rFonts w:ascii="Times New Roman" w:hAnsi="Times New Roman" w:cs="Times New Roman"/>
          <w:noProof/>
          <w:szCs w:val="24"/>
        </w:rPr>
        <w:t xml:space="preserve"> </w:t>
      </w:r>
      <w:r>
        <w:rPr>
          <w:rFonts w:ascii="Times New Roman" w:hAnsi="Times New Roman"/>
          <w:noProof/>
        </w:rPr>
        <w:t>(măsura ID 16405)</w:t>
      </w:r>
    </w:p>
    <w:p w14:paraId="14BCB547" w14:textId="77777777" w:rsidR="00C45D59" w:rsidRDefault="009B0962">
      <w:pPr>
        <w:pStyle w:val="NormalWeb"/>
        <w:jc w:val="both"/>
        <w:rPr>
          <w:noProof/>
        </w:rPr>
      </w:pPr>
      <w:r>
        <w:rPr>
          <w:noProof/>
        </w:rPr>
        <w:t>Obiectivul acestei măsuri este de a se asigura că Banca Elenă de Dezvoltare a instituit mecanismele adecvate pentru punerea în aplicare a fondurilor UE. Această măsură constă în evaluarea pilonului Băncii Elene de Dezvoltare.</w:t>
      </w:r>
    </w:p>
    <w:p w14:paraId="26831F17" w14:textId="77777777" w:rsidR="00C45D59" w:rsidRDefault="00C45D59">
      <w:pPr>
        <w:spacing w:before="120" w:after="120" w:line="240" w:lineRule="auto"/>
        <w:jc w:val="both"/>
        <w:rPr>
          <w:rFonts w:ascii="Times New Roman" w:hAnsi="Times New Roman" w:cs="Times New Roman"/>
          <w:i/>
          <w:noProof/>
          <w:sz w:val="24"/>
          <w:u w:val="single"/>
        </w:rPr>
      </w:pPr>
    </w:p>
    <w:p w14:paraId="0F4C74F9" w14:textId="77777777" w:rsidR="00C45D59" w:rsidRDefault="00C45D59">
      <w:pPr>
        <w:spacing w:after="160" w:line="259" w:lineRule="auto"/>
        <w:ind w:left="709"/>
        <w:contextualSpacing/>
        <w:jc w:val="both"/>
        <w:rPr>
          <w:noProof/>
        </w:rPr>
      </w:pPr>
    </w:p>
    <w:p w14:paraId="0330301B" w14:textId="77777777" w:rsidR="00C45D59" w:rsidRDefault="00C45D59">
      <w:pPr>
        <w:spacing w:after="160" w:line="259" w:lineRule="auto"/>
        <w:ind w:left="709"/>
        <w:contextualSpacing/>
        <w:jc w:val="both"/>
        <w:rPr>
          <w:noProof/>
        </w:rPr>
        <w:sectPr w:rsidR="00C45D59">
          <w:headerReference w:type="even" r:id="rId366"/>
          <w:headerReference w:type="default" r:id="rId367"/>
          <w:footerReference w:type="even" r:id="rId368"/>
          <w:footerReference w:type="default" r:id="rId369"/>
          <w:headerReference w:type="first" r:id="rId370"/>
          <w:footerReference w:type="first" r:id="rId371"/>
          <w:pgSz w:w="11907" w:h="16839"/>
          <w:pgMar w:top="1134" w:right="1134" w:bottom="1134" w:left="1134" w:header="567" w:footer="567" w:gutter="0"/>
          <w:cols w:space="720"/>
          <w:docGrid w:linePitch="360"/>
        </w:sectPr>
      </w:pPr>
    </w:p>
    <w:p w14:paraId="6AB21F66" w14:textId="77777777" w:rsidR="00C45D59" w:rsidRDefault="009B0962">
      <w:pPr>
        <w:pStyle w:val="P68B1DB1-Normal6"/>
        <w:spacing w:before="120" w:after="120" w:line="240" w:lineRule="auto"/>
        <w:jc w:val="both"/>
        <w:rPr>
          <w:rFonts w:cs="Times New Roman"/>
          <w:bCs/>
          <w:noProof/>
        </w:rPr>
      </w:pPr>
      <w:r>
        <w:rPr>
          <w:noProof/>
        </w:rPr>
        <w:t xml:space="preserve">R.4. Jaloane, ținte, indicatori și calendarul de monitorizare și implementare aplicabile împrumutului </w:t>
      </w:r>
    </w:p>
    <w:p w14:paraId="4E6B709C" w14:textId="77777777" w:rsidR="00C45D59" w:rsidRDefault="009B0962">
      <w:pPr>
        <w:pStyle w:val="P68B1DB1-Normal9"/>
        <w:keepNext/>
        <w:keepLines/>
        <w:spacing w:before="40" w:after="240" w:line="240" w:lineRule="auto"/>
        <w:jc w:val="both"/>
        <w:outlineLvl w:val="4"/>
        <w:rPr>
          <w:rFonts w:eastAsia="Times New Roman"/>
          <w:noProof/>
        </w:rPr>
      </w:pPr>
      <w:r>
        <w:rPr>
          <w:noProof/>
        </w:rPr>
        <w:t>Facilitatea de împrumut (16980)</w:t>
      </w:r>
    </w:p>
    <w:tbl>
      <w:tblPr>
        <w:tblW w:w="15883" w:type="dxa"/>
        <w:jc w:val="center"/>
        <w:tblLayout w:type="fixed"/>
        <w:tblLook w:val="04A0" w:firstRow="1" w:lastRow="0" w:firstColumn="1" w:lastColumn="0" w:noHBand="0" w:noVBand="1"/>
      </w:tblPr>
      <w:tblGrid>
        <w:gridCol w:w="602"/>
        <w:gridCol w:w="1614"/>
        <w:gridCol w:w="992"/>
        <w:gridCol w:w="1559"/>
        <w:gridCol w:w="1276"/>
        <w:gridCol w:w="1134"/>
        <w:gridCol w:w="1417"/>
        <w:gridCol w:w="1418"/>
        <w:gridCol w:w="1084"/>
        <w:gridCol w:w="720"/>
        <w:gridCol w:w="4067"/>
      </w:tblGrid>
      <w:tr w:rsidR="00C45D59" w14:paraId="45D4D969" w14:textId="77777777" w:rsidTr="00037E31">
        <w:trPr>
          <w:trHeight w:val="810"/>
          <w:tblHeader/>
          <w:jc w:val="center"/>
        </w:trPr>
        <w:tc>
          <w:tcPr>
            <w:tcW w:w="602" w:type="dxa"/>
            <w:vMerge w:val="restart"/>
            <w:tcBorders>
              <w:top w:val="single" w:sz="2" w:space="0" w:color="000000"/>
              <w:left w:val="single" w:sz="2" w:space="0" w:color="000000"/>
              <w:bottom w:val="single" w:sz="2" w:space="0" w:color="000000"/>
              <w:right w:val="single" w:sz="2" w:space="0" w:color="000000"/>
            </w:tcBorders>
            <w:shd w:val="clear" w:color="auto" w:fill="BDD7EE"/>
            <w:vAlign w:val="center"/>
            <w:hideMark/>
          </w:tcPr>
          <w:p w14:paraId="0ACBF860" w14:textId="3A9F1DFE" w:rsidR="00C45D59" w:rsidRDefault="00097639">
            <w:pPr>
              <w:pStyle w:val="P68B1DB1-Normal15"/>
              <w:spacing w:after="0" w:line="240" w:lineRule="auto"/>
              <w:jc w:val="center"/>
              <w:rPr>
                <w:rFonts w:eastAsia="Times New Roman"/>
                <w:noProof/>
              </w:rPr>
            </w:pPr>
            <w:r>
              <w:rPr>
                <w:noProof/>
              </w:rPr>
              <w:t>Nr. crt.</w:t>
            </w:r>
          </w:p>
        </w:tc>
        <w:tc>
          <w:tcPr>
            <w:tcW w:w="1614" w:type="dxa"/>
            <w:vMerge w:val="restart"/>
            <w:tcBorders>
              <w:top w:val="single" w:sz="2" w:space="0" w:color="000000"/>
              <w:left w:val="single" w:sz="2" w:space="0" w:color="000000"/>
              <w:bottom w:val="single" w:sz="2" w:space="0" w:color="000000"/>
              <w:right w:val="single" w:sz="2" w:space="0" w:color="000000"/>
            </w:tcBorders>
            <w:shd w:val="clear" w:color="auto" w:fill="BDD7EE"/>
            <w:vAlign w:val="center"/>
            <w:hideMark/>
          </w:tcPr>
          <w:p w14:paraId="4E043D56" w14:textId="77777777" w:rsidR="00C45D59" w:rsidRDefault="009B0962">
            <w:pPr>
              <w:pStyle w:val="P68B1DB1-Normal15"/>
              <w:spacing w:after="0" w:line="240" w:lineRule="auto"/>
              <w:jc w:val="center"/>
              <w:rPr>
                <w:rFonts w:eastAsia="Times New Roman"/>
                <w:noProof/>
              </w:rPr>
            </w:pPr>
            <w:r>
              <w:rPr>
                <w:noProof/>
              </w:rPr>
              <w:t>Măsură conexă (reformă sau investiții)</w:t>
            </w:r>
          </w:p>
        </w:tc>
        <w:tc>
          <w:tcPr>
            <w:tcW w:w="992" w:type="dxa"/>
            <w:vMerge w:val="restart"/>
            <w:tcBorders>
              <w:top w:val="single" w:sz="2" w:space="0" w:color="000000"/>
              <w:left w:val="single" w:sz="2" w:space="0" w:color="000000"/>
              <w:bottom w:val="single" w:sz="2" w:space="0" w:color="000000"/>
              <w:right w:val="single" w:sz="2" w:space="0" w:color="000000"/>
            </w:tcBorders>
            <w:shd w:val="clear" w:color="auto" w:fill="BDD7EE"/>
            <w:vAlign w:val="center"/>
            <w:hideMark/>
          </w:tcPr>
          <w:p w14:paraId="13B1EA81" w14:textId="5645D335" w:rsidR="00C45D59" w:rsidRDefault="009B0962">
            <w:pPr>
              <w:pStyle w:val="P68B1DB1-Normal15"/>
              <w:spacing w:after="0" w:line="240" w:lineRule="auto"/>
              <w:jc w:val="center"/>
              <w:rPr>
                <w:rFonts w:eastAsia="Times New Roman"/>
                <w:noProof/>
              </w:rPr>
            </w:pPr>
            <w:r>
              <w:rPr>
                <w:noProof/>
              </w:rPr>
              <w:t>Etapă/</w:t>
            </w:r>
            <w:r w:rsidR="00037E31">
              <w:rPr>
                <w:noProof/>
              </w:rPr>
              <w:t xml:space="preserve"> </w:t>
            </w:r>
            <w:r>
              <w:rPr>
                <w:noProof/>
              </w:rPr>
              <w:t>Obiectiv</w:t>
            </w:r>
          </w:p>
        </w:tc>
        <w:tc>
          <w:tcPr>
            <w:tcW w:w="1559" w:type="dxa"/>
            <w:vMerge w:val="restart"/>
            <w:tcBorders>
              <w:top w:val="single" w:sz="2" w:space="0" w:color="000000"/>
              <w:left w:val="single" w:sz="2" w:space="0" w:color="000000"/>
              <w:bottom w:val="single" w:sz="2" w:space="0" w:color="000000"/>
              <w:right w:val="single" w:sz="2" w:space="0" w:color="000000"/>
            </w:tcBorders>
            <w:shd w:val="clear" w:color="auto" w:fill="BDD7EE"/>
            <w:vAlign w:val="center"/>
            <w:hideMark/>
          </w:tcPr>
          <w:p w14:paraId="2B7E1DAC" w14:textId="4229D7FA" w:rsidR="00C45D59" w:rsidRDefault="00037E31">
            <w:pPr>
              <w:pStyle w:val="P68B1DB1-Normal15"/>
              <w:spacing w:after="0" w:line="240" w:lineRule="auto"/>
              <w:jc w:val="center"/>
              <w:rPr>
                <w:rFonts w:eastAsia="Times New Roman"/>
                <w:noProof/>
              </w:rPr>
            </w:pPr>
            <w:r>
              <w:rPr>
                <w:noProof/>
              </w:rPr>
              <w:t>Denumire</w:t>
            </w:r>
          </w:p>
        </w:tc>
        <w:tc>
          <w:tcPr>
            <w:tcW w:w="1276" w:type="dxa"/>
            <w:vMerge w:val="restart"/>
            <w:tcBorders>
              <w:top w:val="single" w:sz="2" w:space="0" w:color="000000"/>
              <w:left w:val="single" w:sz="2" w:space="0" w:color="000000"/>
              <w:bottom w:val="single" w:sz="2" w:space="0" w:color="000000"/>
              <w:right w:val="single" w:sz="2" w:space="0" w:color="000000"/>
            </w:tcBorders>
            <w:shd w:val="clear" w:color="auto" w:fill="BDD7EE"/>
            <w:vAlign w:val="center"/>
            <w:hideMark/>
          </w:tcPr>
          <w:p w14:paraId="20451BEA" w14:textId="77777777" w:rsidR="00C45D59" w:rsidRDefault="009B0962">
            <w:pPr>
              <w:pStyle w:val="P68B1DB1-Normal15"/>
              <w:spacing w:after="0" w:line="240" w:lineRule="auto"/>
              <w:jc w:val="center"/>
              <w:rPr>
                <w:rFonts w:eastAsia="Times New Roman"/>
                <w:noProof/>
              </w:rPr>
            </w:pPr>
            <w:r>
              <w:rPr>
                <w:noProof/>
              </w:rPr>
              <w:t>Indicatori calitativi (pentru obiectivele de etapă)</w:t>
            </w:r>
          </w:p>
        </w:tc>
        <w:tc>
          <w:tcPr>
            <w:tcW w:w="3969" w:type="dxa"/>
            <w:gridSpan w:val="3"/>
            <w:tcBorders>
              <w:top w:val="single" w:sz="2" w:space="0" w:color="000000"/>
              <w:left w:val="single" w:sz="2" w:space="0" w:color="000000"/>
              <w:bottom w:val="single" w:sz="2" w:space="0" w:color="000000"/>
              <w:right w:val="single" w:sz="2" w:space="0" w:color="000000"/>
            </w:tcBorders>
            <w:shd w:val="clear" w:color="auto" w:fill="BDD7EE"/>
            <w:vAlign w:val="center"/>
            <w:hideMark/>
          </w:tcPr>
          <w:p w14:paraId="164C9DFA" w14:textId="77777777" w:rsidR="00C45D59" w:rsidRDefault="009B0962">
            <w:pPr>
              <w:pStyle w:val="P68B1DB1-Normal15"/>
              <w:spacing w:after="0" w:line="240" w:lineRule="auto"/>
              <w:jc w:val="center"/>
              <w:rPr>
                <w:rFonts w:eastAsia="Times New Roman"/>
                <w:noProof/>
              </w:rPr>
            </w:pPr>
            <w:r>
              <w:rPr>
                <w:noProof/>
              </w:rPr>
              <w:t>Indicatori cantitativi (pentru ținte)</w:t>
            </w:r>
          </w:p>
        </w:tc>
        <w:tc>
          <w:tcPr>
            <w:tcW w:w="1804" w:type="dxa"/>
            <w:gridSpan w:val="2"/>
            <w:tcBorders>
              <w:top w:val="single" w:sz="2" w:space="0" w:color="000000"/>
              <w:left w:val="single" w:sz="2" w:space="0" w:color="000000"/>
              <w:bottom w:val="single" w:sz="2" w:space="0" w:color="000000"/>
              <w:right w:val="single" w:sz="2" w:space="0" w:color="000000"/>
            </w:tcBorders>
            <w:shd w:val="clear" w:color="auto" w:fill="BDD7EE"/>
            <w:vAlign w:val="center"/>
            <w:hideMark/>
          </w:tcPr>
          <w:p w14:paraId="14553B9E" w14:textId="77777777" w:rsidR="00C45D59" w:rsidRDefault="009B0962">
            <w:pPr>
              <w:pStyle w:val="P68B1DB1-Normal15"/>
              <w:spacing w:after="0" w:line="240" w:lineRule="auto"/>
              <w:jc w:val="center"/>
              <w:rPr>
                <w:rFonts w:eastAsia="Times New Roman"/>
                <w:noProof/>
              </w:rPr>
            </w:pPr>
            <w:r>
              <w:rPr>
                <w:noProof/>
              </w:rPr>
              <w:t>Calendar orientativ pentru finalizare</w:t>
            </w:r>
          </w:p>
        </w:tc>
        <w:tc>
          <w:tcPr>
            <w:tcW w:w="4067" w:type="dxa"/>
            <w:vMerge w:val="restart"/>
            <w:tcBorders>
              <w:top w:val="single" w:sz="2" w:space="0" w:color="000000"/>
              <w:left w:val="single" w:sz="2" w:space="0" w:color="000000"/>
              <w:bottom w:val="single" w:sz="2" w:space="0" w:color="000000"/>
              <w:right w:val="single" w:sz="2" w:space="0" w:color="000000"/>
            </w:tcBorders>
            <w:shd w:val="clear" w:color="auto" w:fill="BDD7EE"/>
            <w:vAlign w:val="center"/>
            <w:hideMark/>
          </w:tcPr>
          <w:p w14:paraId="24DCCDEE" w14:textId="77777777" w:rsidR="00C45D59" w:rsidRDefault="009B0962">
            <w:pPr>
              <w:pStyle w:val="P68B1DB1-Normal15"/>
              <w:spacing w:after="0" w:line="240" w:lineRule="auto"/>
              <w:jc w:val="center"/>
              <w:rPr>
                <w:rFonts w:eastAsia="Times New Roman"/>
                <w:noProof/>
              </w:rPr>
            </w:pPr>
            <w:r>
              <w:rPr>
                <w:noProof/>
              </w:rPr>
              <w:t>Descrierea fiecărui jalon și a fiecărei ținte</w:t>
            </w:r>
          </w:p>
        </w:tc>
      </w:tr>
      <w:tr w:rsidR="00C45D59" w14:paraId="22016A65" w14:textId="77777777" w:rsidTr="00037E31">
        <w:trPr>
          <w:trHeight w:val="581"/>
          <w:tblHeader/>
          <w:jc w:val="center"/>
        </w:trPr>
        <w:tc>
          <w:tcPr>
            <w:tcW w:w="602" w:type="dxa"/>
            <w:vMerge/>
            <w:tcBorders>
              <w:top w:val="single" w:sz="2" w:space="0" w:color="000000"/>
              <w:left w:val="single" w:sz="2" w:space="0" w:color="000000"/>
              <w:bottom w:val="single" w:sz="2" w:space="0" w:color="000000"/>
              <w:right w:val="single" w:sz="2" w:space="0" w:color="000000"/>
            </w:tcBorders>
            <w:vAlign w:val="center"/>
            <w:hideMark/>
          </w:tcPr>
          <w:p w14:paraId="11A56298" w14:textId="77777777" w:rsidR="00C45D59" w:rsidRDefault="00C45D59">
            <w:pPr>
              <w:spacing w:after="0" w:line="240" w:lineRule="auto"/>
              <w:rPr>
                <w:rFonts w:ascii="Times New Roman" w:eastAsia="Times New Roman" w:hAnsi="Times New Roman" w:cs="Times New Roman"/>
                <w:b/>
                <w:noProof/>
                <w:sz w:val="18"/>
                <w:szCs w:val="18"/>
              </w:rPr>
            </w:pPr>
          </w:p>
        </w:tc>
        <w:tc>
          <w:tcPr>
            <w:tcW w:w="1614" w:type="dxa"/>
            <w:vMerge/>
            <w:tcBorders>
              <w:top w:val="single" w:sz="2" w:space="0" w:color="000000"/>
              <w:left w:val="single" w:sz="2" w:space="0" w:color="000000"/>
              <w:bottom w:val="single" w:sz="2" w:space="0" w:color="000000"/>
              <w:right w:val="single" w:sz="2" w:space="0" w:color="000000"/>
            </w:tcBorders>
            <w:vAlign w:val="center"/>
            <w:hideMark/>
          </w:tcPr>
          <w:p w14:paraId="10C425B5" w14:textId="77777777" w:rsidR="00C45D59" w:rsidRDefault="00C45D59">
            <w:pPr>
              <w:spacing w:after="0" w:line="240" w:lineRule="auto"/>
              <w:rPr>
                <w:rFonts w:ascii="Times New Roman" w:eastAsia="Times New Roman" w:hAnsi="Times New Roman" w:cs="Times New Roman"/>
                <w:b/>
                <w:noProof/>
                <w:sz w:val="18"/>
                <w:szCs w:val="18"/>
              </w:rPr>
            </w:pPr>
          </w:p>
        </w:tc>
        <w:tc>
          <w:tcPr>
            <w:tcW w:w="992" w:type="dxa"/>
            <w:vMerge/>
            <w:tcBorders>
              <w:top w:val="single" w:sz="2" w:space="0" w:color="000000"/>
              <w:left w:val="single" w:sz="2" w:space="0" w:color="000000"/>
              <w:bottom w:val="single" w:sz="2" w:space="0" w:color="000000"/>
              <w:right w:val="single" w:sz="2" w:space="0" w:color="000000"/>
            </w:tcBorders>
            <w:vAlign w:val="center"/>
            <w:hideMark/>
          </w:tcPr>
          <w:p w14:paraId="4FE744FA" w14:textId="77777777" w:rsidR="00C45D59" w:rsidRDefault="00C45D59">
            <w:pPr>
              <w:spacing w:after="0" w:line="240" w:lineRule="auto"/>
              <w:rPr>
                <w:rFonts w:ascii="Times New Roman" w:eastAsia="Times New Roman" w:hAnsi="Times New Roman" w:cs="Times New Roman"/>
                <w:b/>
                <w:noProof/>
                <w:sz w:val="18"/>
                <w:szCs w:val="18"/>
              </w:rPr>
            </w:pPr>
          </w:p>
        </w:tc>
        <w:tc>
          <w:tcPr>
            <w:tcW w:w="1559" w:type="dxa"/>
            <w:vMerge/>
            <w:tcBorders>
              <w:top w:val="single" w:sz="2" w:space="0" w:color="000000"/>
              <w:left w:val="single" w:sz="2" w:space="0" w:color="000000"/>
              <w:bottom w:val="single" w:sz="2" w:space="0" w:color="000000"/>
              <w:right w:val="single" w:sz="2" w:space="0" w:color="000000"/>
            </w:tcBorders>
            <w:vAlign w:val="center"/>
            <w:hideMark/>
          </w:tcPr>
          <w:p w14:paraId="764E1BCF" w14:textId="77777777" w:rsidR="00C45D59" w:rsidRDefault="00C45D59">
            <w:pPr>
              <w:spacing w:after="0" w:line="240" w:lineRule="auto"/>
              <w:rPr>
                <w:rFonts w:ascii="Times New Roman" w:eastAsia="Times New Roman" w:hAnsi="Times New Roman" w:cs="Times New Roman"/>
                <w:b/>
                <w:noProof/>
                <w:sz w:val="18"/>
                <w:szCs w:val="18"/>
              </w:rPr>
            </w:pPr>
          </w:p>
        </w:tc>
        <w:tc>
          <w:tcPr>
            <w:tcW w:w="1276" w:type="dxa"/>
            <w:vMerge/>
            <w:tcBorders>
              <w:top w:val="single" w:sz="2" w:space="0" w:color="000000"/>
              <w:left w:val="single" w:sz="2" w:space="0" w:color="000000"/>
              <w:bottom w:val="single" w:sz="2" w:space="0" w:color="000000"/>
              <w:right w:val="single" w:sz="2" w:space="0" w:color="000000"/>
            </w:tcBorders>
            <w:vAlign w:val="center"/>
            <w:hideMark/>
          </w:tcPr>
          <w:p w14:paraId="2D8DD11B" w14:textId="77777777" w:rsidR="00C45D59" w:rsidRDefault="00C45D59">
            <w:pPr>
              <w:spacing w:after="0" w:line="240" w:lineRule="auto"/>
              <w:rPr>
                <w:rFonts w:ascii="Times New Roman" w:eastAsia="Times New Roman" w:hAnsi="Times New Roman" w:cs="Times New Roman"/>
                <w:b/>
                <w:noProof/>
                <w:sz w:val="18"/>
                <w:szCs w:val="18"/>
              </w:rPr>
            </w:pPr>
          </w:p>
        </w:tc>
        <w:tc>
          <w:tcPr>
            <w:tcW w:w="1134" w:type="dxa"/>
            <w:tcBorders>
              <w:top w:val="single" w:sz="2" w:space="0" w:color="000000"/>
              <w:left w:val="single" w:sz="2" w:space="0" w:color="000000"/>
              <w:bottom w:val="single" w:sz="2" w:space="0" w:color="000000"/>
              <w:right w:val="single" w:sz="2" w:space="0" w:color="000000"/>
            </w:tcBorders>
            <w:shd w:val="clear" w:color="auto" w:fill="BDD7EE"/>
            <w:vAlign w:val="center"/>
            <w:hideMark/>
          </w:tcPr>
          <w:p w14:paraId="349BCADB" w14:textId="77777777" w:rsidR="00C45D59" w:rsidRDefault="009B0962">
            <w:pPr>
              <w:pStyle w:val="P68B1DB1-Normal15"/>
              <w:spacing w:after="0" w:line="240" w:lineRule="auto"/>
              <w:jc w:val="center"/>
              <w:rPr>
                <w:rFonts w:eastAsia="Times New Roman"/>
                <w:noProof/>
              </w:rPr>
            </w:pPr>
            <w:r>
              <w:rPr>
                <w:noProof/>
              </w:rPr>
              <w:t>Unitatea de măsură</w:t>
            </w:r>
          </w:p>
        </w:tc>
        <w:tc>
          <w:tcPr>
            <w:tcW w:w="1417" w:type="dxa"/>
            <w:tcBorders>
              <w:top w:val="single" w:sz="2" w:space="0" w:color="000000"/>
              <w:left w:val="single" w:sz="2" w:space="0" w:color="000000"/>
              <w:bottom w:val="single" w:sz="2" w:space="0" w:color="000000"/>
              <w:right w:val="single" w:sz="2" w:space="0" w:color="000000"/>
            </w:tcBorders>
            <w:shd w:val="clear" w:color="auto" w:fill="BDD7EE"/>
            <w:vAlign w:val="center"/>
            <w:hideMark/>
          </w:tcPr>
          <w:p w14:paraId="57C2096D" w14:textId="77777777" w:rsidR="00C45D59" w:rsidRDefault="009B0962">
            <w:pPr>
              <w:pStyle w:val="P68B1DB1-Normal15"/>
              <w:spacing w:after="0" w:line="240" w:lineRule="auto"/>
              <w:jc w:val="center"/>
              <w:rPr>
                <w:rFonts w:eastAsia="Times New Roman"/>
                <w:noProof/>
              </w:rPr>
            </w:pPr>
            <w:r>
              <w:rPr>
                <w:noProof/>
              </w:rPr>
              <w:t>Situația de referință</w:t>
            </w:r>
          </w:p>
        </w:tc>
        <w:tc>
          <w:tcPr>
            <w:tcW w:w="1418" w:type="dxa"/>
            <w:tcBorders>
              <w:top w:val="single" w:sz="2" w:space="0" w:color="000000"/>
              <w:left w:val="single" w:sz="2" w:space="0" w:color="000000"/>
              <w:bottom w:val="single" w:sz="2" w:space="0" w:color="000000"/>
              <w:right w:val="single" w:sz="2" w:space="0" w:color="000000"/>
            </w:tcBorders>
            <w:shd w:val="clear" w:color="auto" w:fill="BDD7EE"/>
            <w:vAlign w:val="center"/>
            <w:hideMark/>
          </w:tcPr>
          <w:p w14:paraId="49F07A95" w14:textId="77777777" w:rsidR="00C45D59" w:rsidRDefault="009B0962">
            <w:pPr>
              <w:pStyle w:val="P68B1DB1-Normal15"/>
              <w:spacing w:after="0" w:line="240" w:lineRule="auto"/>
              <w:jc w:val="center"/>
              <w:rPr>
                <w:rFonts w:eastAsia="Times New Roman"/>
                <w:noProof/>
              </w:rPr>
            </w:pPr>
            <w:r>
              <w:rPr>
                <w:noProof/>
              </w:rPr>
              <w:t>Obiectiv</w:t>
            </w:r>
          </w:p>
        </w:tc>
        <w:tc>
          <w:tcPr>
            <w:tcW w:w="1084" w:type="dxa"/>
            <w:tcBorders>
              <w:top w:val="single" w:sz="2" w:space="0" w:color="000000"/>
              <w:left w:val="single" w:sz="2" w:space="0" w:color="000000"/>
              <w:bottom w:val="single" w:sz="2" w:space="0" w:color="000000"/>
              <w:right w:val="single" w:sz="2" w:space="0" w:color="000000"/>
            </w:tcBorders>
            <w:shd w:val="clear" w:color="auto" w:fill="BDD7EE"/>
            <w:vAlign w:val="center"/>
            <w:hideMark/>
          </w:tcPr>
          <w:p w14:paraId="299B73C2" w14:textId="77777777" w:rsidR="00C45D59" w:rsidRDefault="009B0962">
            <w:pPr>
              <w:pStyle w:val="P68B1DB1-Normal15"/>
              <w:spacing w:after="0" w:line="240" w:lineRule="auto"/>
              <w:jc w:val="center"/>
              <w:rPr>
                <w:rFonts w:eastAsia="Times New Roman"/>
                <w:noProof/>
              </w:rPr>
            </w:pPr>
            <w:r>
              <w:rPr>
                <w:noProof/>
              </w:rPr>
              <w:t>Trimestru</w:t>
            </w:r>
          </w:p>
        </w:tc>
        <w:tc>
          <w:tcPr>
            <w:tcW w:w="720" w:type="dxa"/>
            <w:tcBorders>
              <w:top w:val="single" w:sz="2" w:space="0" w:color="000000"/>
              <w:left w:val="single" w:sz="2" w:space="0" w:color="000000"/>
              <w:bottom w:val="single" w:sz="2" w:space="0" w:color="000000"/>
              <w:right w:val="single" w:sz="2" w:space="0" w:color="000000"/>
            </w:tcBorders>
            <w:shd w:val="clear" w:color="auto" w:fill="BDD7EE"/>
            <w:vAlign w:val="center"/>
            <w:hideMark/>
          </w:tcPr>
          <w:p w14:paraId="4BB493D8" w14:textId="77777777" w:rsidR="00C45D59" w:rsidRDefault="009B0962">
            <w:pPr>
              <w:pStyle w:val="P68B1DB1-Normal15"/>
              <w:spacing w:after="0" w:line="240" w:lineRule="auto"/>
              <w:jc w:val="center"/>
              <w:rPr>
                <w:rFonts w:eastAsia="Times New Roman"/>
                <w:noProof/>
              </w:rPr>
            </w:pPr>
            <w:r>
              <w:rPr>
                <w:noProof/>
              </w:rPr>
              <w:t>Anul</w:t>
            </w:r>
          </w:p>
        </w:tc>
        <w:tc>
          <w:tcPr>
            <w:tcW w:w="4067" w:type="dxa"/>
            <w:vMerge/>
            <w:tcBorders>
              <w:top w:val="single" w:sz="2" w:space="0" w:color="000000"/>
              <w:left w:val="single" w:sz="2" w:space="0" w:color="000000"/>
              <w:bottom w:val="single" w:sz="2" w:space="0" w:color="000000"/>
              <w:right w:val="single" w:sz="2" w:space="0" w:color="000000"/>
            </w:tcBorders>
            <w:vAlign w:val="center"/>
            <w:hideMark/>
          </w:tcPr>
          <w:p w14:paraId="6998B26A" w14:textId="77777777" w:rsidR="00C45D59" w:rsidRDefault="00C45D59">
            <w:pPr>
              <w:spacing w:after="0" w:line="240" w:lineRule="auto"/>
              <w:rPr>
                <w:rFonts w:ascii="Times New Roman" w:eastAsia="Times New Roman" w:hAnsi="Times New Roman" w:cs="Times New Roman"/>
                <w:b/>
                <w:noProof/>
                <w:sz w:val="18"/>
                <w:szCs w:val="18"/>
              </w:rPr>
            </w:pPr>
          </w:p>
        </w:tc>
      </w:tr>
      <w:tr w:rsidR="00C45D59" w14:paraId="0C700E6B" w14:textId="77777777" w:rsidTr="00037E31">
        <w:trPr>
          <w:trHeight w:val="314"/>
          <w:jc w:val="center"/>
        </w:trPr>
        <w:tc>
          <w:tcPr>
            <w:tcW w:w="602" w:type="dxa"/>
            <w:tcBorders>
              <w:top w:val="single" w:sz="2" w:space="0" w:color="000000"/>
              <w:left w:val="single" w:sz="2" w:space="0" w:color="000000"/>
              <w:bottom w:val="single" w:sz="2" w:space="0" w:color="000000"/>
              <w:right w:val="single" w:sz="2" w:space="0" w:color="000000"/>
            </w:tcBorders>
            <w:shd w:val="clear" w:color="auto" w:fill="C6EFCE"/>
            <w:noWrap/>
          </w:tcPr>
          <w:p w14:paraId="2B5B6F06" w14:textId="77777777" w:rsidR="00C45D59" w:rsidRDefault="009B0962">
            <w:pPr>
              <w:pStyle w:val="P68B1DB1-Normal12"/>
              <w:spacing w:after="0" w:line="240" w:lineRule="auto"/>
              <w:rPr>
                <w:rFonts w:eastAsia="Times New Roman"/>
                <w:noProof/>
              </w:rPr>
            </w:pPr>
            <w:bookmarkStart w:id="7" w:name="_Hlk214356057"/>
            <w:r>
              <w:rPr>
                <w:noProof/>
              </w:rPr>
              <w:t>320</w:t>
            </w:r>
          </w:p>
        </w:tc>
        <w:tc>
          <w:tcPr>
            <w:tcW w:w="1614" w:type="dxa"/>
            <w:tcBorders>
              <w:top w:val="single" w:sz="2" w:space="0" w:color="000000"/>
              <w:left w:val="single" w:sz="2" w:space="0" w:color="000000"/>
              <w:bottom w:val="single" w:sz="2" w:space="0" w:color="000000"/>
              <w:right w:val="single" w:sz="2" w:space="0" w:color="000000"/>
            </w:tcBorders>
            <w:shd w:val="clear" w:color="auto" w:fill="C6EFCE"/>
            <w:noWrap/>
          </w:tcPr>
          <w:p w14:paraId="6DBEF3D9" w14:textId="77777777" w:rsidR="00C45D59" w:rsidRDefault="009B0962">
            <w:pPr>
              <w:pStyle w:val="P68B1DB1-Normal12"/>
              <w:spacing w:after="0" w:line="240" w:lineRule="auto"/>
              <w:rPr>
                <w:rFonts w:eastAsia="Times New Roman"/>
                <w:noProof/>
              </w:rPr>
            </w:pPr>
            <w:r>
              <w:rPr>
                <w:noProof/>
              </w:rPr>
              <w:t>4.7. Îmbunătățirea competitivității și promovarea investițiilor private și a exporturilor – Mecanismul de împrumut 16980_RRP</w:t>
            </w:r>
          </w:p>
        </w:tc>
        <w:tc>
          <w:tcPr>
            <w:tcW w:w="992" w:type="dxa"/>
            <w:tcBorders>
              <w:top w:val="single" w:sz="2" w:space="0" w:color="000000"/>
              <w:left w:val="single" w:sz="2" w:space="0" w:color="000000"/>
              <w:bottom w:val="single" w:sz="2" w:space="0" w:color="000000"/>
              <w:right w:val="single" w:sz="2" w:space="0" w:color="000000"/>
            </w:tcBorders>
            <w:shd w:val="clear" w:color="auto" w:fill="C6EFCE"/>
            <w:noWrap/>
          </w:tcPr>
          <w:p w14:paraId="519DAE49" w14:textId="77777777" w:rsidR="00C45D59" w:rsidRDefault="009B0962">
            <w:pPr>
              <w:pStyle w:val="P68B1DB1-Normal12"/>
              <w:spacing w:after="0" w:line="240" w:lineRule="auto"/>
              <w:rPr>
                <w:rFonts w:eastAsia="Times New Roman"/>
                <w:noProof/>
              </w:rPr>
            </w:pPr>
            <w:r>
              <w:rPr>
                <w:noProof/>
              </w:rPr>
              <w:t>Etapă</w:t>
            </w:r>
          </w:p>
        </w:tc>
        <w:tc>
          <w:tcPr>
            <w:tcW w:w="1559" w:type="dxa"/>
            <w:tcBorders>
              <w:top w:val="single" w:sz="2" w:space="0" w:color="000000"/>
              <w:left w:val="single" w:sz="2" w:space="0" w:color="000000"/>
              <w:bottom w:val="single" w:sz="2" w:space="0" w:color="000000"/>
              <w:right w:val="single" w:sz="2" w:space="0" w:color="000000"/>
            </w:tcBorders>
            <w:shd w:val="clear" w:color="auto" w:fill="C6EFCE"/>
            <w:noWrap/>
          </w:tcPr>
          <w:p w14:paraId="29341A6F" w14:textId="77777777" w:rsidR="00C45D59" w:rsidRDefault="009B0962">
            <w:pPr>
              <w:pStyle w:val="P68B1DB1-Normal12"/>
              <w:spacing w:after="0" w:line="240" w:lineRule="auto"/>
              <w:rPr>
                <w:rFonts w:eastAsia="Times New Roman"/>
                <w:noProof/>
              </w:rPr>
            </w:pPr>
            <w:r>
              <w:rPr>
                <w:noProof/>
              </w:rPr>
              <w:t>Acorduri operaționale cu IFI</w:t>
            </w:r>
          </w:p>
        </w:tc>
        <w:tc>
          <w:tcPr>
            <w:tcW w:w="1276" w:type="dxa"/>
            <w:tcBorders>
              <w:top w:val="single" w:sz="2" w:space="0" w:color="000000"/>
              <w:left w:val="single" w:sz="2" w:space="0" w:color="000000"/>
              <w:bottom w:val="single" w:sz="2" w:space="0" w:color="000000"/>
              <w:right w:val="single" w:sz="2" w:space="0" w:color="000000"/>
            </w:tcBorders>
            <w:shd w:val="clear" w:color="auto" w:fill="C6EFCE"/>
            <w:noWrap/>
          </w:tcPr>
          <w:p w14:paraId="4EE6EE16" w14:textId="77777777" w:rsidR="00C45D59" w:rsidRDefault="009B0962">
            <w:pPr>
              <w:pStyle w:val="P68B1DB1-Normal12"/>
              <w:spacing w:after="0" w:line="240" w:lineRule="auto"/>
              <w:rPr>
                <w:rFonts w:eastAsia="Times New Roman"/>
                <w:noProof/>
              </w:rPr>
            </w:pPr>
            <w:r>
              <w:rPr>
                <w:noProof/>
              </w:rPr>
              <w:t>Acord operațional semnat cu o instituție financiară internațională</w:t>
            </w:r>
          </w:p>
        </w:tc>
        <w:tc>
          <w:tcPr>
            <w:tcW w:w="1134" w:type="dxa"/>
            <w:tcBorders>
              <w:top w:val="single" w:sz="2" w:space="0" w:color="000000"/>
              <w:left w:val="single" w:sz="2" w:space="0" w:color="000000"/>
              <w:bottom w:val="single" w:sz="2" w:space="0" w:color="000000"/>
              <w:right w:val="single" w:sz="2" w:space="0" w:color="000000"/>
            </w:tcBorders>
            <w:shd w:val="clear" w:color="auto" w:fill="C6EFCE"/>
            <w:noWrap/>
          </w:tcPr>
          <w:p w14:paraId="0C48B310"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417" w:type="dxa"/>
            <w:tcBorders>
              <w:top w:val="single" w:sz="2" w:space="0" w:color="000000"/>
              <w:left w:val="single" w:sz="2" w:space="0" w:color="000000"/>
              <w:bottom w:val="single" w:sz="2" w:space="0" w:color="000000"/>
              <w:right w:val="single" w:sz="2" w:space="0" w:color="000000"/>
            </w:tcBorders>
            <w:shd w:val="clear" w:color="auto" w:fill="C6EFCE"/>
            <w:noWrap/>
          </w:tcPr>
          <w:p w14:paraId="5C0A23F5"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418" w:type="dxa"/>
            <w:tcBorders>
              <w:top w:val="single" w:sz="2" w:space="0" w:color="000000"/>
              <w:left w:val="single" w:sz="2" w:space="0" w:color="000000"/>
              <w:bottom w:val="single" w:sz="2" w:space="0" w:color="000000"/>
              <w:right w:val="single" w:sz="2" w:space="0" w:color="000000"/>
            </w:tcBorders>
            <w:shd w:val="clear" w:color="auto" w:fill="C6EFCE"/>
            <w:noWrap/>
          </w:tcPr>
          <w:p w14:paraId="0C126239"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084" w:type="dxa"/>
            <w:tcBorders>
              <w:top w:val="single" w:sz="2" w:space="0" w:color="000000"/>
              <w:left w:val="single" w:sz="2" w:space="0" w:color="000000"/>
              <w:bottom w:val="single" w:sz="2" w:space="0" w:color="000000"/>
              <w:right w:val="single" w:sz="2" w:space="0" w:color="000000"/>
            </w:tcBorders>
            <w:shd w:val="clear" w:color="auto" w:fill="C6EFCE"/>
            <w:noWrap/>
          </w:tcPr>
          <w:p w14:paraId="384ECD9E" w14:textId="77777777" w:rsidR="00C45D59" w:rsidRDefault="009B0962">
            <w:pPr>
              <w:pStyle w:val="P68B1DB1-Normal12"/>
              <w:spacing w:after="0" w:line="240" w:lineRule="auto"/>
              <w:rPr>
                <w:rFonts w:eastAsia="Times New Roman"/>
                <w:noProof/>
              </w:rPr>
            </w:pPr>
            <w:r>
              <w:rPr>
                <w:noProof/>
              </w:rPr>
              <w:t>Î3</w:t>
            </w:r>
          </w:p>
        </w:tc>
        <w:tc>
          <w:tcPr>
            <w:tcW w:w="720" w:type="dxa"/>
            <w:tcBorders>
              <w:top w:val="single" w:sz="2" w:space="0" w:color="000000"/>
              <w:left w:val="single" w:sz="2" w:space="0" w:color="000000"/>
              <w:bottom w:val="single" w:sz="2" w:space="0" w:color="000000"/>
              <w:right w:val="single" w:sz="2" w:space="0" w:color="000000"/>
            </w:tcBorders>
            <w:shd w:val="clear" w:color="auto" w:fill="C6EFCE"/>
            <w:noWrap/>
          </w:tcPr>
          <w:p w14:paraId="423306FB" w14:textId="77777777" w:rsidR="00C45D59" w:rsidRDefault="009B0962">
            <w:pPr>
              <w:pStyle w:val="P68B1DB1-Normal12"/>
              <w:spacing w:after="0" w:line="240" w:lineRule="auto"/>
              <w:rPr>
                <w:rFonts w:eastAsia="Times New Roman"/>
                <w:noProof/>
              </w:rPr>
            </w:pPr>
            <w:r>
              <w:rPr>
                <w:noProof/>
              </w:rPr>
              <w:t>2021</w:t>
            </w:r>
          </w:p>
        </w:tc>
        <w:tc>
          <w:tcPr>
            <w:tcW w:w="4067" w:type="dxa"/>
            <w:tcBorders>
              <w:top w:val="single" w:sz="2" w:space="0" w:color="000000"/>
              <w:left w:val="single" w:sz="2" w:space="0" w:color="000000"/>
              <w:bottom w:val="single" w:sz="2" w:space="0" w:color="000000"/>
              <w:right w:val="single" w:sz="2" w:space="0" w:color="000000"/>
            </w:tcBorders>
            <w:shd w:val="clear" w:color="auto" w:fill="C6EFCE"/>
            <w:noWrap/>
          </w:tcPr>
          <w:p w14:paraId="3A9FAA31" w14:textId="77777777" w:rsidR="00C45D59" w:rsidRDefault="009B0962">
            <w:pPr>
              <w:pStyle w:val="P68B1DB1-Normal12"/>
              <w:spacing w:after="0" w:line="240" w:lineRule="auto"/>
              <w:rPr>
                <w:rFonts w:eastAsia="Times New Roman"/>
                <w:noProof/>
              </w:rPr>
            </w:pPr>
            <w:r>
              <w:rPr>
                <w:noProof/>
              </w:rPr>
              <w:t>Adoptă un acord-cadru operațional care să fie utilizat pentru toate acordurile de împrumut cu instituțiile financiare internaționale și semnează acordurile operaționale dintre Ministerul Finanțelor și cel puțin o instituție financiară internațională. Acordul-cadru operațional stabilește:</w:t>
            </w:r>
          </w:p>
          <w:p w14:paraId="1A50FFEE" w14:textId="77777777" w:rsidR="00C45D59" w:rsidRDefault="009B0962">
            <w:pPr>
              <w:pStyle w:val="P68B1DB1-Normal12"/>
              <w:spacing w:after="0" w:line="240" w:lineRule="auto"/>
              <w:rPr>
                <w:rFonts w:eastAsia="Times New Roman"/>
                <w:noProof/>
              </w:rPr>
            </w:pPr>
            <w:r>
              <w:rPr>
                <w:noProof/>
              </w:rPr>
              <w:t xml:space="preserve">a) Criterii de guvernanță, selecție, monitorizare și audit, precum și de partajare a pierderilor, după cum urmează: </w:t>
            </w:r>
          </w:p>
          <w:p w14:paraId="3077170B" w14:textId="77777777" w:rsidR="00C45D59" w:rsidRDefault="009B0962">
            <w:pPr>
              <w:pStyle w:val="P68B1DB1-Normal12"/>
              <w:numPr>
                <w:ilvl w:val="0"/>
                <w:numId w:val="86"/>
              </w:numPr>
              <w:tabs>
                <w:tab w:val="left" w:pos="0"/>
              </w:tabs>
              <w:spacing w:after="0" w:line="240" w:lineRule="auto"/>
              <w:jc w:val="both"/>
              <w:rPr>
                <w:rFonts w:eastAsia="Times New Roman"/>
                <w:noProof/>
              </w:rPr>
            </w:pPr>
            <w:r>
              <w:rPr>
                <w:noProof/>
              </w:rPr>
              <w:t>Cadrul de guvernanță:</w:t>
            </w:r>
          </w:p>
          <w:p w14:paraId="63BBC2B5" w14:textId="77777777" w:rsidR="00C45D59" w:rsidRDefault="009B0962">
            <w:pPr>
              <w:pStyle w:val="P68B1DB1-Normal12"/>
              <w:numPr>
                <w:ilvl w:val="1"/>
                <w:numId w:val="86"/>
              </w:numPr>
              <w:tabs>
                <w:tab w:val="left" w:pos="0"/>
              </w:tabs>
              <w:spacing w:after="0" w:line="240" w:lineRule="auto"/>
              <w:jc w:val="both"/>
              <w:rPr>
                <w:rFonts w:eastAsia="Times New Roman"/>
                <w:noProof/>
              </w:rPr>
            </w:pPr>
            <w:r>
              <w:rPr>
                <w:noProof/>
              </w:rPr>
              <w:t>Procesul decizional se bazează pe criterii economice solide și este independent de guvern.</w:t>
            </w:r>
          </w:p>
          <w:p w14:paraId="35297F0F" w14:textId="77777777" w:rsidR="00C45D59" w:rsidRDefault="009B0962">
            <w:pPr>
              <w:pStyle w:val="P68B1DB1-Normal12"/>
              <w:numPr>
                <w:ilvl w:val="1"/>
                <w:numId w:val="86"/>
              </w:numPr>
              <w:tabs>
                <w:tab w:val="left" w:pos="0"/>
              </w:tabs>
              <w:spacing w:after="0" w:line="240" w:lineRule="auto"/>
              <w:jc w:val="both"/>
              <w:rPr>
                <w:rFonts w:eastAsia="Times New Roman"/>
                <w:noProof/>
              </w:rPr>
            </w:pPr>
            <w:r>
              <w:rPr>
                <w:noProof/>
              </w:rPr>
              <w:t>FII evaluează cererile de finanțare și decide pe baza criteriilor sale interne. IFI se asigură că investițiile finanțate au valori actualizate nete pozitive, sunt aliniate la pilonii strategici ai facilității de împrumut și respectă normele privind ajutoarele de stat.</w:t>
            </w:r>
          </w:p>
          <w:p w14:paraId="13FC2C1B" w14:textId="77777777" w:rsidR="00C45D59" w:rsidRDefault="009B0962">
            <w:pPr>
              <w:pStyle w:val="P68B1DB1-Normal12"/>
              <w:numPr>
                <w:ilvl w:val="1"/>
                <w:numId w:val="86"/>
              </w:numPr>
              <w:tabs>
                <w:tab w:val="left" w:pos="0"/>
              </w:tabs>
              <w:spacing w:after="0" w:line="240" w:lineRule="auto"/>
              <w:jc w:val="both"/>
              <w:rPr>
                <w:rFonts w:eastAsia="Times New Roman"/>
                <w:noProof/>
              </w:rPr>
            </w:pPr>
            <w:r>
              <w:rPr>
                <w:noProof/>
              </w:rPr>
              <w:t xml:space="preserve">Un comitet special al Consiliului de investiții monitorizează punerea în aplicare, fără a fi implicat în procesul de selecție. IFI raportează periodic Comitetului Consiliului de investiții. </w:t>
            </w:r>
          </w:p>
          <w:p w14:paraId="4C34D07D" w14:textId="77777777" w:rsidR="00C45D59" w:rsidRDefault="009B0962">
            <w:pPr>
              <w:pStyle w:val="P68B1DB1-Normal12"/>
              <w:numPr>
                <w:ilvl w:val="0"/>
                <w:numId w:val="86"/>
              </w:numPr>
              <w:tabs>
                <w:tab w:val="left" w:pos="0"/>
              </w:tabs>
              <w:spacing w:after="0" w:line="240" w:lineRule="auto"/>
              <w:jc w:val="both"/>
              <w:rPr>
                <w:rFonts w:eastAsia="Times New Roman"/>
                <w:noProof/>
              </w:rPr>
            </w:pPr>
            <w:r>
              <w:rPr>
                <w:noProof/>
              </w:rPr>
              <w:t>Cuantumul plății care are loc în tranșe și modalitățile de monitorizare și audit:</w:t>
            </w:r>
          </w:p>
          <w:p w14:paraId="212F2C98" w14:textId="77777777" w:rsidR="00C45D59" w:rsidRDefault="009B0962">
            <w:pPr>
              <w:pStyle w:val="P68B1DB1-Normal12"/>
              <w:numPr>
                <w:ilvl w:val="1"/>
                <w:numId w:val="86"/>
              </w:numPr>
              <w:tabs>
                <w:tab w:val="left" w:pos="0"/>
              </w:tabs>
              <w:spacing w:after="0" w:line="240" w:lineRule="auto"/>
              <w:jc w:val="both"/>
              <w:rPr>
                <w:rFonts w:eastAsia="Times New Roman"/>
                <w:noProof/>
              </w:rPr>
            </w:pPr>
            <w:r>
              <w:rPr>
                <w:noProof/>
              </w:rPr>
              <w:t>Se stabilesc indicatori-cheie de performanță (ICP) pentru monitorizarea împrumuturilor plătite, care pot servi, de asemenea, drept criterii de referință pentru eliberarea condiționată a unor tranșe suplimentare.</w:t>
            </w:r>
          </w:p>
          <w:p w14:paraId="29CE8D40" w14:textId="77777777" w:rsidR="00C45D59" w:rsidRDefault="009B0962">
            <w:pPr>
              <w:pStyle w:val="P68B1DB1-Normal12"/>
              <w:numPr>
                <w:ilvl w:val="1"/>
                <w:numId w:val="86"/>
              </w:numPr>
              <w:tabs>
                <w:tab w:val="left" w:pos="0"/>
              </w:tabs>
              <w:spacing w:after="0" w:line="240" w:lineRule="auto"/>
              <w:jc w:val="both"/>
              <w:rPr>
                <w:rFonts w:eastAsia="Times New Roman"/>
                <w:noProof/>
              </w:rPr>
            </w:pPr>
            <w:r>
              <w:rPr>
                <w:noProof/>
              </w:rPr>
              <w:t>Sunt prevăzute trei niveluri de control al eligibilității: (I) evaluarea de către instituția financiară care furnizează finanțarea; (II) evaluarea de către un auditor independent certificat înainte de acordarea finanțării; și (iii) evaluarea ex post de către un auditor independent certificat.</w:t>
            </w:r>
            <w:r>
              <w:rPr>
                <w:noProof/>
                <w:highlight w:val="yellow"/>
              </w:rPr>
              <w:t xml:space="preserve"> </w:t>
            </w:r>
            <w:r>
              <w:rPr>
                <w:noProof/>
              </w:rPr>
              <w:t xml:space="preserve">Auditorii independenți evaluează eligibilitatea investițiilor în conformitate cu criteriile de selecție și cu normele relevante privind ajutoarele de stat. </w:t>
            </w:r>
          </w:p>
          <w:p w14:paraId="740D9568" w14:textId="77777777" w:rsidR="00C45D59" w:rsidRDefault="009B0962">
            <w:pPr>
              <w:pStyle w:val="P68B1DB1-Normal12"/>
              <w:numPr>
                <w:ilvl w:val="0"/>
                <w:numId w:val="86"/>
              </w:numPr>
              <w:tabs>
                <w:tab w:val="left" w:pos="0"/>
              </w:tabs>
              <w:spacing w:after="0" w:line="240" w:lineRule="auto"/>
              <w:jc w:val="both"/>
              <w:rPr>
                <w:rFonts w:eastAsia="Times New Roman"/>
                <w:noProof/>
              </w:rPr>
            </w:pPr>
            <w:r>
              <w:rPr>
                <w:noProof/>
              </w:rPr>
              <w:t xml:space="preserve">Pierderi din împrumuturi (obligațiuni sau sindicalizate): Statul și FII participă pari passu. Toate deciziile privind restructurarea se alocă instituțiilor financiare. </w:t>
            </w:r>
          </w:p>
          <w:p w14:paraId="4829A9B9" w14:textId="77777777" w:rsidR="00C45D59" w:rsidRDefault="009B0962">
            <w:pPr>
              <w:pStyle w:val="P68B1DB1-Normal12"/>
              <w:numPr>
                <w:ilvl w:val="0"/>
                <w:numId w:val="86"/>
              </w:numPr>
              <w:tabs>
                <w:tab w:val="left" w:pos="0"/>
              </w:tabs>
              <w:spacing w:after="0" w:line="240" w:lineRule="auto"/>
              <w:jc w:val="both"/>
              <w:rPr>
                <w:rFonts w:eastAsia="Times New Roman"/>
                <w:noProof/>
              </w:rPr>
            </w:pPr>
            <w:r>
              <w:rPr>
                <w:noProof/>
              </w:rPr>
              <w:t xml:space="preserve">Se exclude refinanțarea împrumuturilor în curs. </w:t>
            </w:r>
          </w:p>
          <w:p w14:paraId="0160EA43" w14:textId="77777777" w:rsidR="00C45D59" w:rsidRDefault="009B0962">
            <w:pPr>
              <w:pStyle w:val="P68B1DB1-Normal12"/>
              <w:tabs>
                <w:tab w:val="left" w:pos="0"/>
              </w:tabs>
              <w:spacing w:after="0" w:line="240" w:lineRule="auto"/>
              <w:jc w:val="both"/>
              <w:rPr>
                <w:rFonts w:eastAsia="Times New Roman"/>
                <w:noProof/>
              </w:rPr>
            </w:pPr>
            <w:r>
              <w:rPr>
                <w:noProof/>
              </w:rPr>
              <w:t>b) Criterii de selecție pentru conformitatea cu Orientările tehnice de „a nu prejudicia în mod semnificativ” (2021/C58/01) a activităților sprijinite, care impun utilizarea evaluării durabilității, o listă de excludere și verificări obligatorii ale conformității juridice cu legislația UE și națională relevantă în materie de mediu de către un auditor independent.</w:t>
            </w:r>
          </w:p>
          <w:p w14:paraId="7E07CDD3" w14:textId="77777777" w:rsidR="00C45D59" w:rsidRDefault="009B0962">
            <w:pPr>
              <w:pStyle w:val="P68B1DB1-Normal12"/>
              <w:spacing w:after="0" w:line="240" w:lineRule="auto"/>
              <w:rPr>
                <w:rFonts w:eastAsia="Times New Roman"/>
                <w:noProof/>
              </w:rPr>
            </w:pPr>
            <w:r>
              <w:rPr>
                <w:noProof/>
              </w:rPr>
              <w:t>c) Angajamentul de a investi cel puțin 38,5 % din fonduri pentru a sprijini tranziția climatică și 20,8 % din fonduri pentru a sprijini tranziția digitală, utilizând metodologia din anexele VI și VII la Regulamentul privind MRR.</w:t>
            </w:r>
          </w:p>
        </w:tc>
      </w:tr>
      <w:bookmarkEnd w:id="7"/>
      <w:tr w:rsidR="00C45D59" w14:paraId="7BE95424" w14:textId="77777777" w:rsidTr="00037E31">
        <w:trPr>
          <w:trHeight w:val="314"/>
          <w:jc w:val="center"/>
        </w:trPr>
        <w:tc>
          <w:tcPr>
            <w:tcW w:w="602" w:type="dxa"/>
            <w:tcBorders>
              <w:top w:val="single" w:sz="2" w:space="0" w:color="000000"/>
              <w:left w:val="single" w:sz="4" w:space="0" w:color="auto"/>
              <w:bottom w:val="single" w:sz="4" w:space="0" w:color="auto"/>
              <w:right w:val="single" w:sz="4" w:space="0" w:color="auto"/>
            </w:tcBorders>
            <w:shd w:val="clear" w:color="auto" w:fill="C6EFCE"/>
            <w:noWrap/>
          </w:tcPr>
          <w:p w14:paraId="41E5DA24" w14:textId="77777777" w:rsidR="00C45D59" w:rsidRDefault="009B0962">
            <w:pPr>
              <w:pStyle w:val="P68B1DB1-Normal12"/>
              <w:spacing w:after="0" w:line="240" w:lineRule="auto"/>
              <w:rPr>
                <w:rFonts w:eastAsia="Times New Roman"/>
                <w:noProof/>
              </w:rPr>
            </w:pPr>
            <w:r>
              <w:rPr>
                <w:noProof/>
              </w:rPr>
              <w:t>321</w:t>
            </w:r>
          </w:p>
        </w:tc>
        <w:tc>
          <w:tcPr>
            <w:tcW w:w="1614" w:type="dxa"/>
            <w:tcBorders>
              <w:top w:val="single" w:sz="2" w:space="0" w:color="000000"/>
              <w:left w:val="nil"/>
              <w:bottom w:val="single" w:sz="4" w:space="0" w:color="auto"/>
              <w:right w:val="single" w:sz="4" w:space="0" w:color="auto"/>
            </w:tcBorders>
            <w:shd w:val="clear" w:color="auto" w:fill="C6EFCE"/>
            <w:noWrap/>
          </w:tcPr>
          <w:p w14:paraId="29EE648E" w14:textId="77777777" w:rsidR="00C45D59" w:rsidRDefault="009B0962">
            <w:pPr>
              <w:pStyle w:val="P68B1DB1-Normal12"/>
              <w:spacing w:after="0" w:line="240" w:lineRule="auto"/>
              <w:rPr>
                <w:rFonts w:eastAsia="Times New Roman"/>
                <w:noProof/>
              </w:rPr>
            </w:pPr>
            <w:r>
              <w:rPr>
                <w:noProof/>
              </w:rPr>
              <w:t>4.7. Îmbunătățirea competitivității și promovarea investițiilor private și a exporturilor – Mecanismul de împrumut 16980_RRP</w:t>
            </w:r>
          </w:p>
        </w:tc>
        <w:tc>
          <w:tcPr>
            <w:tcW w:w="992" w:type="dxa"/>
            <w:tcBorders>
              <w:top w:val="single" w:sz="2" w:space="0" w:color="000000"/>
              <w:left w:val="nil"/>
              <w:bottom w:val="single" w:sz="4" w:space="0" w:color="auto"/>
              <w:right w:val="single" w:sz="4" w:space="0" w:color="auto"/>
            </w:tcBorders>
            <w:shd w:val="clear" w:color="auto" w:fill="C6EFCE"/>
            <w:noWrap/>
          </w:tcPr>
          <w:p w14:paraId="39946E62" w14:textId="77777777" w:rsidR="00C45D59" w:rsidRDefault="009B0962">
            <w:pPr>
              <w:pStyle w:val="P68B1DB1-Normal12"/>
              <w:spacing w:after="0" w:line="240" w:lineRule="auto"/>
              <w:rPr>
                <w:rFonts w:eastAsia="Times New Roman"/>
                <w:noProof/>
              </w:rPr>
            </w:pPr>
            <w:r>
              <w:rPr>
                <w:noProof/>
              </w:rPr>
              <w:t>Etapă</w:t>
            </w:r>
          </w:p>
        </w:tc>
        <w:tc>
          <w:tcPr>
            <w:tcW w:w="1559" w:type="dxa"/>
            <w:tcBorders>
              <w:top w:val="single" w:sz="2" w:space="0" w:color="000000"/>
              <w:left w:val="nil"/>
              <w:bottom w:val="single" w:sz="4" w:space="0" w:color="auto"/>
              <w:right w:val="single" w:sz="4" w:space="0" w:color="auto"/>
            </w:tcBorders>
            <w:shd w:val="clear" w:color="auto" w:fill="C6EFCE"/>
            <w:noWrap/>
          </w:tcPr>
          <w:p w14:paraId="0E5B746E" w14:textId="77777777" w:rsidR="00C45D59" w:rsidRDefault="009B0962">
            <w:pPr>
              <w:pStyle w:val="P68B1DB1-Normal12"/>
              <w:spacing w:after="0" w:line="240" w:lineRule="auto"/>
              <w:rPr>
                <w:rFonts w:eastAsia="Times New Roman"/>
                <w:noProof/>
              </w:rPr>
            </w:pPr>
            <w:r>
              <w:rPr>
                <w:noProof/>
              </w:rPr>
              <w:t>Lansarea cererii de propuneri pentru băncile comerciale</w:t>
            </w:r>
          </w:p>
        </w:tc>
        <w:tc>
          <w:tcPr>
            <w:tcW w:w="1276" w:type="dxa"/>
            <w:tcBorders>
              <w:top w:val="single" w:sz="2" w:space="0" w:color="000000"/>
              <w:left w:val="nil"/>
              <w:bottom w:val="single" w:sz="4" w:space="0" w:color="auto"/>
              <w:right w:val="single" w:sz="4" w:space="0" w:color="auto"/>
            </w:tcBorders>
            <w:shd w:val="clear" w:color="auto" w:fill="C6EFCE"/>
            <w:noWrap/>
          </w:tcPr>
          <w:p w14:paraId="658E56BB" w14:textId="77777777" w:rsidR="00C45D59" w:rsidRDefault="009B0962">
            <w:pPr>
              <w:pStyle w:val="P68B1DB1-Normal12"/>
              <w:spacing w:after="0" w:line="240" w:lineRule="auto"/>
              <w:rPr>
                <w:rFonts w:eastAsia="Times New Roman"/>
                <w:noProof/>
              </w:rPr>
            </w:pPr>
            <w:r>
              <w:rPr>
                <w:noProof/>
              </w:rPr>
              <w:t>Lansarea cererii de propuneri</w:t>
            </w:r>
          </w:p>
        </w:tc>
        <w:tc>
          <w:tcPr>
            <w:tcW w:w="1134" w:type="dxa"/>
            <w:tcBorders>
              <w:top w:val="single" w:sz="2" w:space="0" w:color="000000"/>
              <w:left w:val="nil"/>
              <w:bottom w:val="single" w:sz="4" w:space="0" w:color="auto"/>
              <w:right w:val="single" w:sz="4" w:space="0" w:color="auto"/>
            </w:tcBorders>
            <w:shd w:val="clear" w:color="auto" w:fill="C6EFCE"/>
            <w:noWrap/>
          </w:tcPr>
          <w:p w14:paraId="20A23BAC"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417" w:type="dxa"/>
            <w:tcBorders>
              <w:top w:val="single" w:sz="2" w:space="0" w:color="000000"/>
              <w:left w:val="nil"/>
              <w:bottom w:val="single" w:sz="4" w:space="0" w:color="auto"/>
              <w:right w:val="single" w:sz="4" w:space="0" w:color="auto"/>
            </w:tcBorders>
            <w:shd w:val="clear" w:color="auto" w:fill="C6EFCE"/>
            <w:noWrap/>
          </w:tcPr>
          <w:p w14:paraId="0AD7F301"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418" w:type="dxa"/>
            <w:tcBorders>
              <w:top w:val="single" w:sz="2" w:space="0" w:color="000000"/>
              <w:left w:val="nil"/>
              <w:bottom w:val="single" w:sz="4" w:space="0" w:color="auto"/>
              <w:right w:val="single" w:sz="4" w:space="0" w:color="auto"/>
            </w:tcBorders>
            <w:shd w:val="clear" w:color="auto" w:fill="C6EFCE"/>
            <w:noWrap/>
          </w:tcPr>
          <w:p w14:paraId="199225B6"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084" w:type="dxa"/>
            <w:tcBorders>
              <w:top w:val="single" w:sz="2" w:space="0" w:color="000000"/>
              <w:left w:val="nil"/>
              <w:bottom w:val="single" w:sz="4" w:space="0" w:color="auto"/>
              <w:right w:val="single" w:sz="4" w:space="0" w:color="auto"/>
            </w:tcBorders>
            <w:shd w:val="clear" w:color="auto" w:fill="C6EFCE"/>
            <w:noWrap/>
          </w:tcPr>
          <w:p w14:paraId="16BD8160" w14:textId="77777777" w:rsidR="00C45D59" w:rsidRDefault="009B0962">
            <w:pPr>
              <w:pStyle w:val="P68B1DB1-Normal12"/>
              <w:spacing w:after="0" w:line="240" w:lineRule="auto"/>
              <w:rPr>
                <w:rFonts w:eastAsia="Times New Roman"/>
                <w:noProof/>
              </w:rPr>
            </w:pPr>
            <w:r>
              <w:rPr>
                <w:noProof/>
              </w:rPr>
              <w:t>Î3</w:t>
            </w:r>
          </w:p>
        </w:tc>
        <w:tc>
          <w:tcPr>
            <w:tcW w:w="720" w:type="dxa"/>
            <w:tcBorders>
              <w:top w:val="single" w:sz="2" w:space="0" w:color="000000"/>
              <w:left w:val="nil"/>
              <w:bottom w:val="single" w:sz="4" w:space="0" w:color="auto"/>
              <w:right w:val="single" w:sz="4" w:space="0" w:color="auto"/>
            </w:tcBorders>
            <w:shd w:val="clear" w:color="auto" w:fill="C6EFCE"/>
            <w:noWrap/>
          </w:tcPr>
          <w:p w14:paraId="7F18F392" w14:textId="77777777" w:rsidR="00C45D59" w:rsidRDefault="009B0962">
            <w:pPr>
              <w:pStyle w:val="P68B1DB1-Normal12"/>
              <w:spacing w:after="0" w:line="240" w:lineRule="auto"/>
              <w:rPr>
                <w:rFonts w:eastAsia="Times New Roman"/>
                <w:noProof/>
              </w:rPr>
            </w:pPr>
            <w:r>
              <w:rPr>
                <w:noProof/>
              </w:rPr>
              <w:t>2021</w:t>
            </w:r>
          </w:p>
        </w:tc>
        <w:tc>
          <w:tcPr>
            <w:tcW w:w="4067" w:type="dxa"/>
            <w:tcBorders>
              <w:top w:val="single" w:sz="2" w:space="0" w:color="000000"/>
              <w:left w:val="nil"/>
              <w:bottom w:val="single" w:sz="4" w:space="0" w:color="auto"/>
              <w:right w:val="single" w:sz="4" w:space="0" w:color="auto"/>
            </w:tcBorders>
            <w:shd w:val="clear" w:color="auto" w:fill="C6EFCE"/>
            <w:noWrap/>
          </w:tcPr>
          <w:p w14:paraId="7B4534FA" w14:textId="77777777" w:rsidR="00C45D59" w:rsidRDefault="009B0962">
            <w:pPr>
              <w:pStyle w:val="P68B1DB1-Normal12"/>
              <w:spacing w:after="0" w:line="240" w:lineRule="auto"/>
              <w:rPr>
                <w:rFonts w:eastAsia="Times New Roman"/>
                <w:noProof/>
              </w:rPr>
            </w:pPr>
            <w:r>
              <w:rPr>
                <w:noProof/>
              </w:rPr>
              <w:t>Să adopte un acord-cadru operațional care să fie utilizat pentru toate acordurile de împrumut cu băncile comerciale și să lanseze o cerere de propuneri pentru selectarea băncilor comerciale, inclusiv:</w:t>
            </w:r>
          </w:p>
          <w:p w14:paraId="290E4E49" w14:textId="77777777" w:rsidR="00C45D59" w:rsidRDefault="009B0962">
            <w:pPr>
              <w:pStyle w:val="P68B1DB1-Normal12"/>
              <w:spacing w:after="0" w:line="240" w:lineRule="auto"/>
              <w:rPr>
                <w:rFonts w:eastAsia="Times New Roman"/>
                <w:noProof/>
              </w:rPr>
            </w:pPr>
            <w:r>
              <w:rPr>
                <w:noProof/>
              </w:rPr>
              <w:t>a) Criterii de guvernanță, de selecție, de monitorizare și de audit, precum și de partajare a pierderilor, care respectă aceleași principii ca cele pentru împrumuturile canalizate prin IFI, astfel cum sunt descrise mai sus (jalonul nr. 320). Nu se acordă nicio garanție de stat pentru împrumuturile acordate de băncile comerciale în cadrul facilității de împrumut.</w:t>
            </w:r>
          </w:p>
          <w:p w14:paraId="24DE1CEA" w14:textId="77777777" w:rsidR="00C45D59" w:rsidRDefault="009B0962">
            <w:pPr>
              <w:pStyle w:val="P68B1DB1-Normal12"/>
              <w:spacing w:after="0" w:line="240" w:lineRule="auto"/>
              <w:rPr>
                <w:rFonts w:eastAsia="Times New Roman"/>
                <w:noProof/>
              </w:rPr>
            </w:pPr>
            <w:r>
              <w:rPr>
                <w:noProof/>
              </w:rPr>
              <w:t>b) Criterii de selecție pentru conformitatea cu Orientările tehnice de „a nu prejudicia în mod semnificativ” (2021/C58/01) a activităților sprijinite, care impun utilizarea evaluării durabilității, o listă de excludere și verificări obligatorii ale conformității juridice cu legislația UE și națională relevantă în materie de mediu de către un auditor independent.</w:t>
            </w:r>
          </w:p>
          <w:p w14:paraId="661CDA23" w14:textId="34DD25B6" w:rsidR="00C45D59" w:rsidRDefault="009B0962">
            <w:pPr>
              <w:pStyle w:val="P68B1DB1-Normal12"/>
              <w:spacing w:after="0" w:line="240" w:lineRule="auto"/>
              <w:rPr>
                <w:rFonts w:eastAsia="Times New Roman"/>
                <w:noProof/>
              </w:rPr>
            </w:pPr>
            <w:r>
              <w:rPr>
                <w:noProof/>
              </w:rPr>
              <w:t>c) Angajamentul de a investi cel puțin 38,5 % din fonduri pentru a sprijini tranziția climatică și 20,8 % din fonduri pentru a sprijini tranziția digitală, utilizând metodologia din anexele VI și VII la Regulamentul privind MRR.</w:t>
            </w:r>
          </w:p>
        </w:tc>
      </w:tr>
      <w:tr w:rsidR="00C45D59" w14:paraId="7064BDAA" w14:textId="77777777" w:rsidTr="00037E31">
        <w:trPr>
          <w:trHeight w:val="314"/>
          <w:jc w:val="center"/>
        </w:trPr>
        <w:tc>
          <w:tcPr>
            <w:tcW w:w="602" w:type="dxa"/>
            <w:tcBorders>
              <w:top w:val="nil"/>
              <w:left w:val="single" w:sz="4" w:space="0" w:color="auto"/>
              <w:bottom w:val="single" w:sz="4" w:space="0" w:color="auto"/>
              <w:right w:val="single" w:sz="4" w:space="0" w:color="auto"/>
            </w:tcBorders>
            <w:shd w:val="clear" w:color="auto" w:fill="C6EFCE"/>
            <w:noWrap/>
            <w:hideMark/>
          </w:tcPr>
          <w:p w14:paraId="414DEAB4" w14:textId="77777777" w:rsidR="00C45D59" w:rsidRDefault="009B0962">
            <w:pPr>
              <w:pStyle w:val="P68B1DB1-Normal12"/>
              <w:spacing w:after="0" w:line="240" w:lineRule="auto"/>
              <w:rPr>
                <w:noProof/>
              </w:rPr>
            </w:pPr>
            <w:r>
              <w:rPr>
                <w:noProof/>
              </w:rPr>
              <w:t>322</w:t>
            </w:r>
          </w:p>
        </w:tc>
        <w:tc>
          <w:tcPr>
            <w:tcW w:w="1614" w:type="dxa"/>
            <w:tcBorders>
              <w:top w:val="nil"/>
              <w:left w:val="nil"/>
              <w:bottom w:val="single" w:sz="4" w:space="0" w:color="auto"/>
              <w:right w:val="single" w:sz="4" w:space="0" w:color="auto"/>
            </w:tcBorders>
            <w:shd w:val="clear" w:color="auto" w:fill="C6EFCE"/>
            <w:noWrap/>
            <w:hideMark/>
          </w:tcPr>
          <w:p w14:paraId="6531DE85" w14:textId="77777777" w:rsidR="00C45D59" w:rsidRDefault="009B0962">
            <w:pPr>
              <w:pStyle w:val="P68B1DB1-Normal12"/>
              <w:spacing w:after="0" w:line="240" w:lineRule="auto"/>
              <w:rPr>
                <w:rFonts w:eastAsia="Times New Roman"/>
                <w:noProof/>
              </w:rPr>
            </w:pPr>
            <w:r>
              <w:rPr>
                <w:noProof/>
              </w:rPr>
              <w:t>4.7. Îmbunătățirea competitivității și promovarea investițiilor private și a exporturilor – Mecanismul de împrumut 16980_RRP</w:t>
            </w:r>
          </w:p>
        </w:tc>
        <w:tc>
          <w:tcPr>
            <w:tcW w:w="992" w:type="dxa"/>
            <w:tcBorders>
              <w:top w:val="nil"/>
              <w:left w:val="nil"/>
              <w:bottom w:val="single" w:sz="4" w:space="0" w:color="auto"/>
              <w:right w:val="single" w:sz="4" w:space="0" w:color="auto"/>
            </w:tcBorders>
            <w:shd w:val="clear" w:color="auto" w:fill="C6EFCE"/>
            <w:noWrap/>
            <w:hideMark/>
          </w:tcPr>
          <w:p w14:paraId="45327A12" w14:textId="77777777" w:rsidR="00C45D59" w:rsidRDefault="009B0962">
            <w:pPr>
              <w:pStyle w:val="P68B1DB1-Normal12"/>
              <w:spacing w:after="0" w:line="240" w:lineRule="auto"/>
              <w:rPr>
                <w:rFonts w:eastAsia="Times New Roman"/>
                <w:noProof/>
              </w:rPr>
            </w:pPr>
            <w:r>
              <w:rPr>
                <w:noProof/>
              </w:rPr>
              <w:t>Etapă</w:t>
            </w:r>
          </w:p>
        </w:tc>
        <w:tc>
          <w:tcPr>
            <w:tcW w:w="1559" w:type="dxa"/>
            <w:tcBorders>
              <w:top w:val="nil"/>
              <w:left w:val="nil"/>
              <w:bottom w:val="single" w:sz="4" w:space="0" w:color="auto"/>
              <w:right w:val="single" w:sz="4" w:space="0" w:color="auto"/>
            </w:tcBorders>
            <w:shd w:val="clear" w:color="auto" w:fill="C6EFCE"/>
            <w:noWrap/>
            <w:hideMark/>
          </w:tcPr>
          <w:p w14:paraId="3C81D1A4" w14:textId="77777777" w:rsidR="00C45D59" w:rsidRDefault="009B0962">
            <w:pPr>
              <w:pStyle w:val="P68B1DB1-Normal12"/>
              <w:spacing w:after="0" w:line="240" w:lineRule="auto"/>
              <w:rPr>
                <w:rFonts w:eastAsia="Times New Roman"/>
                <w:noProof/>
              </w:rPr>
            </w:pPr>
            <w:r>
              <w:rPr>
                <w:noProof/>
              </w:rPr>
              <w:t>Contract pentru platforma de capitaluri proprii</w:t>
            </w:r>
          </w:p>
        </w:tc>
        <w:tc>
          <w:tcPr>
            <w:tcW w:w="1276" w:type="dxa"/>
            <w:tcBorders>
              <w:top w:val="nil"/>
              <w:left w:val="nil"/>
              <w:bottom w:val="single" w:sz="4" w:space="0" w:color="auto"/>
              <w:right w:val="single" w:sz="4" w:space="0" w:color="auto"/>
            </w:tcBorders>
            <w:shd w:val="clear" w:color="auto" w:fill="C6EFCE"/>
            <w:noWrap/>
            <w:hideMark/>
          </w:tcPr>
          <w:p w14:paraId="5B5456E5" w14:textId="77777777" w:rsidR="00C45D59" w:rsidRDefault="009B0962">
            <w:pPr>
              <w:pStyle w:val="P68B1DB1-Normal12"/>
              <w:spacing w:after="0" w:line="240" w:lineRule="auto"/>
              <w:rPr>
                <w:rFonts w:eastAsia="Times New Roman"/>
                <w:noProof/>
              </w:rPr>
            </w:pPr>
            <w:r>
              <w:rPr>
                <w:noProof/>
              </w:rPr>
              <w:t>Semnarea acordului de mandat</w:t>
            </w:r>
          </w:p>
        </w:tc>
        <w:tc>
          <w:tcPr>
            <w:tcW w:w="1134" w:type="dxa"/>
            <w:tcBorders>
              <w:top w:val="nil"/>
              <w:left w:val="nil"/>
              <w:bottom w:val="single" w:sz="4" w:space="0" w:color="auto"/>
              <w:right w:val="single" w:sz="4" w:space="0" w:color="auto"/>
            </w:tcBorders>
            <w:shd w:val="clear" w:color="auto" w:fill="C6EFCE"/>
            <w:noWrap/>
            <w:hideMark/>
          </w:tcPr>
          <w:p w14:paraId="4D96729F"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417" w:type="dxa"/>
            <w:tcBorders>
              <w:top w:val="nil"/>
              <w:left w:val="nil"/>
              <w:bottom w:val="single" w:sz="4" w:space="0" w:color="auto"/>
              <w:right w:val="single" w:sz="4" w:space="0" w:color="auto"/>
            </w:tcBorders>
            <w:shd w:val="clear" w:color="auto" w:fill="C6EFCE"/>
            <w:noWrap/>
            <w:hideMark/>
          </w:tcPr>
          <w:p w14:paraId="1FB81907"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418" w:type="dxa"/>
            <w:tcBorders>
              <w:top w:val="nil"/>
              <w:left w:val="nil"/>
              <w:bottom w:val="single" w:sz="4" w:space="0" w:color="auto"/>
              <w:right w:val="single" w:sz="4" w:space="0" w:color="auto"/>
            </w:tcBorders>
            <w:shd w:val="clear" w:color="auto" w:fill="C6EFCE"/>
            <w:noWrap/>
            <w:hideMark/>
          </w:tcPr>
          <w:p w14:paraId="74A4DE28"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084" w:type="dxa"/>
            <w:tcBorders>
              <w:top w:val="nil"/>
              <w:left w:val="nil"/>
              <w:bottom w:val="single" w:sz="4" w:space="0" w:color="auto"/>
              <w:right w:val="single" w:sz="4" w:space="0" w:color="auto"/>
            </w:tcBorders>
            <w:shd w:val="clear" w:color="auto" w:fill="C6EFCE"/>
            <w:noWrap/>
            <w:hideMark/>
          </w:tcPr>
          <w:p w14:paraId="73EBA2B5" w14:textId="77777777" w:rsidR="00C45D59" w:rsidRDefault="009B0962">
            <w:pPr>
              <w:pStyle w:val="P68B1DB1-Normal12"/>
              <w:spacing w:after="0" w:line="240" w:lineRule="auto"/>
              <w:rPr>
                <w:rFonts w:eastAsia="Times New Roman"/>
                <w:noProof/>
              </w:rPr>
            </w:pPr>
            <w:r>
              <w:rPr>
                <w:noProof/>
              </w:rPr>
              <w:t>Î1</w:t>
            </w:r>
          </w:p>
        </w:tc>
        <w:tc>
          <w:tcPr>
            <w:tcW w:w="720" w:type="dxa"/>
            <w:tcBorders>
              <w:top w:val="nil"/>
              <w:left w:val="nil"/>
              <w:bottom w:val="single" w:sz="4" w:space="0" w:color="auto"/>
              <w:right w:val="single" w:sz="4" w:space="0" w:color="auto"/>
            </w:tcBorders>
            <w:shd w:val="clear" w:color="auto" w:fill="C6EFCE"/>
            <w:noWrap/>
            <w:hideMark/>
          </w:tcPr>
          <w:p w14:paraId="31CDF576" w14:textId="77777777" w:rsidR="00C45D59" w:rsidRDefault="009B0962">
            <w:pPr>
              <w:pStyle w:val="P68B1DB1-Normal12"/>
              <w:spacing w:after="0" w:line="240" w:lineRule="auto"/>
              <w:rPr>
                <w:rFonts w:eastAsia="Times New Roman"/>
                <w:noProof/>
              </w:rPr>
            </w:pPr>
            <w:r>
              <w:rPr>
                <w:noProof/>
              </w:rPr>
              <w:t>2022</w:t>
            </w:r>
          </w:p>
        </w:tc>
        <w:tc>
          <w:tcPr>
            <w:tcW w:w="4067" w:type="dxa"/>
            <w:tcBorders>
              <w:top w:val="nil"/>
              <w:left w:val="nil"/>
              <w:bottom w:val="single" w:sz="4" w:space="0" w:color="auto"/>
              <w:right w:val="single" w:sz="4" w:space="0" w:color="auto"/>
            </w:tcBorders>
            <w:shd w:val="clear" w:color="auto" w:fill="C6EFCE"/>
            <w:noWrap/>
            <w:hideMark/>
          </w:tcPr>
          <w:p w14:paraId="454E8583" w14:textId="77777777" w:rsidR="00C45D59" w:rsidRDefault="009B0962">
            <w:pPr>
              <w:pStyle w:val="P68B1DB1-Normal12"/>
              <w:spacing w:after="0" w:line="240" w:lineRule="auto"/>
              <w:rPr>
                <w:rFonts w:eastAsia="Times New Roman"/>
                <w:noProof/>
              </w:rPr>
            </w:pPr>
            <w:r>
              <w:rPr>
                <w:noProof/>
              </w:rPr>
              <w:t>Semnarea acordului privind mandatul dintre Ministerul de Finanțe și Banca Elenă de Dezvoltare pentru Investiții, care va gestiona Fondul de fonduri de tip mezanin și Fondul de investiții de tip „Innovate Now Equifund”. Acordul de mandat include criteriile de selecție pentru conformitatea cu Orientările tehnice de „a nu prejudicia în mod semnificativ” (2021/C58/01) ale întreprinderilor care beneficiază de sprijin, care impun utilizarea evaluării durabilității, o listă de excludere și verificări obligatorii ale conformității juridice cu legislația UE și națională relevantă în materie de mediu de către un auditor independent.</w:t>
            </w:r>
          </w:p>
        </w:tc>
      </w:tr>
      <w:tr w:rsidR="00C45D59" w14:paraId="454B04CC" w14:textId="77777777" w:rsidTr="00037E31">
        <w:trPr>
          <w:trHeight w:val="314"/>
          <w:jc w:val="center"/>
        </w:trPr>
        <w:tc>
          <w:tcPr>
            <w:tcW w:w="602" w:type="dxa"/>
            <w:tcBorders>
              <w:top w:val="nil"/>
              <w:left w:val="single" w:sz="4" w:space="0" w:color="auto"/>
              <w:bottom w:val="single" w:sz="4" w:space="0" w:color="auto"/>
              <w:right w:val="single" w:sz="4" w:space="0" w:color="auto"/>
            </w:tcBorders>
            <w:shd w:val="clear" w:color="auto" w:fill="C6EFCE"/>
            <w:noWrap/>
            <w:hideMark/>
          </w:tcPr>
          <w:p w14:paraId="63CD231C" w14:textId="77777777" w:rsidR="00C45D59" w:rsidRDefault="009B0962">
            <w:pPr>
              <w:pStyle w:val="P68B1DB1-Normal12"/>
              <w:spacing w:after="0" w:line="240" w:lineRule="auto"/>
              <w:rPr>
                <w:noProof/>
              </w:rPr>
            </w:pPr>
            <w:r>
              <w:rPr>
                <w:noProof/>
              </w:rPr>
              <w:t>323</w:t>
            </w:r>
          </w:p>
        </w:tc>
        <w:tc>
          <w:tcPr>
            <w:tcW w:w="1614" w:type="dxa"/>
            <w:tcBorders>
              <w:top w:val="nil"/>
              <w:left w:val="nil"/>
              <w:bottom w:val="single" w:sz="4" w:space="0" w:color="auto"/>
              <w:right w:val="single" w:sz="4" w:space="0" w:color="auto"/>
            </w:tcBorders>
            <w:shd w:val="clear" w:color="auto" w:fill="C6EFCE"/>
            <w:noWrap/>
            <w:hideMark/>
          </w:tcPr>
          <w:p w14:paraId="4FC8C8DB" w14:textId="77777777" w:rsidR="00C45D59" w:rsidRDefault="009B0962">
            <w:pPr>
              <w:pStyle w:val="P68B1DB1-Normal12"/>
              <w:spacing w:after="0" w:line="240" w:lineRule="auto"/>
              <w:rPr>
                <w:rFonts w:eastAsia="Times New Roman"/>
                <w:noProof/>
              </w:rPr>
            </w:pPr>
            <w:r>
              <w:rPr>
                <w:noProof/>
              </w:rPr>
              <w:t>4.7. Îmbunătățirea competitivității și promovarea investițiilor private și a exporturilor – Mecanismul de împrumut 16980_RRP</w:t>
            </w:r>
          </w:p>
        </w:tc>
        <w:tc>
          <w:tcPr>
            <w:tcW w:w="992" w:type="dxa"/>
            <w:tcBorders>
              <w:top w:val="nil"/>
              <w:left w:val="nil"/>
              <w:bottom w:val="single" w:sz="4" w:space="0" w:color="auto"/>
              <w:right w:val="single" w:sz="4" w:space="0" w:color="auto"/>
            </w:tcBorders>
            <w:shd w:val="clear" w:color="auto" w:fill="C6EFCE"/>
            <w:noWrap/>
            <w:hideMark/>
          </w:tcPr>
          <w:p w14:paraId="64CE51AC" w14:textId="77777777" w:rsidR="00C45D59" w:rsidRDefault="009B0962">
            <w:pPr>
              <w:pStyle w:val="P68B1DB1-Normal12"/>
              <w:spacing w:after="0" w:line="240" w:lineRule="auto"/>
              <w:rPr>
                <w:rFonts w:eastAsia="Times New Roman"/>
                <w:noProof/>
              </w:rPr>
            </w:pPr>
            <w:r>
              <w:rPr>
                <w:noProof/>
              </w:rPr>
              <w:t>Etapă</w:t>
            </w:r>
          </w:p>
        </w:tc>
        <w:tc>
          <w:tcPr>
            <w:tcW w:w="1559" w:type="dxa"/>
            <w:tcBorders>
              <w:top w:val="nil"/>
              <w:left w:val="nil"/>
              <w:bottom w:val="single" w:sz="4" w:space="0" w:color="auto"/>
              <w:right w:val="single" w:sz="4" w:space="0" w:color="auto"/>
            </w:tcBorders>
            <w:shd w:val="clear" w:color="auto" w:fill="C6EFCE"/>
            <w:noWrap/>
            <w:hideMark/>
          </w:tcPr>
          <w:p w14:paraId="5A2024B3" w14:textId="77777777" w:rsidR="00C45D59" w:rsidRDefault="009B0962">
            <w:pPr>
              <w:pStyle w:val="P68B1DB1-Normal12"/>
              <w:spacing w:after="0" w:line="240" w:lineRule="auto"/>
              <w:rPr>
                <w:rFonts w:eastAsia="Times New Roman"/>
                <w:noProof/>
              </w:rPr>
            </w:pPr>
            <w:r>
              <w:rPr>
                <w:noProof/>
              </w:rPr>
              <w:t>Acordul de contribuție InvestEU</w:t>
            </w:r>
          </w:p>
        </w:tc>
        <w:tc>
          <w:tcPr>
            <w:tcW w:w="1276" w:type="dxa"/>
            <w:tcBorders>
              <w:top w:val="nil"/>
              <w:left w:val="nil"/>
              <w:bottom w:val="single" w:sz="4" w:space="0" w:color="auto"/>
              <w:right w:val="single" w:sz="4" w:space="0" w:color="auto"/>
            </w:tcBorders>
            <w:shd w:val="clear" w:color="auto" w:fill="C6EFCE"/>
            <w:noWrap/>
            <w:hideMark/>
          </w:tcPr>
          <w:p w14:paraId="1E2CD27A" w14:textId="77777777" w:rsidR="00C45D59" w:rsidRDefault="009B0962">
            <w:pPr>
              <w:pStyle w:val="P68B1DB1-Normal12"/>
              <w:spacing w:after="0" w:line="240" w:lineRule="auto"/>
              <w:rPr>
                <w:rFonts w:eastAsia="Times New Roman"/>
                <w:noProof/>
              </w:rPr>
            </w:pPr>
            <w:r>
              <w:rPr>
                <w:noProof/>
              </w:rPr>
              <w:t>Acord de contribuție semnat</w:t>
            </w:r>
          </w:p>
        </w:tc>
        <w:tc>
          <w:tcPr>
            <w:tcW w:w="1134" w:type="dxa"/>
            <w:tcBorders>
              <w:top w:val="nil"/>
              <w:left w:val="nil"/>
              <w:bottom w:val="single" w:sz="4" w:space="0" w:color="auto"/>
              <w:right w:val="single" w:sz="4" w:space="0" w:color="auto"/>
            </w:tcBorders>
            <w:shd w:val="clear" w:color="auto" w:fill="C6EFCE"/>
            <w:noWrap/>
            <w:hideMark/>
          </w:tcPr>
          <w:p w14:paraId="389357EE"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417" w:type="dxa"/>
            <w:tcBorders>
              <w:top w:val="nil"/>
              <w:left w:val="nil"/>
              <w:bottom w:val="single" w:sz="4" w:space="0" w:color="auto"/>
              <w:right w:val="single" w:sz="4" w:space="0" w:color="auto"/>
            </w:tcBorders>
            <w:shd w:val="clear" w:color="auto" w:fill="C6EFCE"/>
            <w:noWrap/>
            <w:hideMark/>
          </w:tcPr>
          <w:p w14:paraId="07A1157D"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418" w:type="dxa"/>
            <w:tcBorders>
              <w:top w:val="nil"/>
              <w:left w:val="nil"/>
              <w:bottom w:val="single" w:sz="4" w:space="0" w:color="auto"/>
              <w:right w:val="single" w:sz="4" w:space="0" w:color="auto"/>
            </w:tcBorders>
            <w:shd w:val="clear" w:color="auto" w:fill="C6EFCE"/>
            <w:noWrap/>
            <w:hideMark/>
          </w:tcPr>
          <w:p w14:paraId="49C20F96"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084" w:type="dxa"/>
            <w:tcBorders>
              <w:top w:val="nil"/>
              <w:left w:val="nil"/>
              <w:bottom w:val="single" w:sz="4" w:space="0" w:color="auto"/>
              <w:right w:val="single" w:sz="4" w:space="0" w:color="auto"/>
            </w:tcBorders>
            <w:shd w:val="clear" w:color="auto" w:fill="C6EFCE"/>
            <w:noWrap/>
            <w:hideMark/>
          </w:tcPr>
          <w:p w14:paraId="34DCC9A8" w14:textId="77777777" w:rsidR="00C45D59" w:rsidRDefault="009B0962">
            <w:pPr>
              <w:pStyle w:val="P68B1DB1-Normal12"/>
              <w:spacing w:after="0" w:line="240" w:lineRule="auto"/>
              <w:rPr>
                <w:rFonts w:eastAsia="Times New Roman"/>
                <w:noProof/>
              </w:rPr>
            </w:pPr>
            <w:r>
              <w:rPr>
                <w:noProof/>
              </w:rPr>
              <w:t>Î1</w:t>
            </w:r>
          </w:p>
        </w:tc>
        <w:tc>
          <w:tcPr>
            <w:tcW w:w="720" w:type="dxa"/>
            <w:tcBorders>
              <w:top w:val="nil"/>
              <w:left w:val="nil"/>
              <w:bottom w:val="single" w:sz="4" w:space="0" w:color="auto"/>
              <w:right w:val="single" w:sz="4" w:space="0" w:color="auto"/>
            </w:tcBorders>
            <w:shd w:val="clear" w:color="auto" w:fill="C6EFCE"/>
            <w:noWrap/>
            <w:hideMark/>
          </w:tcPr>
          <w:p w14:paraId="1530F58B" w14:textId="77777777" w:rsidR="00C45D59" w:rsidRDefault="009B0962">
            <w:pPr>
              <w:pStyle w:val="P68B1DB1-Normal12"/>
              <w:spacing w:after="0" w:line="240" w:lineRule="auto"/>
              <w:rPr>
                <w:rFonts w:eastAsia="Times New Roman"/>
                <w:noProof/>
              </w:rPr>
            </w:pPr>
            <w:r>
              <w:rPr>
                <w:noProof/>
              </w:rPr>
              <w:t>2022</w:t>
            </w:r>
          </w:p>
        </w:tc>
        <w:tc>
          <w:tcPr>
            <w:tcW w:w="4067" w:type="dxa"/>
            <w:tcBorders>
              <w:top w:val="nil"/>
              <w:left w:val="nil"/>
              <w:bottom w:val="single" w:sz="4" w:space="0" w:color="auto"/>
              <w:right w:val="single" w:sz="4" w:space="0" w:color="auto"/>
            </w:tcBorders>
            <w:shd w:val="clear" w:color="auto" w:fill="C6EFCE"/>
            <w:noWrap/>
            <w:hideMark/>
          </w:tcPr>
          <w:p w14:paraId="1248A23A" w14:textId="77777777" w:rsidR="00C45D59" w:rsidRDefault="009B0962">
            <w:pPr>
              <w:pStyle w:val="P68B1DB1-Normal12"/>
              <w:spacing w:after="0" w:line="240" w:lineRule="auto"/>
              <w:rPr>
                <w:rFonts w:eastAsia="Times New Roman"/>
                <w:noProof/>
              </w:rPr>
            </w:pPr>
            <w:r>
              <w:rPr>
                <w:noProof/>
              </w:rPr>
              <w:t>Semnarea acordului privind contribuția InvestEU între Ministerul Finanțelor și Comisia Europeană, inclusiv:</w:t>
            </w:r>
          </w:p>
          <w:p w14:paraId="07843E8D" w14:textId="77777777" w:rsidR="00C45D59" w:rsidRDefault="009B0962">
            <w:pPr>
              <w:pStyle w:val="P68B1DB1-Normal12"/>
              <w:spacing w:after="0" w:line="240" w:lineRule="auto"/>
              <w:rPr>
                <w:rFonts w:eastAsia="Times New Roman"/>
                <w:noProof/>
              </w:rPr>
            </w:pPr>
            <w:r>
              <w:rPr>
                <w:noProof/>
              </w:rPr>
              <w:t>a) criteriile de selecție pentru respectarea Orientărilor tehnice de „a nu prejudicia în mod semnificativ” (2021/C58/01) ale întreprinderilor care beneficiază de sprijin, care impun utilizarea evaluării durabilității, o listă de excludere și verificări obligatorii ale conformității juridice cu legislația UE și națională relevantă în materie de mediu de către un auditor independent.</w:t>
            </w:r>
          </w:p>
          <w:p w14:paraId="77605287" w14:textId="77777777" w:rsidR="00C45D59" w:rsidRDefault="009B0962">
            <w:pPr>
              <w:pStyle w:val="P68B1DB1-Normal12"/>
              <w:spacing w:after="0" w:line="240" w:lineRule="auto"/>
              <w:rPr>
                <w:rFonts w:eastAsia="Times New Roman"/>
                <w:noProof/>
              </w:rPr>
            </w:pPr>
            <w:r>
              <w:rPr>
                <w:noProof/>
              </w:rPr>
              <w:t>b) Angajamentul de a investi cel puțin 38,5 % din fonduri pentru a sprijini tranziția climatică și 20,8 % din fonduri pentru a sprijini tranziția digitală, utilizând metodologia din anexele VI și VII la Regulamentul privind MRR.</w:t>
            </w:r>
          </w:p>
        </w:tc>
      </w:tr>
      <w:tr w:rsidR="00C45D59" w14:paraId="57D2E6C3" w14:textId="77777777" w:rsidTr="00037E31">
        <w:trPr>
          <w:trHeight w:val="314"/>
          <w:jc w:val="center"/>
        </w:trPr>
        <w:tc>
          <w:tcPr>
            <w:tcW w:w="602" w:type="dxa"/>
            <w:tcBorders>
              <w:top w:val="single" w:sz="4" w:space="0" w:color="auto"/>
              <w:left w:val="single" w:sz="4" w:space="0" w:color="auto"/>
              <w:bottom w:val="single" w:sz="4" w:space="0" w:color="auto"/>
              <w:right w:val="single" w:sz="4" w:space="0" w:color="auto"/>
            </w:tcBorders>
            <w:shd w:val="clear" w:color="auto" w:fill="C6EFCE"/>
            <w:noWrap/>
          </w:tcPr>
          <w:p w14:paraId="6A03D468" w14:textId="77777777" w:rsidR="00C45D59" w:rsidRDefault="009B0962">
            <w:pPr>
              <w:pStyle w:val="P68B1DB1-Normal12"/>
              <w:spacing w:after="0" w:line="240" w:lineRule="auto"/>
              <w:rPr>
                <w:noProof/>
              </w:rPr>
            </w:pPr>
            <w:r>
              <w:rPr>
                <w:noProof/>
              </w:rPr>
              <w:t>324</w:t>
            </w:r>
          </w:p>
        </w:tc>
        <w:tc>
          <w:tcPr>
            <w:tcW w:w="1614" w:type="dxa"/>
            <w:tcBorders>
              <w:top w:val="single" w:sz="4" w:space="0" w:color="auto"/>
              <w:left w:val="nil"/>
              <w:bottom w:val="single" w:sz="4" w:space="0" w:color="auto"/>
              <w:right w:val="single" w:sz="4" w:space="0" w:color="auto"/>
            </w:tcBorders>
            <w:shd w:val="clear" w:color="auto" w:fill="C6EFCE"/>
            <w:noWrap/>
          </w:tcPr>
          <w:p w14:paraId="2FF892DE" w14:textId="77777777" w:rsidR="00C45D59" w:rsidRDefault="009B0962">
            <w:pPr>
              <w:pStyle w:val="P68B1DB1-Normal12"/>
              <w:spacing w:after="0" w:line="240" w:lineRule="auto"/>
              <w:rPr>
                <w:rFonts w:eastAsia="Times New Roman"/>
                <w:noProof/>
              </w:rPr>
            </w:pPr>
            <w:r>
              <w:rPr>
                <w:noProof/>
              </w:rPr>
              <w:t>4.7. Îmbunătățirea competitivității și promovarea investițiilor private și a exporturilor – Mecanismul de împrumut 16980_RRP</w:t>
            </w:r>
          </w:p>
        </w:tc>
        <w:tc>
          <w:tcPr>
            <w:tcW w:w="992" w:type="dxa"/>
            <w:tcBorders>
              <w:top w:val="single" w:sz="4" w:space="0" w:color="auto"/>
              <w:left w:val="nil"/>
              <w:bottom w:val="single" w:sz="4" w:space="0" w:color="auto"/>
              <w:right w:val="single" w:sz="4" w:space="0" w:color="auto"/>
            </w:tcBorders>
            <w:shd w:val="clear" w:color="auto" w:fill="C6EFCE"/>
            <w:noWrap/>
          </w:tcPr>
          <w:p w14:paraId="6E271681" w14:textId="77777777" w:rsidR="00C45D59" w:rsidRDefault="009B0962">
            <w:pPr>
              <w:pStyle w:val="P68B1DB1-Normal12"/>
              <w:spacing w:after="0" w:line="240" w:lineRule="auto"/>
              <w:rPr>
                <w:rFonts w:eastAsia="Times New Roman"/>
                <w:noProof/>
              </w:rPr>
            </w:pPr>
            <w:r>
              <w:rPr>
                <w:noProof/>
              </w:rPr>
              <w:t>Țintă</w:t>
            </w:r>
          </w:p>
        </w:tc>
        <w:tc>
          <w:tcPr>
            <w:tcW w:w="1559" w:type="dxa"/>
            <w:tcBorders>
              <w:top w:val="single" w:sz="4" w:space="0" w:color="auto"/>
              <w:left w:val="nil"/>
              <w:bottom w:val="single" w:sz="4" w:space="0" w:color="auto"/>
              <w:right w:val="single" w:sz="4" w:space="0" w:color="auto"/>
            </w:tcBorders>
            <w:shd w:val="clear" w:color="auto" w:fill="C6EFCE"/>
            <w:noWrap/>
          </w:tcPr>
          <w:p w14:paraId="6C97341E" w14:textId="4B2A1D04" w:rsidR="00C45D59" w:rsidRDefault="009B0962">
            <w:pPr>
              <w:pStyle w:val="P68B1DB1-Normal12"/>
              <w:spacing w:after="0" w:line="240" w:lineRule="auto"/>
              <w:rPr>
                <w:rFonts w:eastAsia="Times New Roman"/>
                <w:noProof/>
              </w:rPr>
            </w:pPr>
            <w:r>
              <w:rPr>
                <w:noProof/>
              </w:rPr>
              <w:t>Fonduri ale instituțiilor financiare semnate cu beneficiarii finali în valoare de 586.4 de milioane EUR</w:t>
            </w:r>
          </w:p>
        </w:tc>
        <w:tc>
          <w:tcPr>
            <w:tcW w:w="1276" w:type="dxa"/>
            <w:tcBorders>
              <w:top w:val="single" w:sz="4" w:space="0" w:color="auto"/>
              <w:left w:val="nil"/>
              <w:bottom w:val="single" w:sz="4" w:space="0" w:color="auto"/>
              <w:right w:val="single" w:sz="4" w:space="0" w:color="auto"/>
            </w:tcBorders>
            <w:shd w:val="clear" w:color="auto" w:fill="C6EFCE"/>
            <w:noWrap/>
          </w:tcPr>
          <w:p w14:paraId="7FB75A68"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134" w:type="dxa"/>
            <w:tcBorders>
              <w:top w:val="single" w:sz="4" w:space="0" w:color="auto"/>
              <w:left w:val="nil"/>
              <w:bottom w:val="single" w:sz="4" w:space="0" w:color="auto"/>
              <w:right w:val="single" w:sz="4" w:space="0" w:color="auto"/>
            </w:tcBorders>
            <w:shd w:val="clear" w:color="auto" w:fill="C6EFCE"/>
            <w:noWrap/>
          </w:tcPr>
          <w:p w14:paraId="38143D32" w14:textId="77777777" w:rsidR="00C45D59" w:rsidRDefault="009B0962">
            <w:pPr>
              <w:pStyle w:val="P68B1DB1-Normal12"/>
              <w:spacing w:after="0" w:line="240" w:lineRule="auto"/>
              <w:rPr>
                <w:rFonts w:eastAsia="Times New Roman"/>
                <w:noProof/>
              </w:rPr>
            </w:pPr>
            <w:r>
              <w:rPr>
                <w:noProof/>
              </w:rPr>
              <w:t>Procentul fondurilor semnate</w:t>
            </w:r>
          </w:p>
        </w:tc>
        <w:tc>
          <w:tcPr>
            <w:tcW w:w="1417" w:type="dxa"/>
            <w:tcBorders>
              <w:top w:val="single" w:sz="4" w:space="0" w:color="auto"/>
              <w:left w:val="nil"/>
              <w:bottom w:val="single" w:sz="4" w:space="0" w:color="auto"/>
              <w:right w:val="single" w:sz="4" w:space="0" w:color="auto"/>
            </w:tcBorders>
            <w:shd w:val="clear" w:color="auto" w:fill="C6EFCE"/>
            <w:noWrap/>
          </w:tcPr>
          <w:p w14:paraId="7B7C72EA" w14:textId="77777777" w:rsidR="00C45D59" w:rsidRDefault="009B0962">
            <w:pPr>
              <w:pStyle w:val="P68B1DB1-Normal12"/>
              <w:spacing w:after="0" w:line="240" w:lineRule="auto"/>
              <w:rPr>
                <w:rFonts w:eastAsia="Times New Roman"/>
                <w:noProof/>
              </w:rPr>
            </w:pPr>
            <w:r>
              <w:rPr>
                <w:noProof/>
              </w:rPr>
              <w:t>0</w:t>
            </w:r>
          </w:p>
        </w:tc>
        <w:tc>
          <w:tcPr>
            <w:tcW w:w="1418" w:type="dxa"/>
            <w:tcBorders>
              <w:top w:val="single" w:sz="4" w:space="0" w:color="auto"/>
              <w:left w:val="nil"/>
              <w:bottom w:val="single" w:sz="4" w:space="0" w:color="auto"/>
              <w:right w:val="single" w:sz="4" w:space="0" w:color="auto"/>
            </w:tcBorders>
            <w:shd w:val="clear" w:color="auto" w:fill="C6EFCE"/>
            <w:noWrap/>
          </w:tcPr>
          <w:p w14:paraId="70516D59" w14:textId="77777777" w:rsidR="00C45D59" w:rsidRDefault="009B0962">
            <w:pPr>
              <w:pStyle w:val="P68B1DB1-Normal12"/>
              <w:spacing w:after="0" w:line="240" w:lineRule="auto"/>
              <w:rPr>
                <w:rFonts w:eastAsia="Times New Roman"/>
                <w:noProof/>
              </w:rPr>
            </w:pPr>
            <w:r>
              <w:rPr>
                <w:noProof/>
              </w:rPr>
              <w:t>5</w:t>
            </w:r>
          </w:p>
        </w:tc>
        <w:tc>
          <w:tcPr>
            <w:tcW w:w="1084" w:type="dxa"/>
            <w:tcBorders>
              <w:top w:val="single" w:sz="4" w:space="0" w:color="auto"/>
              <w:left w:val="nil"/>
              <w:bottom w:val="single" w:sz="4" w:space="0" w:color="auto"/>
              <w:right w:val="single" w:sz="4" w:space="0" w:color="auto"/>
            </w:tcBorders>
            <w:shd w:val="clear" w:color="auto" w:fill="C6EFCE"/>
            <w:noWrap/>
          </w:tcPr>
          <w:p w14:paraId="7EDCD05C" w14:textId="77777777" w:rsidR="00C45D59" w:rsidRDefault="009B0962">
            <w:pPr>
              <w:pStyle w:val="P68B1DB1-Normal12"/>
              <w:spacing w:after="0" w:line="240" w:lineRule="auto"/>
              <w:rPr>
                <w:rFonts w:eastAsia="Times New Roman"/>
                <w:noProof/>
              </w:rPr>
            </w:pPr>
            <w:r>
              <w:rPr>
                <w:noProof/>
              </w:rPr>
              <w:t>Î4</w:t>
            </w:r>
          </w:p>
        </w:tc>
        <w:tc>
          <w:tcPr>
            <w:tcW w:w="720" w:type="dxa"/>
            <w:tcBorders>
              <w:top w:val="single" w:sz="4" w:space="0" w:color="auto"/>
              <w:left w:val="nil"/>
              <w:bottom w:val="single" w:sz="4" w:space="0" w:color="auto"/>
              <w:right w:val="single" w:sz="4" w:space="0" w:color="auto"/>
            </w:tcBorders>
            <w:shd w:val="clear" w:color="auto" w:fill="C6EFCE"/>
            <w:noWrap/>
          </w:tcPr>
          <w:p w14:paraId="78326250" w14:textId="77777777" w:rsidR="00C45D59" w:rsidRDefault="009B0962">
            <w:pPr>
              <w:pStyle w:val="P68B1DB1-Normal12"/>
              <w:spacing w:after="0" w:line="240" w:lineRule="auto"/>
              <w:rPr>
                <w:rFonts w:eastAsia="Times New Roman"/>
                <w:noProof/>
              </w:rPr>
            </w:pPr>
            <w:r>
              <w:rPr>
                <w:noProof/>
              </w:rPr>
              <w:t>2022</w:t>
            </w:r>
          </w:p>
        </w:tc>
        <w:tc>
          <w:tcPr>
            <w:tcW w:w="4067" w:type="dxa"/>
            <w:tcBorders>
              <w:top w:val="single" w:sz="4" w:space="0" w:color="auto"/>
              <w:left w:val="nil"/>
              <w:bottom w:val="single" w:sz="4" w:space="0" w:color="auto"/>
              <w:right w:val="single" w:sz="4" w:space="0" w:color="auto"/>
            </w:tcBorders>
            <w:shd w:val="clear" w:color="auto" w:fill="C6EFCE"/>
            <w:noWrap/>
          </w:tcPr>
          <w:p w14:paraId="3FF291DF" w14:textId="77777777" w:rsidR="00C45D59" w:rsidRDefault="009B0962">
            <w:pPr>
              <w:pStyle w:val="P68B1DB1-Normal12"/>
              <w:spacing w:after="0" w:line="240" w:lineRule="auto"/>
              <w:rPr>
                <w:rFonts w:eastAsia="Times New Roman"/>
                <w:noProof/>
              </w:rPr>
            </w:pPr>
            <w:r>
              <w:rPr>
                <w:noProof/>
              </w:rPr>
              <w:t>Au fost semnate cu beneficiarii finali, în conformitate cu mandatul definit în jalon și în urma verificării ex ante de către auditori independenți a respectării criteriilor de guvernanță, selecție, monitorizare, audit și partajare a pierderilor, a Orientărilor tehnice privind aplicarea principiului de „a nu prejudicia în mod semnificativ” (2021/C58/01) și a obiectivului climatic de 38,5 % și a obiectivului digital de 20,8 %, 586.4 de milioane EUR (inclusiv comisioane de gestionare) din fondurile Mecanismului de împrumut din cadrul MRR legate de instituțiile financiare internaționale și de băncile comerciale.</w:t>
            </w:r>
          </w:p>
        </w:tc>
      </w:tr>
      <w:tr w:rsidR="00C45D59" w14:paraId="0DE020A6" w14:textId="77777777" w:rsidTr="00037E31">
        <w:trPr>
          <w:trHeight w:val="314"/>
          <w:jc w:val="center"/>
        </w:trPr>
        <w:tc>
          <w:tcPr>
            <w:tcW w:w="602" w:type="dxa"/>
            <w:tcBorders>
              <w:top w:val="single" w:sz="4" w:space="0" w:color="auto"/>
              <w:left w:val="single" w:sz="4" w:space="0" w:color="auto"/>
              <w:bottom w:val="single" w:sz="4" w:space="0" w:color="auto"/>
              <w:right w:val="single" w:sz="4" w:space="0" w:color="auto"/>
            </w:tcBorders>
            <w:shd w:val="clear" w:color="auto" w:fill="C6EFCE"/>
            <w:noWrap/>
          </w:tcPr>
          <w:p w14:paraId="50EB9D02" w14:textId="77777777" w:rsidR="00C45D59" w:rsidRDefault="009B0962">
            <w:pPr>
              <w:pStyle w:val="P68B1DB1-Normal12"/>
              <w:spacing w:after="0" w:line="240" w:lineRule="auto"/>
              <w:rPr>
                <w:rFonts w:eastAsia="Times New Roman"/>
                <w:noProof/>
              </w:rPr>
            </w:pPr>
            <w:r>
              <w:rPr>
                <w:noProof/>
              </w:rPr>
              <w:t>325</w:t>
            </w:r>
          </w:p>
        </w:tc>
        <w:tc>
          <w:tcPr>
            <w:tcW w:w="1614" w:type="dxa"/>
            <w:tcBorders>
              <w:top w:val="single" w:sz="4" w:space="0" w:color="auto"/>
              <w:left w:val="nil"/>
              <w:bottom w:val="single" w:sz="4" w:space="0" w:color="auto"/>
              <w:right w:val="single" w:sz="4" w:space="0" w:color="auto"/>
            </w:tcBorders>
            <w:shd w:val="clear" w:color="auto" w:fill="C6EFCE"/>
            <w:noWrap/>
          </w:tcPr>
          <w:p w14:paraId="79F32B37" w14:textId="77777777" w:rsidR="00C45D59" w:rsidRDefault="009B0962">
            <w:pPr>
              <w:pStyle w:val="P68B1DB1-Normal13"/>
              <w:spacing w:after="0" w:line="240" w:lineRule="auto"/>
              <w:rPr>
                <w:rFonts w:eastAsia="Times New Roman"/>
                <w:noProof/>
              </w:rPr>
            </w:pPr>
            <w:r>
              <w:rPr>
                <w:noProof/>
              </w:rPr>
              <w:t>4.7. Îmbunătățirea competitivității și promovarea investițiilor private și a exporturilor – Mecanismul de împrumut 16980_RRP</w:t>
            </w:r>
          </w:p>
        </w:tc>
        <w:tc>
          <w:tcPr>
            <w:tcW w:w="992" w:type="dxa"/>
            <w:tcBorders>
              <w:top w:val="single" w:sz="4" w:space="0" w:color="auto"/>
              <w:left w:val="nil"/>
              <w:bottom w:val="single" w:sz="4" w:space="0" w:color="auto"/>
              <w:right w:val="single" w:sz="4" w:space="0" w:color="auto"/>
            </w:tcBorders>
            <w:shd w:val="clear" w:color="auto" w:fill="C6EFCE"/>
            <w:noWrap/>
          </w:tcPr>
          <w:p w14:paraId="00CDE6DA" w14:textId="77777777" w:rsidR="00C45D59" w:rsidRDefault="009B0962">
            <w:pPr>
              <w:pStyle w:val="P68B1DB1-Normal13"/>
              <w:spacing w:after="0" w:line="240" w:lineRule="auto"/>
              <w:rPr>
                <w:rFonts w:eastAsia="Times New Roman"/>
                <w:noProof/>
                <w:szCs w:val="18"/>
              </w:rPr>
            </w:pPr>
            <w:r>
              <w:rPr>
                <w:noProof/>
              </w:rPr>
              <w:t>Țintă</w:t>
            </w:r>
          </w:p>
        </w:tc>
        <w:tc>
          <w:tcPr>
            <w:tcW w:w="1559" w:type="dxa"/>
            <w:tcBorders>
              <w:top w:val="single" w:sz="4" w:space="0" w:color="auto"/>
              <w:left w:val="nil"/>
              <w:bottom w:val="single" w:sz="4" w:space="0" w:color="auto"/>
              <w:right w:val="single" w:sz="4" w:space="0" w:color="auto"/>
            </w:tcBorders>
            <w:shd w:val="clear" w:color="auto" w:fill="C6EFCE"/>
            <w:noWrap/>
          </w:tcPr>
          <w:p w14:paraId="761DF50F" w14:textId="77777777" w:rsidR="00C45D59" w:rsidRDefault="009B0962">
            <w:pPr>
              <w:pStyle w:val="P68B1DB1-Normal13"/>
              <w:spacing w:after="0" w:line="240" w:lineRule="auto"/>
              <w:rPr>
                <w:rFonts w:eastAsia="Times New Roman"/>
                <w:noProof/>
                <w:szCs w:val="18"/>
              </w:rPr>
            </w:pPr>
            <w:r>
              <w:rPr>
                <w:noProof/>
              </w:rPr>
              <w:t>Fonduri ale instituțiilor financiare semnate cu beneficiarii finali în valoare de 3 518.4 de milioane EUR</w:t>
            </w:r>
          </w:p>
        </w:tc>
        <w:tc>
          <w:tcPr>
            <w:tcW w:w="1276" w:type="dxa"/>
            <w:tcBorders>
              <w:top w:val="single" w:sz="4" w:space="0" w:color="auto"/>
              <w:left w:val="nil"/>
              <w:bottom w:val="single" w:sz="4" w:space="0" w:color="auto"/>
              <w:right w:val="single" w:sz="4" w:space="0" w:color="auto"/>
            </w:tcBorders>
            <w:shd w:val="clear" w:color="auto" w:fill="C6EFCE"/>
            <w:noWrap/>
          </w:tcPr>
          <w:p w14:paraId="764F45AB"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134" w:type="dxa"/>
            <w:tcBorders>
              <w:top w:val="single" w:sz="4" w:space="0" w:color="auto"/>
              <w:left w:val="nil"/>
              <w:bottom w:val="single" w:sz="4" w:space="0" w:color="auto"/>
              <w:right w:val="single" w:sz="4" w:space="0" w:color="auto"/>
            </w:tcBorders>
            <w:shd w:val="clear" w:color="auto" w:fill="C6EFCE"/>
            <w:noWrap/>
          </w:tcPr>
          <w:p w14:paraId="5A30BB36" w14:textId="77777777" w:rsidR="00C45D59" w:rsidRDefault="009B0962">
            <w:pPr>
              <w:pStyle w:val="P68B1DB1-Normal13"/>
              <w:spacing w:after="0" w:line="240" w:lineRule="auto"/>
              <w:rPr>
                <w:rFonts w:eastAsia="Times New Roman"/>
                <w:noProof/>
                <w:szCs w:val="18"/>
              </w:rPr>
            </w:pPr>
            <w:r>
              <w:rPr>
                <w:noProof/>
              </w:rPr>
              <w:t>Procentul fondurilor semnate</w:t>
            </w:r>
          </w:p>
        </w:tc>
        <w:tc>
          <w:tcPr>
            <w:tcW w:w="1417" w:type="dxa"/>
            <w:tcBorders>
              <w:top w:val="single" w:sz="4" w:space="0" w:color="auto"/>
              <w:left w:val="nil"/>
              <w:bottom w:val="single" w:sz="4" w:space="0" w:color="auto"/>
              <w:right w:val="single" w:sz="4" w:space="0" w:color="auto"/>
            </w:tcBorders>
            <w:shd w:val="clear" w:color="auto" w:fill="C6EFCE"/>
            <w:noWrap/>
          </w:tcPr>
          <w:p w14:paraId="1A8AFDD5" w14:textId="77777777" w:rsidR="00C45D59" w:rsidRDefault="009B0962">
            <w:pPr>
              <w:pStyle w:val="P68B1DB1-Normal13"/>
              <w:spacing w:after="0" w:line="240" w:lineRule="auto"/>
              <w:rPr>
                <w:rFonts w:eastAsia="Times New Roman"/>
                <w:noProof/>
                <w:szCs w:val="18"/>
              </w:rPr>
            </w:pPr>
            <w:r>
              <w:rPr>
                <w:noProof/>
              </w:rPr>
              <w:t>5</w:t>
            </w:r>
          </w:p>
        </w:tc>
        <w:tc>
          <w:tcPr>
            <w:tcW w:w="1418" w:type="dxa"/>
            <w:tcBorders>
              <w:top w:val="single" w:sz="4" w:space="0" w:color="auto"/>
              <w:left w:val="nil"/>
              <w:bottom w:val="single" w:sz="4" w:space="0" w:color="auto"/>
              <w:right w:val="single" w:sz="4" w:space="0" w:color="auto"/>
            </w:tcBorders>
            <w:shd w:val="clear" w:color="auto" w:fill="C6EFCE"/>
            <w:noWrap/>
          </w:tcPr>
          <w:p w14:paraId="6138877A" w14:textId="77777777" w:rsidR="00C45D59" w:rsidRDefault="009B0962">
            <w:pPr>
              <w:pStyle w:val="P68B1DB1-Normal13"/>
              <w:spacing w:after="0" w:line="240" w:lineRule="auto"/>
              <w:rPr>
                <w:rFonts w:eastAsia="Times New Roman"/>
                <w:noProof/>
                <w:szCs w:val="18"/>
              </w:rPr>
            </w:pPr>
            <w:r>
              <w:rPr>
                <w:noProof/>
              </w:rPr>
              <w:t>30</w:t>
            </w:r>
          </w:p>
        </w:tc>
        <w:tc>
          <w:tcPr>
            <w:tcW w:w="1084" w:type="dxa"/>
            <w:tcBorders>
              <w:top w:val="single" w:sz="4" w:space="0" w:color="auto"/>
              <w:left w:val="nil"/>
              <w:bottom w:val="single" w:sz="4" w:space="0" w:color="auto"/>
              <w:right w:val="single" w:sz="4" w:space="0" w:color="auto"/>
            </w:tcBorders>
            <w:shd w:val="clear" w:color="auto" w:fill="C6EFCE"/>
            <w:noWrap/>
          </w:tcPr>
          <w:p w14:paraId="50B24EE0" w14:textId="77777777" w:rsidR="00C45D59" w:rsidRDefault="009B0962">
            <w:pPr>
              <w:pStyle w:val="P68B1DB1-Normal13"/>
              <w:spacing w:after="0" w:line="240" w:lineRule="auto"/>
              <w:rPr>
                <w:rFonts w:eastAsia="Times New Roman"/>
                <w:noProof/>
                <w:szCs w:val="18"/>
              </w:rPr>
            </w:pPr>
            <w:r>
              <w:rPr>
                <w:noProof/>
              </w:rPr>
              <w:t>Î4</w:t>
            </w:r>
          </w:p>
        </w:tc>
        <w:tc>
          <w:tcPr>
            <w:tcW w:w="720" w:type="dxa"/>
            <w:tcBorders>
              <w:top w:val="single" w:sz="4" w:space="0" w:color="auto"/>
              <w:left w:val="nil"/>
              <w:bottom w:val="single" w:sz="4" w:space="0" w:color="auto"/>
              <w:right w:val="single" w:sz="4" w:space="0" w:color="auto"/>
            </w:tcBorders>
            <w:shd w:val="clear" w:color="auto" w:fill="C6EFCE"/>
            <w:noWrap/>
          </w:tcPr>
          <w:p w14:paraId="6388D55E" w14:textId="77777777" w:rsidR="00C45D59" w:rsidRDefault="009B0962">
            <w:pPr>
              <w:pStyle w:val="P68B1DB1-Normal13"/>
              <w:spacing w:after="0" w:line="240" w:lineRule="auto"/>
              <w:rPr>
                <w:rFonts w:eastAsia="Times New Roman"/>
                <w:noProof/>
                <w:szCs w:val="18"/>
              </w:rPr>
            </w:pPr>
            <w:r>
              <w:rPr>
                <w:noProof/>
              </w:rPr>
              <w:t>2023</w:t>
            </w:r>
          </w:p>
        </w:tc>
        <w:tc>
          <w:tcPr>
            <w:tcW w:w="4067" w:type="dxa"/>
            <w:tcBorders>
              <w:top w:val="single" w:sz="4" w:space="0" w:color="auto"/>
              <w:left w:val="nil"/>
              <w:bottom w:val="single" w:sz="4" w:space="0" w:color="auto"/>
              <w:right w:val="single" w:sz="4" w:space="0" w:color="auto"/>
            </w:tcBorders>
            <w:shd w:val="clear" w:color="auto" w:fill="C6EFCE"/>
            <w:noWrap/>
          </w:tcPr>
          <w:p w14:paraId="136E69DE" w14:textId="77777777" w:rsidR="00C45D59" w:rsidRDefault="009B0962">
            <w:pPr>
              <w:pStyle w:val="P68B1DB1-Normal12"/>
              <w:spacing w:after="0" w:line="240" w:lineRule="auto"/>
              <w:rPr>
                <w:rFonts w:eastAsia="Times New Roman"/>
                <w:noProof/>
              </w:rPr>
            </w:pPr>
            <w:r>
              <w:rPr>
                <w:noProof/>
              </w:rPr>
              <w:t>Au fost semnate cu beneficiarii finali, în conformitate cu mandatul definit în jalon și în urma verificării ex ante de către auditori independenți a respectării criteriilor de guvernanță, selecție, monitorizare, audit și partajare a pierderilor, a Orientărilor tehnice privind aplicarea principiului de „a nu prejudicia în mod semnificativ” (2021/C58/01) și a obiectivului climatic de 38,5 % și a obiectivului digital de 20,8 %, 3 518.4 de milioane EUR (inclusiv comisioane de gestionare) din fondurile Mecanismului de împrumut din cadrul MRR legate de instituțiile financiare internaționale și de băncile comerciale.</w:t>
            </w:r>
          </w:p>
        </w:tc>
      </w:tr>
      <w:tr w:rsidR="00C45D59" w14:paraId="2C712835" w14:textId="77777777" w:rsidTr="00037E31">
        <w:trPr>
          <w:trHeight w:val="314"/>
          <w:jc w:val="center"/>
        </w:trPr>
        <w:tc>
          <w:tcPr>
            <w:tcW w:w="602" w:type="dxa"/>
            <w:tcBorders>
              <w:top w:val="single" w:sz="4" w:space="0" w:color="auto"/>
              <w:left w:val="single" w:sz="4" w:space="0" w:color="auto"/>
              <w:bottom w:val="single" w:sz="4" w:space="0" w:color="auto"/>
              <w:right w:val="single" w:sz="4" w:space="0" w:color="auto"/>
            </w:tcBorders>
            <w:shd w:val="clear" w:color="auto" w:fill="C6EFCE"/>
            <w:noWrap/>
          </w:tcPr>
          <w:p w14:paraId="6A514037" w14:textId="77777777" w:rsidR="00C45D59" w:rsidRDefault="009B0962">
            <w:pPr>
              <w:pStyle w:val="P68B1DB1-Normal12"/>
              <w:spacing w:after="0" w:line="240" w:lineRule="auto"/>
              <w:rPr>
                <w:rFonts w:eastAsia="Times New Roman"/>
                <w:noProof/>
              </w:rPr>
            </w:pPr>
            <w:r>
              <w:rPr>
                <w:noProof/>
              </w:rPr>
              <w:t>325a</w:t>
            </w:r>
          </w:p>
        </w:tc>
        <w:tc>
          <w:tcPr>
            <w:tcW w:w="1614" w:type="dxa"/>
            <w:tcBorders>
              <w:top w:val="single" w:sz="4" w:space="0" w:color="auto"/>
              <w:left w:val="nil"/>
              <w:bottom w:val="single" w:sz="4" w:space="0" w:color="auto"/>
              <w:right w:val="single" w:sz="4" w:space="0" w:color="auto"/>
            </w:tcBorders>
            <w:shd w:val="clear" w:color="auto" w:fill="C6EFCE"/>
            <w:noWrap/>
          </w:tcPr>
          <w:p w14:paraId="4A197BDC" w14:textId="77777777" w:rsidR="00C45D59" w:rsidRDefault="009B0962">
            <w:pPr>
              <w:pStyle w:val="P68B1DB1-Normal13"/>
              <w:spacing w:after="0" w:line="240" w:lineRule="auto"/>
              <w:rPr>
                <w:noProof/>
              </w:rPr>
            </w:pPr>
            <w:r>
              <w:rPr>
                <w:noProof/>
              </w:rPr>
              <w:t>4.7. Îmbunătățirea competitivității și promovarea investițiilor private și a exporturilor – Mecanismul de împrumut 16980_RRP</w:t>
            </w:r>
          </w:p>
        </w:tc>
        <w:tc>
          <w:tcPr>
            <w:tcW w:w="992" w:type="dxa"/>
            <w:tcBorders>
              <w:top w:val="single" w:sz="4" w:space="0" w:color="auto"/>
              <w:left w:val="nil"/>
              <w:bottom w:val="single" w:sz="4" w:space="0" w:color="auto"/>
              <w:right w:val="single" w:sz="4" w:space="0" w:color="auto"/>
            </w:tcBorders>
            <w:shd w:val="clear" w:color="auto" w:fill="C6EFCE"/>
            <w:noWrap/>
          </w:tcPr>
          <w:p w14:paraId="4EB186C1" w14:textId="77777777" w:rsidR="00C45D59" w:rsidRDefault="009B0962">
            <w:pPr>
              <w:pStyle w:val="P68B1DB1-Normal13"/>
              <w:spacing w:after="0" w:line="240" w:lineRule="auto"/>
              <w:rPr>
                <w:rFonts w:eastAsia="Times New Roman"/>
                <w:noProof/>
                <w:szCs w:val="18"/>
              </w:rPr>
            </w:pPr>
            <w:r>
              <w:rPr>
                <w:noProof/>
              </w:rPr>
              <w:t>Țintă</w:t>
            </w:r>
          </w:p>
        </w:tc>
        <w:tc>
          <w:tcPr>
            <w:tcW w:w="1559" w:type="dxa"/>
            <w:tcBorders>
              <w:top w:val="single" w:sz="4" w:space="0" w:color="auto"/>
              <w:left w:val="nil"/>
              <w:bottom w:val="single" w:sz="4" w:space="0" w:color="auto"/>
              <w:right w:val="single" w:sz="4" w:space="0" w:color="auto"/>
            </w:tcBorders>
            <w:shd w:val="clear" w:color="auto" w:fill="C6EFCE"/>
            <w:noWrap/>
          </w:tcPr>
          <w:p w14:paraId="0B8B802B" w14:textId="77777777" w:rsidR="00C45D59" w:rsidRDefault="009B0962">
            <w:pPr>
              <w:pStyle w:val="P68B1DB1-Normal13"/>
              <w:spacing w:after="0" w:line="240" w:lineRule="auto"/>
              <w:rPr>
                <w:rFonts w:eastAsia="Times New Roman"/>
                <w:noProof/>
                <w:szCs w:val="18"/>
              </w:rPr>
            </w:pPr>
            <w:r>
              <w:rPr>
                <w:noProof/>
              </w:rPr>
              <w:t>Fonduri ale instituțiilor financiare semnate cu beneficiarii finali în valoare de 4 518.4 de milioane EUR</w:t>
            </w:r>
          </w:p>
        </w:tc>
        <w:tc>
          <w:tcPr>
            <w:tcW w:w="1276" w:type="dxa"/>
            <w:tcBorders>
              <w:top w:val="single" w:sz="4" w:space="0" w:color="auto"/>
              <w:left w:val="nil"/>
              <w:bottom w:val="single" w:sz="4" w:space="0" w:color="auto"/>
              <w:right w:val="single" w:sz="4" w:space="0" w:color="auto"/>
            </w:tcBorders>
            <w:shd w:val="clear" w:color="auto" w:fill="C6EFCE"/>
            <w:noWrap/>
          </w:tcPr>
          <w:p w14:paraId="01C0B43D"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134" w:type="dxa"/>
            <w:tcBorders>
              <w:top w:val="single" w:sz="4" w:space="0" w:color="auto"/>
              <w:left w:val="nil"/>
              <w:bottom w:val="single" w:sz="4" w:space="0" w:color="auto"/>
              <w:right w:val="single" w:sz="4" w:space="0" w:color="auto"/>
            </w:tcBorders>
            <w:shd w:val="clear" w:color="auto" w:fill="C6EFCE"/>
            <w:noWrap/>
          </w:tcPr>
          <w:p w14:paraId="58CF27A1" w14:textId="77777777" w:rsidR="00C45D59" w:rsidRDefault="009B0962">
            <w:pPr>
              <w:pStyle w:val="P68B1DB1-Normal13"/>
              <w:spacing w:after="0" w:line="240" w:lineRule="auto"/>
              <w:rPr>
                <w:rFonts w:eastAsia="Times New Roman"/>
                <w:noProof/>
                <w:szCs w:val="18"/>
              </w:rPr>
            </w:pPr>
            <w:r>
              <w:rPr>
                <w:noProof/>
              </w:rPr>
              <w:t>Suma (în EUR) a fondurilor semnate</w:t>
            </w:r>
          </w:p>
        </w:tc>
        <w:tc>
          <w:tcPr>
            <w:tcW w:w="1417" w:type="dxa"/>
            <w:tcBorders>
              <w:top w:val="single" w:sz="4" w:space="0" w:color="auto"/>
              <w:left w:val="nil"/>
              <w:bottom w:val="single" w:sz="4" w:space="0" w:color="auto"/>
              <w:right w:val="single" w:sz="4" w:space="0" w:color="auto"/>
            </w:tcBorders>
            <w:shd w:val="clear" w:color="auto" w:fill="C6EFCE"/>
            <w:noWrap/>
          </w:tcPr>
          <w:p w14:paraId="1E30306C" w14:textId="77777777" w:rsidR="00C45D59" w:rsidRDefault="009B0962">
            <w:pPr>
              <w:pStyle w:val="P68B1DB1-Normal13"/>
              <w:spacing w:after="0" w:line="240" w:lineRule="auto"/>
              <w:rPr>
                <w:rFonts w:eastAsia="Times New Roman"/>
                <w:noProof/>
                <w:szCs w:val="18"/>
              </w:rPr>
            </w:pPr>
            <w:r>
              <w:rPr>
                <w:noProof/>
              </w:rPr>
              <w:t>3 518.4</w:t>
            </w:r>
          </w:p>
        </w:tc>
        <w:tc>
          <w:tcPr>
            <w:tcW w:w="1418" w:type="dxa"/>
            <w:tcBorders>
              <w:top w:val="single" w:sz="4" w:space="0" w:color="auto"/>
              <w:left w:val="nil"/>
              <w:bottom w:val="single" w:sz="4" w:space="0" w:color="auto"/>
              <w:right w:val="single" w:sz="4" w:space="0" w:color="auto"/>
            </w:tcBorders>
            <w:shd w:val="clear" w:color="auto" w:fill="C6EFCE"/>
            <w:noWrap/>
          </w:tcPr>
          <w:p w14:paraId="39BE5D0D" w14:textId="77777777" w:rsidR="00C45D59" w:rsidRDefault="009B0962">
            <w:pPr>
              <w:pStyle w:val="P68B1DB1-Normal13"/>
              <w:spacing w:after="0" w:line="240" w:lineRule="auto"/>
              <w:rPr>
                <w:rFonts w:eastAsia="Times New Roman"/>
                <w:noProof/>
                <w:szCs w:val="18"/>
              </w:rPr>
            </w:pPr>
            <w:r>
              <w:rPr>
                <w:noProof/>
              </w:rPr>
              <w:t>4 518.4</w:t>
            </w:r>
          </w:p>
        </w:tc>
        <w:tc>
          <w:tcPr>
            <w:tcW w:w="1084" w:type="dxa"/>
            <w:tcBorders>
              <w:top w:val="single" w:sz="4" w:space="0" w:color="auto"/>
              <w:left w:val="nil"/>
              <w:bottom w:val="single" w:sz="4" w:space="0" w:color="auto"/>
              <w:right w:val="single" w:sz="4" w:space="0" w:color="auto"/>
            </w:tcBorders>
            <w:shd w:val="clear" w:color="auto" w:fill="C6EFCE"/>
            <w:noWrap/>
          </w:tcPr>
          <w:p w14:paraId="57048FF1" w14:textId="77777777" w:rsidR="00C45D59" w:rsidRDefault="009B0962">
            <w:pPr>
              <w:pStyle w:val="P68B1DB1-Normal13"/>
              <w:spacing w:after="0" w:line="240" w:lineRule="auto"/>
              <w:rPr>
                <w:rFonts w:eastAsia="Times New Roman"/>
                <w:noProof/>
                <w:szCs w:val="18"/>
              </w:rPr>
            </w:pPr>
            <w:r>
              <w:rPr>
                <w:noProof/>
              </w:rPr>
              <w:t>Î2</w:t>
            </w:r>
          </w:p>
        </w:tc>
        <w:tc>
          <w:tcPr>
            <w:tcW w:w="720" w:type="dxa"/>
            <w:tcBorders>
              <w:top w:val="single" w:sz="4" w:space="0" w:color="auto"/>
              <w:left w:val="nil"/>
              <w:bottom w:val="single" w:sz="4" w:space="0" w:color="auto"/>
              <w:right w:val="single" w:sz="4" w:space="0" w:color="auto"/>
            </w:tcBorders>
            <w:shd w:val="clear" w:color="auto" w:fill="C6EFCE"/>
            <w:noWrap/>
          </w:tcPr>
          <w:p w14:paraId="6512F0AF" w14:textId="77777777" w:rsidR="00C45D59" w:rsidRDefault="009B0962">
            <w:pPr>
              <w:pStyle w:val="P68B1DB1-Normal13"/>
              <w:spacing w:after="0" w:line="240" w:lineRule="auto"/>
              <w:rPr>
                <w:rFonts w:eastAsia="Times New Roman"/>
                <w:noProof/>
                <w:szCs w:val="18"/>
              </w:rPr>
            </w:pPr>
            <w:r>
              <w:rPr>
                <w:noProof/>
              </w:rPr>
              <w:t>2024</w:t>
            </w:r>
          </w:p>
        </w:tc>
        <w:tc>
          <w:tcPr>
            <w:tcW w:w="4067" w:type="dxa"/>
            <w:tcBorders>
              <w:top w:val="single" w:sz="4" w:space="0" w:color="auto"/>
              <w:left w:val="nil"/>
              <w:bottom w:val="single" w:sz="4" w:space="0" w:color="auto"/>
              <w:right w:val="single" w:sz="4" w:space="0" w:color="auto"/>
            </w:tcBorders>
            <w:shd w:val="clear" w:color="auto" w:fill="C6EFCE"/>
            <w:noWrap/>
          </w:tcPr>
          <w:p w14:paraId="22A84524" w14:textId="77777777" w:rsidR="00C45D59" w:rsidRDefault="009B0962">
            <w:pPr>
              <w:pStyle w:val="P68B1DB1-Normal12"/>
              <w:spacing w:after="0" w:line="240" w:lineRule="auto"/>
              <w:rPr>
                <w:rFonts w:eastAsia="Times New Roman"/>
                <w:noProof/>
              </w:rPr>
            </w:pPr>
            <w:r>
              <w:rPr>
                <w:noProof/>
              </w:rPr>
              <w:t>Au fost semnate cu beneficiarii finali 4 518.4 de milioane EUR (inclusiv comisioane de gestionare) din fondurile Mecanismului de împrumut din cadrul MRR legate de instituțiile financiare internaționale și de băncile comerciale, în conformitate cu mandatul definit în jalon și în urma verificării ex ante de către auditori independenți a respectării criteriilor de guvernanță, selecție, monitorizare, audit și partajare a pierderilor, a Orientărilor tehnice privind aplicarea principiului de „a nu prejudicia în mod semnificativ” (2021/C58/01) și a contribuției la obiectivul climatic de 38,5 % și la obiectivul digital de 20,8 %.</w:t>
            </w:r>
          </w:p>
        </w:tc>
      </w:tr>
      <w:tr w:rsidR="00C45D59" w14:paraId="5E08E89A" w14:textId="77777777" w:rsidTr="00037E31">
        <w:trPr>
          <w:trHeight w:val="314"/>
          <w:jc w:val="center"/>
        </w:trPr>
        <w:tc>
          <w:tcPr>
            <w:tcW w:w="602" w:type="dxa"/>
            <w:tcBorders>
              <w:top w:val="single" w:sz="4" w:space="0" w:color="auto"/>
              <w:left w:val="single" w:sz="4" w:space="0" w:color="auto"/>
              <w:bottom w:val="single" w:sz="4" w:space="0" w:color="auto"/>
              <w:right w:val="single" w:sz="4" w:space="0" w:color="auto"/>
            </w:tcBorders>
            <w:shd w:val="clear" w:color="auto" w:fill="C6EFCE"/>
            <w:noWrap/>
          </w:tcPr>
          <w:p w14:paraId="0C204097" w14:textId="77777777" w:rsidR="00C45D59" w:rsidRDefault="009B0962">
            <w:pPr>
              <w:pStyle w:val="P68B1DB1-Normal12"/>
              <w:spacing w:after="0" w:line="240" w:lineRule="auto"/>
              <w:rPr>
                <w:rFonts w:eastAsia="Times New Roman"/>
                <w:noProof/>
              </w:rPr>
            </w:pPr>
            <w:r>
              <w:rPr>
                <w:noProof/>
              </w:rPr>
              <w:t>326</w:t>
            </w:r>
          </w:p>
        </w:tc>
        <w:tc>
          <w:tcPr>
            <w:tcW w:w="1614" w:type="dxa"/>
            <w:tcBorders>
              <w:top w:val="single" w:sz="4" w:space="0" w:color="auto"/>
              <w:left w:val="nil"/>
              <w:bottom w:val="single" w:sz="4" w:space="0" w:color="auto"/>
              <w:right w:val="single" w:sz="4" w:space="0" w:color="auto"/>
            </w:tcBorders>
            <w:shd w:val="clear" w:color="auto" w:fill="C6EFCE"/>
            <w:noWrap/>
          </w:tcPr>
          <w:p w14:paraId="4C5A9155" w14:textId="77777777" w:rsidR="00C45D59" w:rsidRDefault="009B0962">
            <w:pPr>
              <w:pStyle w:val="P68B1DB1-Normal13"/>
              <w:spacing w:after="0" w:line="240" w:lineRule="auto"/>
              <w:rPr>
                <w:noProof/>
              </w:rPr>
            </w:pPr>
            <w:r>
              <w:rPr>
                <w:noProof/>
              </w:rPr>
              <w:t>4.7. Îmbunătățirea competitivității și promovarea investițiilor private și a exporturilor – Mecanismul de împrumut 16980_RRP</w:t>
            </w:r>
          </w:p>
        </w:tc>
        <w:tc>
          <w:tcPr>
            <w:tcW w:w="992" w:type="dxa"/>
            <w:tcBorders>
              <w:top w:val="single" w:sz="4" w:space="0" w:color="auto"/>
              <w:left w:val="nil"/>
              <w:bottom w:val="single" w:sz="4" w:space="0" w:color="auto"/>
              <w:right w:val="single" w:sz="4" w:space="0" w:color="auto"/>
            </w:tcBorders>
            <w:shd w:val="clear" w:color="auto" w:fill="C6EFCE"/>
            <w:noWrap/>
          </w:tcPr>
          <w:p w14:paraId="498657B9" w14:textId="77777777" w:rsidR="00C45D59" w:rsidRDefault="009B0962">
            <w:pPr>
              <w:pStyle w:val="P68B1DB1-Normal13"/>
              <w:spacing w:after="0" w:line="240" w:lineRule="auto"/>
              <w:rPr>
                <w:rFonts w:eastAsia="Times New Roman"/>
                <w:noProof/>
                <w:szCs w:val="18"/>
              </w:rPr>
            </w:pPr>
            <w:r>
              <w:rPr>
                <w:noProof/>
              </w:rPr>
              <w:t>Țintă</w:t>
            </w:r>
          </w:p>
        </w:tc>
        <w:tc>
          <w:tcPr>
            <w:tcW w:w="1559" w:type="dxa"/>
            <w:tcBorders>
              <w:top w:val="single" w:sz="4" w:space="0" w:color="auto"/>
              <w:left w:val="nil"/>
              <w:bottom w:val="single" w:sz="4" w:space="0" w:color="auto"/>
              <w:right w:val="single" w:sz="4" w:space="0" w:color="auto"/>
            </w:tcBorders>
            <w:shd w:val="clear" w:color="auto" w:fill="C6EFCE"/>
            <w:noWrap/>
          </w:tcPr>
          <w:p w14:paraId="41E038FC" w14:textId="77777777" w:rsidR="00C45D59" w:rsidRDefault="009B0962">
            <w:pPr>
              <w:pStyle w:val="P68B1DB1-Normal13"/>
              <w:spacing w:after="0" w:line="240" w:lineRule="auto"/>
              <w:rPr>
                <w:rFonts w:eastAsia="Times New Roman"/>
                <w:noProof/>
                <w:szCs w:val="18"/>
              </w:rPr>
            </w:pPr>
            <w:r>
              <w:rPr>
                <w:noProof/>
              </w:rPr>
              <w:t>Fonduri ale instituțiilor financiare semnate cu beneficiarii finali în valoare de 7 064 de milioane EUR</w:t>
            </w:r>
          </w:p>
        </w:tc>
        <w:tc>
          <w:tcPr>
            <w:tcW w:w="1276" w:type="dxa"/>
            <w:tcBorders>
              <w:top w:val="single" w:sz="4" w:space="0" w:color="auto"/>
              <w:left w:val="nil"/>
              <w:bottom w:val="single" w:sz="4" w:space="0" w:color="auto"/>
              <w:right w:val="single" w:sz="4" w:space="0" w:color="auto"/>
            </w:tcBorders>
            <w:shd w:val="clear" w:color="auto" w:fill="C6EFCE"/>
            <w:noWrap/>
          </w:tcPr>
          <w:p w14:paraId="51F70126"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134" w:type="dxa"/>
            <w:tcBorders>
              <w:top w:val="single" w:sz="4" w:space="0" w:color="auto"/>
              <w:left w:val="nil"/>
              <w:bottom w:val="single" w:sz="4" w:space="0" w:color="auto"/>
              <w:right w:val="single" w:sz="4" w:space="0" w:color="auto"/>
            </w:tcBorders>
            <w:shd w:val="clear" w:color="auto" w:fill="C6EFCE"/>
            <w:noWrap/>
          </w:tcPr>
          <w:p w14:paraId="0BF3F456" w14:textId="77777777" w:rsidR="00C45D59" w:rsidRDefault="009B0962">
            <w:pPr>
              <w:pStyle w:val="P68B1DB1-Normal12"/>
              <w:spacing w:after="0" w:line="240" w:lineRule="auto"/>
              <w:rPr>
                <w:rFonts w:eastAsia="Times New Roman"/>
                <w:noProof/>
              </w:rPr>
            </w:pPr>
            <w:r>
              <w:rPr>
                <w:noProof/>
              </w:rPr>
              <w:t xml:space="preserve">Suma (milioane EUR) </w:t>
            </w:r>
          </w:p>
        </w:tc>
        <w:tc>
          <w:tcPr>
            <w:tcW w:w="1417" w:type="dxa"/>
            <w:tcBorders>
              <w:top w:val="single" w:sz="4" w:space="0" w:color="auto"/>
              <w:left w:val="nil"/>
              <w:bottom w:val="single" w:sz="4" w:space="0" w:color="auto"/>
              <w:right w:val="single" w:sz="4" w:space="0" w:color="auto"/>
            </w:tcBorders>
            <w:shd w:val="clear" w:color="auto" w:fill="C6EFCE"/>
            <w:noWrap/>
          </w:tcPr>
          <w:p w14:paraId="28F13F71" w14:textId="77777777" w:rsidR="00C45D59" w:rsidRDefault="009B0962">
            <w:pPr>
              <w:pStyle w:val="P68B1DB1-Normal13"/>
              <w:spacing w:after="0" w:line="240" w:lineRule="auto"/>
              <w:rPr>
                <w:rFonts w:eastAsia="Times New Roman"/>
                <w:noProof/>
                <w:szCs w:val="18"/>
              </w:rPr>
            </w:pPr>
            <w:r>
              <w:rPr>
                <w:noProof/>
              </w:rPr>
              <w:t>4 518.4</w:t>
            </w:r>
          </w:p>
        </w:tc>
        <w:tc>
          <w:tcPr>
            <w:tcW w:w="1418" w:type="dxa"/>
            <w:tcBorders>
              <w:top w:val="single" w:sz="4" w:space="0" w:color="auto"/>
              <w:left w:val="nil"/>
              <w:bottom w:val="single" w:sz="4" w:space="0" w:color="auto"/>
              <w:right w:val="single" w:sz="4" w:space="0" w:color="auto"/>
            </w:tcBorders>
            <w:shd w:val="clear" w:color="auto" w:fill="C6EFCE"/>
            <w:noWrap/>
          </w:tcPr>
          <w:p w14:paraId="4A1B8E5E" w14:textId="77777777" w:rsidR="00C45D59" w:rsidRDefault="009B0962">
            <w:pPr>
              <w:pStyle w:val="P68B1DB1-Normal13"/>
              <w:spacing w:after="0" w:line="240" w:lineRule="auto"/>
              <w:rPr>
                <w:rFonts w:eastAsia="Times New Roman"/>
                <w:noProof/>
                <w:szCs w:val="18"/>
              </w:rPr>
            </w:pPr>
            <w:r>
              <w:rPr>
                <w:noProof/>
              </w:rPr>
              <w:t>7 064</w:t>
            </w:r>
          </w:p>
        </w:tc>
        <w:tc>
          <w:tcPr>
            <w:tcW w:w="1084" w:type="dxa"/>
            <w:tcBorders>
              <w:top w:val="single" w:sz="4" w:space="0" w:color="auto"/>
              <w:left w:val="nil"/>
              <w:bottom w:val="single" w:sz="4" w:space="0" w:color="auto"/>
              <w:right w:val="single" w:sz="4" w:space="0" w:color="auto"/>
            </w:tcBorders>
            <w:shd w:val="clear" w:color="auto" w:fill="C6EFCE"/>
            <w:noWrap/>
          </w:tcPr>
          <w:p w14:paraId="1E318E75" w14:textId="77777777" w:rsidR="00C45D59" w:rsidRDefault="009B0962">
            <w:pPr>
              <w:pStyle w:val="P68B1DB1-Normal13"/>
              <w:spacing w:after="0" w:line="240" w:lineRule="auto"/>
              <w:rPr>
                <w:rFonts w:eastAsia="Times New Roman"/>
                <w:noProof/>
                <w:szCs w:val="18"/>
              </w:rPr>
            </w:pPr>
            <w:r>
              <w:rPr>
                <w:noProof/>
              </w:rPr>
              <w:t>Î4</w:t>
            </w:r>
          </w:p>
        </w:tc>
        <w:tc>
          <w:tcPr>
            <w:tcW w:w="720" w:type="dxa"/>
            <w:tcBorders>
              <w:top w:val="single" w:sz="4" w:space="0" w:color="auto"/>
              <w:left w:val="nil"/>
              <w:bottom w:val="single" w:sz="4" w:space="0" w:color="auto"/>
              <w:right w:val="single" w:sz="4" w:space="0" w:color="auto"/>
            </w:tcBorders>
            <w:shd w:val="clear" w:color="auto" w:fill="C6EFCE"/>
            <w:noWrap/>
          </w:tcPr>
          <w:p w14:paraId="6E32DDF7" w14:textId="77777777" w:rsidR="00C45D59" w:rsidRDefault="009B0962">
            <w:pPr>
              <w:pStyle w:val="P68B1DB1-Normal13"/>
              <w:spacing w:after="0" w:line="240" w:lineRule="auto"/>
              <w:rPr>
                <w:rFonts w:eastAsia="Times New Roman"/>
                <w:noProof/>
                <w:szCs w:val="18"/>
              </w:rPr>
            </w:pPr>
            <w:r>
              <w:rPr>
                <w:noProof/>
              </w:rPr>
              <w:t>2024</w:t>
            </w:r>
          </w:p>
        </w:tc>
        <w:tc>
          <w:tcPr>
            <w:tcW w:w="4067" w:type="dxa"/>
            <w:tcBorders>
              <w:top w:val="single" w:sz="4" w:space="0" w:color="auto"/>
              <w:left w:val="nil"/>
              <w:bottom w:val="single" w:sz="4" w:space="0" w:color="auto"/>
              <w:right w:val="single" w:sz="4" w:space="0" w:color="auto"/>
            </w:tcBorders>
            <w:shd w:val="clear" w:color="auto" w:fill="C6EFCE"/>
            <w:noWrap/>
          </w:tcPr>
          <w:p w14:paraId="307A472A" w14:textId="77777777" w:rsidR="00C45D59" w:rsidRDefault="009B0962">
            <w:pPr>
              <w:pStyle w:val="P68B1DB1-Normal12"/>
              <w:spacing w:after="0" w:line="240" w:lineRule="auto"/>
              <w:rPr>
                <w:rFonts w:eastAsia="Times New Roman"/>
                <w:noProof/>
              </w:rPr>
            </w:pPr>
            <w:r>
              <w:rPr>
                <w:noProof/>
              </w:rPr>
              <w:t>Au fost semnate cu beneficiarii finali 7 064 de milioane EUR (inclusiv comisioane de gestionare) din fondurile Mecanismului de împrumut din cadrul MRR legate de instituțiile financiare internaționale și de băncile comerciale, în conformitate cu mandatul definit în jalon și în urma verificării ex ante de către auditori independenți a respectării criteriilor de guvernanță, selecție, monitorizare, audit și partajare a pierderilor, a Orientărilor tehnice privind aplicarea principiului de „a nu prejudicia în mod semnificativ” (2021/C58/01) și a contribuției la obiectivul climatic de 41,5 % și la obiectivul digital de 20,8 %.</w:t>
            </w:r>
          </w:p>
        </w:tc>
      </w:tr>
      <w:tr w:rsidR="00C45D59" w14:paraId="3B1DB589" w14:textId="77777777" w:rsidTr="00037E31">
        <w:trPr>
          <w:trHeight w:val="314"/>
          <w:jc w:val="center"/>
        </w:trPr>
        <w:tc>
          <w:tcPr>
            <w:tcW w:w="602" w:type="dxa"/>
            <w:tcBorders>
              <w:top w:val="single" w:sz="4" w:space="0" w:color="auto"/>
              <w:left w:val="single" w:sz="4" w:space="0" w:color="auto"/>
              <w:bottom w:val="single" w:sz="4" w:space="0" w:color="auto"/>
              <w:right w:val="single" w:sz="4" w:space="0" w:color="auto"/>
            </w:tcBorders>
            <w:shd w:val="clear" w:color="auto" w:fill="C6EFCE"/>
            <w:noWrap/>
          </w:tcPr>
          <w:p w14:paraId="16D04DB0" w14:textId="77777777" w:rsidR="00C45D59" w:rsidRDefault="009B0962">
            <w:pPr>
              <w:pStyle w:val="P68B1DB1-Normal13"/>
              <w:spacing w:after="0" w:line="240" w:lineRule="auto"/>
              <w:rPr>
                <w:rFonts w:eastAsia="Times New Roman"/>
                <w:noProof/>
              </w:rPr>
            </w:pPr>
            <w:r>
              <w:rPr>
                <w:noProof/>
              </w:rPr>
              <w:t>327</w:t>
            </w:r>
          </w:p>
        </w:tc>
        <w:tc>
          <w:tcPr>
            <w:tcW w:w="1614" w:type="dxa"/>
            <w:tcBorders>
              <w:top w:val="single" w:sz="4" w:space="0" w:color="auto"/>
              <w:left w:val="nil"/>
              <w:bottom w:val="single" w:sz="4" w:space="0" w:color="auto"/>
              <w:right w:val="single" w:sz="4" w:space="0" w:color="auto"/>
            </w:tcBorders>
            <w:shd w:val="clear" w:color="auto" w:fill="C6EFCE"/>
            <w:noWrap/>
          </w:tcPr>
          <w:p w14:paraId="50412870" w14:textId="77777777" w:rsidR="00C45D59" w:rsidRDefault="009B0962">
            <w:pPr>
              <w:pStyle w:val="P68B1DB1-Normal13"/>
              <w:spacing w:after="0" w:line="240" w:lineRule="auto"/>
              <w:rPr>
                <w:rFonts w:eastAsia="Times New Roman"/>
                <w:noProof/>
                <w:szCs w:val="18"/>
              </w:rPr>
            </w:pPr>
            <w:r>
              <w:rPr>
                <w:noProof/>
              </w:rPr>
              <w:t>4.7. Îmbunătățirea competitivității și promovarea investițiilor private și a exporturilor – Mecanismul de împrumut 16980_RRP</w:t>
            </w:r>
          </w:p>
        </w:tc>
        <w:tc>
          <w:tcPr>
            <w:tcW w:w="992" w:type="dxa"/>
            <w:tcBorders>
              <w:top w:val="single" w:sz="4" w:space="0" w:color="auto"/>
              <w:left w:val="nil"/>
              <w:bottom w:val="single" w:sz="4" w:space="0" w:color="auto"/>
              <w:right w:val="single" w:sz="4" w:space="0" w:color="auto"/>
            </w:tcBorders>
            <w:shd w:val="clear" w:color="auto" w:fill="C6EFCE"/>
            <w:noWrap/>
          </w:tcPr>
          <w:p w14:paraId="6EB91FCF" w14:textId="77777777" w:rsidR="00C45D59" w:rsidRDefault="009B0962">
            <w:pPr>
              <w:pStyle w:val="P68B1DB1-Normal13"/>
              <w:spacing w:after="0" w:line="240" w:lineRule="auto"/>
              <w:rPr>
                <w:rFonts w:eastAsia="Times New Roman"/>
                <w:noProof/>
                <w:szCs w:val="18"/>
              </w:rPr>
            </w:pPr>
            <w:r>
              <w:rPr>
                <w:noProof/>
              </w:rPr>
              <w:t>Țintă</w:t>
            </w:r>
          </w:p>
        </w:tc>
        <w:tc>
          <w:tcPr>
            <w:tcW w:w="1559" w:type="dxa"/>
            <w:tcBorders>
              <w:top w:val="single" w:sz="4" w:space="0" w:color="auto"/>
              <w:left w:val="nil"/>
              <w:bottom w:val="single" w:sz="4" w:space="0" w:color="auto"/>
              <w:right w:val="single" w:sz="4" w:space="0" w:color="auto"/>
            </w:tcBorders>
            <w:shd w:val="clear" w:color="auto" w:fill="C6EFCE"/>
            <w:noWrap/>
          </w:tcPr>
          <w:p w14:paraId="4F064135" w14:textId="01A38633" w:rsidR="00C45D59" w:rsidRDefault="009B0962">
            <w:pPr>
              <w:pStyle w:val="P68B1DB1-Normal13"/>
              <w:spacing w:after="0" w:line="240" w:lineRule="auto"/>
              <w:rPr>
                <w:rFonts w:eastAsia="Times New Roman"/>
                <w:noProof/>
                <w:szCs w:val="18"/>
              </w:rPr>
            </w:pPr>
            <w:r>
              <w:rPr>
                <w:noProof/>
              </w:rPr>
              <w:t>Fonduri ale instituțiilor financiare semnate cu beneficiarii finali în valoare de 9 800 de milioane EUR</w:t>
            </w:r>
          </w:p>
        </w:tc>
        <w:tc>
          <w:tcPr>
            <w:tcW w:w="1276" w:type="dxa"/>
            <w:tcBorders>
              <w:top w:val="single" w:sz="4" w:space="0" w:color="auto"/>
              <w:left w:val="nil"/>
              <w:bottom w:val="single" w:sz="4" w:space="0" w:color="auto"/>
              <w:right w:val="single" w:sz="4" w:space="0" w:color="auto"/>
            </w:tcBorders>
            <w:shd w:val="clear" w:color="auto" w:fill="C6EFCE"/>
          </w:tcPr>
          <w:p w14:paraId="3E007595"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134" w:type="dxa"/>
            <w:tcBorders>
              <w:top w:val="single" w:sz="4" w:space="0" w:color="auto"/>
              <w:left w:val="nil"/>
              <w:bottom w:val="single" w:sz="4" w:space="0" w:color="auto"/>
              <w:right w:val="single" w:sz="4" w:space="0" w:color="auto"/>
            </w:tcBorders>
            <w:shd w:val="clear" w:color="auto" w:fill="C6EFCE"/>
            <w:noWrap/>
          </w:tcPr>
          <w:p w14:paraId="32AB9B1D" w14:textId="77777777" w:rsidR="00C45D59" w:rsidRDefault="009B0962">
            <w:pPr>
              <w:pStyle w:val="P68B1DB1-Normal13"/>
              <w:spacing w:after="0" w:line="240" w:lineRule="auto"/>
              <w:rPr>
                <w:rFonts w:eastAsia="Times New Roman"/>
                <w:noProof/>
                <w:szCs w:val="18"/>
              </w:rPr>
            </w:pPr>
            <w:r>
              <w:rPr>
                <w:noProof/>
              </w:rPr>
              <w:t>Suma (</w:t>
            </w:r>
            <w:r>
              <w:rPr>
                <w:noProof/>
                <w:szCs w:val="18"/>
              </w:rPr>
              <w:t>milioane</w:t>
            </w:r>
            <w:r>
              <w:rPr>
                <w:noProof/>
              </w:rPr>
              <w:t xml:space="preserve"> EUR)</w:t>
            </w:r>
          </w:p>
        </w:tc>
        <w:tc>
          <w:tcPr>
            <w:tcW w:w="1417" w:type="dxa"/>
            <w:tcBorders>
              <w:top w:val="single" w:sz="4" w:space="0" w:color="auto"/>
              <w:left w:val="nil"/>
              <w:bottom w:val="single" w:sz="4" w:space="0" w:color="auto"/>
              <w:right w:val="single" w:sz="4" w:space="0" w:color="auto"/>
            </w:tcBorders>
            <w:shd w:val="clear" w:color="auto" w:fill="C6EFCE"/>
            <w:noWrap/>
          </w:tcPr>
          <w:p w14:paraId="7C6A7409" w14:textId="77777777" w:rsidR="00C45D59" w:rsidRDefault="009B0962">
            <w:pPr>
              <w:pStyle w:val="P68B1DB1-Normal13"/>
              <w:spacing w:after="0" w:line="240" w:lineRule="auto"/>
              <w:rPr>
                <w:rFonts w:eastAsia="Times New Roman"/>
                <w:noProof/>
                <w:szCs w:val="18"/>
              </w:rPr>
            </w:pPr>
            <w:r>
              <w:rPr>
                <w:noProof/>
              </w:rPr>
              <w:t>7 064</w:t>
            </w:r>
          </w:p>
        </w:tc>
        <w:tc>
          <w:tcPr>
            <w:tcW w:w="1418" w:type="dxa"/>
            <w:tcBorders>
              <w:top w:val="single" w:sz="4" w:space="0" w:color="auto"/>
              <w:left w:val="nil"/>
              <w:bottom w:val="single" w:sz="4" w:space="0" w:color="auto"/>
              <w:right w:val="single" w:sz="4" w:space="0" w:color="auto"/>
            </w:tcBorders>
            <w:shd w:val="clear" w:color="auto" w:fill="C6EFCE"/>
            <w:noWrap/>
          </w:tcPr>
          <w:p w14:paraId="1AF26892" w14:textId="77777777" w:rsidR="00C45D59" w:rsidRDefault="009B0962">
            <w:pPr>
              <w:pStyle w:val="P68B1DB1-Normal13"/>
              <w:spacing w:after="0" w:line="240" w:lineRule="auto"/>
              <w:rPr>
                <w:rFonts w:eastAsia="Times New Roman"/>
                <w:noProof/>
                <w:szCs w:val="18"/>
              </w:rPr>
            </w:pPr>
            <w:r>
              <w:rPr>
                <w:noProof/>
              </w:rPr>
              <w:t>9 800</w:t>
            </w:r>
          </w:p>
        </w:tc>
        <w:tc>
          <w:tcPr>
            <w:tcW w:w="1084" w:type="dxa"/>
            <w:tcBorders>
              <w:top w:val="single" w:sz="4" w:space="0" w:color="auto"/>
              <w:left w:val="nil"/>
              <w:bottom w:val="single" w:sz="4" w:space="0" w:color="auto"/>
              <w:right w:val="single" w:sz="4" w:space="0" w:color="auto"/>
            </w:tcBorders>
            <w:shd w:val="clear" w:color="auto" w:fill="C6EFCE"/>
            <w:noWrap/>
          </w:tcPr>
          <w:p w14:paraId="60A260B6" w14:textId="77777777" w:rsidR="00C45D59" w:rsidRDefault="009B0962">
            <w:pPr>
              <w:pStyle w:val="P68B1DB1-Normal13"/>
              <w:spacing w:after="0" w:line="240" w:lineRule="auto"/>
              <w:rPr>
                <w:rFonts w:eastAsia="Times New Roman"/>
                <w:noProof/>
                <w:szCs w:val="18"/>
              </w:rPr>
            </w:pPr>
            <w:r>
              <w:rPr>
                <w:noProof/>
              </w:rPr>
              <w:t>Î4</w:t>
            </w:r>
          </w:p>
        </w:tc>
        <w:tc>
          <w:tcPr>
            <w:tcW w:w="720" w:type="dxa"/>
            <w:tcBorders>
              <w:top w:val="single" w:sz="4" w:space="0" w:color="auto"/>
              <w:left w:val="nil"/>
              <w:bottom w:val="single" w:sz="4" w:space="0" w:color="auto"/>
              <w:right w:val="single" w:sz="4" w:space="0" w:color="auto"/>
            </w:tcBorders>
            <w:shd w:val="clear" w:color="auto" w:fill="C6EFCE"/>
            <w:noWrap/>
          </w:tcPr>
          <w:p w14:paraId="5064FE62" w14:textId="77777777" w:rsidR="00C45D59" w:rsidRDefault="009B0962">
            <w:pPr>
              <w:pStyle w:val="P68B1DB1-Normal13"/>
              <w:spacing w:after="0" w:line="240" w:lineRule="auto"/>
              <w:rPr>
                <w:rFonts w:eastAsia="Times New Roman"/>
                <w:noProof/>
                <w:szCs w:val="18"/>
              </w:rPr>
            </w:pPr>
            <w:r>
              <w:rPr>
                <w:noProof/>
              </w:rPr>
              <w:t>2025</w:t>
            </w:r>
          </w:p>
        </w:tc>
        <w:tc>
          <w:tcPr>
            <w:tcW w:w="4067" w:type="dxa"/>
            <w:tcBorders>
              <w:top w:val="single" w:sz="4" w:space="0" w:color="auto"/>
              <w:left w:val="nil"/>
              <w:bottom w:val="single" w:sz="4" w:space="0" w:color="auto"/>
              <w:right w:val="single" w:sz="4" w:space="0" w:color="auto"/>
            </w:tcBorders>
            <w:shd w:val="clear" w:color="auto" w:fill="C6EFCE"/>
            <w:noWrap/>
          </w:tcPr>
          <w:p w14:paraId="4D7FCE64" w14:textId="77777777" w:rsidR="00C45D59" w:rsidRDefault="009B0962">
            <w:pPr>
              <w:pStyle w:val="P68B1DB1-Normal13"/>
              <w:spacing w:after="0" w:line="240" w:lineRule="auto"/>
              <w:rPr>
                <w:rFonts w:eastAsia="Times New Roman"/>
                <w:noProof/>
                <w:szCs w:val="18"/>
              </w:rPr>
            </w:pPr>
            <w:r>
              <w:rPr>
                <w:noProof/>
                <w:szCs w:val="18"/>
              </w:rPr>
              <w:t>Au fost semnate cu beneficiarii finali 9 800 de milioane EUR (inclusiv comisioane de gestionare) din fondurile Mecanismului de împrumut din cadrul MRR legate de instituțiile financiare internaționale și de băncile comerciale, în conformitate cu mandatul definit în jalon și în urma verificării ex ante de către auditori independenți a respectării criteriilor de guvernanță, selecție, monitorizare, audit și partajare a pierderilor, a Orientărilor tehnice privind aplicarea principiului de „a nu prejudicia în mod semnificativ” (2021/C58/01) și a contribuției la obiectivul climatic de 48,98 % și la obiectivul digital de 24,19 %.</w:t>
            </w:r>
          </w:p>
        </w:tc>
      </w:tr>
      <w:tr w:rsidR="00C45D59" w14:paraId="3B41AA6F" w14:textId="77777777" w:rsidTr="00037E31">
        <w:trPr>
          <w:trHeight w:val="314"/>
          <w:jc w:val="center"/>
        </w:trPr>
        <w:tc>
          <w:tcPr>
            <w:tcW w:w="602" w:type="dxa"/>
            <w:tcBorders>
              <w:top w:val="single" w:sz="4" w:space="0" w:color="auto"/>
              <w:left w:val="single" w:sz="4" w:space="0" w:color="auto"/>
              <w:bottom w:val="single" w:sz="4" w:space="0" w:color="auto"/>
              <w:right w:val="single" w:sz="4" w:space="0" w:color="auto"/>
            </w:tcBorders>
            <w:shd w:val="clear" w:color="auto" w:fill="C6EFCE"/>
            <w:noWrap/>
          </w:tcPr>
          <w:p w14:paraId="7DCA0F20" w14:textId="77777777" w:rsidR="00C45D59" w:rsidRDefault="009B0962">
            <w:pPr>
              <w:pStyle w:val="P68B1DB1-Normal12"/>
              <w:spacing w:after="0" w:line="240" w:lineRule="auto"/>
              <w:rPr>
                <w:noProof/>
              </w:rPr>
            </w:pPr>
            <w:r>
              <w:rPr>
                <w:noProof/>
              </w:rPr>
              <w:t>327a</w:t>
            </w:r>
          </w:p>
        </w:tc>
        <w:tc>
          <w:tcPr>
            <w:tcW w:w="1614" w:type="dxa"/>
            <w:tcBorders>
              <w:top w:val="single" w:sz="4" w:space="0" w:color="auto"/>
              <w:left w:val="nil"/>
              <w:bottom w:val="single" w:sz="4" w:space="0" w:color="auto"/>
              <w:right w:val="single" w:sz="4" w:space="0" w:color="auto"/>
            </w:tcBorders>
            <w:shd w:val="clear" w:color="auto" w:fill="C6EFCE"/>
            <w:noWrap/>
          </w:tcPr>
          <w:p w14:paraId="4BB32DF8" w14:textId="77777777" w:rsidR="00C45D59" w:rsidRDefault="009B0962">
            <w:pPr>
              <w:pStyle w:val="P68B1DB1-Normal12"/>
              <w:spacing w:after="0" w:line="240" w:lineRule="auto"/>
              <w:rPr>
                <w:noProof/>
              </w:rPr>
            </w:pPr>
            <w:r>
              <w:rPr>
                <w:noProof/>
              </w:rPr>
              <w:t>4.7. Îmbunătățirea competitivității și promovarea investițiilor private și a exporturilor – Mecanismul de împrumut 16980_RRP</w:t>
            </w:r>
          </w:p>
        </w:tc>
        <w:tc>
          <w:tcPr>
            <w:tcW w:w="992" w:type="dxa"/>
            <w:tcBorders>
              <w:top w:val="single" w:sz="4" w:space="0" w:color="auto"/>
              <w:left w:val="nil"/>
              <w:bottom w:val="single" w:sz="4" w:space="0" w:color="auto"/>
              <w:right w:val="single" w:sz="4" w:space="0" w:color="auto"/>
            </w:tcBorders>
            <w:shd w:val="clear" w:color="auto" w:fill="C6EFCE"/>
            <w:noWrap/>
          </w:tcPr>
          <w:p w14:paraId="33F759F0" w14:textId="77777777" w:rsidR="00C45D59" w:rsidRDefault="009B0962">
            <w:pPr>
              <w:pStyle w:val="P68B1DB1-Normal12"/>
              <w:spacing w:after="0" w:line="240" w:lineRule="auto"/>
              <w:rPr>
                <w:noProof/>
              </w:rPr>
            </w:pPr>
            <w:r>
              <w:rPr>
                <w:noProof/>
              </w:rPr>
              <w:t>Țintă</w:t>
            </w:r>
          </w:p>
        </w:tc>
        <w:tc>
          <w:tcPr>
            <w:tcW w:w="1559" w:type="dxa"/>
            <w:tcBorders>
              <w:top w:val="single" w:sz="4" w:space="0" w:color="auto"/>
              <w:left w:val="nil"/>
              <w:bottom w:val="single" w:sz="4" w:space="0" w:color="auto"/>
              <w:right w:val="single" w:sz="4" w:space="0" w:color="auto"/>
            </w:tcBorders>
            <w:shd w:val="clear" w:color="auto" w:fill="C6EFCE"/>
            <w:noWrap/>
          </w:tcPr>
          <w:p w14:paraId="334213AC" w14:textId="2B961ADC" w:rsidR="00C45D59" w:rsidRDefault="009B0962">
            <w:pPr>
              <w:pStyle w:val="P68B1DB1-Normal12"/>
              <w:spacing w:after="0" w:line="240" w:lineRule="auto"/>
              <w:rPr>
                <w:noProof/>
              </w:rPr>
            </w:pPr>
            <w:r>
              <w:rPr>
                <w:noProof/>
              </w:rPr>
              <w:t>13 366 446 891 EUR din fondurile instituțiilor financiare semnate cu beneficiarii finali</w:t>
            </w:r>
          </w:p>
        </w:tc>
        <w:tc>
          <w:tcPr>
            <w:tcW w:w="1276" w:type="dxa"/>
            <w:tcBorders>
              <w:top w:val="single" w:sz="4" w:space="0" w:color="auto"/>
              <w:left w:val="nil"/>
              <w:bottom w:val="single" w:sz="4" w:space="0" w:color="auto"/>
              <w:right w:val="single" w:sz="4" w:space="0" w:color="auto"/>
            </w:tcBorders>
            <w:shd w:val="clear" w:color="auto" w:fill="C6EFCE"/>
          </w:tcPr>
          <w:p w14:paraId="08F96BE7"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134" w:type="dxa"/>
            <w:tcBorders>
              <w:top w:val="single" w:sz="4" w:space="0" w:color="auto"/>
              <w:left w:val="nil"/>
              <w:bottom w:val="single" w:sz="4" w:space="0" w:color="auto"/>
              <w:right w:val="single" w:sz="4" w:space="0" w:color="auto"/>
            </w:tcBorders>
            <w:shd w:val="clear" w:color="auto" w:fill="C6EFCE"/>
            <w:noWrap/>
          </w:tcPr>
          <w:p w14:paraId="63AD3C28" w14:textId="2384A3EC" w:rsidR="00C45D59" w:rsidRDefault="009B0962">
            <w:pPr>
              <w:pStyle w:val="P68B1DB1-Normal12"/>
              <w:spacing w:after="0" w:line="240" w:lineRule="auto"/>
              <w:rPr>
                <w:noProof/>
              </w:rPr>
            </w:pPr>
            <w:r>
              <w:rPr>
                <w:noProof/>
              </w:rPr>
              <w:t>Sumă (EUR)</w:t>
            </w:r>
          </w:p>
        </w:tc>
        <w:tc>
          <w:tcPr>
            <w:tcW w:w="1417" w:type="dxa"/>
            <w:tcBorders>
              <w:top w:val="single" w:sz="4" w:space="0" w:color="auto"/>
              <w:left w:val="nil"/>
              <w:bottom w:val="single" w:sz="4" w:space="0" w:color="auto"/>
              <w:right w:val="single" w:sz="4" w:space="0" w:color="auto"/>
            </w:tcBorders>
            <w:shd w:val="clear" w:color="auto" w:fill="C6EFCE"/>
            <w:noWrap/>
          </w:tcPr>
          <w:p w14:paraId="07E9B010" w14:textId="5694CEB4" w:rsidR="00C45D59" w:rsidRDefault="009B0962">
            <w:pPr>
              <w:pStyle w:val="P68B1DB1-Normal13"/>
              <w:spacing w:after="0" w:line="240" w:lineRule="auto"/>
              <w:rPr>
                <w:noProof/>
                <w:szCs w:val="18"/>
              </w:rPr>
            </w:pPr>
            <w:r>
              <w:rPr>
                <w:noProof/>
                <w:szCs w:val="18"/>
              </w:rPr>
              <w:t>9</w:t>
            </w:r>
            <w:r>
              <w:rPr>
                <w:noProof/>
              </w:rPr>
              <w:t xml:space="preserve"> </w:t>
            </w:r>
            <w:r>
              <w:rPr>
                <w:noProof/>
                <w:szCs w:val="18"/>
              </w:rPr>
              <w:t>800 000 000</w:t>
            </w:r>
          </w:p>
        </w:tc>
        <w:tc>
          <w:tcPr>
            <w:tcW w:w="1418" w:type="dxa"/>
            <w:tcBorders>
              <w:top w:val="single" w:sz="4" w:space="0" w:color="auto"/>
              <w:left w:val="nil"/>
              <w:bottom w:val="single" w:sz="4" w:space="0" w:color="auto"/>
              <w:right w:val="single" w:sz="4" w:space="0" w:color="auto"/>
            </w:tcBorders>
            <w:shd w:val="clear" w:color="auto" w:fill="C6EFCE"/>
            <w:noWrap/>
          </w:tcPr>
          <w:p w14:paraId="2B140E03" w14:textId="2A843003" w:rsidR="00C45D59" w:rsidRDefault="009B0962">
            <w:pPr>
              <w:pStyle w:val="P68B1DB1-Normal12"/>
              <w:spacing w:after="0" w:line="240" w:lineRule="auto"/>
              <w:rPr>
                <w:noProof/>
              </w:rPr>
            </w:pPr>
            <w:r>
              <w:rPr>
                <w:noProof/>
              </w:rPr>
              <w:t>13 366 446 891</w:t>
            </w:r>
          </w:p>
        </w:tc>
        <w:tc>
          <w:tcPr>
            <w:tcW w:w="1084" w:type="dxa"/>
            <w:tcBorders>
              <w:top w:val="single" w:sz="4" w:space="0" w:color="auto"/>
              <w:left w:val="nil"/>
              <w:bottom w:val="single" w:sz="4" w:space="0" w:color="auto"/>
              <w:right w:val="single" w:sz="4" w:space="0" w:color="auto"/>
            </w:tcBorders>
            <w:shd w:val="clear" w:color="auto" w:fill="C6EFCE"/>
            <w:noWrap/>
          </w:tcPr>
          <w:p w14:paraId="3B6A4568" w14:textId="77777777" w:rsidR="00C45D59" w:rsidRDefault="009B0962">
            <w:pPr>
              <w:pStyle w:val="P68B1DB1-Normal12"/>
              <w:spacing w:after="0" w:line="240" w:lineRule="auto"/>
              <w:rPr>
                <w:noProof/>
              </w:rPr>
            </w:pPr>
            <w:r>
              <w:rPr>
                <w:noProof/>
              </w:rPr>
              <w:t>Î1</w:t>
            </w:r>
          </w:p>
        </w:tc>
        <w:tc>
          <w:tcPr>
            <w:tcW w:w="720" w:type="dxa"/>
            <w:tcBorders>
              <w:top w:val="single" w:sz="4" w:space="0" w:color="auto"/>
              <w:left w:val="nil"/>
              <w:bottom w:val="single" w:sz="4" w:space="0" w:color="auto"/>
              <w:right w:val="single" w:sz="4" w:space="0" w:color="auto"/>
            </w:tcBorders>
            <w:shd w:val="clear" w:color="auto" w:fill="C6EFCE"/>
            <w:noWrap/>
          </w:tcPr>
          <w:p w14:paraId="76F58916" w14:textId="77777777" w:rsidR="00C45D59" w:rsidRDefault="009B0962">
            <w:pPr>
              <w:pStyle w:val="P68B1DB1-Normal12"/>
              <w:spacing w:after="0" w:line="240" w:lineRule="auto"/>
              <w:rPr>
                <w:noProof/>
              </w:rPr>
            </w:pPr>
            <w:r>
              <w:rPr>
                <w:noProof/>
              </w:rPr>
              <w:t>2026</w:t>
            </w:r>
          </w:p>
        </w:tc>
        <w:tc>
          <w:tcPr>
            <w:tcW w:w="4067" w:type="dxa"/>
            <w:tcBorders>
              <w:top w:val="single" w:sz="4" w:space="0" w:color="auto"/>
              <w:left w:val="nil"/>
              <w:bottom w:val="single" w:sz="4" w:space="0" w:color="auto"/>
              <w:right w:val="single" w:sz="4" w:space="0" w:color="auto"/>
            </w:tcBorders>
            <w:shd w:val="clear" w:color="auto" w:fill="C6EFCE"/>
            <w:noWrap/>
          </w:tcPr>
          <w:p w14:paraId="4498F6D2" w14:textId="2724030F" w:rsidR="00C45D59" w:rsidRDefault="009B0962">
            <w:pPr>
              <w:pStyle w:val="P68B1DB1-Normal12"/>
              <w:spacing w:after="0" w:line="240" w:lineRule="auto"/>
              <w:rPr>
                <w:noProof/>
              </w:rPr>
            </w:pPr>
            <w:r>
              <w:rPr>
                <w:noProof/>
              </w:rPr>
              <w:t>13 366 446 891 EUR (inclusiv comisioanele de gestiune) din fondurile Mecanismului de împrumut din cadrul MRR legate de instituțiile financiare internaționale și de băncile comerciale au fost semnate cu beneficiarii finali în conformitate cu mandatul definit în jalon și în urma verificării ex ante de către auditori independenți a respectării criteriilor de guvernanță, de selecție, de monitorizare, de audit și de partajare a pierderilor, a Orientărilor tehnice privind aplicarea principiului de „a nu prejudicia în mod semnificativ” (2021/C58/01) și a contribuției la obiectivul climatic de 55 % și la obiectivul digital de 28 %.</w:t>
            </w:r>
          </w:p>
        </w:tc>
      </w:tr>
      <w:tr w:rsidR="00C45D59" w14:paraId="750D7666" w14:textId="77777777" w:rsidTr="00037E31">
        <w:trPr>
          <w:trHeight w:val="314"/>
          <w:jc w:val="center"/>
        </w:trPr>
        <w:tc>
          <w:tcPr>
            <w:tcW w:w="602" w:type="dxa"/>
            <w:tcBorders>
              <w:top w:val="single" w:sz="4" w:space="0" w:color="auto"/>
              <w:left w:val="single" w:sz="4" w:space="0" w:color="auto"/>
              <w:bottom w:val="single" w:sz="4" w:space="0" w:color="auto"/>
              <w:right w:val="single" w:sz="4" w:space="0" w:color="auto"/>
            </w:tcBorders>
            <w:shd w:val="clear" w:color="auto" w:fill="C6EFCE"/>
            <w:noWrap/>
          </w:tcPr>
          <w:p w14:paraId="5ABCC33D" w14:textId="77777777" w:rsidR="00C45D59" w:rsidRDefault="009B0962">
            <w:pPr>
              <w:pStyle w:val="P68B1DB1-Normal12"/>
              <w:spacing w:after="0" w:line="240" w:lineRule="auto"/>
              <w:rPr>
                <w:rFonts w:eastAsia="Times New Roman"/>
                <w:noProof/>
              </w:rPr>
            </w:pPr>
            <w:r>
              <w:rPr>
                <w:noProof/>
              </w:rPr>
              <w:t>328a</w:t>
            </w:r>
          </w:p>
        </w:tc>
        <w:tc>
          <w:tcPr>
            <w:tcW w:w="1614" w:type="dxa"/>
            <w:tcBorders>
              <w:top w:val="single" w:sz="4" w:space="0" w:color="auto"/>
              <w:left w:val="nil"/>
              <w:bottom w:val="single" w:sz="4" w:space="0" w:color="auto"/>
              <w:right w:val="single" w:sz="4" w:space="0" w:color="auto"/>
            </w:tcBorders>
            <w:shd w:val="clear" w:color="auto" w:fill="C6EFCE"/>
            <w:noWrap/>
          </w:tcPr>
          <w:p w14:paraId="169AD4ED" w14:textId="77777777" w:rsidR="00C45D59" w:rsidRDefault="009B0962">
            <w:pPr>
              <w:pStyle w:val="P68B1DB1-Normal12"/>
              <w:spacing w:after="0" w:line="240" w:lineRule="auto"/>
              <w:rPr>
                <w:rFonts w:eastAsia="Times New Roman"/>
                <w:noProof/>
              </w:rPr>
            </w:pPr>
            <w:r>
              <w:rPr>
                <w:noProof/>
              </w:rPr>
              <w:t>4.7. Îmbunătățirea competitivității și promovarea investițiilor private și a exporturilor – Mecanismul de împrumut 16980_RRP</w:t>
            </w:r>
          </w:p>
        </w:tc>
        <w:tc>
          <w:tcPr>
            <w:tcW w:w="992" w:type="dxa"/>
            <w:tcBorders>
              <w:top w:val="single" w:sz="4" w:space="0" w:color="auto"/>
              <w:left w:val="nil"/>
              <w:bottom w:val="single" w:sz="4" w:space="0" w:color="auto"/>
              <w:right w:val="single" w:sz="4" w:space="0" w:color="auto"/>
            </w:tcBorders>
            <w:shd w:val="clear" w:color="auto" w:fill="C6EFCE"/>
            <w:noWrap/>
          </w:tcPr>
          <w:p w14:paraId="4CE752CD" w14:textId="77777777" w:rsidR="00C45D59" w:rsidRDefault="009B0962">
            <w:pPr>
              <w:pStyle w:val="P68B1DB1-Normal12"/>
              <w:spacing w:after="0" w:line="240" w:lineRule="auto"/>
              <w:rPr>
                <w:rFonts w:eastAsia="Times New Roman"/>
                <w:noProof/>
              </w:rPr>
            </w:pPr>
            <w:r>
              <w:rPr>
                <w:noProof/>
              </w:rPr>
              <w:t>Etapă</w:t>
            </w:r>
          </w:p>
        </w:tc>
        <w:tc>
          <w:tcPr>
            <w:tcW w:w="1559" w:type="dxa"/>
            <w:tcBorders>
              <w:top w:val="single" w:sz="4" w:space="0" w:color="auto"/>
              <w:left w:val="nil"/>
              <w:bottom w:val="single" w:sz="4" w:space="0" w:color="auto"/>
              <w:right w:val="single" w:sz="4" w:space="0" w:color="auto"/>
            </w:tcBorders>
            <w:shd w:val="clear" w:color="auto" w:fill="C6EFCE"/>
            <w:noWrap/>
          </w:tcPr>
          <w:p w14:paraId="61605FFB" w14:textId="77777777" w:rsidR="00C45D59" w:rsidRDefault="009B0962">
            <w:pPr>
              <w:pStyle w:val="P68B1DB1-Normal12"/>
              <w:spacing w:after="0" w:line="240" w:lineRule="auto"/>
              <w:rPr>
                <w:rFonts w:eastAsia="Times New Roman"/>
                <w:noProof/>
              </w:rPr>
            </w:pPr>
            <w:r>
              <w:rPr>
                <w:noProof/>
              </w:rPr>
              <w:t>Facilitatea de împrumut – Ministerul Finanțelor a finalizat investiția</w:t>
            </w:r>
          </w:p>
        </w:tc>
        <w:tc>
          <w:tcPr>
            <w:tcW w:w="1276" w:type="dxa"/>
            <w:tcBorders>
              <w:top w:val="single" w:sz="4" w:space="0" w:color="auto"/>
              <w:left w:val="nil"/>
              <w:bottom w:val="single" w:sz="4" w:space="0" w:color="auto"/>
              <w:right w:val="single" w:sz="4" w:space="0" w:color="auto"/>
            </w:tcBorders>
            <w:shd w:val="clear" w:color="auto" w:fill="C6EFCE"/>
          </w:tcPr>
          <w:p w14:paraId="494F1466" w14:textId="77777777" w:rsidR="00C45D59" w:rsidRDefault="009B0962">
            <w:pPr>
              <w:pStyle w:val="P68B1DB1-Normal12"/>
              <w:spacing w:after="0" w:line="240" w:lineRule="auto"/>
              <w:rPr>
                <w:rFonts w:eastAsia="Times New Roman"/>
                <w:noProof/>
              </w:rPr>
            </w:pPr>
            <w:r>
              <w:rPr>
                <w:noProof/>
              </w:rPr>
              <w:t>Certificatul de transfer</w:t>
            </w:r>
          </w:p>
        </w:tc>
        <w:tc>
          <w:tcPr>
            <w:tcW w:w="1134" w:type="dxa"/>
            <w:tcBorders>
              <w:top w:val="single" w:sz="4" w:space="0" w:color="auto"/>
              <w:left w:val="nil"/>
              <w:bottom w:val="single" w:sz="4" w:space="0" w:color="auto"/>
              <w:right w:val="single" w:sz="4" w:space="0" w:color="auto"/>
            </w:tcBorders>
            <w:shd w:val="clear" w:color="auto" w:fill="C6EFCE"/>
            <w:noWrap/>
          </w:tcPr>
          <w:p w14:paraId="79CE5C53"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417" w:type="dxa"/>
            <w:tcBorders>
              <w:top w:val="single" w:sz="4" w:space="0" w:color="auto"/>
              <w:left w:val="nil"/>
              <w:bottom w:val="single" w:sz="4" w:space="0" w:color="auto"/>
              <w:right w:val="single" w:sz="4" w:space="0" w:color="auto"/>
            </w:tcBorders>
            <w:shd w:val="clear" w:color="auto" w:fill="C6EFCE"/>
            <w:noWrap/>
          </w:tcPr>
          <w:p w14:paraId="7CB8E318"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418" w:type="dxa"/>
            <w:tcBorders>
              <w:top w:val="single" w:sz="4" w:space="0" w:color="auto"/>
              <w:left w:val="nil"/>
              <w:bottom w:val="single" w:sz="4" w:space="0" w:color="auto"/>
              <w:right w:val="single" w:sz="4" w:space="0" w:color="auto"/>
            </w:tcBorders>
            <w:shd w:val="clear" w:color="auto" w:fill="C6EFCE"/>
            <w:noWrap/>
          </w:tcPr>
          <w:p w14:paraId="5BED152A"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084" w:type="dxa"/>
            <w:tcBorders>
              <w:top w:val="single" w:sz="4" w:space="0" w:color="auto"/>
              <w:left w:val="nil"/>
              <w:bottom w:val="single" w:sz="4" w:space="0" w:color="auto"/>
              <w:right w:val="single" w:sz="4" w:space="0" w:color="auto"/>
            </w:tcBorders>
            <w:shd w:val="clear" w:color="auto" w:fill="C6EFCE"/>
            <w:noWrap/>
          </w:tcPr>
          <w:p w14:paraId="3151D96E" w14:textId="2ECEAB97" w:rsidR="00C45D59" w:rsidRDefault="009B0962">
            <w:pPr>
              <w:pStyle w:val="P68B1DB1-Normal12"/>
              <w:spacing w:after="0" w:line="240" w:lineRule="auto"/>
              <w:rPr>
                <w:rFonts w:eastAsia="Times New Roman"/>
                <w:noProof/>
              </w:rPr>
            </w:pPr>
            <w:r>
              <w:rPr>
                <w:noProof/>
              </w:rPr>
              <w:t>Î1</w:t>
            </w:r>
          </w:p>
        </w:tc>
        <w:tc>
          <w:tcPr>
            <w:tcW w:w="720" w:type="dxa"/>
            <w:tcBorders>
              <w:top w:val="single" w:sz="4" w:space="0" w:color="auto"/>
              <w:left w:val="nil"/>
              <w:bottom w:val="single" w:sz="4" w:space="0" w:color="auto"/>
              <w:right w:val="single" w:sz="4" w:space="0" w:color="auto"/>
            </w:tcBorders>
            <w:shd w:val="clear" w:color="auto" w:fill="C6EFCE"/>
            <w:noWrap/>
          </w:tcPr>
          <w:p w14:paraId="2C0F1D64" w14:textId="77777777" w:rsidR="00C45D59" w:rsidRDefault="009B0962">
            <w:pPr>
              <w:pStyle w:val="P68B1DB1-Normal12"/>
              <w:spacing w:after="0" w:line="240" w:lineRule="auto"/>
              <w:rPr>
                <w:rFonts w:eastAsia="Times New Roman"/>
                <w:noProof/>
              </w:rPr>
            </w:pPr>
            <w:r>
              <w:rPr>
                <w:noProof/>
              </w:rPr>
              <w:t>2026</w:t>
            </w:r>
          </w:p>
        </w:tc>
        <w:tc>
          <w:tcPr>
            <w:tcW w:w="4067" w:type="dxa"/>
            <w:tcBorders>
              <w:top w:val="single" w:sz="4" w:space="0" w:color="auto"/>
              <w:left w:val="nil"/>
              <w:bottom w:val="single" w:sz="4" w:space="0" w:color="auto"/>
              <w:right w:val="single" w:sz="4" w:space="0" w:color="auto"/>
            </w:tcBorders>
            <w:shd w:val="clear" w:color="auto" w:fill="C6EFCE"/>
            <w:noWrap/>
          </w:tcPr>
          <w:p w14:paraId="5AE7434B" w14:textId="38913D8B" w:rsidR="00C45D59" w:rsidRDefault="009B0962">
            <w:pPr>
              <w:pStyle w:val="P68B1DB1-Normal12"/>
              <w:spacing w:after="0" w:line="240" w:lineRule="auto"/>
              <w:rPr>
                <w:rFonts w:eastAsia="Times New Roman"/>
                <w:noProof/>
              </w:rPr>
            </w:pPr>
            <w:r>
              <w:rPr>
                <w:noProof/>
              </w:rPr>
              <w:t>Grecia transferă 13 366 446 891 EUR către instituțiile financiare internaționale și băncile comerciale pentru facilitatea de împrumut.</w:t>
            </w:r>
          </w:p>
        </w:tc>
      </w:tr>
      <w:tr w:rsidR="00C45D59" w14:paraId="12ED2CDA" w14:textId="77777777" w:rsidTr="00037E31">
        <w:trPr>
          <w:trHeight w:val="314"/>
          <w:jc w:val="center"/>
        </w:trPr>
        <w:tc>
          <w:tcPr>
            <w:tcW w:w="602" w:type="dxa"/>
            <w:tcBorders>
              <w:top w:val="single" w:sz="4" w:space="0" w:color="auto"/>
              <w:left w:val="single" w:sz="4" w:space="0" w:color="auto"/>
              <w:bottom w:val="single" w:sz="4" w:space="0" w:color="auto"/>
              <w:right w:val="single" w:sz="4" w:space="0" w:color="auto"/>
            </w:tcBorders>
            <w:shd w:val="clear" w:color="auto" w:fill="C6EFCE"/>
            <w:noWrap/>
          </w:tcPr>
          <w:p w14:paraId="20842550" w14:textId="77777777" w:rsidR="00C45D59" w:rsidRDefault="009B0962">
            <w:pPr>
              <w:pStyle w:val="P68B1DB1-Normal12"/>
              <w:spacing w:after="0" w:line="240" w:lineRule="auto"/>
              <w:rPr>
                <w:noProof/>
              </w:rPr>
            </w:pPr>
            <w:r>
              <w:rPr>
                <w:noProof/>
              </w:rPr>
              <w:t>329</w:t>
            </w:r>
          </w:p>
        </w:tc>
        <w:tc>
          <w:tcPr>
            <w:tcW w:w="1614" w:type="dxa"/>
            <w:tcBorders>
              <w:top w:val="single" w:sz="4" w:space="0" w:color="auto"/>
              <w:left w:val="nil"/>
              <w:bottom w:val="single" w:sz="4" w:space="0" w:color="auto"/>
              <w:right w:val="single" w:sz="4" w:space="0" w:color="auto"/>
            </w:tcBorders>
            <w:shd w:val="clear" w:color="auto" w:fill="C6EFCE"/>
            <w:noWrap/>
          </w:tcPr>
          <w:p w14:paraId="08982417" w14:textId="77777777" w:rsidR="00C45D59" w:rsidRDefault="009B0962">
            <w:pPr>
              <w:pStyle w:val="P68B1DB1-Normal12"/>
              <w:spacing w:after="0" w:line="240" w:lineRule="auto"/>
              <w:rPr>
                <w:rFonts w:eastAsia="Times New Roman"/>
                <w:noProof/>
              </w:rPr>
            </w:pPr>
            <w:r>
              <w:rPr>
                <w:noProof/>
              </w:rPr>
              <w:t>4.7. Îmbunătățirea competitivității și promovarea investițiilor private și a exporturilor – Mecanismul de împrumut 16980_RRP</w:t>
            </w:r>
          </w:p>
        </w:tc>
        <w:tc>
          <w:tcPr>
            <w:tcW w:w="992" w:type="dxa"/>
            <w:tcBorders>
              <w:top w:val="single" w:sz="4" w:space="0" w:color="auto"/>
              <w:left w:val="nil"/>
              <w:bottom w:val="single" w:sz="4" w:space="0" w:color="auto"/>
              <w:right w:val="single" w:sz="4" w:space="0" w:color="auto"/>
            </w:tcBorders>
            <w:shd w:val="clear" w:color="auto" w:fill="C6EFCE"/>
            <w:noWrap/>
          </w:tcPr>
          <w:p w14:paraId="4FAD3868" w14:textId="77777777" w:rsidR="00C45D59" w:rsidRDefault="009B0962">
            <w:pPr>
              <w:pStyle w:val="P68B1DB1-Normal12"/>
              <w:spacing w:after="0" w:line="240" w:lineRule="auto"/>
              <w:rPr>
                <w:rFonts w:eastAsia="Times New Roman"/>
                <w:noProof/>
              </w:rPr>
            </w:pPr>
            <w:r>
              <w:rPr>
                <w:noProof/>
              </w:rPr>
              <w:t>Țintă</w:t>
            </w:r>
          </w:p>
        </w:tc>
        <w:tc>
          <w:tcPr>
            <w:tcW w:w="1559" w:type="dxa"/>
            <w:tcBorders>
              <w:top w:val="single" w:sz="4" w:space="0" w:color="auto"/>
              <w:left w:val="nil"/>
              <w:bottom w:val="single" w:sz="4" w:space="0" w:color="auto"/>
              <w:right w:val="single" w:sz="4" w:space="0" w:color="auto"/>
            </w:tcBorders>
            <w:shd w:val="clear" w:color="auto" w:fill="C6EFCE"/>
            <w:noWrap/>
          </w:tcPr>
          <w:p w14:paraId="4359D482" w14:textId="77777777" w:rsidR="00C45D59" w:rsidRDefault="009B0962">
            <w:pPr>
              <w:pStyle w:val="P68B1DB1-Normal12"/>
              <w:spacing w:after="0" w:line="240" w:lineRule="auto"/>
              <w:rPr>
                <w:rFonts w:eastAsia="Times New Roman"/>
                <w:noProof/>
              </w:rPr>
            </w:pPr>
            <w:r>
              <w:rPr>
                <w:noProof/>
              </w:rPr>
              <w:t>Acorduri juridice semnate cu fonduri – 500 milioane EUR</w:t>
            </w:r>
          </w:p>
        </w:tc>
        <w:tc>
          <w:tcPr>
            <w:tcW w:w="1276" w:type="dxa"/>
            <w:tcBorders>
              <w:top w:val="single" w:sz="4" w:space="0" w:color="auto"/>
              <w:left w:val="nil"/>
              <w:bottom w:val="single" w:sz="4" w:space="0" w:color="auto"/>
              <w:right w:val="single" w:sz="4" w:space="0" w:color="auto"/>
            </w:tcBorders>
            <w:shd w:val="clear" w:color="auto" w:fill="C6EFCE"/>
          </w:tcPr>
          <w:p w14:paraId="683A5A30"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134" w:type="dxa"/>
            <w:tcBorders>
              <w:top w:val="single" w:sz="4" w:space="0" w:color="auto"/>
              <w:left w:val="nil"/>
              <w:bottom w:val="single" w:sz="4" w:space="0" w:color="auto"/>
              <w:right w:val="single" w:sz="4" w:space="0" w:color="auto"/>
            </w:tcBorders>
            <w:shd w:val="clear" w:color="auto" w:fill="C6EFCE"/>
            <w:noWrap/>
          </w:tcPr>
          <w:p w14:paraId="21A2D0E9" w14:textId="77777777" w:rsidR="00C45D59" w:rsidRDefault="009B0962">
            <w:pPr>
              <w:pStyle w:val="P68B1DB1-Normal12"/>
              <w:spacing w:after="0" w:line="240" w:lineRule="auto"/>
              <w:rPr>
                <w:rFonts w:eastAsia="Times New Roman"/>
                <w:noProof/>
              </w:rPr>
            </w:pPr>
            <w:r>
              <w:rPr>
                <w:noProof/>
              </w:rPr>
              <w:t>Suma (milioane EUR)</w:t>
            </w:r>
          </w:p>
        </w:tc>
        <w:tc>
          <w:tcPr>
            <w:tcW w:w="1417" w:type="dxa"/>
            <w:tcBorders>
              <w:top w:val="single" w:sz="4" w:space="0" w:color="auto"/>
              <w:left w:val="nil"/>
              <w:bottom w:val="single" w:sz="4" w:space="0" w:color="auto"/>
              <w:right w:val="single" w:sz="4" w:space="0" w:color="auto"/>
            </w:tcBorders>
            <w:shd w:val="clear" w:color="auto" w:fill="C6EFCE"/>
            <w:noWrap/>
          </w:tcPr>
          <w:p w14:paraId="7E353C94" w14:textId="77777777" w:rsidR="00C45D59" w:rsidRDefault="009B0962">
            <w:pPr>
              <w:pStyle w:val="P68B1DB1-Normal12"/>
              <w:spacing w:after="0" w:line="240" w:lineRule="auto"/>
              <w:rPr>
                <w:rFonts w:eastAsia="Times New Roman"/>
                <w:noProof/>
              </w:rPr>
            </w:pPr>
            <w:r>
              <w:rPr>
                <w:noProof/>
              </w:rPr>
              <w:t>0</w:t>
            </w:r>
          </w:p>
        </w:tc>
        <w:tc>
          <w:tcPr>
            <w:tcW w:w="1418" w:type="dxa"/>
            <w:tcBorders>
              <w:top w:val="single" w:sz="4" w:space="0" w:color="auto"/>
              <w:left w:val="nil"/>
              <w:bottom w:val="single" w:sz="4" w:space="0" w:color="auto"/>
              <w:right w:val="single" w:sz="4" w:space="0" w:color="auto"/>
            </w:tcBorders>
            <w:shd w:val="clear" w:color="auto" w:fill="C6EFCE"/>
            <w:noWrap/>
          </w:tcPr>
          <w:p w14:paraId="5B61F3F9" w14:textId="77777777" w:rsidR="00C45D59" w:rsidRDefault="009B0962">
            <w:pPr>
              <w:pStyle w:val="P68B1DB1-Normal12"/>
              <w:spacing w:after="0" w:line="240" w:lineRule="auto"/>
              <w:rPr>
                <w:noProof/>
              </w:rPr>
            </w:pPr>
            <w:r>
              <w:rPr>
                <w:noProof/>
              </w:rPr>
              <w:t>500</w:t>
            </w:r>
          </w:p>
        </w:tc>
        <w:tc>
          <w:tcPr>
            <w:tcW w:w="1084" w:type="dxa"/>
            <w:tcBorders>
              <w:top w:val="single" w:sz="4" w:space="0" w:color="auto"/>
              <w:left w:val="nil"/>
              <w:bottom w:val="single" w:sz="4" w:space="0" w:color="auto"/>
              <w:right w:val="single" w:sz="4" w:space="0" w:color="auto"/>
            </w:tcBorders>
            <w:shd w:val="clear" w:color="auto" w:fill="C6EFCE"/>
            <w:noWrap/>
          </w:tcPr>
          <w:p w14:paraId="57D97B2F" w14:textId="77777777" w:rsidR="00C45D59" w:rsidRDefault="009B0962">
            <w:pPr>
              <w:pStyle w:val="P68B1DB1-Normal12"/>
              <w:spacing w:after="0" w:line="240" w:lineRule="auto"/>
              <w:rPr>
                <w:rFonts w:eastAsia="Times New Roman"/>
                <w:noProof/>
              </w:rPr>
            </w:pPr>
            <w:r>
              <w:rPr>
                <w:noProof/>
              </w:rPr>
              <w:t>Î4</w:t>
            </w:r>
          </w:p>
        </w:tc>
        <w:tc>
          <w:tcPr>
            <w:tcW w:w="720" w:type="dxa"/>
            <w:tcBorders>
              <w:top w:val="single" w:sz="4" w:space="0" w:color="auto"/>
              <w:left w:val="nil"/>
              <w:bottom w:val="single" w:sz="4" w:space="0" w:color="auto"/>
              <w:right w:val="single" w:sz="4" w:space="0" w:color="auto"/>
            </w:tcBorders>
            <w:shd w:val="clear" w:color="auto" w:fill="C6EFCE"/>
            <w:noWrap/>
          </w:tcPr>
          <w:p w14:paraId="4D57B136" w14:textId="77777777" w:rsidR="00C45D59" w:rsidRDefault="009B0962">
            <w:pPr>
              <w:pStyle w:val="P68B1DB1-Normal12"/>
              <w:spacing w:after="0" w:line="240" w:lineRule="auto"/>
              <w:rPr>
                <w:rFonts w:eastAsia="Times New Roman"/>
                <w:noProof/>
              </w:rPr>
            </w:pPr>
            <w:r>
              <w:rPr>
                <w:noProof/>
              </w:rPr>
              <w:t>2025</w:t>
            </w:r>
          </w:p>
        </w:tc>
        <w:tc>
          <w:tcPr>
            <w:tcW w:w="4067" w:type="dxa"/>
            <w:tcBorders>
              <w:top w:val="single" w:sz="4" w:space="0" w:color="auto"/>
              <w:left w:val="nil"/>
              <w:bottom w:val="single" w:sz="4" w:space="0" w:color="auto"/>
              <w:right w:val="single" w:sz="4" w:space="0" w:color="auto"/>
            </w:tcBorders>
            <w:shd w:val="clear" w:color="auto" w:fill="C6EFCE"/>
            <w:noWrap/>
          </w:tcPr>
          <w:p w14:paraId="3836371D" w14:textId="15790FB9" w:rsidR="00C45D59" w:rsidRDefault="009B0962">
            <w:pPr>
              <w:pStyle w:val="P68B1DB1-Normal12"/>
              <w:spacing w:after="0" w:line="240" w:lineRule="auto"/>
              <w:rPr>
                <w:noProof/>
              </w:rPr>
            </w:pPr>
            <w:r>
              <w:rPr>
                <w:noProof/>
              </w:rPr>
              <w:t>Banca Elenă de Investiții pentru Dezvoltare trebuie să fi încheiat acorduri juridice de finanțare cu fonduri pentru o sumă necesară pentru a utiliza cel puțin 500 de milioane EUR din sprijinul sub formă de capitaluri proprii (luând în considerare comisioanele de gestiune).</w:t>
            </w:r>
          </w:p>
        </w:tc>
      </w:tr>
      <w:tr w:rsidR="00C45D59" w14:paraId="61902D5C" w14:textId="77777777" w:rsidTr="00037E31">
        <w:trPr>
          <w:trHeight w:val="314"/>
          <w:jc w:val="center"/>
        </w:trPr>
        <w:tc>
          <w:tcPr>
            <w:tcW w:w="602" w:type="dxa"/>
            <w:tcBorders>
              <w:top w:val="single" w:sz="4" w:space="0" w:color="auto"/>
              <w:left w:val="single" w:sz="4" w:space="0" w:color="auto"/>
              <w:bottom w:val="single" w:sz="4" w:space="0" w:color="auto"/>
              <w:right w:val="single" w:sz="4" w:space="0" w:color="auto"/>
            </w:tcBorders>
            <w:shd w:val="clear" w:color="auto" w:fill="C6EFCE"/>
            <w:noWrap/>
          </w:tcPr>
          <w:p w14:paraId="2FDE6E74" w14:textId="77777777" w:rsidR="00C45D59" w:rsidRDefault="009B0962">
            <w:pPr>
              <w:pStyle w:val="P68B1DB1-Normal12"/>
              <w:spacing w:after="0" w:line="240" w:lineRule="auto"/>
              <w:rPr>
                <w:noProof/>
              </w:rPr>
            </w:pPr>
            <w:r>
              <w:rPr>
                <w:noProof/>
              </w:rPr>
              <w:t>329a</w:t>
            </w:r>
          </w:p>
        </w:tc>
        <w:tc>
          <w:tcPr>
            <w:tcW w:w="1614" w:type="dxa"/>
            <w:tcBorders>
              <w:top w:val="single" w:sz="4" w:space="0" w:color="auto"/>
              <w:left w:val="nil"/>
              <w:bottom w:val="single" w:sz="4" w:space="0" w:color="auto"/>
              <w:right w:val="single" w:sz="4" w:space="0" w:color="auto"/>
            </w:tcBorders>
            <w:shd w:val="clear" w:color="auto" w:fill="C6EFCE"/>
            <w:noWrap/>
          </w:tcPr>
          <w:p w14:paraId="03402805" w14:textId="77777777" w:rsidR="00C45D59" w:rsidRDefault="009B0962">
            <w:pPr>
              <w:pStyle w:val="P68B1DB1-Normal12"/>
              <w:spacing w:after="0" w:line="240" w:lineRule="auto"/>
              <w:rPr>
                <w:noProof/>
              </w:rPr>
            </w:pPr>
            <w:r>
              <w:rPr>
                <w:noProof/>
              </w:rPr>
              <w:t>4.7. Îmbunătățirea competitivității și promovarea investițiilor private și a exporturilor – Mecanismul de împrumut 16980_RRP</w:t>
            </w:r>
          </w:p>
        </w:tc>
        <w:tc>
          <w:tcPr>
            <w:tcW w:w="992" w:type="dxa"/>
            <w:tcBorders>
              <w:top w:val="single" w:sz="4" w:space="0" w:color="auto"/>
              <w:left w:val="nil"/>
              <w:bottom w:val="single" w:sz="4" w:space="0" w:color="auto"/>
              <w:right w:val="single" w:sz="4" w:space="0" w:color="auto"/>
            </w:tcBorders>
            <w:shd w:val="clear" w:color="auto" w:fill="C6EFCE"/>
            <w:noWrap/>
          </w:tcPr>
          <w:p w14:paraId="4F4BED0E" w14:textId="77777777" w:rsidR="00C45D59" w:rsidRDefault="009B0962">
            <w:pPr>
              <w:pStyle w:val="P68B1DB1-Normal12"/>
              <w:spacing w:after="0" w:line="240" w:lineRule="auto"/>
              <w:rPr>
                <w:noProof/>
              </w:rPr>
            </w:pPr>
            <w:r>
              <w:rPr>
                <w:noProof/>
              </w:rPr>
              <w:t>Țintă</w:t>
            </w:r>
          </w:p>
        </w:tc>
        <w:tc>
          <w:tcPr>
            <w:tcW w:w="1559" w:type="dxa"/>
            <w:tcBorders>
              <w:top w:val="single" w:sz="4" w:space="0" w:color="auto"/>
              <w:left w:val="nil"/>
              <w:bottom w:val="single" w:sz="4" w:space="0" w:color="auto"/>
              <w:right w:val="single" w:sz="4" w:space="0" w:color="auto"/>
            </w:tcBorders>
            <w:shd w:val="clear" w:color="auto" w:fill="C6EFCE"/>
            <w:noWrap/>
          </w:tcPr>
          <w:p w14:paraId="4C609A1D" w14:textId="6771A4A6" w:rsidR="00C45D59" w:rsidRDefault="009B0962">
            <w:pPr>
              <w:pStyle w:val="P68B1DB1-Normal12"/>
              <w:spacing w:after="0" w:line="240" w:lineRule="auto"/>
              <w:rPr>
                <w:noProof/>
              </w:rPr>
            </w:pPr>
            <w:r>
              <w:rPr>
                <w:noProof/>
              </w:rPr>
              <w:t xml:space="preserve">Acorduri juridice semnate cu fonduri – 650 000 000 EUR </w:t>
            </w:r>
          </w:p>
          <w:p w14:paraId="2ED2167E" w14:textId="5BD139D9" w:rsidR="00C45D59" w:rsidRDefault="00C45D59">
            <w:pPr>
              <w:spacing w:after="0" w:line="240" w:lineRule="auto"/>
              <w:rPr>
                <w:rFonts w:ascii="Times New Roman" w:hAnsi="Times New Roman" w:cs="Times New Roman"/>
                <w:noProof/>
                <w:color w:val="006100"/>
                <w:sz w:val="18"/>
                <w:szCs w:val="18"/>
              </w:rPr>
            </w:pPr>
          </w:p>
        </w:tc>
        <w:tc>
          <w:tcPr>
            <w:tcW w:w="1276" w:type="dxa"/>
            <w:tcBorders>
              <w:top w:val="single" w:sz="4" w:space="0" w:color="auto"/>
              <w:left w:val="nil"/>
              <w:bottom w:val="single" w:sz="4" w:space="0" w:color="auto"/>
              <w:right w:val="single" w:sz="4" w:space="0" w:color="auto"/>
            </w:tcBorders>
            <w:shd w:val="clear" w:color="auto" w:fill="C6EFCE"/>
          </w:tcPr>
          <w:p w14:paraId="4CB5B989"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134" w:type="dxa"/>
            <w:tcBorders>
              <w:top w:val="single" w:sz="4" w:space="0" w:color="auto"/>
              <w:left w:val="nil"/>
              <w:bottom w:val="single" w:sz="4" w:space="0" w:color="auto"/>
              <w:right w:val="single" w:sz="4" w:space="0" w:color="auto"/>
            </w:tcBorders>
            <w:shd w:val="clear" w:color="auto" w:fill="C6EFCE"/>
            <w:noWrap/>
          </w:tcPr>
          <w:p w14:paraId="729BADD5" w14:textId="106AACB1" w:rsidR="00C45D59" w:rsidRDefault="009B0962">
            <w:pPr>
              <w:pStyle w:val="P68B1DB1-Normal12"/>
              <w:spacing w:after="0" w:line="240" w:lineRule="auto"/>
              <w:rPr>
                <w:noProof/>
              </w:rPr>
            </w:pPr>
            <w:r>
              <w:rPr>
                <w:noProof/>
              </w:rPr>
              <w:t>Sumă (EUR)</w:t>
            </w:r>
          </w:p>
        </w:tc>
        <w:tc>
          <w:tcPr>
            <w:tcW w:w="1417" w:type="dxa"/>
            <w:tcBorders>
              <w:top w:val="single" w:sz="4" w:space="0" w:color="auto"/>
              <w:left w:val="nil"/>
              <w:bottom w:val="single" w:sz="4" w:space="0" w:color="auto"/>
              <w:right w:val="single" w:sz="4" w:space="0" w:color="auto"/>
            </w:tcBorders>
            <w:shd w:val="clear" w:color="auto" w:fill="C6EFCE"/>
            <w:noWrap/>
          </w:tcPr>
          <w:p w14:paraId="5968C840" w14:textId="66B446AC" w:rsidR="00C45D59" w:rsidRDefault="009B0962">
            <w:pPr>
              <w:pStyle w:val="P68B1DB1-Normal12"/>
              <w:spacing w:after="0" w:line="240" w:lineRule="auto"/>
              <w:rPr>
                <w:noProof/>
              </w:rPr>
            </w:pPr>
            <w:r>
              <w:rPr>
                <w:noProof/>
              </w:rPr>
              <w:t>500 000 000</w:t>
            </w:r>
          </w:p>
        </w:tc>
        <w:tc>
          <w:tcPr>
            <w:tcW w:w="1418" w:type="dxa"/>
            <w:tcBorders>
              <w:top w:val="single" w:sz="4" w:space="0" w:color="auto"/>
              <w:left w:val="nil"/>
              <w:bottom w:val="single" w:sz="4" w:space="0" w:color="auto"/>
              <w:right w:val="single" w:sz="4" w:space="0" w:color="auto"/>
            </w:tcBorders>
            <w:shd w:val="clear" w:color="auto" w:fill="C6EFCE"/>
            <w:noWrap/>
          </w:tcPr>
          <w:p w14:paraId="23D73377" w14:textId="2ADF31F4" w:rsidR="00C45D59" w:rsidRDefault="009B0962">
            <w:pPr>
              <w:pStyle w:val="P68B1DB1-Normal12"/>
              <w:spacing w:after="0" w:line="240" w:lineRule="auto"/>
              <w:rPr>
                <w:noProof/>
              </w:rPr>
            </w:pPr>
            <w:r>
              <w:rPr>
                <w:noProof/>
              </w:rPr>
              <w:t>650 000 000</w:t>
            </w:r>
          </w:p>
        </w:tc>
        <w:tc>
          <w:tcPr>
            <w:tcW w:w="1084" w:type="dxa"/>
            <w:tcBorders>
              <w:top w:val="single" w:sz="4" w:space="0" w:color="auto"/>
              <w:left w:val="nil"/>
              <w:bottom w:val="single" w:sz="4" w:space="0" w:color="auto"/>
              <w:right w:val="single" w:sz="4" w:space="0" w:color="auto"/>
            </w:tcBorders>
            <w:shd w:val="clear" w:color="auto" w:fill="C6EFCE"/>
            <w:noWrap/>
          </w:tcPr>
          <w:p w14:paraId="11DE2B82" w14:textId="77777777" w:rsidR="00C45D59" w:rsidRDefault="009B0962">
            <w:pPr>
              <w:pStyle w:val="P68B1DB1-Normal12"/>
              <w:spacing w:after="0" w:line="240" w:lineRule="auto"/>
              <w:rPr>
                <w:noProof/>
              </w:rPr>
            </w:pPr>
            <w:r>
              <w:rPr>
                <w:noProof/>
              </w:rPr>
              <w:t>Î1</w:t>
            </w:r>
          </w:p>
        </w:tc>
        <w:tc>
          <w:tcPr>
            <w:tcW w:w="720" w:type="dxa"/>
            <w:tcBorders>
              <w:top w:val="single" w:sz="4" w:space="0" w:color="auto"/>
              <w:left w:val="nil"/>
              <w:bottom w:val="single" w:sz="4" w:space="0" w:color="auto"/>
              <w:right w:val="single" w:sz="4" w:space="0" w:color="auto"/>
            </w:tcBorders>
            <w:shd w:val="clear" w:color="auto" w:fill="C6EFCE"/>
            <w:noWrap/>
          </w:tcPr>
          <w:p w14:paraId="1337D473" w14:textId="77777777" w:rsidR="00C45D59" w:rsidRDefault="009B0962">
            <w:pPr>
              <w:pStyle w:val="P68B1DB1-Normal12"/>
              <w:spacing w:after="0" w:line="240" w:lineRule="auto"/>
              <w:rPr>
                <w:noProof/>
              </w:rPr>
            </w:pPr>
            <w:r>
              <w:rPr>
                <w:noProof/>
              </w:rPr>
              <w:t>2026</w:t>
            </w:r>
          </w:p>
        </w:tc>
        <w:tc>
          <w:tcPr>
            <w:tcW w:w="4067" w:type="dxa"/>
            <w:tcBorders>
              <w:top w:val="single" w:sz="4" w:space="0" w:color="auto"/>
              <w:left w:val="nil"/>
              <w:bottom w:val="single" w:sz="4" w:space="0" w:color="auto"/>
              <w:right w:val="single" w:sz="4" w:space="0" w:color="auto"/>
            </w:tcBorders>
            <w:shd w:val="clear" w:color="auto" w:fill="C6EFCE"/>
            <w:noWrap/>
          </w:tcPr>
          <w:p w14:paraId="5FDDF86C" w14:textId="49576CCF" w:rsidR="00C45D59" w:rsidRDefault="009B0962">
            <w:pPr>
              <w:pStyle w:val="P68B1DB1-Normal12"/>
              <w:spacing w:after="0" w:line="240" w:lineRule="auto"/>
              <w:rPr>
                <w:noProof/>
              </w:rPr>
            </w:pPr>
            <w:r>
              <w:rPr>
                <w:noProof/>
              </w:rPr>
              <w:t>Banca Elenă de Investiții pentru Dezvoltare trebuie să fi încheiat acorduri juridice de finanțare cu fonduri pentru o sumă necesară pentru a utiliza cel puțin 650 000 000 EUR din sprijinul sub formă de capitaluri proprii (luând în considerare comisioanele de gestiune).</w:t>
            </w:r>
          </w:p>
        </w:tc>
      </w:tr>
      <w:tr w:rsidR="00C45D59" w14:paraId="6776C1FF" w14:textId="77777777" w:rsidTr="00037E31">
        <w:trPr>
          <w:trHeight w:val="314"/>
          <w:jc w:val="center"/>
        </w:trPr>
        <w:tc>
          <w:tcPr>
            <w:tcW w:w="602" w:type="dxa"/>
            <w:tcBorders>
              <w:top w:val="single" w:sz="4" w:space="0" w:color="auto"/>
              <w:left w:val="single" w:sz="4" w:space="0" w:color="auto"/>
              <w:bottom w:val="single" w:sz="4" w:space="0" w:color="auto"/>
              <w:right w:val="single" w:sz="4" w:space="0" w:color="auto"/>
            </w:tcBorders>
            <w:shd w:val="clear" w:color="auto" w:fill="C6EFCE"/>
            <w:noWrap/>
          </w:tcPr>
          <w:p w14:paraId="7329125D" w14:textId="77777777" w:rsidR="00C45D59" w:rsidRDefault="009B0962">
            <w:pPr>
              <w:pStyle w:val="P68B1DB1-Normal12"/>
              <w:spacing w:after="0" w:line="240" w:lineRule="auto"/>
              <w:rPr>
                <w:noProof/>
              </w:rPr>
            </w:pPr>
            <w:r>
              <w:rPr>
                <w:noProof/>
              </w:rPr>
              <w:t>330</w:t>
            </w:r>
          </w:p>
        </w:tc>
        <w:tc>
          <w:tcPr>
            <w:tcW w:w="1614" w:type="dxa"/>
            <w:tcBorders>
              <w:top w:val="single" w:sz="4" w:space="0" w:color="auto"/>
              <w:left w:val="nil"/>
              <w:bottom w:val="single" w:sz="4" w:space="0" w:color="auto"/>
              <w:right w:val="single" w:sz="4" w:space="0" w:color="auto"/>
            </w:tcBorders>
            <w:shd w:val="clear" w:color="auto" w:fill="C6EFCE"/>
            <w:noWrap/>
          </w:tcPr>
          <w:p w14:paraId="09B261DD" w14:textId="77777777" w:rsidR="00C45D59" w:rsidRDefault="009B0962">
            <w:pPr>
              <w:pStyle w:val="P68B1DB1-Normal12"/>
              <w:spacing w:after="0" w:line="240" w:lineRule="auto"/>
              <w:rPr>
                <w:rFonts w:eastAsia="Times New Roman"/>
                <w:noProof/>
              </w:rPr>
            </w:pPr>
            <w:r>
              <w:rPr>
                <w:noProof/>
              </w:rPr>
              <w:t>4.7. Îmbunătățirea competitivității și promovarea investițiilor private și a exporturilor – Mecanismul de împrumut 16980_RRP</w:t>
            </w:r>
          </w:p>
        </w:tc>
        <w:tc>
          <w:tcPr>
            <w:tcW w:w="992" w:type="dxa"/>
            <w:tcBorders>
              <w:top w:val="single" w:sz="4" w:space="0" w:color="auto"/>
              <w:left w:val="nil"/>
              <w:bottom w:val="single" w:sz="4" w:space="0" w:color="auto"/>
              <w:right w:val="single" w:sz="4" w:space="0" w:color="auto"/>
            </w:tcBorders>
            <w:shd w:val="clear" w:color="auto" w:fill="C6EFCE"/>
            <w:noWrap/>
          </w:tcPr>
          <w:p w14:paraId="1B611A4D" w14:textId="77777777" w:rsidR="00C45D59" w:rsidRDefault="009B0962">
            <w:pPr>
              <w:pStyle w:val="P68B1DB1-Normal12"/>
              <w:spacing w:after="0" w:line="240" w:lineRule="auto"/>
              <w:rPr>
                <w:rFonts w:eastAsia="Times New Roman"/>
                <w:noProof/>
              </w:rPr>
            </w:pPr>
            <w:r>
              <w:rPr>
                <w:noProof/>
              </w:rPr>
              <w:t>Țintă</w:t>
            </w:r>
          </w:p>
        </w:tc>
        <w:tc>
          <w:tcPr>
            <w:tcW w:w="1559" w:type="dxa"/>
            <w:tcBorders>
              <w:top w:val="single" w:sz="4" w:space="0" w:color="auto"/>
              <w:left w:val="nil"/>
              <w:bottom w:val="single" w:sz="4" w:space="0" w:color="auto"/>
              <w:right w:val="single" w:sz="4" w:space="0" w:color="auto"/>
            </w:tcBorders>
            <w:shd w:val="clear" w:color="auto" w:fill="C6EFCE"/>
            <w:noWrap/>
          </w:tcPr>
          <w:p w14:paraId="773ACC98" w14:textId="49AA2CAC" w:rsidR="00C45D59" w:rsidRDefault="009B0962">
            <w:pPr>
              <w:pStyle w:val="P68B1DB1-Normal12"/>
              <w:spacing w:after="0" w:line="240" w:lineRule="auto"/>
              <w:rPr>
                <w:rFonts w:eastAsia="Times New Roman"/>
                <w:noProof/>
              </w:rPr>
            </w:pPr>
            <w:r>
              <w:rPr>
                <w:noProof/>
              </w:rPr>
              <w:t>Aprobarea de către InvestEU a unor operațiuni în valoare de 500 de milioane EUR</w:t>
            </w:r>
          </w:p>
        </w:tc>
        <w:tc>
          <w:tcPr>
            <w:tcW w:w="1276" w:type="dxa"/>
            <w:tcBorders>
              <w:top w:val="single" w:sz="4" w:space="0" w:color="auto"/>
              <w:left w:val="nil"/>
              <w:bottom w:val="single" w:sz="4" w:space="0" w:color="auto"/>
              <w:right w:val="single" w:sz="4" w:space="0" w:color="auto"/>
            </w:tcBorders>
            <w:shd w:val="clear" w:color="auto" w:fill="C6EFCE"/>
          </w:tcPr>
          <w:p w14:paraId="25C7CE25"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134" w:type="dxa"/>
            <w:tcBorders>
              <w:top w:val="single" w:sz="4" w:space="0" w:color="auto"/>
              <w:left w:val="nil"/>
              <w:bottom w:val="single" w:sz="4" w:space="0" w:color="auto"/>
              <w:right w:val="single" w:sz="4" w:space="0" w:color="auto"/>
            </w:tcBorders>
            <w:shd w:val="clear" w:color="auto" w:fill="C6EFCE"/>
            <w:noWrap/>
          </w:tcPr>
          <w:p w14:paraId="7D3C1CB5" w14:textId="77777777" w:rsidR="00C45D59" w:rsidRDefault="009B0962">
            <w:pPr>
              <w:pStyle w:val="P68B1DB1-Normal12"/>
              <w:spacing w:after="0" w:line="240" w:lineRule="auto"/>
              <w:rPr>
                <w:rFonts w:eastAsia="Times New Roman"/>
                <w:noProof/>
              </w:rPr>
            </w:pPr>
            <w:r>
              <w:rPr>
                <w:noProof/>
              </w:rPr>
              <w:t>Suma (milioane EUR)</w:t>
            </w:r>
          </w:p>
        </w:tc>
        <w:tc>
          <w:tcPr>
            <w:tcW w:w="1417" w:type="dxa"/>
            <w:tcBorders>
              <w:top w:val="single" w:sz="4" w:space="0" w:color="auto"/>
              <w:left w:val="nil"/>
              <w:bottom w:val="single" w:sz="4" w:space="0" w:color="auto"/>
              <w:right w:val="single" w:sz="4" w:space="0" w:color="auto"/>
            </w:tcBorders>
            <w:shd w:val="clear" w:color="auto" w:fill="C6EFCE"/>
            <w:noWrap/>
          </w:tcPr>
          <w:p w14:paraId="06263F99" w14:textId="77777777" w:rsidR="00C45D59" w:rsidRDefault="009B0962">
            <w:pPr>
              <w:pStyle w:val="P68B1DB1-Normal12"/>
              <w:spacing w:after="0" w:line="240" w:lineRule="auto"/>
              <w:rPr>
                <w:rFonts w:eastAsia="Times New Roman"/>
                <w:noProof/>
              </w:rPr>
            </w:pPr>
            <w:r>
              <w:rPr>
                <w:noProof/>
              </w:rPr>
              <w:t>0</w:t>
            </w:r>
          </w:p>
        </w:tc>
        <w:tc>
          <w:tcPr>
            <w:tcW w:w="1418" w:type="dxa"/>
            <w:tcBorders>
              <w:top w:val="single" w:sz="4" w:space="0" w:color="auto"/>
              <w:left w:val="nil"/>
              <w:bottom w:val="single" w:sz="4" w:space="0" w:color="auto"/>
              <w:right w:val="single" w:sz="4" w:space="0" w:color="auto"/>
            </w:tcBorders>
            <w:shd w:val="clear" w:color="auto" w:fill="C6EFCE"/>
            <w:noWrap/>
          </w:tcPr>
          <w:p w14:paraId="04627D2B" w14:textId="77777777" w:rsidR="00C45D59" w:rsidRDefault="009B0962">
            <w:pPr>
              <w:pStyle w:val="P68B1DB1-Normal12"/>
              <w:spacing w:after="0" w:line="240" w:lineRule="auto"/>
              <w:rPr>
                <w:rFonts w:eastAsia="Times New Roman"/>
                <w:noProof/>
              </w:rPr>
            </w:pPr>
            <w:r>
              <w:rPr>
                <w:noProof/>
              </w:rPr>
              <w:t>500</w:t>
            </w:r>
          </w:p>
        </w:tc>
        <w:tc>
          <w:tcPr>
            <w:tcW w:w="1084" w:type="dxa"/>
            <w:tcBorders>
              <w:top w:val="single" w:sz="4" w:space="0" w:color="auto"/>
              <w:left w:val="nil"/>
              <w:bottom w:val="single" w:sz="4" w:space="0" w:color="auto"/>
              <w:right w:val="single" w:sz="4" w:space="0" w:color="auto"/>
            </w:tcBorders>
            <w:shd w:val="clear" w:color="auto" w:fill="C6EFCE"/>
            <w:noWrap/>
          </w:tcPr>
          <w:p w14:paraId="51689105" w14:textId="77777777" w:rsidR="00C45D59" w:rsidRDefault="009B0962">
            <w:pPr>
              <w:pStyle w:val="P68B1DB1-Normal12"/>
              <w:spacing w:after="0" w:line="240" w:lineRule="auto"/>
              <w:rPr>
                <w:rFonts w:eastAsia="Times New Roman"/>
                <w:noProof/>
              </w:rPr>
            </w:pPr>
            <w:r>
              <w:rPr>
                <w:noProof/>
              </w:rPr>
              <w:t>Î4</w:t>
            </w:r>
          </w:p>
        </w:tc>
        <w:tc>
          <w:tcPr>
            <w:tcW w:w="720" w:type="dxa"/>
            <w:tcBorders>
              <w:top w:val="single" w:sz="4" w:space="0" w:color="auto"/>
              <w:left w:val="nil"/>
              <w:bottom w:val="single" w:sz="4" w:space="0" w:color="auto"/>
              <w:right w:val="single" w:sz="4" w:space="0" w:color="auto"/>
            </w:tcBorders>
            <w:shd w:val="clear" w:color="auto" w:fill="C6EFCE"/>
            <w:noWrap/>
          </w:tcPr>
          <w:p w14:paraId="339041B6" w14:textId="77777777" w:rsidR="00C45D59" w:rsidRDefault="009B0962">
            <w:pPr>
              <w:pStyle w:val="P68B1DB1-Normal12"/>
              <w:spacing w:after="0" w:line="240" w:lineRule="auto"/>
              <w:rPr>
                <w:rFonts w:eastAsia="Times New Roman"/>
                <w:noProof/>
              </w:rPr>
            </w:pPr>
            <w:r>
              <w:rPr>
                <w:noProof/>
              </w:rPr>
              <w:t>2025</w:t>
            </w:r>
          </w:p>
        </w:tc>
        <w:tc>
          <w:tcPr>
            <w:tcW w:w="4067" w:type="dxa"/>
            <w:tcBorders>
              <w:top w:val="single" w:sz="4" w:space="0" w:color="auto"/>
              <w:left w:val="nil"/>
              <w:bottom w:val="single" w:sz="4" w:space="0" w:color="auto"/>
              <w:right w:val="single" w:sz="4" w:space="0" w:color="auto"/>
            </w:tcBorders>
            <w:shd w:val="clear" w:color="auto" w:fill="C6EFCE"/>
            <w:noWrap/>
          </w:tcPr>
          <w:p w14:paraId="4035B53D" w14:textId="2FED3CF0" w:rsidR="00C45D59" w:rsidRDefault="009B0962">
            <w:pPr>
              <w:pStyle w:val="P68B1DB1-Normal12"/>
              <w:spacing w:after="0" w:line="240" w:lineRule="auto"/>
              <w:rPr>
                <w:rFonts w:eastAsia="Times New Roman"/>
                <w:noProof/>
              </w:rPr>
            </w:pPr>
            <w:r>
              <w:rPr>
                <w:noProof/>
              </w:rPr>
              <w:t>Comitetul pentru investiții al InvestEU aprobă operațiuni de investiții în valoare de 500 de milioane EUR din cuantumul total al finanțării vizate (sau al investițiilor mobilizate).</w:t>
            </w:r>
          </w:p>
        </w:tc>
      </w:tr>
      <w:tr w:rsidR="00C45D59" w14:paraId="1F336A75" w14:textId="77777777" w:rsidTr="00037E31">
        <w:trPr>
          <w:trHeight w:val="314"/>
          <w:jc w:val="center"/>
        </w:trPr>
        <w:tc>
          <w:tcPr>
            <w:tcW w:w="602" w:type="dxa"/>
            <w:tcBorders>
              <w:top w:val="single" w:sz="4" w:space="0" w:color="auto"/>
              <w:left w:val="single" w:sz="4" w:space="0" w:color="auto"/>
              <w:bottom w:val="single" w:sz="4" w:space="0" w:color="auto"/>
              <w:right w:val="single" w:sz="4" w:space="0" w:color="auto"/>
            </w:tcBorders>
            <w:shd w:val="clear" w:color="auto" w:fill="C6EFCE"/>
            <w:noWrap/>
          </w:tcPr>
          <w:p w14:paraId="51FD2F7F" w14:textId="77777777" w:rsidR="00C45D59" w:rsidRDefault="009B0962">
            <w:pPr>
              <w:pStyle w:val="P68B1DB1-Normal12"/>
              <w:spacing w:after="0" w:line="240" w:lineRule="auto"/>
              <w:rPr>
                <w:noProof/>
              </w:rPr>
            </w:pPr>
            <w:r>
              <w:rPr>
                <w:noProof/>
              </w:rPr>
              <w:t>330a</w:t>
            </w:r>
          </w:p>
        </w:tc>
        <w:tc>
          <w:tcPr>
            <w:tcW w:w="1614" w:type="dxa"/>
            <w:tcBorders>
              <w:top w:val="single" w:sz="4" w:space="0" w:color="auto"/>
              <w:left w:val="nil"/>
              <w:bottom w:val="single" w:sz="4" w:space="0" w:color="auto"/>
              <w:right w:val="single" w:sz="4" w:space="0" w:color="auto"/>
            </w:tcBorders>
            <w:shd w:val="clear" w:color="auto" w:fill="C6EFCE"/>
            <w:noWrap/>
          </w:tcPr>
          <w:p w14:paraId="79140F7F" w14:textId="77777777" w:rsidR="00C45D59" w:rsidRDefault="009B0962">
            <w:pPr>
              <w:pStyle w:val="P68B1DB1-Normal12"/>
              <w:spacing w:after="0" w:line="240" w:lineRule="auto"/>
              <w:rPr>
                <w:noProof/>
              </w:rPr>
            </w:pPr>
            <w:r>
              <w:rPr>
                <w:noProof/>
              </w:rPr>
              <w:t>4.7. Îmbunătățirea competitivității și promovarea investițiilor private și a exporturilor – Mecanismul de împrumut 16980_RRP</w:t>
            </w:r>
          </w:p>
        </w:tc>
        <w:tc>
          <w:tcPr>
            <w:tcW w:w="992" w:type="dxa"/>
            <w:tcBorders>
              <w:top w:val="single" w:sz="4" w:space="0" w:color="auto"/>
              <w:left w:val="nil"/>
              <w:bottom w:val="single" w:sz="4" w:space="0" w:color="auto"/>
              <w:right w:val="single" w:sz="4" w:space="0" w:color="auto"/>
            </w:tcBorders>
            <w:shd w:val="clear" w:color="auto" w:fill="C6EFCE"/>
            <w:noWrap/>
          </w:tcPr>
          <w:p w14:paraId="11A37EB7" w14:textId="77777777" w:rsidR="00C45D59" w:rsidRDefault="009B0962">
            <w:pPr>
              <w:pStyle w:val="P68B1DB1-Normal12"/>
              <w:spacing w:after="0" w:line="240" w:lineRule="auto"/>
              <w:rPr>
                <w:noProof/>
              </w:rPr>
            </w:pPr>
            <w:r>
              <w:rPr>
                <w:noProof/>
              </w:rPr>
              <w:t>Țintă</w:t>
            </w:r>
          </w:p>
        </w:tc>
        <w:tc>
          <w:tcPr>
            <w:tcW w:w="1559" w:type="dxa"/>
            <w:tcBorders>
              <w:top w:val="single" w:sz="4" w:space="0" w:color="auto"/>
              <w:left w:val="nil"/>
              <w:bottom w:val="single" w:sz="4" w:space="0" w:color="auto"/>
              <w:right w:val="single" w:sz="4" w:space="0" w:color="auto"/>
            </w:tcBorders>
            <w:shd w:val="clear" w:color="auto" w:fill="C6EFCE"/>
            <w:noWrap/>
          </w:tcPr>
          <w:p w14:paraId="4840E475" w14:textId="2F4368AF" w:rsidR="00C45D59" w:rsidRDefault="009B0962">
            <w:pPr>
              <w:pStyle w:val="P68B1DB1-Normal12"/>
              <w:spacing w:after="0" w:line="240" w:lineRule="auto"/>
              <w:rPr>
                <w:noProof/>
              </w:rPr>
            </w:pPr>
            <w:r>
              <w:rPr>
                <w:noProof/>
              </w:rPr>
              <w:t xml:space="preserve">Aprobarea operațiunilor InvestEU în valoare de 300 000 000 EUR </w:t>
            </w:r>
          </w:p>
        </w:tc>
        <w:tc>
          <w:tcPr>
            <w:tcW w:w="1276" w:type="dxa"/>
            <w:tcBorders>
              <w:top w:val="single" w:sz="4" w:space="0" w:color="auto"/>
              <w:left w:val="nil"/>
              <w:bottom w:val="single" w:sz="4" w:space="0" w:color="auto"/>
              <w:right w:val="single" w:sz="4" w:space="0" w:color="auto"/>
            </w:tcBorders>
            <w:shd w:val="clear" w:color="auto" w:fill="C6EFCE"/>
          </w:tcPr>
          <w:p w14:paraId="7C893C42"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134" w:type="dxa"/>
            <w:tcBorders>
              <w:top w:val="single" w:sz="4" w:space="0" w:color="auto"/>
              <w:left w:val="nil"/>
              <w:bottom w:val="single" w:sz="4" w:space="0" w:color="auto"/>
              <w:right w:val="single" w:sz="4" w:space="0" w:color="auto"/>
            </w:tcBorders>
            <w:shd w:val="clear" w:color="auto" w:fill="C6EFCE"/>
            <w:noWrap/>
          </w:tcPr>
          <w:p w14:paraId="37D9B56D" w14:textId="3CD13F64" w:rsidR="00C45D59" w:rsidRDefault="009B0962">
            <w:pPr>
              <w:pStyle w:val="P68B1DB1-Normal12"/>
              <w:spacing w:after="0" w:line="240" w:lineRule="auto"/>
              <w:rPr>
                <w:noProof/>
              </w:rPr>
            </w:pPr>
            <w:r>
              <w:rPr>
                <w:noProof/>
              </w:rPr>
              <w:t>Sumă (EUR)</w:t>
            </w:r>
          </w:p>
        </w:tc>
        <w:tc>
          <w:tcPr>
            <w:tcW w:w="1417" w:type="dxa"/>
            <w:tcBorders>
              <w:top w:val="single" w:sz="4" w:space="0" w:color="auto"/>
              <w:left w:val="nil"/>
              <w:bottom w:val="single" w:sz="4" w:space="0" w:color="auto"/>
              <w:right w:val="single" w:sz="4" w:space="0" w:color="auto"/>
            </w:tcBorders>
            <w:shd w:val="clear" w:color="auto" w:fill="C6EFCE"/>
            <w:noWrap/>
          </w:tcPr>
          <w:p w14:paraId="3611DD68" w14:textId="7D36FB86" w:rsidR="00C45D59" w:rsidRDefault="009B0962">
            <w:pPr>
              <w:pStyle w:val="P68B1DB1-Normal12"/>
              <w:spacing w:after="0" w:line="240" w:lineRule="auto"/>
              <w:rPr>
                <w:noProof/>
              </w:rPr>
            </w:pPr>
            <w:r>
              <w:rPr>
                <w:noProof/>
              </w:rPr>
              <w:t>500 000 000</w:t>
            </w:r>
          </w:p>
        </w:tc>
        <w:tc>
          <w:tcPr>
            <w:tcW w:w="1418" w:type="dxa"/>
            <w:tcBorders>
              <w:top w:val="single" w:sz="4" w:space="0" w:color="auto"/>
              <w:left w:val="nil"/>
              <w:bottom w:val="single" w:sz="4" w:space="0" w:color="auto"/>
              <w:right w:val="single" w:sz="4" w:space="0" w:color="auto"/>
            </w:tcBorders>
            <w:shd w:val="clear" w:color="auto" w:fill="C6EFCE"/>
            <w:noWrap/>
          </w:tcPr>
          <w:p w14:paraId="6667AB35" w14:textId="47621DBA" w:rsidR="00C45D59" w:rsidRDefault="009B0962">
            <w:pPr>
              <w:pStyle w:val="P68B1DB1-Normal12"/>
              <w:spacing w:after="0" w:line="240" w:lineRule="auto"/>
              <w:rPr>
                <w:noProof/>
              </w:rPr>
            </w:pPr>
            <w:r>
              <w:rPr>
                <w:noProof/>
              </w:rPr>
              <w:t>800 000 000</w:t>
            </w:r>
          </w:p>
        </w:tc>
        <w:tc>
          <w:tcPr>
            <w:tcW w:w="1084" w:type="dxa"/>
            <w:tcBorders>
              <w:top w:val="single" w:sz="4" w:space="0" w:color="auto"/>
              <w:left w:val="nil"/>
              <w:bottom w:val="single" w:sz="4" w:space="0" w:color="auto"/>
              <w:right w:val="single" w:sz="4" w:space="0" w:color="auto"/>
            </w:tcBorders>
            <w:shd w:val="clear" w:color="auto" w:fill="C6EFCE"/>
            <w:noWrap/>
          </w:tcPr>
          <w:p w14:paraId="321FF496" w14:textId="4279B99E" w:rsidR="00C45D59" w:rsidRDefault="009B0962">
            <w:pPr>
              <w:pStyle w:val="P68B1DB1-Normal12"/>
              <w:spacing w:after="0" w:line="240" w:lineRule="auto"/>
              <w:rPr>
                <w:noProof/>
              </w:rPr>
            </w:pPr>
            <w:r>
              <w:rPr>
                <w:noProof/>
              </w:rPr>
              <w:t>Î1</w:t>
            </w:r>
          </w:p>
        </w:tc>
        <w:tc>
          <w:tcPr>
            <w:tcW w:w="720" w:type="dxa"/>
            <w:tcBorders>
              <w:top w:val="single" w:sz="4" w:space="0" w:color="auto"/>
              <w:left w:val="nil"/>
              <w:bottom w:val="single" w:sz="4" w:space="0" w:color="auto"/>
              <w:right w:val="single" w:sz="4" w:space="0" w:color="auto"/>
            </w:tcBorders>
            <w:shd w:val="clear" w:color="auto" w:fill="C6EFCE"/>
            <w:noWrap/>
          </w:tcPr>
          <w:p w14:paraId="0EF6DA4A" w14:textId="77777777" w:rsidR="00C45D59" w:rsidRDefault="009B0962">
            <w:pPr>
              <w:pStyle w:val="P68B1DB1-Normal12"/>
              <w:spacing w:after="0" w:line="240" w:lineRule="auto"/>
              <w:rPr>
                <w:noProof/>
              </w:rPr>
            </w:pPr>
            <w:r>
              <w:rPr>
                <w:noProof/>
              </w:rPr>
              <w:t>2026</w:t>
            </w:r>
          </w:p>
        </w:tc>
        <w:tc>
          <w:tcPr>
            <w:tcW w:w="4067" w:type="dxa"/>
            <w:tcBorders>
              <w:top w:val="single" w:sz="4" w:space="0" w:color="auto"/>
              <w:left w:val="nil"/>
              <w:bottom w:val="single" w:sz="4" w:space="0" w:color="auto"/>
              <w:right w:val="single" w:sz="4" w:space="0" w:color="auto"/>
            </w:tcBorders>
            <w:shd w:val="clear" w:color="auto" w:fill="C6EFCE"/>
            <w:noWrap/>
          </w:tcPr>
          <w:p w14:paraId="2F20FA69" w14:textId="3554D60B" w:rsidR="00C45D59" w:rsidRDefault="009B0962">
            <w:pPr>
              <w:pStyle w:val="P68B1DB1-Normal12"/>
              <w:spacing w:after="0" w:line="240" w:lineRule="auto"/>
              <w:rPr>
                <w:noProof/>
              </w:rPr>
            </w:pPr>
            <w:r>
              <w:rPr>
                <w:noProof/>
              </w:rPr>
              <w:t>Comitetul pentru investiții al InvestEU aprobă operațiuni de investiții în valoare de 300 000 000 EUR din cuantumul total al finanțării vizate (sau al investițiilor mobilizate).</w:t>
            </w:r>
          </w:p>
        </w:tc>
      </w:tr>
      <w:tr w:rsidR="00C45D59" w14:paraId="393ED148" w14:textId="77777777" w:rsidTr="00037E31">
        <w:trPr>
          <w:trHeight w:val="314"/>
          <w:jc w:val="center"/>
        </w:trPr>
        <w:tc>
          <w:tcPr>
            <w:tcW w:w="602" w:type="dxa"/>
            <w:tcBorders>
              <w:top w:val="single" w:sz="4" w:space="0" w:color="auto"/>
              <w:left w:val="single" w:sz="4" w:space="0" w:color="auto"/>
              <w:bottom w:val="single" w:sz="4" w:space="0" w:color="auto"/>
              <w:right w:val="single" w:sz="4" w:space="0" w:color="auto"/>
            </w:tcBorders>
            <w:shd w:val="clear" w:color="auto" w:fill="C6EFCE"/>
            <w:noWrap/>
          </w:tcPr>
          <w:p w14:paraId="28BD1AA5" w14:textId="1CE40AA7" w:rsidR="00C45D59" w:rsidRDefault="009B0962">
            <w:pPr>
              <w:pStyle w:val="P68B1DB1-Normal12"/>
              <w:spacing w:after="0" w:line="240" w:lineRule="auto"/>
              <w:rPr>
                <w:noProof/>
              </w:rPr>
            </w:pPr>
            <w:r>
              <w:rPr>
                <w:noProof/>
              </w:rPr>
              <w:t>330b</w:t>
            </w:r>
          </w:p>
        </w:tc>
        <w:tc>
          <w:tcPr>
            <w:tcW w:w="1614" w:type="dxa"/>
            <w:tcBorders>
              <w:top w:val="single" w:sz="4" w:space="0" w:color="auto"/>
              <w:left w:val="nil"/>
              <w:bottom w:val="single" w:sz="4" w:space="0" w:color="auto"/>
              <w:right w:val="single" w:sz="4" w:space="0" w:color="auto"/>
            </w:tcBorders>
            <w:shd w:val="clear" w:color="auto" w:fill="C6EFCE"/>
            <w:noWrap/>
          </w:tcPr>
          <w:p w14:paraId="79B3FF09" w14:textId="73797B03" w:rsidR="00C45D59" w:rsidRDefault="009B0962">
            <w:pPr>
              <w:pStyle w:val="P68B1DB1-Normal12"/>
              <w:spacing w:after="0" w:line="240" w:lineRule="auto"/>
              <w:rPr>
                <w:noProof/>
              </w:rPr>
            </w:pPr>
            <w:r>
              <w:rPr>
                <w:noProof/>
              </w:rPr>
              <w:t>4.7. Îmbunătățirea competitivității și promovarea investițiilor private și a exporturilor – Mecanismul de împrumut 16980_RRP</w:t>
            </w:r>
          </w:p>
        </w:tc>
        <w:tc>
          <w:tcPr>
            <w:tcW w:w="992" w:type="dxa"/>
            <w:tcBorders>
              <w:top w:val="single" w:sz="4" w:space="0" w:color="auto"/>
              <w:left w:val="nil"/>
              <w:bottom w:val="single" w:sz="4" w:space="0" w:color="auto"/>
              <w:right w:val="single" w:sz="4" w:space="0" w:color="auto"/>
            </w:tcBorders>
            <w:shd w:val="clear" w:color="auto" w:fill="C6EFCE"/>
            <w:noWrap/>
          </w:tcPr>
          <w:p w14:paraId="094BE6F9" w14:textId="167113D5" w:rsidR="00C45D59" w:rsidRDefault="009B0962">
            <w:pPr>
              <w:pStyle w:val="P68B1DB1-Normal12"/>
              <w:spacing w:after="0" w:line="240" w:lineRule="auto"/>
              <w:rPr>
                <w:noProof/>
              </w:rPr>
            </w:pPr>
            <w:r>
              <w:rPr>
                <w:noProof/>
              </w:rPr>
              <w:t>Țintă</w:t>
            </w:r>
          </w:p>
        </w:tc>
        <w:tc>
          <w:tcPr>
            <w:tcW w:w="1559" w:type="dxa"/>
            <w:tcBorders>
              <w:top w:val="single" w:sz="4" w:space="0" w:color="auto"/>
              <w:left w:val="nil"/>
              <w:bottom w:val="single" w:sz="4" w:space="0" w:color="auto"/>
              <w:right w:val="single" w:sz="4" w:space="0" w:color="auto"/>
            </w:tcBorders>
            <w:shd w:val="clear" w:color="auto" w:fill="C6EFCE"/>
            <w:noWrap/>
          </w:tcPr>
          <w:p w14:paraId="3FE884BF" w14:textId="238BBADF" w:rsidR="00C45D59" w:rsidRDefault="009B0962">
            <w:pPr>
              <w:pStyle w:val="P68B1DB1-Normal12"/>
              <w:spacing w:after="0" w:line="240" w:lineRule="auto"/>
              <w:rPr>
                <w:noProof/>
              </w:rPr>
            </w:pPr>
            <w:r>
              <w:rPr>
                <w:noProof/>
              </w:rPr>
              <w:t>Aprobarea operațiunilor InvestEU în valoare de 100 000 000 EUR</w:t>
            </w:r>
          </w:p>
        </w:tc>
        <w:tc>
          <w:tcPr>
            <w:tcW w:w="1276" w:type="dxa"/>
            <w:tcBorders>
              <w:top w:val="single" w:sz="4" w:space="0" w:color="auto"/>
              <w:left w:val="nil"/>
              <w:bottom w:val="single" w:sz="4" w:space="0" w:color="auto"/>
              <w:right w:val="single" w:sz="4" w:space="0" w:color="auto"/>
            </w:tcBorders>
            <w:shd w:val="clear" w:color="auto" w:fill="C6EFCE"/>
          </w:tcPr>
          <w:p w14:paraId="56396642"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134" w:type="dxa"/>
            <w:tcBorders>
              <w:top w:val="single" w:sz="4" w:space="0" w:color="auto"/>
              <w:left w:val="nil"/>
              <w:bottom w:val="single" w:sz="4" w:space="0" w:color="auto"/>
              <w:right w:val="single" w:sz="4" w:space="0" w:color="auto"/>
            </w:tcBorders>
            <w:shd w:val="clear" w:color="auto" w:fill="C6EFCE"/>
            <w:noWrap/>
          </w:tcPr>
          <w:p w14:paraId="7314C7C4" w14:textId="11D7CF61" w:rsidR="00C45D59" w:rsidRDefault="009B0962">
            <w:pPr>
              <w:pStyle w:val="P68B1DB1-Normal12"/>
              <w:spacing w:after="0" w:line="240" w:lineRule="auto"/>
              <w:rPr>
                <w:noProof/>
              </w:rPr>
            </w:pPr>
            <w:r>
              <w:rPr>
                <w:noProof/>
              </w:rPr>
              <w:t>Sumă (EUR)</w:t>
            </w:r>
          </w:p>
        </w:tc>
        <w:tc>
          <w:tcPr>
            <w:tcW w:w="1417" w:type="dxa"/>
            <w:tcBorders>
              <w:top w:val="single" w:sz="4" w:space="0" w:color="auto"/>
              <w:left w:val="nil"/>
              <w:bottom w:val="single" w:sz="4" w:space="0" w:color="auto"/>
              <w:right w:val="single" w:sz="4" w:space="0" w:color="auto"/>
            </w:tcBorders>
            <w:shd w:val="clear" w:color="auto" w:fill="C6EFCE"/>
            <w:noWrap/>
          </w:tcPr>
          <w:p w14:paraId="7F40A994" w14:textId="74161A2C" w:rsidR="00C45D59" w:rsidRDefault="009B0962">
            <w:pPr>
              <w:pStyle w:val="P68B1DB1-Normal12"/>
              <w:spacing w:after="0" w:line="240" w:lineRule="auto"/>
              <w:rPr>
                <w:noProof/>
              </w:rPr>
            </w:pPr>
            <w:r>
              <w:rPr>
                <w:noProof/>
              </w:rPr>
              <w:t>800 000 000</w:t>
            </w:r>
          </w:p>
        </w:tc>
        <w:tc>
          <w:tcPr>
            <w:tcW w:w="1418" w:type="dxa"/>
            <w:tcBorders>
              <w:top w:val="single" w:sz="4" w:space="0" w:color="auto"/>
              <w:left w:val="nil"/>
              <w:bottom w:val="single" w:sz="4" w:space="0" w:color="auto"/>
              <w:right w:val="single" w:sz="4" w:space="0" w:color="auto"/>
            </w:tcBorders>
            <w:shd w:val="clear" w:color="auto" w:fill="C6EFCE"/>
            <w:noWrap/>
          </w:tcPr>
          <w:p w14:paraId="6EB68AE0" w14:textId="1B61B9A5" w:rsidR="00C45D59" w:rsidRDefault="009B0962">
            <w:pPr>
              <w:pStyle w:val="P68B1DB1-Normal12"/>
              <w:spacing w:after="0" w:line="240" w:lineRule="auto"/>
              <w:rPr>
                <w:noProof/>
              </w:rPr>
            </w:pPr>
            <w:r>
              <w:rPr>
                <w:noProof/>
              </w:rPr>
              <w:t>900 000 000</w:t>
            </w:r>
          </w:p>
        </w:tc>
        <w:tc>
          <w:tcPr>
            <w:tcW w:w="1084" w:type="dxa"/>
            <w:tcBorders>
              <w:top w:val="single" w:sz="4" w:space="0" w:color="auto"/>
              <w:left w:val="nil"/>
              <w:bottom w:val="single" w:sz="4" w:space="0" w:color="auto"/>
              <w:right w:val="single" w:sz="4" w:space="0" w:color="auto"/>
            </w:tcBorders>
            <w:shd w:val="clear" w:color="auto" w:fill="C6EFCE"/>
            <w:noWrap/>
          </w:tcPr>
          <w:p w14:paraId="6BFA93CE" w14:textId="0B6B063D" w:rsidR="00C45D59" w:rsidRDefault="009B0962">
            <w:pPr>
              <w:pStyle w:val="P68B1DB1-Normal12"/>
              <w:spacing w:after="0" w:line="240" w:lineRule="auto"/>
              <w:rPr>
                <w:noProof/>
              </w:rPr>
            </w:pPr>
            <w:r>
              <w:rPr>
                <w:noProof/>
              </w:rPr>
              <w:t>Î2</w:t>
            </w:r>
          </w:p>
        </w:tc>
        <w:tc>
          <w:tcPr>
            <w:tcW w:w="720" w:type="dxa"/>
            <w:tcBorders>
              <w:top w:val="single" w:sz="4" w:space="0" w:color="auto"/>
              <w:left w:val="nil"/>
              <w:bottom w:val="single" w:sz="4" w:space="0" w:color="auto"/>
              <w:right w:val="single" w:sz="4" w:space="0" w:color="auto"/>
            </w:tcBorders>
            <w:shd w:val="clear" w:color="auto" w:fill="C6EFCE"/>
            <w:noWrap/>
          </w:tcPr>
          <w:p w14:paraId="07053D5A" w14:textId="23DAF9A6" w:rsidR="00C45D59" w:rsidRDefault="009B0962">
            <w:pPr>
              <w:pStyle w:val="P68B1DB1-Normal12"/>
              <w:spacing w:after="0" w:line="240" w:lineRule="auto"/>
              <w:rPr>
                <w:noProof/>
              </w:rPr>
            </w:pPr>
            <w:r>
              <w:rPr>
                <w:noProof/>
              </w:rPr>
              <w:t>2026</w:t>
            </w:r>
          </w:p>
        </w:tc>
        <w:tc>
          <w:tcPr>
            <w:tcW w:w="4067" w:type="dxa"/>
            <w:tcBorders>
              <w:top w:val="single" w:sz="4" w:space="0" w:color="auto"/>
              <w:left w:val="nil"/>
              <w:bottom w:val="single" w:sz="4" w:space="0" w:color="auto"/>
              <w:right w:val="single" w:sz="4" w:space="0" w:color="auto"/>
            </w:tcBorders>
            <w:shd w:val="clear" w:color="auto" w:fill="C6EFCE"/>
            <w:noWrap/>
          </w:tcPr>
          <w:p w14:paraId="6F0F4E61" w14:textId="31A99FD8" w:rsidR="00C45D59" w:rsidRDefault="009B0962">
            <w:pPr>
              <w:pStyle w:val="P68B1DB1-Normal12"/>
              <w:spacing w:after="0" w:line="240" w:lineRule="auto"/>
              <w:rPr>
                <w:noProof/>
              </w:rPr>
            </w:pPr>
            <w:r>
              <w:rPr>
                <w:noProof/>
              </w:rPr>
              <w:t>Comitetul pentru investiții al InvestEU aprobă operațiuni de investiții în valoare de 100 000 000 EUR din cuantumul total al finanțării vizate (sau al investițiilor mobilizate).</w:t>
            </w:r>
          </w:p>
        </w:tc>
      </w:tr>
    </w:tbl>
    <w:p w14:paraId="1287DBF4" w14:textId="77777777" w:rsidR="00C45D59" w:rsidRDefault="00C45D59">
      <w:pPr>
        <w:spacing w:before="120" w:after="120" w:line="240" w:lineRule="auto"/>
        <w:jc w:val="both"/>
        <w:rPr>
          <w:rFonts w:ascii="Times New Roman" w:hAnsi="Times New Roman" w:cs="Times New Roman"/>
          <w:noProof/>
          <w:sz w:val="24"/>
        </w:rPr>
        <w:sectPr w:rsidR="00C45D59">
          <w:headerReference w:type="even" r:id="rId372"/>
          <w:headerReference w:type="default" r:id="rId373"/>
          <w:footerReference w:type="even" r:id="rId374"/>
          <w:footerReference w:type="default" r:id="rId375"/>
          <w:headerReference w:type="first" r:id="rId376"/>
          <w:footerReference w:type="first" r:id="rId377"/>
          <w:pgSz w:w="16839" w:h="11907" w:orient="landscape"/>
          <w:pgMar w:top="1134" w:right="1134" w:bottom="1134" w:left="1134" w:header="567" w:footer="567" w:gutter="0"/>
          <w:cols w:space="720"/>
          <w:docGrid w:linePitch="360"/>
        </w:sectPr>
      </w:pPr>
    </w:p>
    <w:p w14:paraId="010DE421" w14:textId="77777777" w:rsidR="00C45D59" w:rsidRDefault="009B0962">
      <w:pPr>
        <w:pStyle w:val="P68B1DB1-Normal9"/>
        <w:keepNext/>
        <w:keepLines/>
        <w:spacing w:before="40" w:after="240" w:line="240" w:lineRule="auto"/>
        <w:jc w:val="both"/>
        <w:outlineLvl w:val="4"/>
        <w:rPr>
          <w:noProof/>
        </w:rPr>
      </w:pPr>
      <w:r>
        <w:rPr>
          <w:noProof/>
        </w:rPr>
        <w:t>Injecția de capital în Banca Elenă de Dezvoltare (16403)</w:t>
      </w:r>
    </w:p>
    <w:tbl>
      <w:tblPr>
        <w:tblW w:w="5208" w:type="pct"/>
        <w:tblInd w:w="-585" w:type="dxa"/>
        <w:tblLook w:val="04A0" w:firstRow="1" w:lastRow="0" w:firstColumn="1" w:lastColumn="0" w:noHBand="0" w:noVBand="1"/>
      </w:tblPr>
      <w:tblGrid>
        <w:gridCol w:w="750"/>
        <w:gridCol w:w="2377"/>
        <w:gridCol w:w="1190"/>
        <w:gridCol w:w="1772"/>
        <w:gridCol w:w="1622"/>
        <w:gridCol w:w="719"/>
        <w:gridCol w:w="1002"/>
        <w:gridCol w:w="680"/>
        <w:gridCol w:w="820"/>
        <w:gridCol w:w="597"/>
        <w:gridCol w:w="3678"/>
      </w:tblGrid>
      <w:tr w:rsidR="00C45D59" w14:paraId="6BEE5B2E" w14:textId="77777777">
        <w:trPr>
          <w:trHeight w:val="300"/>
          <w:tblHeader/>
        </w:trPr>
        <w:tc>
          <w:tcPr>
            <w:tcW w:w="254" w:type="pct"/>
            <w:vMerge w:val="restart"/>
            <w:tcBorders>
              <w:top w:val="single" w:sz="6" w:space="0" w:color="auto"/>
              <w:left w:val="single" w:sz="6" w:space="0" w:color="auto"/>
              <w:right w:val="single" w:sz="6" w:space="0" w:color="auto"/>
            </w:tcBorders>
            <w:shd w:val="clear" w:color="auto" w:fill="C6D9F1" w:themeFill="text2" w:themeFillTint="33"/>
            <w:tcMar>
              <w:top w:w="15" w:type="dxa"/>
              <w:left w:w="15" w:type="dxa"/>
              <w:bottom w:w="15" w:type="dxa"/>
              <w:right w:w="15" w:type="dxa"/>
            </w:tcMar>
            <w:vAlign w:val="center"/>
          </w:tcPr>
          <w:p w14:paraId="268A48D4" w14:textId="6F7BCC4F" w:rsidR="00037E31" w:rsidRDefault="009B0962">
            <w:pPr>
              <w:pStyle w:val="P68B1DB1-Normal15"/>
              <w:spacing w:after="0" w:line="240" w:lineRule="auto"/>
              <w:jc w:val="center"/>
              <w:rPr>
                <w:noProof/>
              </w:rPr>
            </w:pPr>
            <w:r>
              <w:rPr>
                <w:noProof/>
              </w:rPr>
              <w:t>Nr</w:t>
            </w:r>
            <w:r w:rsidR="00037E31">
              <w:rPr>
                <w:noProof/>
              </w:rPr>
              <w:t>.</w:t>
            </w:r>
            <w:r w:rsidR="00CD2DBD">
              <w:rPr>
                <w:noProof/>
              </w:rPr>
              <w:t xml:space="preserve"> </w:t>
            </w:r>
          </w:p>
          <w:p w14:paraId="0CF57A37" w14:textId="5F78560E" w:rsidR="00C45D59" w:rsidRDefault="00037E31">
            <w:pPr>
              <w:pStyle w:val="P68B1DB1-Normal15"/>
              <w:spacing w:after="0" w:line="240" w:lineRule="auto"/>
              <w:jc w:val="center"/>
              <w:rPr>
                <w:rFonts w:eastAsia="Times New Roman"/>
                <w:noProof/>
              </w:rPr>
            </w:pPr>
            <w:r>
              <w:rPr>
                <w:noProof/>
              </w:rPr>
              <w:t>crt.</w:t>
            </w:r>
          </w:p>
        </w:tc>
        <w:tc>
          <w:tcPr>
            <w:tcW w:w="789" w:type="pct"/>
            <w:vMerge w:val="restart"/>
            <w:tcBorders>
              <w:top w:val="single" w:sz="6" w:space="0" w:color="auto"/>
              <w:left w:val="single" w:sz="6" w:space="0" w:color="auto"/>
              <w:right w:val="single" w:sz="6" w:space="0" w:color="auto"/>
            </w:tcBorders>
            <w:shd w:val="clear" w:color="auto" w:fill="C6D9F1" w:themeFill="text2" w:themeFillTint="33"/>
            <w:tcMar>
              <w:top w:w="15" w:type="dxa"/>
              <w:left w:w="15" w:type="dxa"/>
              <w:bottom w:w="15" w:type="dxa"/>
              <w:right w:w="15" w:type="dxa"/>
            </w:tcMar>
            <w:vAlign w:val="center"/>
          </w:tcPr>
          <w:p w14:paraId="405E5A9C" w14:textId="77777777" w:rsidR="00C45D59" w:rsidRDefault="009B0962">
            <w:pPr>
              <w:pStyle w:val="P68B1DB1-Normal15"/>
              <w:spacing w:after="0" w:line="240" w:lineRule="auto"/>
              <w:jc w:val="center"/>
              <w:rPr>
                <w:rFonts w:eastAsia="Times New Roman"/>
                <w:noProof/>
              </w:rPr>
            </w:pPr>
            <w:r>
              <w:rPr>
                <w:noProof/>
              </w:rPr>
              <w:t>Măsură conexă (reformă sau investiții)</w:t>
            </w:r>
          </w:p>
        </w:tc>
        <w:tc>
          <w:tcPr>
            <w:tcW w:w="392" w:type="pct"/>
            <w:vMerge w:val="restart"/>
            <w:tcBorders>
              <w:top w:val="single" w:sz="6" w:space="0" w:color="auto"/>
              <w:left w:val="single" w:sz="6" w:space="0" w:color="auto"/>
              <w:right w:val="single" w:sz="6" w:space="0" w:color="auto"/>
            </w:tcBorders>
            <w:shd w:val="clear" w:color="auto" w:fill="C6D9F1" w:themeFill="text2" w:themeFillTint="33"/>
            <w:tcMar>
              <w:top w:w="15" w:type="dxa"/>
              <w:left w:w="15" w:type="dxa"/>
              <w:bottom w:w="15" w:type="dxa"/>
              <w:right w:w="15" w:type="dxa"/>
            </w:tcMar>
            <w:vAlign w:val="center"/>
          </w:tcPr>
          <w:p w14:paraId="7EC6F4B6" w14:textId="77777777" w:rsidR="00C45D59" w:rsidRDefault="009B0962">
            <w:pPr>
              <w:pStyle w:val="P68B1DB1-Normal15"/>
              <w:spacing w:after="0" w:line="240" w:lineRule="auto"/>
              <w:jc w:val="center"/>
              <w:rPr>
                <w:rFonts w:eastAsia="Times New Roman"/>
                <w:noProof/>
              </w:rPr>
            </w:pPr>
            <w:r>
              <w:rPr>
                <w:noProof/>
              </w:rPr>
              <w:t>Etapă/Obiectiv</w:t>
            </w:r>
          </w:p>
        </w:tc>
        <w:tc>
          <w:tcPr>
            <w:tcW w:w="597" w:type="pct"/>
            <w:vMerge w:val="restart"/>
            <w:tcBorders>
              <w:top w:val="single" w:sz="6" w:space="0" w:color="auto"/>
              <w:left w:val="single" w:sz="6" w:space="0" w:color="auto"/>
              <w:right w:val="single" w:sz="6" w:space="0" w:color="auto"/>
            </w:tcBorders>
            <w:shd w:val="clear" w:color="auto" w:fill="C6D9F1" w:themeFill="text2" w:themeFillTint="33"/>
            <w:tcMar>
              <w:top w:w="15" w:type="dxa"/>
              <w:left w:w="15" w:type="dxa"/>
              <w:bottom w:w="15" w:type="dxa"/>
              <w:right w:w="15" w:type="dxa"/>
            </w:tcMar>
            <w:vAlign w:val="center"/>
          </w:tcPr>
          <w:p w14:paraId="31A6F124" w14:textId="096AA351" w:rsidR="00C45D59" w:rsidRDefault="00037E31">
            <w:pPr>
              <w:pStyle w:val="P68B1DB1-Normal15"/>
              <w:spacing w:after="0" w:line="240" w:lineRule="auto"/>
              <w:jc w:val="center"/>
              <w:rPr>
                <w:rFonts w:eastAsia="Times New Roman"/>
                <w:noProof/>
              </w:rPr>
            </w:pPr>
            <w:r>
              <w:rPr>
                <w:noProof/>
              </w:rPr>
              <w:t>Denumire</w:t>
            </w:r>
          </w:p>
        </w:tc>
        <w:tc>
          <w:tcPr>
            <w:tcW w:w="541" w:type="pct"/>
            <w:vMerge w:val="restart"/>
            <w:tcBorders>
              <w:top w:val="single" w:sz="6" w:space="0" w:color="auto"/>
              <w:left w:val="single" w:sz="6" w:space="0" w:color="auto"/>
              <w:right w:val="single" w:sz="6" w:space="0" w:color="auto"/>
            </w:tcBorders>
            <w:shd w:val="clear" w:color="auto" w:fill="C6D9F1" w:themeFill="text2" w:themeFillTint="33"/>
            <w:tcMar>
              <w:top w:w="15" w:type="dxa"/>
              <w:left w:w="15" w:type="dxa"/>
              <w:bottom w:w="15" w:type="dxa"/>
              <w:right w:w="15" w:type="dxa"/>
            </w:tcMar>
            <w:vAlign w:val="center"/>
          </w:tcPr>
          <w:p w14:paraId="6C7DB1D7" w14:textId="77777777" w:rsidR="00C45D59" w:rsidRDefault="009B0962">
            <w:pPr>
              <w:pStyle w:val="P68B1DB1-Normal15"/>
              <w:spacing w:after="0" w:line="240" w:lineRule="auto"/>
              <w:jc w:val="center"/>
              <w:rPr>
                <w:rFonts w:eastAsia="Times New Roman"/>
                <w:noProof/>
              </w:rPr>
            </w:pPr>
            <w:r>
              <w:rPr>
                <w:noProof/>
              </w:rPr>
              <w:t>Indicatori calitativi (pentru obiectivele de etapă)</w:t>
            </w:r>
          </w:p>
        </w:tc>
        <w:tc>
          <w:tcPr>
            <w:tcW w:w="780" w:type="pct"/>
            <w:gridSpan w:val="3"/>
            <w:tcBorders>
              <w:top w:val="single" w:sz="6" w:space="0" w:color="auto"/>
              <w:left w:val="single" w:sz="6" w:space="0" w:color="auto"/>
              <w:bottom w:val="single" w:sz="6" w:space="0" w:color="auto"/>
              <w:right w:val="single" w:sz="6" w:space="0" w:color="auto"/>
            </w:tcBorders>
            <w:shd w:val="clear" w:color="auto" w:fill="C6D9F1" w:themeFill="text2" w:themeFillTint="33"/>
            <w:tcMar>
              <w:top w:w="15" w:type="dxa"/>
              <w:left w:w="15" w:type="dxa"/>
              <w:bottom w:w="15" w:type="dxa"/>
              <w:right w:w="15" w:type="dxa"/>
            </w:tcMar>
          </w:tcPr>
          <w:p w14:paraId="2D1C750D" w14:textId="77777777" w:rsidR="00C45D59" w:rsidRDefault="009B0962">
            <w:pPr>
              <w:pStyle w:val="P68B1DB1-Normal15"/>
              <w:spacing w:after="0" w:line="240" w:lineRule="auto"/>
              <w:jc w:val="center"/>
              <w:rPr>
                <w:noProof/>
              </w:rPr>
            </w:pPr>
            <w:r>
              <w:rPr>
                <w:noProof/>
              </w:rPr>
              <w:t>Indicator cantitativ (pentru niveluri-țintă)</w:t>
            </w:r>
          </w:p>
        </w:tc>
        <w:tc>
          <w:tcPr>
            <w:tcW w:w="430" w:type="pct"/>
            <w:gridSpan w:val="2"/>
            <w:tcBorders>
              <w:top w:val="single" w:sz="6" w:space="0" w:color="auto"/>
              <w:left w:val="single" w:sz="6" w:space="0" w:color="auto"/>
              <w:bottom w:val="single" w:sz="6" w:space="0" w:color="auto"/>
              <w:right w:val="single" w:sz="6" w:space="0" w:color="auto"/>
            </w:tcBorders>
            <w:shd w:val="clear" w:color="auto" w:fill="C6D9F1" w:themeFill="text2" w:themeFillTint="33"/>
            <w:tcMar>
              <w:top w:w="15" w:type="dxa"/>
              <w:left w:w="15" w:type="dxa"/>
              <w:bottom w:w="15" w:type="dxa"/>
              <w:right w:w="15" w:type="dxa"/>
            </w:tcMar>
          </w:tcPr>
          <w:p w14:paraId="37C33596" w14:textId="77777777" w:rsidR="00C45D59" w:rsidRDefault="009B0962">
            <w:pPr>
              <w:pStyle w:val="P68B1DB1-Normal15"/>
              <w:spacing w:after="0" w:line="240" w:lineRule="auto"/>
              <w:jc w:val="center"/>
              <w:rPr>
                <w:noProof/>
              </w:rPr>
            </w:pPr>
            <w:r>
              <w:rPr>
                <w:noProof/>
              </w:rPr>
              <w:t>Calendar orientativ pentru finalizare</w:t>
            </w:r>
          </w:p>
        </w:tc>
        <w:tc>
          <w:tcPr>
            <w:tcW w:w="1217" w:type="pct"/>
            <w:vMerge w:val="restart"/>
            <w:tcBorders>
              <w:top w:val="single" w:sz="6" w:space="0" w:color="auto"/>
              <w:left w:val="single" w:sz="6" w:space="0" w:color="auto"/>
              <w:right w:val="single" w:sz="6" w:space="0" w:color="auto"/>
            </w:tcBorders>
            <w:shd w:val="clear" w:color="auto" w:fill="C6D9F1" w:themeFill="text2" w:themeFillTint="33"/>
            <w:tcMar>
              <w:top w:w="15" w:type="dxa"/>
              <w:left w:w="15" w:type="dxa"/>
              <w:bottom w:w="15" w:type="dxa"/>
              <w:right w:w="15" w:type="dxa"/>
            </w:tcMar>
          </w:tcPr>
          <w:p w14:paraId="56EB885E" w14:textId="77777777" w:rsidR="00C45D59" w:rsidRDefault="00C45D59">
            <w:pPr>
              <w:spacing w:after="0" w:line="240" w:lineRule="auto"/>
              <w:jc w:val="center"/>
              <w:rPr>
                <w:rFonts w:ascii="Times New Roman" w:hAnsi="Times New Roman" w:cs="Times New Roman"/>
                <w:b/>
                <w:noProof/>
                <w:sz w:val="18"/>
                <w:szCs w:val="18"/>
              </w:rPr>
            </w:pPr>
          </w:p>
          <w:p w14:paraId="24DB65ED" w14:textId="77777777" w:rsidR="00C45D59" w:rsidRDefault="00C45D59">
            <w:pPr>
              <w:spacing w:after="0" w:line="240" w:lineRule="auto"/>
              <w:jc w:val="center"/>
              <w:rPr>
                <w:rFonts w:ascii="Times New Roman" w:hAnsi="Times New Roman" w:cs="Times New Roman"/>
                <w:b/>
                <w:noProof/>
                <w:sz w:val="18"/>
                <w:szCs w:val="18"/>
              </w:rPr>
            </w:pPr>
          </w:p>
          <w:p w14:paraId="0FE1FE88" w14:textId="77777777" w:rsidR="00C45D59" w:rsidRDefault="009B0962">
            <w:pPr>
              <w:pStyle w:val="P68B1DB1-Normal15"/>
              <w:spacing w:after="0" w:line="240" w:lineRule="auto"/>
              <w:jc w:val="center"/>
              <w:rPr>
                <w:noProof/>
              </w:rPr>
            </w:pPr>
            <w:r>
              <w:rPr>
                <w:noProof/>
              </w:rPr>
              <w:t>Descrierea fiecărui jalon și a fiecărei ținte</w:t>
            </w:r>
          </w:p>
        </w:tc>
      </w:tr>
      <w:tr w:rsidR="00C45D59" w14:paraId="47280348" w14:textId="77777777">
        <w:trPr>
          <w:trHeight w:val="505"/>
          <w:tblHeader/>
        </w:trPr>
        <w:tc>
          <w:tcPr>
            <w:tcW w:w="254" w:type="pct"/>
            <w:vMerge/>
            <w:tcBorders>
              <w:left w:val="single" w:sz="6" w:space="0" w:color="auto"/>
              <w:bottom w:val="single" w:sz="6" w:space="0" w:color="auto"/>
              <w:right w:val="single" w:sz="6" w:space="0" w:color="auto"/>
            </w:tcBorders>
            <w:shd w:val="clear" w:color="auto" w:fill="C6D9F1" w:themeFill="text2" w:themeFillTint="33"/>
            <w:tcMar>
              <w:top w:w="15" w:type="dxa"/>
              <w:left w:w="15" w:type="dxa"/>
              <w:bottom w:w="15" w:type="dxa"/>
              <w:right w:w="15" w:type="dxa"/>
            </w:tcMar>
          </w:tcPr>
          <w:p w14:paraId="322CE142" w14:textId="77777777" w:rsidR="00C45D59" w:rsidRDefault="00C45D59">
            <w:pPr>
              <w:spacing w:after="0" w:line="240" w:lineRule="auto"/>
              <w:jc w:val="center"/>
              <w:rPr>
                <w:rFonts w:ascii="Times New Roman" w:eastAsia="Times New Roman" w:hAnsi="Times New Roman" w:cs="Times New Roman"/>
                <w:noProof/>
                <w:sz w:val="18"/>
                <w:szCs w:val="18"/>
              </w:rPr>
            </w:pPr>
          </w:p>
        </w:tc>
        <w:tc>
          <w:tcPr>
            <w:tcW w:w="789" w:type="pct"/>
            <w:vMerge/>
            <w:tcBorders>
              <w:left w:val="single" w:sz="6" w:space="0" w:color="auto"/>
              <w:bottom w:val="single" w:sz="6" w:space="0" w:color="auto"/>
              <w:right w:val="single" w:sz="6" w:space="0" w:color="auto"/>
            </w:tcBorders>
            <w:shd w:val="clear" w:color="auto" w:fill="C6D9F1" w:themeFill="text2" w:themeFillTint="33"/>
            <w:tcMar>
              <w:top w:w="15" w:type="dxa"/>
              <w:left w:w="15" w:type="dxa"/>
              <w:bottom w:w="15" w:type="dxa"/>
              <w:right w:w="15" w:type="dxa"/>
            </w:tcMar>
          </w:tcPr>
          <w:p w14:paraId="7ECA6A07" w14:textId="77777777" w:rsidR="00C45D59" w:rsidRDefault="00C45D59">
            <w:pPr>
              <w:spacing w:after="0" w:line="240" w:lineRule="auto"/>
              <w:jc w:val="center"/>
              <w:rPr>
                <w:rFonts w:ascii="Times New Roman" w:eastAsia="Times New Roman" w:hAnsi="Times New Roman" w:cs="Times New Roman"/>
                <w:noProof/>
                <w:sz w:val="18"/>
                <w:szCs w:val="18"/>
              </w:rPr>
            </w:pPr>
          </w:p>
        </w:tc>
        <w:tc>
          <w:tcPr>
            <w:tcW w:w="392" w:type="pct"/>
            <w:vMerge/>
            <w:tcBorders>
              <w:left w:val="single" w:sz="6" w:space="0" w:color="auto"/>
              <w:bottom w:val="single" w:sz="6" w:space="0" w:color="auto"/>
              <w:right w:val="single" w:sz="6" w:space="0" w:color="auto"/>
            </w:tcBorders>
            <w:shd w:val="clear" w:color="auto" w:fill="C6D9F1" w:themeFill="text2" w:themeFillTint="33"/>
            <w:tcMar>
              <w:top w:w="15" w:type="dxa"/>
              <w:left w:w="15" w:type="dxa"/>
              <w:bottom w:w="15" w:type="dxa"/>
              <w:right w:w="15" w:type="dxa"/>
            </w:tcMar>
          </w:tcPr>
          <w:p w14:paraId="36529291" w14:textId="77777777" w:rsidR="00C45D59" w:rsidRDefault="00C45D59">
            <w:pPr>
              <w:spacing w:after="0" w:line="240" w:lineRule="auto"/>
              <w:jc w:val="center"/>
              <w:rPr>
                <w:rFonts w:ascii="Times New Roman" w:eastAsia="Times New Roman" w:hAnsi="Times New Roman" w:cs="Times New Roman"/>
                <w:noProof/>
                <w:sz w:val="18"/>
                <w:szCs w:val="18"/>
              </w:rPr>
            </w:pPr>
          </w:p>
        </w:tc>
        <w:tc>
          <w:tcPr>
            <w:tcW w:w="597" w:type="pct"/>
            <w:vMerge/>
            <w:tcBorders>
              <w:left w:val="single" w:sz="6" w:space="0" w:color="auto"/>
              <w:bottom w:val="single" w:sz="6" w:space="0" w:color="auto"/>
              <w:right w:val="single" w:sz="6" w:space="0" w:color="auto"/>
            </w:tcBorders>
            <w:shd w:val="clear" w:color="auto" w:fill="C6D9F1" w:themeFill="text2" w:themeFillTint="33"/>
            <w:tcMar>
              <w:top w:w="15" w:type="dxa"/>
              <w:left w:w="15" w:type="dxa"/>
              <w:bottom w:w="15" w:type="dxa"/>
              <w:right w:w="15" w:type="dxa"/>
            </w:tcMar>
          </w:tcPr>
          <w:p w14:paraId="18CDA09E" w14:textId="77777777" w:rsidR="00C45D59" w:rsidRDefault="00C45D59">
            <w:pPr>
              <w:spacing w:after="0" w:line="240" w:lineRule="auto"/>
              <w:jc w:val="center"/>
              <w:rPr>
                <w:rFonts w:ascii="Times New Roman" w:eastAsia="Times New Roman" w:hAnsi="Times New Roman" w:cs="Times New Roman"/>
                <w:noProof/>
                <w:sz w:val="18"/>
                <w:szCs w:val="18"/>
              </w:rPr>
            </w:pPr>
          </w:p>
        </w:tc>
        <w:tc>
          <w:tcPr>
            <w:tcW w:w="541" w:type="pct"/>
            <w:vMerge/>
            <w:tcBorders>
              <w:left w:val="single" w:sz="6" w:space="0" w:color="auto"/>
              <w:bottom w:val="single" w:sz="6" w:space="0" w:color="auto"/>
              <w:right w:val="single" w:sz="6" w:space="0" w:color="auto"/>
            </w:tcBorders>
            <w:shd w:val="clear" w:color="auto" w:fill="C6D9F1" w:themeFill="text2" w:themeFillTint="33"/>
            <w:tcMar>
              <w:top w:w="15" w:type="dxa"/>
              <w:left w:w="15" w:type="dxa"/>
              <w:bottom w:w="15" w:type="dxa"/>
              <w:right w:w="15" w:type="dxa"/>
            </w:tcMar>
          </w:tcPr>
          <w:p w14:paraId="23977C02" w14:textId="77777777" w:rsidR="00C45D59" w:rsidRDefault="00C45D59">
            <w:pPr>
              <w:spacing w:after="0" w:line="240" w:lineRule="auto"/>
              <w:jc w:val="center"/>
              <w:rPr>
                <w:rFonts w:ascii="Times New Roman" w:eastAsia="Times New Roman" w:hAnsi="Times New Roman" w:cs="Times New Roman"/>
                <w:noProof/>
                <w:sz w:val="18"/>
                <w:szCs w:val="18"/>
              </w:rPr>
            </w:pPr>
          </w:p>
        </w:tc>
        <w:tc>
          <w:tcPr>
            <w:tcW w:w="244" w:type="pct"/>
            <w:tcBorders>
              <w:top w:val="single" w:sz="6" w:space="0" w:color="auto"/>
              <w:left w:val="single" w:sz="6" w:space="0" w:color="auto"/>
              <w:bottom w:val="single" w:sz="6" w:space="0" w:color="auto"/>
              <w:right w:val="single" w:sz="6" w:space="0" w:color="auto"/>
            </w:tcBorders>
            <w:shd w:val="clear" w:color="auto" w:fill="C6D9F1" w:themeFill="text2" w:themeFillTint="33"/>
            <w:tcMar>
              <w:top w:w="15" w:type="dxa"/>
              <w:left w:w="15" w:type="dxa"/>
              <w:bottom w:w="15" w:type="dxa"/>
              <w:right w:w="15" w:type="dxa"/>
            </w:tcMar>
          </w:tcPr>
          <w:p w14:paraId="057D0B75" w14:textId="77777777" w:rsidR="00C45D59" w:rsidRDefault="009B0962">
            <w:pPr>
              <w:pStyle w:val="P68B1DB1-Normal15"/>
              <w:spacing w:after="0" w:line="240" w:lineRule="auto"/>
              <w:jc w:val="center"/>
              <w:rPr>
                <w:noProof/>
              </w:rPr>
            </w:pPr>
            <w:r>
              <w:rPr>
                <w:noProof/>
              </w:rPr>
              <w:t>Unitate</w:t>
            </w:r>
          </w:p>
        </w:tc>
        <w:tc>
          <w:tcPr>
            <w:tcW w:w="337" w:type="pct"/>
            <w:tcBorders>
              <w:top w:val="single" w:sz="6" w:space="0" w:color="auto"/>
              <w:left w:val="single" w:sz="6" w:space="0" w:color="auto"/>
              <w:bottom w:val="single" w:sz="6" w:space="0" w:color="auto"/>
              <w:right w:val="single" w:sz="6" w:space="0" w:color="auto"/>
            </w:tcBorders>
            <w:shd w:val="clear" w:color="auto" w:fill="C6D9F1" w:themeFill="text2" w:themeFillTint="33"/>
            <w:tcMar>
              <w:top w:w="15" w:type="dxa"/>
              <w:left w:w="15" w:type="dxa"/>
              <w:bottom w:w="15" w:type="dxa"/>
              <w:right w:w="15" w:type="dxa"/>
            </w:tcMar>
          </w:tcPr>
          <w:p w14:paraId="292D39DC" w14:textId="77777777" w:rsidR="00C45D59" w:rsidRDefault="009B0962">
            <w:pPr>
              <w:pStyle w:val="P68B1DB1-Normal15"/>
              <w:spacing w:after="0" w:line="240" w:lineRule="auto"/>
              <w:jc w:val="center"/>
              <w:rPr>
                <w:noProof/>
              </w:rPr>
            </w:pPr>
            <w:r>
              <w:rPr>
                <w:noProof/>
              </w:rPr>
              <w:t>Situația de referință</w:t>
            </w:r>
          </w:p>
        </w:tc>
        <w:tc>
          <w:tcPr>
            <w:tcW w:w="199" w:type="pct"/>
            <w:tcBorders>
              <w:top w:val="single" w:sz="6" w:space="0" w:color="auto"/>
              <w:left w:val="single" w:sz="6" w:space="0" w:color="auto"/>
              <w:bottom w:val="single" w:sz="6" w:space="0" w:color="auto"/>
              <w:right w:val="single" w:sz="6" w:space="0" w:color="auto"/>
            </w:tcBorders>
            <w:shd w:val="clear" w:color="auto" w:fill="C6D9F1" w:themeFill="text2" w:themeFillTint="33"/>
            <w:tcMar>
              <w:top w:w="15" w:type="dxa"/>
              <w:left w:w="15" w:type="dxa"/>
              <w:bottom w:w="15" w:type="dxa"/>
              <w:right w:w="15" w:type="dxa"/>
            </w:tcMar>
          </w:tcPr>
          <w:p w14:paraId="471162CC" w14:textId="77777777" w:rsidR="00C45D59" w:rsidRDefault="009B0962">
            <w:pPr>
              <w:pStyle w:val="P68B1DB1-Normal15"/>
              <w:spacing w:after="0" w:line="240" w:lineRule="auto"/>
              <w:jc w:val="center"/>
              <w:rPr>
                <w:noProof/>
              </w:rPr>
            </w:pPr>
            <w:r>
              <w:rPr>
                <w:noProof/>
              </w:rPr>
              <w:t>Obiectiv</w:t>
            </w:r>
          </w:p>
        </w:tc>
        <w:tc>
          <w:tcPr>
            <w:tcW w:w="226" w:type="pct"/>
            <w:tcBorders>
              <w:top w:val="single" w:sz="6" w:space="0" w:color="auto"/>
              <w:left w:val="single" w:sz="6" w:space="0" w:color="auto"/>
              <w:bottom w:val="single" w:sz="6" w:space="0" w:color="auto"/>
              <w:right w:val="single" w:sz="6" w:space="0" w:color="auto"/>
            </w:tcBorders>
            <w:shd w:val="clear" w:color="auto" w:fill="C6D9F1" w:themeFill="text2" w:themeFillTint="33"/>
            <w:tcMar>
              <w:top w:w="15" w:type="dxa"/>
              <w:left w:w="15" w:type="dxa"/>
              <w:bottom w:w="15" w:type="dxa"/>
              <w:right w:w="15" w:type="dxa"/>
            </w:tcMar>
          </w:tcPr>
          <w:p w14:paraId="0107F698" w14:textId="77777777" w:rsidR="00C45D59" w:rsidRDefault="009B0962">
            <w:pPr>
              <w:pStyle w:val="P68B1DB1-Normal15"/>
              <w:spacing w:after="0" w:line="240" w:lineRule="auto"/>
              <w:jc w:val="center"/>
              <w:rPr>
                <w:noProof/>
              </w:rPr>
            </w:pPr>
            <w:r>
              <w:rPr>
                <w:noProof/>
              </w:rPr>
              <w:t>Trimestru</w:t>
            </w:r>
          </w:p>
        </w:tc>
        <w:tc>
          <w:tcPr>
            <w:tcW w:w="204" w:type="pct"/>
            <w:tcBorders>
              <w:top w:val="single" w:sz="6" w:space="0" w:color="auto"/>
              <w:left w:val="single" w:sz="6" w:space="0" w:color="auto"/>
              <w:bottom w:val="single" w:sz="6" w:space="0" w:color="auto"/>
              <w:right w:val="single" w:sz="6" w:space="0" w:color="auto"/>
            </w:tcBorders>
            <w:shd w:val="clear" w:color="auto" w:fill="C6D9F1" w:themeFill="text2" w:themeFillTint="33"/>
            <w:tcMar>
              <w:top w:w="15" w:type="dxa"/>
              <w:left w:w="15" w:type="dxa"/>
              <w:bottom w:w="15" w:type="dxa"/>
              <w:right w:w="15" w:type="dxa"/>
            </w:tcMar>
          </w:tcPr>
          <w:p w14:paraId="298BC776" w14:textId="77777777" w:rsidR="00C45D59" w:rsidRDefault="009B0962">
            <w:pPr>
              <w:pStyle w:val="P68B1DB1-Normal15"/>
              <w:spacing w:after="0" w:line="240" w:lineRule="auto"/>
              <w:jc w:val="center"/>
              <w:rPr>
                <w:noProof/>
              </w:rPr>
            </w:pPr>
            <w:r>
              <w:rPr>
                <w:noProof/>
              </w:rPr>
              <w:t>Anul</w:t>
            </w:r>
          </w:p>
        </w:tc>
        <w:tc>
          <w:tcPr>
            <w:tcW w:w="1217" w:type="pct"/>
            <w:vMerge/>
            <w:tcBorders>
              <w:left w:val="single" w:sz="6" w:space="0" w:color="auto"/>
              <w:bottom w:val="single" w:sz="6" w:space="0" w:color="auto"/>
              <w:right w:val="single" w:sz="6" w:space="0" w:color="auto"/>
            </w:tcBorders>
            <w:shd w:val="clear" w:color="auto" w:fill="C6D9F1" w:themeFill="text2" w:themeFillTint="33"/>
            <w:tcMar>
              <w:top w:w="15" w:type="dxa"/>
              <w:left w:w="15" w:type="dxa"/>
              <w:bottom w:w="15" w:type="dxa"/>
              <w:right w:w="15" w:type="dxa"/>
            </w:tcMar>
          </w:tcPr>
          <w:p w14:paraId="726FD414" w14:textId="77777777" w:rsidR="00C45D59" w:rsidRDefault="00C45D59">
            <w:pPr>
              <w:spacing w:after="0" w:line="240" w:lineRule="auto"/>
              <w:jc w:val="center"/>
              <w:rPr>
                <w:rFonts w:ascii="Times New Roman" w:hAnsi="Times New Roman" w:cs="Times New Roman"/>
                <w:b/>
                <w:noProof/>
                <w:sz w:val="18"/>
                <w:szCs w:val="18"/>
              </w:rPr>
            </w:pPr>
          </w:p>
        </w:tc>
      </w:tr>
      <w:tr w:rsidR="00C45D59" w14:paraId="750FE8DB" w14:textId="77777777">
        <w:trPr>
          <w:trHeight w:val="739"/>
        </w:trPr>
        <w:tc>
          <w:tcPr>
            <w:tcW w:w="254" w:type="pct"/>
            <w:tcBorders>
              <w:top w:val="single" w:sz="6" w:space="0" w:color="auto"/>
              <w:left w:val="single" w:sz="6" w:space="0" w:color="auto"/>
              <w:bottom w:val="single" w:sz="6" w:space="0" w:color="auto"/>
              <w:right w:val="single" w:sz="6" w:space="0" w:color="auto"/>
            </w:tcBorders>
            <w:shd w:val="clear" w:color="auto" w:fill="C6EFCE"/>
            <w:tcMar>
              <w:top w:w="15" w:type="dxa"/>
              <w:left w:w="15" w:type="dxa"/>
              <w:bottom w:w="15" w:type="dxa"/>
              <w:right w:w="15" w:type="dxa"/>
            </w:tcMar>
          </w:tcPr>
          <w:p w14:paraId="6512B4B3" w14:textId="77777777" w:rsidR="00C45D59" w:rsidRDefault="009B0962">
            <w:pPr>
              <w:pStyle w:val="P68B1DB1-Normal12"/>
              <w:spacing w:after="0" w:line="240" w:lineRule="auto"/>
              <w:rPr>
                <w:noProof/>
              </w:rPr>
            </w:pPr>
            <w:r>
              <w:rPr>
                <w:noProof/>
              </w:rPr>
              <w:t>382</w:t>
            </w:r>
          </w:p>
        </w:tc>
        <w:tc>
          <w:tcPr>
            <w:tcW w:w="789" w:type="pct"/>
            <w:tcBorders>
              <w:top w:val="single" w:sz="6" w:space="0" w:color="auto"/>
              <w:left w:val="single" w:sz="6" w:space="0" w:color="auto"/>
              <w:bottom w:val="single" w:sz="6" w:space="0" w:color="auto"/>
              <w:right w:val="single" w:sz="6" w:space="0" w:color="auto"/>
            </w:tcBorders>
            <w:shd w:val="clear" w:color="auto" w:fill="C6EFCE"/>
            <w:tcMar>
              <w:top w:w="15" w:type="dxa"/>
              <w:left w:w="15" w:type="dxa"/>
              <w:bottom w:w="15" w:type="dxa"/>
              <w:right w:w="15" w:type="dxa"/>
            </w:tcMar>
          </w:tcPr>
          <w:p w14:paraId="19AB252D" w14:textId="77777777" w:rsidR="00C45D59" w:rsidRDefault="009B0962">
            <w:pPr>
              <w:pStyle w:val="P68B1DB1-Normal12"/>
              <w:spacing w:after="0" w:line="240" w:lineRule="auto"/>
              <w:rPr>
                <w:noProof/>
              </w:rPr>
            </w:pPr>
            <w:r>
              <w:rPr>
                <w:noProof/>
              </w:rPr>
              <w:t>4.7. Îmbunătățirea competitivității și promovarea investițiilor private și a exporturilor – 16403_Injecție de capital în Banca Elenă de Dezvoltare</w:t>
            </w:r>
          </w:p>
        </w:tc>
        <w:tc>
          <w:tcPr>
            <w:tcW w:w="392" w:type="pct"/>
            <w:tcBorders>
              <w:top w:val="single" w:sz="6" w:space="0" w:color="auto"/>
              <w:left w:val="single" w:sz="6" w:space="0" w:color="auto"/>
              <w:bottom w:val="single" w:sz="6" w:space="0" w:color="auto"/>
              <w:right w:val="single" w:sz="6" w:space="0" w:color="auto"/>
            </w:tcBorders>
            <w:shd w:val="clear" w:color="auto" w:fill="C6EFCE"/>
            <w:tcMar>
              <w:top w:w="15" w:type="dxa"/>
              <w:left w:w="15" w:type="dxa"/>
              <w:bottom w:w="15" w:type="dxa"/>
              <w:right w:w="15" w:type="dxa"/>
            </w:tcMar>
          </w:tcPr>
          <w:p w14:paraId="55BDE346" w14:textId="77777777" w:rsidR="00C45D59" w:rsidRDefault="009B0962">
            <w:pPr>
              <w:pStyle w:val="P68B1DB1-Normal12"/>
              <w:spacing w:after="0" w:line="240" w:lineRule="auto"/>
              <w:rPr>
                <w:noProof/>
              </w:rPr>
            </w:pPr>
            <w:r>
              <w:rPr>
                <w:noProof/>
              </w:rPr>
              <w:t>Etapă</w:t>
            </w:r>
          </w:p>
        </w:tc>
        <w:tc>
          <w:tcPr>
            <w:tcW w:w="597" w:type="pct"/>
            <w:tcBorders>
              <w:top w:val="single" w:sz="6" w:space="0" w:color="auto"/>
              <w:left w:val="single" w:sz="6" w:space="0" w:color="auto"/>
              <w:bottom w:val="single" w:sz="6" w:space="0" w:color="auto"/>
              <w:right w:val="single" w:sz="6" w:space="0" w:color="auto"/>
            </w:tcBorders>
            <w:shd w:val="clear" w:color="auto" w:fill="C6EFCE"/>
            <w:tcMar>
              <w:top w:w="15" w:type="dxa"/>
              <w:left w:w="15" w:type="dxa"/>
              <w:bottom w:w="15" w:type="dxa"/>
              <w:right w:w="15" w:type="dxa"/>
            </w:tcMar>
          </w:tcPr>
          <w:p w14:paraId="70C4C98C" w14:textId="77777777" w:rsidR="00C45D59" w:rsidRDefault="009B0962">
            <w:pPr>
              <w:pStyle w:val="P68B1DB1-Normal12"/>
              <w:spacing w:after="0" w:line="240" w:lineRule="auto"/>
              <w:rPr>
                <w:noProof/>
              </w:rPr>
            </w:pPr>
            <w:r>
              <w:rPr>
                <w:noProof/>
              </w:rPr>
              <w:t>Politică de investiții</w:t>
            </w:r>
          </w:p>
        </w:tc>
        <w:tc>
          <w:tcPr>
            <w:tcW w:w="541" w:type="pct"/>
            <w:tcBorders>
              <w:top w:val="single" w:sz="6" w:space="0" w:color="auto"/>
              <w:left w:val="single" w:sz="6" w:space="0" w:color="auto"/>
              <w:bottom w:val="single" w:sz="6" w:space="0" w:color="auto"/>
              <w:right w:val="single" w:sz="6" w:space="0" w:color="auto"/>
            </w:tcBorders>
            <w:shd w:val="clear" w:color="auto" w:fill="C6EFCE"/>
            <w:tcMar>
              <w:top w:w="15" w:type="dxa"/>
              <w:left w:w="15" w:type="dxa"/>
              <w:bottom w:w="15" w:type="dxa"/>
              <w:right w:w="15" w:type="dxa"/>
            </w:tcMar>
          </w:tcPr>
          <w:p w14:paraId="4874E6E3" w14:textId="77777777" w:rsidR="00C45D59" w:rsidRDefault="009B0962">
            <w:pPr>
              <w:pStyle w:val="P68B1DB1-Normal12"/>
              <w:spacing w:after="0" w:line="240" w:lineRule="auto"/>
              <w:rPr>
                <w:noProof/>
              </w:rPr>
            </w:pPr>
            <w:r>
              <w:rPr>
                <w:noProof/>
              </w:rPr>
              <w:t>Adoptarea unei politici de investiții</w:t>
            </w:r>
          </w:p>
        </w:tc>
        <w:tc>
          <w:tcPr>
            <w:tcW w:w="244" w:type="pct"/>
            <w:tcBorders>
              <w:top w:val="single" w:sz="6" w:space="0" w:color="auto"/>
              <w:left w:val="single" w:sz="6" w:space="0" w:color="auto"/>
              <w:bottom w:val="single" w:sz="6" w:space="0" w:color="auto"/>
              <w:right w:val="single" w:sz="6" w:space="0" w:color="auto"/>
            </w:tcBorders>
            <w:shd w:val="clear" w:color="auto" w:fill="C6EFCE"/>
            <w:tcMar>
              <w:top w:w="15" w:type="dxa"/>
              <w:left w:w="15" w:type="dxa"/>
              <w:bottom w:w="15" w:type="dxa"/>
              <w:right w:w="15" w:type="dxa"/>
            </w:tcMar>
          </w:tcPr>
          <w:p w14:paraId="47CA6303" w14:textId="77777777" w:rsidR="00C45D59" w:rsidRDefault="009B0962">
            <w:pPr>
              <w:pStyle w:val="P68B1DB1-Normal12"/>
              <w:spacing w:after="0" w:line="240" w:lineRule="auto"/>
              <w:rPr>
                <w:noProof/>
              </w:rPr>
            </w:pPr>
            <w:r>
              <w:rPr>
                <w:noProof/>
              </w:rPr>
              <w:t xml:space="preserve"> </w:t>
            </w:r>
          </w:p>
        </w:tc>
        <w:tc>
          <w:tcPr>
            <w:tcW w:w="337" w:type="pct"/>
            <w:tcBorders>
              <w:top w:val="single" w:sz="6" w:space="0" w:color="auto"/>
              <w:left w:val="single" w:sz="6" w:space="0" w:color="auto"/>
              <w:bottom w:val="single" w:sz="6" w:space="0" w:color="auto"/>
              <w:right w:val="single" w:sz="6" w:space="0" w:color="auto"/>
            </w:tcBorders>
            <w:shd w:val="clear" w:color="auto" w:fill="C6EFCE"/>
            <w:tcMar>
              <w:top w:w="15" w:type="dxa"/>
              <w:left w:w="15" w:type="dxa"/>
              <w:bottom w:w="15" w:type="dxa"/>
              <w:right w:w="15" w:type="dxa"/>
            </w:tcMar>
          </w:tcPr>
          <w:p w14:paraId="3A454E0B" w14:textId="77777777" w:rsidR="00C45D59" w:rsidRDefault="009B0962">
            <w:pPr>
              <w:pStyle w:val="P68B1DB1-Normal12"/>
              <w:spacing w:after="0" w:line="240" w:lineRule="auto"/>
              <w:rPr>
                <w:noProof/>
              </w:rPr>
            </w:pPr>
            <w:r>
              <w:rPr>
                <w:noProof/>
              </w:rPr>
              <w:t xml:space="preserve"> </w:t>
            </w:r>
          </w:p>
        </w:tc>
        <w:tc>
          <w:tcPr>
            <w:tcW w:w="199" w:type="pct"/>
            <w:tcBorders>
              <w:top w:val="single" w:sz="6" w:space="0" w:color="auto"/>
              <w:left w:val="single" w:sz="6" w:space="0" w:color="auto"/>
              <w:bottom w:val="single" w:sz="6" w:space="0" w:color="auto"/>
              <w:right w:val="single" w:sz="6" w:space="0" w:color="auto"/>
            </w:tcBorders>
            <w:shd w:val="clear" w:color="auto" w:fill="C6EFCE"/>
            <w:tcMar>
              <w:top w:w="15" w:type="dxa"/>
              <w:left w:w="15" w:type="dxa"/>
              <w:bottom w:w="15" w:type="dxa"/>
              <w:right w:w="15" w:type="dxa"/>
            </w:tcMar>
          </w:tcPr>
          <w:p w14:paraId="0FCFE1AD" w14:textId="77777777" w:rsidR="00C45D59" w:rsidRDefault="009B0962">
            <w:pPr>
              <w:pStyle w:val="P68B1DB1-Normal12"/>
              <w:spacing w:after="0" w:line="240" w:lineRule="auto"/>
              <w:rPr>
                <w:noProof/>
              </w:rPr>
            </w:pPr>
            <w:r>
              <w:rPr>
                <w:noProof/>
              </w:rPr>
              <w:t xml:space="preserve"> </w:t>
            </w:r>
          </w:p>
        </w:tc>
        <w:tc>
          <w:tcPr>
            <w:tcW w:w="226" w:type="pct"/>
            <w:tcBorders>
              <w:top w:val="single" w:sz="6" w:space="0" w:color="auto"/>
              <w:left w:val="single" w:sz="6" w:space="0" w:color="auto"/>
              <w:bottom w:val="single" w:sz="6" w:space="0" w:color="auto"/>
              <w:right w:val="single" w:sz="6" w:space="0" w:color="auto"/>
            </w:tcBorders>
            <w:shd w:val="clear" w:color="auto" w:fill="C6EFCE"/>
            <w:tcMar>
              <w:top w:w="15" w:type="dxa"/>
              <w:left w:w="15" w:type="dxa"/>
              <w:bottom w:w="15" w:type="dxa"/>
              <w:right w:w="15" w:type="dxa"/>
            </w:tcMar>
          </w:tcPr>
          <w:p w14:paraId="35116FFB" w14:textId="77777777" w:rsidR="00C45D59" w:rsidRDefault="009B0962">
            <w:pPr>
              <w:pStyle w:val="P68B1DB1-Normal12"/>
              <w:spacing w:after="0" w:line="240" w:lineRule="auto"/>
              <w:rPr>
                <w:noProof/>
              </w:rPr>
            </w:pPr>
            <w:r>
              <w:rPr>
                <w:noProof/>
              </w:rPr>
              <w:t>Î2</w:t>
            </w:r>
          </w:p>
        </w:tc>
        <w:tc>
          <w:tcPr>
            <w:tcW w:w="204" w:type="pct"/>
            <w:tcBorders>
              <w:top w:val="single" w:sz="6" w:space="0" w:color="auto"/>
              <w:left w:val="single" w:sz="6" w:space="0" w:color="auto"/>
              <w:bottom w:val="single" w:sz="6" w:space="0" w:color="auto"/>
              <w:right w:val="single" w:sz="6" w:space="0" w:color="auto"/>
            </w:tcBorders>
            <w:shd w:val="clear" w:color="auto" w:fill="C6EFCE"/>
            <w:tcMar>
              <w:top w:w="15" w:type="dxa"/>
              <w:left w:w="15" w:type="dxa"/>
              <w:bottom w:w="15" w:type="dxa"/>
              <w:right w:w="15" w:type="dxa"/>
            </w:tcMar>
          </w:tcPr>
          <w:p w14:paraId="7901CA9E" w14:textId="77777777" w:rsidR="00C45D59" w:rsidRDefault="009B0962">
            <w:pPr>
              <w:pStyle w:val="P68B1DB1-Normal12"/>
              <w:spacing w:after="0" w:line="240" w:lineRule="auto"/>
              <w:rPr>
                <w:noProof/>
              </w:rPr>
            </w:pPr>
            <w:r>
              <w:rPr>
                <w:noProof/>
              </w:rPr>
              <w:t>2026</w:t>
            </w:r>
          </w:p>
        </w:tc>
        <w:tc>
          <w:tcPr>
            <w:tcW w:w="1217" w:type="pct"/>
            <w:tcBorders>
              <w:top w:val="single" w:sz="6" w:space="0" w:color="auto"/>
              <w:left w:val="single" w:sz="6" w:space="0" w:color="auto"/>
              <w:bottom w:val="single" w:sz="6" w:space="0" w:color="auto"/>
              <w:right w:val="single" w:sz="6" w:space="0" w:color="auto"/>
            </w:tcBorders>
            <w:shd w:val="clear" w:color="auto" w:fill="C6EFCE"/>
            <w:tcMar>
              <w:top w:w="15" w:type="dxa"/>
              <w:left w:w="15" w:type="dxa"/>
              <w:bottom w:w="15" w:type="dxa"/>
              <w:right w:w="15" w:type="dxa"/>
            </w:tcMar>
          </w:tcPr>
          <w:p w14:paraId="54C718D1" w14:textId="77777777" w:rsidR="00C45D59" w:rsidRDefault="009B0962">
            <w:pPr>
              <w:pStyle w:val="P68B1DB1-Normal12"/>
              <w:spacing w:after="0" w:line="240" w:lineRule="auto"/>
              <w:rPr>
                <w:noProof/>
              </w:rPr>
            </w:pPr>
            <w:r>
              <w:rPr>
                <w:noProof/>
              </w:rPr>
              <w:t>Adoptarea unei noi politici de investiții pentru Banca Elenă de Dezvoltare pentru utilizarea injecției de capital suplimentare.</w:t>
            </w:r>
          </w:p>
        </w:tc>
      </w:tr>
      <w:tr w:rsidR="00C45D59" w14:paraId="584209DC" w14:textId="77777777">
        <w:trPr>
          <w:trHeight w:val="300"/>
        </w:trPr>
        <w:tc>
          <w:tcPr>
            <w:tcW w:w="254" w:type="pct"/>
            <w:tcBorders>
              <w:top w:val="single" w:sz="6" w:space="0" w:color="auto"/>
              <w:left w:val="single" w:sz="6" w:space="0" w:color="auto"/>
              <w:bottom w:val="single" w:sz="6" w:space="0" w:color="auto"/>
              <w:right w:val="single" w:sz="6" w:space="0" w:color="auto"/>
            </w:tcBorders>
            <w:shd w:val="clear" w:color="auto" w:fill="C6EFCE"/>
            <w:tcMar>
              <w:top w:w="15" w:type="dxa"/>
              <w:left w:w="15" w:type="dxa"/>
              <w:bottom w:w="15" w:type="dxa"/>
              <w:right w:w="15" w:type="dxa"/>
            </w:tcMar>
          </w:tcPr>
          <w:p w14:paraId="7E651F14" w14:textId="77777777" w:rsidR="00C45D59" w:rsidRDefault="009B0962">
            <w:pPr>
              <w:pStyle w:val="P68B1DB1-Normal12"/>
              <w:spacing w:after="0" w:line="240" w:lineRule="auto"/>
              <w:rPr>
                <w:noProof/>
              </w:rPr>
            </w:pPr>
            <w:r>
              <w:rPr>
                <w:noProof/>
              </w:rPr>
              <w:t>383</w:t>
            </w:r>
          </w:p>
        </w:tc>
        <w:tc>
          <w:tcPr>
            <w:tcW w:w="789" w:type="pct"/>
            <w:tcBorders>
              <w:top w:val="single" w:sz="6" w:space="0" w:color="auto"/>
              <w:left w:val="single" w:sz="6" w:space="0" w:color="auto"/>
              <w:bottom w:val="single" w:sz="6" w:space="0" w:color="auto"/>
              <w:right w:val="single" w:sz="6" w:space="0" w:color="auto"/>
            </w:tcBorders>
            <w:shd w:val="clear" w:color="auto" w:fill="C6EFCE"/>
            <w:tcMar>
              <w:top w:w="15" w:type="dxa"/>
              <w:left w:w="15" w:type="dxa"/>
              <w:bottom w:w="15" w:type="dxa"/>
              <w:right w:w="15" w:type="dxa"/>
            </w:tcMar>
          </w:tcPr>
          <w:p w14:paraId="0866367C" w14:textId="77777777" w:rsidR="00C45D59" w:rsidRDefault="009B0962">
            <w:pPr>
              <w:pStyle w:val="P68B1DB1-Normal12"/>
              <w:spacing w:after="0" w:line="240" w:lineRule="auto"/>
              <w:rPr>
                <w:noProof/>
              </w:rPr>
            </w:pPr>
            <w:r>
              <w:rPr>
                <w:noProof/>
              </w:rPr>
              <w:t>4.7. Îmbunătățirea competitivității și promovarea investițiilor private și a exporturilor – 16403_Injecție de capital în Banca Elenă de Dezvoltare</w:t>
            </w:r>
          </w:p>
        </w:tc>
        <w:tc>
          <w:tcPr>
            <w:tcW w:w="392" w:type="pct"/>
            <w:tcBorders>
              <w:top w:val="single" w:sz="6" w:space="0" w:color="auto"/>
              <w:left w:val="single" w:sz="6" w:space="0" w:color="auto"/>
              <w:bottom w:val="single" w:sz="6" w:space="0" w:color="auto"/>
              <w:right w:val="single" w:sz="6" w:space="0" w:color="auto"/>
            </w:tcBorders>
            <w:shd w:val="clear" w:color="auto" w:fill="C6EFCE"/>
            <w:tcMar>
              <w:top w:w="15" w:type="dxa"/>
              <w:left w:w="15" w:type="dxa"/>
              <w:bottom w:w="15" w:type="dxa"/>
              <w:right w:w="15" w:type="dxa"/>
            </w:tcMar>
          </w:tcPr>
          <w:p w14:paraId="5444DC08" w14:textId="77777777" w:rsidR="00C45D59" w:rsidRDefault="009B0962">
            <w:pPr>
              <w:pStyle w:val="P68B1DB1-Normal12"/>
              <w:spacing w:line="240" w:lineRule="auto"/>
              <w:rPr>
                <w:noProof/>
              </w:rPr>
            </w:pPr>
            <w:r>
              <w:rPr>
                <w:noProof/>
              </w:rPr>
              <w:t>Etapă</w:t>
            </w:r>
          </w:p>
        </w:tc>
        <w:tc>
          <w:tcPr>
            <w:tcW w:w="597" w:type="pct"/>
            <w:tcBorders>
              <w:top w:val="single" w:sz="6" w:space="0" w:color="auto"/>
              <w:left w:val="single" w:sz="6" w:space="0" w:color="auto"/>
              <w:bottom w:val="single" w:sz="6" w:space="0" w:color="auto"/>
              <w:right w:val="single" w:sz="6" w:space="0" w:color="auto"/>
            </w:tcBorders>
            <w:shd w:val="clear" w:color="auto" w:fill="C6EFCE"/>
            <w:tcMar>
              <w:top w:w="15" w:type="dxa"/>
              <w:left w:w="15" w:type="dxa"/>
              <w:bottom w:w="15" w:type="dxa"/>
              <w:right w:w="15" w:type="dxa"/>
            </w:tcMar>
          </w:tcPr>
          <w:p w14:paraId="70BA0674" w14:textId="77777777" w:rsidR="00C45D59" w:rsidRDefault="009B0962">
            <w:pPr>
              <w:pStyle w:val="P68B1DB1-Normal12"/>
              <w:spacing w:line="240" w:lineRule="auto"/>
              <w:rPr>
                <w:noProof/>
              </w:rPr>
            </w:pPr>
            <w:r>
              <w:rPr>
                <w:noProof/>
              </w:rPr>
              <w:t>Injecție de capital</w:t>
            </w:r>
          </w:p>
        </w:tc>
        <w:tc>
          <w:tcPr>
            <w:tcW w:w="541" w:type="pct"/>
            <w:tcBorders>
              <w:top w:val="single" w:sz="6" w:space="0" w:color="auto"/>
              <w:left w:val="single" w:sz="6" w:space="0" w:color="auto"/>
              <w:bottom w:val="single" w:sz="6" w:space="0" w:color="auto"/>
              <w:right w:val="single" w:sz="6" w:space="0" w:color="auto"/>
            </w:tcBorders>
            <w:shd w:val="clear" w:color="auto" w:fill="C6EFCE"/>
            <w:tcMar>
              <w:top w:w="15" w:type="dxa"/>
              <w:left w:w="15" w:type="dxa"/>
              <w:bottom w:w="15" w:type="dxa"/>
              <w:right w:w="15" w:type="dxa"/>
            </w:tcMar>
          </w:tcPr>
          <w:p w14:paraId="2B969165" w14:textId="77777777" w:rsidR="00C45D59" w:rsidRDefault="009B0962">
            <w:pPr>
              <w:pStyle w:val="P68B1DB1-Normal12"/>
              <w:spacing w:line="240" w:lineRule="auto"/>
              <w:rPr>
                <w:noProof/>
              </w:rPr>
            </w:pPr>
            <w:r>
              <w:rPr>
                <w:noProof/>
              </w:rPr>
              <w:t xml:space="preserve">Certificatul de transfer </w:t>
            </w:r>
          </w:p>
        </w:tc>
        <w:tc>
          <w:tcPr>
            <w:tcW w:w="244" w:type="pct"/>
            <w:tcBorders>
              <w:top w:val="single" w:sz="6" w:space="0" w:color="auto"/>
              <w:left w:val="single" w:sz="6" w:space="0" w:color="auto"/>
              <w:bottom w:val="single" w:sz="6" w:space="0" w:color="auto"/>
              <w:right w:val="single" w:sz="6" w:space="0" w:color="auto"/>
            </w:tcBorders>
            <w:shd w:val="clear" w:color="auto" w:fill="C6EFCE"/>
            <w:tcMar>
              <w:top w:w="15" w:type="dxa"/>
              <w:left w:w="15" w:type="dxa"/>
              <w:bottom w:w="15" w:type="dxa"/>
              <w:right w:w="15" w:type="dxa"/>
            </w:tcMar>
          </w:tcPr>
          <w:p w14:paraId="4A548FE8" w14:textId="77777777" w:rsidR="00C45D59" w:rsidRDefault="00C45D59">
            <w:pPr>
              <w:spacing w:line="240" w:lineRule="auto"/>
              <w:rPr>
                <w:rFonts w:ascii="Times New Roman" w:hAnsi="Times New Roman" w:cs="Times New Roman"/>
                <w:noProof/>
                <w:color w:val="006100"/>
                <w:sz w:val="18"/>
                <w:szCs w:val="18"/>
              </w:rPr>
            </w:pPr>
          </w:p>
        </w:tc>
        <w:tc>
          <w:tcPr>
            <w:tcW w:w="337" w:type="pct"/>
            <w:tcBorders>
              <w:top w:val="single" w:sz="6" w:space="0" w:color="auto"/>
              <w:left w:val="single" w:sz="6" w:space="0" w:color="auto"/>
              <w:bottom w:val="single" w:sz="6" w:space="0" w:color="auto"/>
              <w:right w:val="single" w:sz="6" w:space="0" w:color="auto"/>
            </w:tcBorders>
            <w:shd w:val="clear" w:color="auto" w:fill="C6EFCE"/>
            <w:tcMar>
              <w:top w:w="15" w:type="dxa"/>
              <w:left w:w="15" w:type="dxa"/>
              <w:bottom w:w="15" w:type="dxa"/>
              <w:right w:w="15" w:type="dxa"/>
            </w:tcMar>
          </w:tcPr>
          <w:p w14:paraId="2921844F" w14:textId="77777777" w:rsidR="00C45D59" w:rsidRDefault="00C45D59">
            <w:pPr>
              <w:spacing w:line="240" w:lineRule="auto"/>
              <w:rPr>
                <w:rFonts w:ascii="Times New Roman" w:hAnsi="Times New Roman" w:cs="Times New Roman"/>
                <w:noProof/>
                <w:color w:val="006100"/>
                <w:sz w:val="18"/>
                <w:szCs w:val="18"/>
              </w:rPr>
            </w:pPr>
          </w:p>
        </w:tc>
        <w:tc>
          <w:tcPr>
            <w:tcW w:w="199" w:type="pct"/>
            <w:tcBorders>
              <w:top w:val="single" w:sz="6" w:space="0" w:color="auto"/>
              <w:left w:val="single" w:sz="6" w:space="0" w:color="auto"/>
              <w:bottom w:val="single" w:sz="6" w:space="0" w:color="auto"/>
              <w:right w:val="single" w:sz="6" w:space="0" w:color="auto"/>
            </w:tcBorders>
            <w:shd w:val="clear" w:color="auto" w:fill="C6EFCE"/>
            <w:tcMar>
              <w:top w:w="15" w:type="dxa"/>
              <w:left w:w="15" w:type="dxa"/>
              <w:bottom w:w="15" w:type="dxa"/>
              <w:right w:w="15" w:type="dxa"/>
            </w:tcMar>
          </w:tcPr>
          <w:p w14:paraId="05DD9A0D" w14:textId="77777777" w:rsidR="00C45D59" w:rsidRDefault="00C45D59">
            <w:pPr>
              <w:spacing w:line="240" w:lineRule="auto"/>
              <w:rPr>
                <w:rFonts w:ascii="Times New Roman" w:hAnsi="Times New Roman" w:cs="Times New Roman"/>
                <w:noProof/>
                <w:color w:val="006100"/>
                <w:sz w:val="18"/>
                <w:szCs w:val="18"/>
              </w:rPr>
            </w:pPr>
          </w:p>
        </w:tc>
        <w:tc>
          <w:tcPr>
            <w:tcW w:w="226" w:type="pct"/>
            <w:tcBorders>
              <w:top w:val="single" w:sz="6" w:space="0" w:color="auto"/>
              <w:left w:val="single" w:sz="6" w:space="0" w:color="auto"/>
              <w:bottom w:val="single" w:sz="6" w:space="0" w:color="auto"/>
              <w:right w:val="single" w:sz="6" w:space="0" w:color="auto"/>
            </w:tcBorders>
            <w:shd w:val="clear" w:color="auto" w:fill="C6EFCE"/>
            <w:tcMar>
              <w:top w:w="15" w:type="dxa"/>
              <w:left w:w="15" w:type="dxa"/>
              <w:bottom w:w="15" w:type="dxa"/>
              <w:right w:w="15" w:type="dxa"/>
            </w:tcMar>
          </w:tcPr>
          <w:p w14:paraId="216BA5EA" w14:textId="77777777" w:rsidR="00C45D59" w:rsidRDefault="009B0962">
            <w:pPr>
              <w:pStyle w:val="P68B1DB1-Normal12"/>
              <w:spacing w:line="240" w:lineRule="auto"/>
              <w:rPr>
                <w:noProof/>
              </w:rPr>
            </w:pPr>
            <w:r>
              <w:rPr>
                <w:noProof/>
              </w:rPr>
              <w:t>Î2</w:t>
            </w:r>
          </w:p>
        </w:tc>
        <w:tc>
          <w:tcPr>
            <w:tcW w:w="204" w:type="pct"/>
            <w:tcBorders>
              <w:top w:val="single" w:sz="6" w:space="0" w:color="auto"/>
              <w:left w:val="single" w:sz="6" w:space="0" w:color="auto"/>
              <w:bottom w:val="single" w:sz="6" w:space="0" w:color="auto"/>
              <w:right w:val="single" w:sz="6" w:space="0" w:color="auto"/>
            </w:tcBorders>
            <w:shd w:val="clear" w:color="auto" w:fill="C6EFCE"/>
            <w:tcMar>
              <w:top w:w="15" w:type="dxa"/>
              <w:left w:w="15" w:type="dxa"/>
              <w:bottom w:w="15" w:type="dxa"/>
              <w:right w:w="15" w:type="dxa"/>
            </w:tcMar>
          </w:tcPr>
          <w:p w14:paraId="39C8B689" w14:textId="77777777" w:rsidR="00C45D59" w:rsidRDefault="009B0962">
            <w:pPr>
              <w:pStyle w:val="P68B1DB1-Normal12"/>
              <w:spacing w:line="240" w:lineRule="auto"/>
              <w:rPr>
                <w:noProof/>
              </w:rPr>
            </w:pPr>
            <w:r>
              <w:rPr>
                <w:noProof/>
              </w:rPr>
              <w:t>2026</w:t>
            </w:r>
          </w:p>
        </w:tc>
        <w:tc>
          <w:tcPr>
            <w:tcW w:w="1217" w:type="pct"/>
            <w:tcBorders>
              <w:top w:val="single" w:sz="6" w:space="0" w:color="auto"/>
              <w:left w:val="single" w:sz="6" w:space="0" w:color="auto"/>
              <w:bottom w:val="single" w:sz="6" w:space="0" w:color="auto"/>
              <w:right w:val="single" w:sz="6" w:space="0" w:color="auto"/>
            </w:tcBorders>
            <w:shd w:val="clear" w:color="auto" w:fill="C6EFCE"/>
            <w:tcMar>
              <w:top w:w="15" w:type="dxa"/>
              <w:left w:w="15" w:type="dxa"/>
              <w:bottom w:w="15" w:type="dxa"/>
              <w:right w:w="15" w:type="dxa"/>
            </w:tcMar>
          </w:tcPr>
          <w:p w14:paraId="640F65E8" w14:textId="65ADA8DE" w:rsidR="00C45D59" w:rsidRDefault="009B0962">
            <w:pPr>
              <w:pStyle w:val="P68B1DB1-Normal12"/>
              <w:spacing w:line="240" w:lineRule="auto"/>
              <w:rPr>
                <w:noProof/>
              </w:rPr>
            </w:pPr>
            <w:r>
              <w:rPr>
                <w:noProof/>
              </w:rPr>
              <w:t>Grecia transferă 1 989 092 029 EUR către Banca Elenă de Dezvoltare pentru a-și majora capitalul.</w:t>
            </w:r>
          </w:p>
          <w:p w14:paraId="3DC561B4" w14:textId="77777777" w:rsidR="00C45D59" w:rsidRDefault="009B0962">
            <w:pPr>
              <w:pStyle w:val="P68B1DB1-Normal12"/>
              <w:spacing w:line="240" w:lineRule="auto"/>
              <w:rPr>
                <w:noProof/>
              </w:rPr>
            </w:pPr>
            <w:r>
              <w:rPr>
                <w:noProof/>
              </w:rPr>
              <w:t>Pe lângă injecția de capital în Banca Elenă de Dezvoltare, care constituie investiția MRR, Grecia transmite, până la 31 august 2026, un raport în care prezintă acțiunile întreprinse de Banca Elenă de Dezvoltare pentru a pune în aplicare politica de investiții, inclusiv măsurile luate pentru punerea în aplicare a produselor financiare pe care se preconizează că capitalul suplimentar le va sprijini inițial, precum și măsurile preconizate a fi luate pentru punerea în aplicare în continuare a produselor respective.</w:t>
            </w:r>
          </w:p>
        </w:tc>
      </w:tr>
    </w:tbl>
    <w:p w14:paraId="0D52B17F" w14:textId="77777777" w:rsidR="00C45D59" w:rsidRDefault="00C45D59">
      <w:pPr>
        <w:jc w:val="both"/>
        <w:rPr>
          <w:rFonts w:ascii="Times New Roman" w:hAnsi="Times New Roman" w:cs="Times New Roman"/>
          <w:b/>
          <w:bCs/>
          <w:noProof/>
          <w:u w:val="single"/>
        </w:rPr>
      </w:pPr>
    </w:p>
    <w:p w14:paraId="38700385" w14:textId="77777777" w:rsidR="00C45D59" w:rsidRDefault="009B0962">
      <w:pPr>
        <w:pStyle w:val="P68B1DB1-Normal9"/>
        <w:keepNext/>
        <w:keepLines/>
        <w:spacing w:before="40" w:after="240" w:line="240" w:lineRule="auto"/>
        <w:jc w:val="both"/>
        <w:outlineLvl w:val="4"/>
        <w:rPr>
          <w:noProof/>
        </w:rPr>
      </w:pPr>
      <w:r>
        <w:rPr>
          <w:noProof/>
        </w:rPr>
        <w:t>Evaluarea bazată pe piloni a Băncii Elene de Dezvoltare (16405)</w:t>
      </w:r>
    </w:p>
    <w:tbl>
      <w:tblPr>
        <w:tblW w:w="5251" w:type="pct"/>
        <w:tblInd w:w="-705" w:type="dxa"/>
        <w:tblLook w:val="04A0" w:firstRow="1" w:lastRow="0" w:firstColumn="1" w:lastColumn="0" w:noHBand="0" w:noVBand="1"/>
      </w:tblPr>
      <w:tblGrid>
        <w:gridCol w:w="620"/>
        <w:gridCol w:w="2714"/>
        <w:gridCol w:w="1212"/>
        <w:gridCol w:w="1835"/>
        <w:gridCol w:w="1663"/>
        <w:gridCol w:w="759"/>
        <w:gridCol w:w="1044"/>
        <w:gridCol w:w="680"/>
        <w:gridCol w:w="449"/>
        <w:gridCol w:w="636"/>
        <w:gridCol w:w="3721"/>
      </w:tblGrid>
      <w:tr w:rsidR="00C45D59" w14:paraId="050C7103" w14:textId="77777777">
        <w:trPr>
          <w:trHeight w:val="300"/>
          <w:tblHeader/>
        </w:trPr>
        <w:tc>
          <w:tcPr>
            <w:tcW w:w="204" w:type="pct"/>
            <w:vMerge w:val="restart"/>
            <w:tcBorders>
              <w:top w:val="single" w:sz="6" w:space="0" w:color="auto"/>
              <w:left w:val="single" w:sz="6" w:space="0" w:color="auto"/>
              <w:right w:val="single" w:sz="6" w:space="0" w:color="auto"/>
            </w:tcBorders>
            <w:shd w:val="clear" w:color="auto" w:fill="C6D9F1"/>
            <w:tcMar>
              <w:top w:w="15" w:type="dxa"/>
              <w:left w:w="15" w:type="dxa"/>
              <w:bottom w:w="15" w:type="dxa"/>
              <w:right w:w="15" w:type="dxa"/>
            </w:tcMar>
            <w:vAlign w:val="center"/>
          </w:tcPr>
          <w:p w14:paraId="108F2B2F" w14:textId="77777777" w:rsidR="00037E31" w:rsidRDefault="00097639">
            <w:pPr>
              <w:pStyle w:val="P68B1DB1-Normal41"/>
              <w:spacing w:after="0" w:line="240" w:lineRule="auto"/>
              <w:jc w:val="center"/>
              <w:rPr>
                <w:noProof/>
              </w:rPr>
            </w:pPr>
            <w:r>
              <w:rPr>
                <w:noProof/>
              </w:rPr>
              <w:t xml:space="preserve">Nr. </w:t>
            </w:r>
          </w:p>
          <w:p w14:paraId="3C43C980" w14:textId="64E06BA9" w:rsidR="00C45D59" w:rsidRDefault="00097639">
            <w:pPr>
              <w:pStyle w:val="P68B1DB1-Normal41"/>
              <w:spacing w:after="0" w:line="240" w:lineRule="auto"/>
              <w:jc w:val="center"/>
              <w:rPr>
                <w:rFonts w:eastAsia="Times New Roman" w:cs="Times New Roman"/>
                <w:noProof/>
              </w:rPr>
            </w:pPr>
            <w:r>
              <w:rPr>
                <w:noProof/>
              </w:rPr>
              <w:t>crt.</w:t>
            </w:r>
          </w:p>
        </w:tc>
        <w:tc>
          <w:tcPr>
            <w:tcW w:w="887" w:type="pct"/>
            <w:vMerge w:val="restart"/>
            <w:tcBorders>
              <w:top w:val="single" w:sz="6" w:space="0" w:color="auto"/>
              <w:left w:val="single" w:sz="6" w:space="0" w:color="auto"/>
              <w:right w:val="single" w:sz="6" w:space="0" w:color="auto"/>
            </w:tcBorders>
            <w:shd w:val="clear" w:color="auto" w:fill="C6D9F1"/>
            <w:tcMar>
              <w:top w:w="15" w:type="dxa"/>
              <w:left w:w="15" w:type="dxa"/>
              <w:bottom w:w="15" w:type="dxa"/>
              <w:right w:w="15" w:type="dxa"/>
            </w:tcMar>
            <w:vAlign w:val="center"/>
          </w:tcPr>
          <w:p w14:paraId="0F961895" w14:textId="77777777" w:rsidR="00C45D59" w:rsidRDefault="009B0962">
            <w:pPr>
              <w:pStyle w:val="P68B1DB1-Normal41"/>
              <w:spacing w:after="0" w:line="240" w:lineRule="auto"/>
              <w:jc w:val="center"/>
              <w:rPr>
                <w:rFonts w:eastAsia="Times New Roman" w:cs="Times New Roman"/>
                <w:noProof/>
              </w:rPr>
            </w:pPr>
            <w:r>
              <w:rPr>
                <w:noProof/>
              </w:rPr>
              <w:t>Măsură conexă (reformă sau investiții)</w:t>
            </w:r>
          </w:p>
        </w:tc>
        <w:tc>
          <w:tcPr>
            <w:tcW w:w="397" w:type="pct"/>
            <w:vMerge w:val="restart"/>
            <w:tcBorders>
              <w:top w:val="single" w:sz="6" w:space="0" w:color="auto"/>
              <w:left w:val="single" w:sz="6" w:space="0" w:color="auto"/>
              <w:right w:val="single" w:sz="6" w:space="0" w:color="auto"/>
            </w:tcBorders>
            <w:shd w:val="clear" w:color="auto" w:fill="C6D9F1"/>
            <w:tcMar>
              <w:top w:w="15" w:type="dxa"/>
              <w:left w:w="15" w:type="dxa"/>
              <w:bottom w:w="15" w:type="dxa"/>
              <w:right w:w="15" w:type="dxa"/>
            </w:tcMar>
            <w:vAlign w:val="center"/>
          </w:tcPr>
          <w:p w14:paraId="0C39C0E2" w14:textId="77777777" w:rsidR="00C45D59" w:rsidRDefault="009B0962">
            <w:pPr>
              <w:pStyle w:val="P68B1DB1-Normal41"/>
              <w:spacing w:after="0" w:line="240" w:lineRule="auto"/>
              <w:jc w:val="center"/>
              <w:rPr>
                <w:rFonts w:eastAsia="Times New Roman" w:cs="Times New Roman"/>
                <w:noProof/>
              </w:rPr>
            </w:pPr>
            <w:r>
              <w:rPr>
                <w:noProof/>
              </w:rPr>
              <w:t>Etapă/Obiectiv</w:t>
            </w:r>
          </w:p>
        </w:tc>
        <w:tc>
          <w:tcPr>
            <w:tcW w:w="600" w:type="pct"/>
            <w:vMerge w:val="restart"/>
            <w:tcBorders>
              <w:top w:val="single" w:sz="6" w:space="0" w:color="auto"/>
              <w:left w:val="single" w:sz="6" w:space="0" w:color="auto"/>
              <w:right w:val="single" w:sz="6" w:space="0" w:color="auto"/>
            </w:tcBorders>
            <w:shd w:val="clear" w:color="auto" w:fill="C6D9F1"/>
            <w:tcMar>
              <w:top w:w="15" w:type="dxa"/>
              <w:left w:w="15" w:type="dxa"/>
              <w:bottom w:w="15" w:type="dxa"/>
              <w:right w:w="15" w:type="dxa"/>
            </w:tcMar>
            <w:vAlign w:val="center"/>
          </w:tcPr>
          <w:p w14:paraId="1EA94CC9" w14:textId="77777777" w:rsidR="00C45D59" w:rsidRDefault="009B0962">
            <w:pPr>
              <w:pStyle w:val="P68B1DB1-Normal41"/>
              <w:spacing w:after="0" w:line="240" w:lineRule="auto"/>
              <w:jc w:val="center"/>
              <w:rPr>
                <w:rFonts w:eastAsia="Times New Roman" w:cs="Times New Roman"/>
                <w:noProof/>
              </w:rPr>
            </w:pPr>
            <w:r>
              <w:rPr>
                <w:noProof/>
              </w:rPr>
              <w:t>Nume</w:t>
            </w:r>
          </w:p>
        </w:tc>
        <w:tc>
          <w:tcPr>
            <w:tcW w:w="544" w:type="pct"/>
            <w:vMerge w:val="restart"/>
            <w:tcBorders>
              <w:top w:val="single" w:sz="6" w:space="0" w:color="auto"/>
              <w:left w:val="single" w:sz="6" w:space="0" w:color="auto"/>
              <w:right w:val="single" w:sz="6" w:space="0" w:color="auto"/>
            </w:tcBorders>
            <w:shd w:val="clear" w:color="auto" w:fill="C6D9F1"/>
            <w:tcMar>
              <w:top w:w="15" w:type="dxa"/>
              <w:left w:w="15" w:type="dxa"/>
              <w:bottom w:w="15" w:type="dxa"/>
              <w:right w:w="15" w:type="dxa"/>
            </w:tcMar>
            <w:vAlign w:val="center"/>
          </w:tcPr>
          <w:p w14:paraId="5FF374B6" w14:textId="77777777" w:rsidR="00C45D59" w:rsidRDefault="009B0962">
            <w:pPr>
              <w:pStyle w:val="P68B1DB1-Normal41"/>
              <w:spacing w:after="0" w:line="240" w:lineRule="auto"/>
              <w:jc w:val="center"/>
              <w:rPr>
                <w:rFonts w:eastAsia="Times New Roman" w:cs="Times New Roman"/>
                <w:noProof/>
              </w:rPr>
            </w:pPr>
            <w:r>
              <w:rPr>
                <w:noProof/>
              </w:rPr>
              <w:t>Indicatori calitativi (pentru obiectivele de etapă)</w:t>
            </w:r>
          </w:p>
        </w:tc>
        <w:tc>
          <w:tcPr>
            <w:tcW w:w="796" w:type="pct"/>
            <w:gridSpan w:val="3"/>
            <w:tcBorders>
              <w:top w:val="single" w:sz="6" w:space="0" w:color="auto"/>
              <w:left w:val="single" w:sz="6" w:space="0" w:color="auto"/>
              <w:bottom w:val="single" w:sz="6" w:space="0" w:color="auto"/>
              <w:right w:val="single" w:sz="6" w:space="0" w:color="auto"/>
            </w:tcBorders>
            <w:shd w:val="clear" w:color="auto" w:fill="C6D9F1"/>
            <w:tcMar>
              <w:top w:w="15" w:type="dxa"/>
              <w:left w:w="15" w:type="dxa"/>
              <w:bottom w:w="15" w:type="dxa"/>
              <w:right w:w="15" w:type="dxa"/>
            </w:tcMar>
          </w:tcPr>
          <w:p w14:paraId="19D16514" w14:textId="77777777" w:rsidR="00C45D59" w:rsidRDefault="009B0962">
            <w:pPr>
              <w:pStyle w:val="P68B1DB1-Normal41"/>
              <w:spacing w:after="0" w:line="240" w:lineRule="auto"/>
              <w:jc w:val="center"/>
              <w:rPr>
                <w:rFonts w:eastAsia="Times New Roman" w:cs="Times New Roman"/>
                <w:noProof/>
              </w:rPr>
            </w:pPr>
            <w:r>
              <w:rPr>
                <w:noProof/>
              </w:rPr>
              <w:t>Indicator cantitativ (pentru niveluri-țintă)</w:t>
            </w:r>
          </w:p>
        </w:tc>
        <w:tc>
          <w:tcPr>
            <w:tcW w:w="357" w:type="pct"/>
            <w:gridSpan w:val="2"/>
            <w:tcBorders>
              <w:top w:val="single" w:sz="6" w:space="0" w:color="auto"/>
              <w:left w:val="single" w:sz="6" w:space="0" w:color="auto"/>
              <w:bottom w:val="single" w:sz="6" w:space="0" w:color="auto"/>
              <w:right w:val="single" w:sz="6" w:space="0" w:color="auto"/>
            </w:tcBorders>
            <w:shd w:val="clear" w:color="auto" w:fill="C6D9F1"/>
            <w:tcMar>
              <w:top w:w="15" w:type="dxa"/>
              <w:left w:w="15" w:type="dxa"/>
              <w:bottom w:w="15" w:type="dxa"/>
              <w:right w:w="15" w:type="dxa"/>
            </w:tcMar>
          </w:tcPr>
          <w:p w14:paraId="111F6684" w14:textId="77777777" w:rsidR="00C45D59" w:rsidRDefault="009B0962">
            <w:pPr>
              <w:pStyle w:val="P68B1DB1-Normal41"/>
              <w:spacing w:after="0" w:line="240" w:lineRule="auto"/>
              <w:jc w:val="center"/>
              <w:rPr>
                <w:rFonts w:eastAsia="Times New Roman" w:cs="Times New Roman"/>
                <w:noProof/>
              </w:rPr>
            </w:pPr>
            <w:r>
              <w:rPr>
                <w:noProof/>
              </w:rPr>
              <w:t>Calendar orientativ pentru finalizare</w:t>
            </w:r>
          </w:p>
        </w:tc>
        <w:tc>
          <w:tcPr>
            <w:tcW w:w="1215" w:type="pct"/>
            <w:vMerge w:val="restart"/>
            <w:tcBorders>
              <w:top w:val="single" w:sz="6" w:space="0" w:color="auto"/>
              <w:left w:val="single" w:sz="6" w:space="0" w:color="auto"/>
              <w:right w:val="single" w:sz="6" w:space="0" w:color="auto"/>
            </w:tcBorders>
            <w:shd w:val="clear" w:color="auto" w:fill="C6D9F1"/>
            <w:tcMar>
              <w:top w:w="15" w:type="dxa"/>
              <w:left w:w="15" w:type="dxa"/>
              <w:bottom w:w="15" w:type="dxa"/>
              <w:right w:w="15" w:type="dxa"/>
            </w:tcMar>
            <w:vAlign w:val="center"/>
          </w:tcPr>
          <w:p w14:paraId="7CAC9CE8" w14:textId="77777777" w:rsidR="00C45D59" w:rsidRDefault="009B0962">
            <w:pPr>
              <w:pStyle w:val="P68B1DB1-Normal41"/>
              <w:spacing w:after="0" w:line="240" w:lineRule="auto"/>
              <w:jc w:val="center"/>
              <w:rPr>
                <w:rFonts w:eastAsia="Times New Roman" w:cs="Times New Roman"/>
                <w:noProof/>
              </w:rPr>
            </w:pPr>
            <w:r>
              <w:rPr>
                <w:noProof/>
              </w:rPr>
              <w:t>Descrierea fiecărui jalon și a fiecărei ținte</w:t>
            </w:r>
          </w:p>
        </w:tc>
      </w:tr>
      <w:tr w:rsidR="00C45D59" w14:paraId="64FA12E8" w14:textId="77777777">
        <w:trPr>
          <w:trHeight w:val="505"/>
          <w:tblHeader/>
        </w:trPr>
        <w:tc>
          <w:tcPr>
            <w:tcW w:w="204" w:type="pct"/>
            <w:vMerge/>
            <w:tcBorders>
              <w:left w:val="single" w:sz="6" w:space="0" w:color="auto"/>
              <w:bottom w:val="single" w:sz="6" w:space="0" w:color="auto"/>
              <w:right w:val="single" w:sz="6" w:space="0" w:color="auto"/>
            </w:tcBorders>
            <w:shd w:val="clear" w:color="auto" w:fill="C6D9F1"/>
            <w:tcMar>
              <w:top w:w="15" w:type="dxa"/>
              <w:left w:w="15" w:type="dxa"/>
              <w:bottom w:w="15" w:type="dxa"/>
              <w:right w:w="15" w:type="dxa"/>
            </w:tcMar>
          </w:tcPr>
          <w:p w14:paraId="495835F7" w14:textId="77777777" w:rsidR="00C45D59" w:rsidRDefault="00C45D59">
            <w:pPr>
              <w:spacing w:after="0" w:line="240" w:lineRule="auto"/>
              <w:jc w:val="center"/>
              <w:rPr>
                <w:rFonts w:ascii="Times New Roman" w:eastAsia="Times New Roman" w:hAnsi="Times New Roman" w:cs="Times New Roman"/>
                <w:noProof/>
                <w:sz w:val="18"/>
                <w:szCs w:val="18"/>
              </w:rPr>
            </w:pPr>
          </w:p>
        </w:tc>
        <w:tc>
          <w:tcPr>
            <w:tcW w:w="887" w:type="pct"/>
            <w:vMerge/>
            <w:tcBorders>
              <w:left w:val="single" w:sz="6" w:space="0" w:color="auto"/>
              <w:bottom w:val="single" w:sz="6" w:space="0" w:color="auto"/>
              <w:right w:val="single" w:sz="6" w:space="0" w:color="auto"/>
            </w:tcBorders>
            <w:shd w:val="clear" w:color="auto" w:fill="C6D9F1"/>
            <w:tcMar>
              <w:top w:w="15" w:type="dxa"/>
              <w:left w:w="15" w:type="dxa"/>
              <w:bottom w:w="15" w:type="dxa"/>
              <w:right w:w="15" w:type="dxa"/>
            </w:tcMar>
          </w:tcPr>
          <w:p w14:paraId="581B0F35" w14:textId="77777777" w:rsidR="00C45D59" w:rsidRDefault="00C45D59">
            <w:pPr>
              <w:spacing w:after="0" w:line="240" w:lineRule="auto"/>
              <w:jc w:val="center"/>
              <w:rPr>
                <w:rFonts w:ascii="Times New Roman" w:eastAsia="Times New Roman" w:hAnsi="Times New Roman" w:cs="Times New Roman"/>
                <w:noProof/>
                <w:sz w:val="18"/>
                <w:szCs w:val="18"/>
              </w:rPr>
            </w:pPr>
          </w:p>
        </w:tc>
        <w:tc>
          <w:tcPr>
            <w:tcW w:w="397" w:type="pct"/>
            <w:vMerge/>
            <w:tcBorders>
              <w:left w:val="single" w:sz="6" w:space="0" w:color="auto"/>
              <w:bottom w:val="single" w:sz="6" w:space="0" w:color="auto"/>
              <w:right w:val="single" w:sz="6" w:space="0" w:color="auto"/>
            </w:tcBorders>
            <w:shd w:val="clear" w:color="auto" w:fill="C6D9F1"/>
            <w:tcMar>
              <w:top w:w="15" w:type="dxa"/>
              <w:left w:w="15" w:type="dxa"/>
              <w:bottom w:w="15" w:type="dxa"/>
              <w:right w:w="15" w:type="dxa"/>
            </w:tcMar>
          </w:tcPr>
          <w:p w14:paraId="2123533A" w14:textId="77777777" w:rsidR="00C45D59" w:rsidRDefault="00C45D59">
            <w:pPr>
              <w:spacing w:after="0" w:line="240" w:lineRule="auto"/>
              <w:jc w:val="center"/>
              <w:rPr>
                <w:rFonts w:ascii="Times New Roman" w:eastAsia="Times New Roman" w:hAnsi="Times New Roman" w:cs="Times New Roman"/>
                <w:noProof/>
                <w:sz w:val="18"/>
                <w:szCs w:val="18"/>
              </w:rPr>
            </w:pPr>
          </w:p>
        </w:tc>
        <w:tc>
          <w:tcPr>
            <w:tcW w:w="600" w:type="pct"/>
            <w:vMerge/>
            <w:tcBorders>
              <w:left w:val="single" w:sz="6" w:space="0" w:color="auto"/>
              <w:bottom w:val="single" w:sz="6" w:space="0" w:color="auto"/>
              <w:right w:val="single" w:sz="6" w:space="0" w:color="auto"/>
            </w:tcBorders>
            <w:shd w:val="clear" w:color="auto" w:fill="C6D9F1"/>
            <w:tcMar>
              <w:top w:w="15" w:type="dxa"/>
              <w:left w:w="15" w:type="dxa"/>
              <w:bottom w:w="15" w:type="dxa"/>
              <w:right w:w="15" w:type="dxa"/>
            </w:tcMar>
          </w:tcPr>
          <w:p w14:paraId="633C8BEB" w14:textId="77777777" w:rsidR="00C45D59" w:rsidRDefault="00C45D59">
            <w:pPr>
              <w:spacing w:after="0" w:line="240" w:lineRule="auto"/>
              <w:jc w:val="center"/>
              <w:rPr>
                <w:rFonts w:ascii="Times New Roman" w:eastAsia="Times New Roman" w:hAnsi="Times New Roman" w:cs="Times New Roman"/>
                <w:noProof/>
                <w:sz w:val="18"/>
                <w:szCs w:val="18"/>
              </w:rPr>
            </w:pPr>
          </w:p>
        </w:tc>
        <w:tc>
          <w:tcPr>
            <w:tcW w:w="544" w:type="pct"/>
            <w:vMerge/>
            <w:tcBorders>
              <w:left w:val="single" w:sz="6" w:space="0" w:color="auto"/>
              <w:bottom w:val="single" w:sz="6" w:space="0" w:color="auto"/>
              <w:right w:val="single" w:sz="6" w:space="0" w:color="auto"/>
            </w:tcBorders>
            <w:shd w:val="clear" w:color="auto" w:fill="C6D9F1"/>
            <w:tcMar>
              <w:top w:w="15" w:type="dxa"/>
              <w:left w:w="15" w:type="dxa"/>
              <w:bottom w:w="15" w:type="dxa"/>
              <w:right w:w="15" w:type="dxa"/>
            </w:tcMar>
          </w:tcPr>
          <w:p w14:paraId="24D0AAE3" w14:textId="77777777" w:rsidR="00C45D59" w:rsidRDefault="00C45D59">
            <w:pPr>
              <w:spacing w:after="0" w:line="240" w:lineRule="auto"/>
              <w:jc w:val="center"/>
              <w:rPr>
                <w:rFonts w:ascii="Times New Roman" w:eastAsia="Times New Roman" w:hAnsi="Times New Roman" w:cs="Times New Roman"/>
                <w:noProof/>
                <w:sz w:val="18"/>
                <w:szCs w:val="18"/>
              </w:rPr>
            </w:pPr>
          </w:p>
        </w:tc>
        <w:tc>
          <w:tcPr>
            <w:tcW w:w="249" w:type="pct"/>
            <w:tcBorders>
              <w:top w:val="single" w:sz="6" w:space="0" w:color="auto"/>
              <w:left w:val="single" w:sz="6" w:space="0" w:color="auto"/>
              <w:bottom w:val="single" w:sz="6" w:space="0" w:color="auto"/>
              <w:right w:val="single" w:sz="6" w:space="0" w:color="auto"/>
            </w:tcBorders>
            <w:shd w:val="clear" w:color="auto" w:fill="C6D9F1"/>
            <w:tcMar>
              <w:top w:w="15" w:type="dxa"/>
              <w:left w:w="15" w:type="dxa"/>
              <w:bottom w:w="15" w:type="dxa"/>
              <w:right w:w="15" w:type="dxa"/>
            </w:tcMar>
          </w:tcPr>
          <w:p w14:paraId="74388B3F" w14:textId="77777777" w:rsidR="00C45D59" w:rsidRDefault="009B0962">
            <w:pPr>
              <w:pStyle w:val="P68B1DB1-Normal41"/>
              <w:spacing w:after="0" w:line="240" w:lineRule="auto"/>
              <w:jc w:val="center"/>
              <w:rPr>
                <w:rFonts w:eastAsia="Times New Roman" w:cs="Times New Roman"/>
                <w:noProof/>
              </w:rPr>
            </w:pPr>
            <w:r>
              <w:rPr>
                <w:noProof/>
              </w:rPr>
              <w:t>Unitate</w:t>
            </w:r>
          </w:p>
        </w:tc>
        <w:tc>
          <w:tcPr>
            <w:tcW w:w="342" w:type="pct"/>
            <w:tcBorders>
              <w:top w:val="single" w:sz="6" w:space="0" w:color="auto"/>
              <w:left w:val="single" w:sz="6" w:space="0" w:color="auto"/>
              <w:bottom w:val="single" w:sz="6" w:space="0" w:color="auto"/>
              <w:right w:val="single" w:sz="6" w:space="0" w:color="auto"/>
            </w:tcBorders>
            <w:shd w:val="clear" w:color="auto" w:fill="C6D9F1"/>
            <w:tcMar>
              <w:top w:w="15" w:type="dxa"/>
              <w:left w:w="15" w:type="dxa"/>
              <w:bottom w:w="15" w:type="dxa"/>
              <w:right w:w="15" w:type="dxa"/>
            </w:tcMar>
          </w:tcPr>
          <w:p w14:paraId="3842E659" w14:textId="77777777" w:rsidR="00C45D59" w:rsidRDefault="009B0962">
            <w:pPr>
              <w:pStyle w:val="P68B1DB1-Normal41"/>
              <w:spacing w:after="0" w:line="240" w:lineRule="auto"/>
              <w:jc w:val="center"/>
              <w:rPr>
                <w:rFonts w:eastAsia="Times New Roman" w:cs="Times New Roman"/>
                <w:noProof/>
              </w:rPr>
            </w:pPr>
            <w:r>
              <w:rPr>
                <w:noProof/>
              </w:rPr>
              <w:t>Situația de referință</w:t>
            </w:r>
          </w:p>
        </w:tc>
        <w:tc>
          <w:tcPr>
            <w:tcW w:w="205" w:type="pct"/>
            <w:tcBorders>
              <w:top w:val="single" w:sz="6" w:space="0" w:color="auto"/>
              <w:left w:val="single" w:sz="6" w:space="0" w:color="auto"/>
              <w:bottom w:val="single" w:sz="6" w:space="0" w:color="auto"/>
              <w:right w:val="single" w:sz="6" w:space="0" w:color="auto"/>
            </w:tcBorders>
            <w:shd w:val="clear" w:color="auto" w:fill="C6D9F1"/>
            <w:tcMar>
              <w:top w:w="15" w:type="dxa"/>
              <w:left w:w="15" w:type="dxa"/>
              <w:bottom w:w="15" w:type="dxa"/>
              <w:right w:w="15" w:type="dxa"/>
            </w:tcMar>
          </w:tcPr>
          <w:p w14:paraId="798BC4E9" w14:textId="77777777" w:rsidR="00C45D59" w:rsidRDefault="009B0962">
            <w:pPr>
              <w:pStyle w:val="P68B1DB1-Normal41"/>
              <w:spacing w:after="0" w:line="240" w:lineRule="auto"/>
              <w:jc w:val="center"/>
              <w:rPr>
                <w:rFonts w:eastAsia="Times New Roman" w:cs="Times New Roman"/>
                <w:noProof/>
              </w:rPr>
            </w:pPr>
            <w:r>
              <w:rPr>
                <w:noProof/>
              </w:rPr>
              <w:t>Obiectiv</w:t>
            </w:r>
          </w:p>
        </w:tc>
        <w:tc>
          <w:tcPr>
            <w:tcW w:w="148" w:type="pct"/>
            <w:tcBorders>
              <w:top w:val="single" w:sz="6" w:space="0" w:color="auto"/>
              <w:left w:val="single" w:sz="6" w:space="0" w:color="auto"/>
              <w:bottom w:val="single" w:sz="6" w:space="0" w:color="auto"/>
              <w:right w:val="single" w:sz="6" w:space="0" w:color="auto"/>
            </w:tcBorders>
            <w:shd w:val="clear" w:color="auto" w:fill="C6D9F1"/>
            <w:tcMar>
              <w:top w:w="15" w:type="dxa"/>
              <w:left w:w="15" w:type="dxa"/>
              <w:bottom w:w="15" w:type="dxa"/>
              <w:right w:w="15" w:type="dxa"/>
            </w:tcMar>
          </w:tcPr>
          <w:p w14:paraId="020E2405" w14:textId="77777777" w:rsidR="00C45D59" w:rsidRDefault="00C45D59">
            <w:pPr>
              <w:spacing w:after="0" w:line="240" w:lineRule="auto"/>
              <w:jc w:val="center"/>
              <w:rPr>
                <w:rFonts w:ascii="Times New Roman" w:eastAsia="Times New Roman" w:hAnsi="Times New Roman" w:cs="Times New Roman"/>
                <w:noProof/>
                <w:sz w:val="18"/>
                <w:szCs w:val="18"/>
              </w:rPr>
            </w:pPr>
          </w:p>
        </w:tc>
        <w:tc>
          <w:tcPr>
            <w:tcW w:w="209" w:type="pct"/>
            <w:tcBorders>
              <w:top w:val="single" w:sz="6" w:space="0" w:color="auto"/>
              <w:left w:val="single" w:sz="6" w:space="0" w:color="auto"/>
              <w:bottom w:val="single" w:sz="6" w:space="0" w:color="auto"/>
              <w:right w:val="single" w:sz="6" w:space="0" w:color="auto"/>
            </w:tcBorders>
            <w:shd w:val="clear" w:color="auto" w:fill="C6D9F1"/>
            <w:tcMar>
              <w:top w:w="15" w:type="dxa"/>
              <w:left w:w="15" w:type="dxa"/>
              <w:bottom w:w="15" w:type="dxa"/>
              <w:right w:w="15" w:type="dxa"/>
            </w:tcMar>
          </w:tcPr>
          <w:p w14:paraId="73889394" w14:textId="77777777" w:rsidR="00C45D59" w:rsidRDefault="00C45D59">
            <w:pPr>
              <w:spacing w:after="0" w:line="240" w:lineRule="auto"/>
              <w:jc w:val="center"/>
              <w:rPr>
                <w:rFonts w:ascii="Times New Roman" w:eastAsia="Times New Roman" w:hAnsi="Times New Roman" w:cs="Times New Roman"/>
                <w:noProof/>
                <w:sz w:val="18"/>
                <w:szCs w:val="18"/>
              </w:rPr>
            </w:pPr>
          </w:p>
        </w:tc>
        <w:tc>
          <w:tcPr>
            <w:tcW w:w="1215" w:type="pct"/>
            <w:vMerge/>
            <w:tcBorders>
              <w:left w:val="single" w:sz="6" w:space="0" w:color="auto"/>
              <w:bottom w:val="single" w:sz="6" w:space="0" w:color="auto"/>
              <w:right w:val="single" w:sz="6" w:space="0" w:color="auto"/>
            </w:tcBorders>
            <w:shd w:val="clear" w:color="auto" w:fill="C6D9F1"/>
            <w:tcMar>
              <w:top w:w="15" w:type="dxa"/>
              <w:left w:w="15" w:type="dxa"/>
              <w:bottom w:w="15" w:type="dxa"/>
              <w:right w:w="15" w:type="dxa"/>
            </w:tcMar>
          </w:tcPr>
          <w:p w14:paraId="599284B6" w14:textId="77777777" w:rsidR="00C45D59" w:rsidRDefault="00C45D59">
            <w:pPr>
              <w:spacing w:after="0" w:line="240" w:lineRule="auto"/>
              <w:jc w:val="center"/>
              <w:rPr>
                <w:rFonts w:ascii="Times New Roman" w:eastAsia="Times New Roman" w:hAnsi="Times New Roman" w:cs="Times New Roman"/>
                <w:noProof/>
                <w:sz w:val="18"/>
                <w:szCs w:val="18"/>
              </w:rPr>
            </w:pPr>
          </w:p>
        </w:tc>
      </w:tr>
      <w:tr w:rsidR="00C45D59" w14:paraId="20CA9E6A" w14:textId="77777777">
        <w:trPr>
          <w:trHeight w:val="739"/>
        </w:trPr>
        <w:tc>
          <w:tcPr>
            <w:tcW w:w="204" w:type="pct"/>
            <w:tcBorders>
              <w:top w:val="single" w:sz="6" w:space="0" w:color="auto"/>
              <w:left w:val="single" w:sz="6" w:space="0" w:color="auto"/>
              <w:bottom w:val="single" w:sz="6" w:space="0" w:color="auto"/>
              <w:right w:val="single" w:sz="6" w:space="0" w:color="auto"/>
            </w:tcBorders>
            <w:shd w:val="clear" w:color="auto" w:fill="C6EFCE"/>
            <w:tcMar>
              <w:top w:w="15" w:type="dxa"/>
              <w:left w:w="15" w:type="dxa"/>
              <w:bottom w:w="15" w:type="dxa"/>
              <w:right w:w="15" w:type="dxa"/>
            </w:tcMar>
          </w:tcPr>
          <w:p w14:paraId="68B4317C" w14:textId="77777777" w:rsidR="00C45D59" w:rsidRDefault="009B0962">
            <w:pPr>
              <w:pStyle w:val="P68B1DB1-Normal12"/>
              <w:spacing w:line="240" w:lineRule="auto"/>
              <w:rPr>
                <w:noProof/>
              </w:rPr>
            </w:pPr>
            <w:r>
              <w:rPr>
                <w:noProof/>
              </w:rPr>
              <w:t>384</w:t>
            </w:r>
          </w:p>
        </w:tc>
        <w:tc>
          <w:tcPr>
            <w:tcW w:w="887" w:type="pct"/>
            <w:tcBorders>
              <w:top w:val="single" w:sz="6" w:space="0" w:color="auto"/>
              <w:left w:val="single" w:sz="6" w:space="0" w:color="auto"/>
              <w:bottom w:val="single" w:sz="6" w:space="0" w:color="auto"/>
              <w:right w:val="single" w:sz="6" w:space="0" w:color="auto"/>
            </w:tcBorders>
            <w:shd w:val="clear" w:color="auto" w:fill="C6EFCE"/>
            <w:tcMar>
              <w:top w:w="15" w:type="dxa"/>
              <w:left w:w="15" w:type="dxa"/>
              <w:bottom w:w="15" w:type="dxa"/>
              <w:right w:w="15" w:type="dxa"/>
            </w:tcMar>
          </w:tcPr>
          <w:p w14:paraId="63DB4EC4" w14:textId="77777777" w:rsidR="00C45D59" w:rsidRDefault="009B0962">
            <w:pPr>
              <w:pStyle w:val="P68B1DB1-Normal12"/>
              <w:spacing w:line="240" w:lineRule="auto"/>
              <w:rPr>
                <w:noProof/>
              </w:rPr>
            </w:pPr>
            <w:r>
              <w:rPr>
                <w:noProof/>
              </w:rPr>
              <w:t>4.7. Îmbunătățirea competitivității și promovarea investițiilor private și a exporturilor – Evaluarea pe 16405 piloni a Băncii Elene de Dezvoltare</w:t>
            </w:r>
          </w:p>
        </w:tc>
        <w:tc>
          <w:tcPr>
            <w:tcW w:w="397" w:type="pct"/>
            <w:tcBorders>
              <w:top w:val="single" w:sz="6" w:space="0" w:color="auto"/>
              <w:left w:val="single" w:sz="6" w:space="0" w:color="auto"/>
              <w:bottom w:val="single" w:sz="6" w:space="0" w:color="auto"/>
              <w:right w:val="single" w:sz="6" w:space="0" w:color="auto"/>
            </w:tcBorders>
            <w:shd w:val="clear" w:color="auto" w:fill="C6EFCE"/>
            <w:tcMar>
              <w:top w:w="15" w:type="dxa"/>
              <w:left w:w="15" w:type="dxa"/>
              <w:bottom w:w="15" w:type="dxa"/>
              <w:right w:w="15" w:type="dxa"/>
            </w:tcMar>
          </w:tcPr>
          <w:p w14:paraId="6F69A48B" w14:textId="77777777" w:rsidR="00C45D59" w:rsidRDefault="009B0962">
            <w:pPr>
              <w:pStyle w:val="P68B1DB1-Normal12"/>
              <w:spacing w:line="240" w:lineRule="auto"/>
              <w:rPr>
                <w:noProof/>
              </w:rPr>
            </w:pPr>
            <w:r>
              <w:rPr>
                <w:noProof/>
              </w:rPr>
              <w:t>Etapă</w:t>
            </w:r>
          </w:p>
        </w:tc>
        <w:tc>
          <w:tcPr>
            <w:tcW w:w="600" w:type="pct"/>
            <w:tcBorders>
              <w:top w:val="single" w:sz="6" w:space="0" w:color="auto"/>
              <w:left w:val="single" w:sz="6" w:space="0" w:color="auto"/>
              <w:bottom w:val="single" w:sz="6" w:space="0" w:color="auto"/>
              <w:right w:val="single" w:sz="6" w:space="0" w:color="auto"/>
            </w:tcBorders>
            <w:shd w:val="clear" w:color="auto" w:fill="C6EFCE"/>
            <w:tcMar>
              <w:top w:w="15" w:type="dxa"/>
              <w:left w:w="15" w:type="dxa"/>
              <w:bottom w:w="15" w:type="dxa"/>
              <w:right w:w="15" w:type="dxa"/>
            </w:tcMar>
          </w:tcPr>
          <w:p w14:paraId="42DA658D" w14:textId="77777777" w:rsidR="00C45D59" w:rsidRDefault="009B0962">
            <w:pPr>
              <w:pStyle w:val="P68B1DB1-Normal12"/>
              <w:spacing w:line="240" w:lineRule="auto"/>
              <w:rPr>
                <w:noProof/>
              </w:rPr>
            </w:pPr>
            <w:r>
              <w:rPr>
                <w:noProof/>
              </w:rPr>
              <w:t>Banca Elenă de Dezvoltare este evaluată pe baza pilonilor</w:t>
            </w:r>
          </w:p>
        </w:tc>
        <w:tc>
          <w:tcPr>
            <w:tcW w:w="544" w:type="pct"/>
            <w:tcBorders>
              <w:top w:val="single" w:sz="6" w:space="0" w:color="auto"/>
              <w:left w:val="single" w:sz="6" w:space="0" w:color="auto"/>
              <w:bottom w:val="single" w:sz="6" w:space="0" w:color="auto"/>
              <w:right w:val="single" w:sz="6" w:space="0" w:color="auto"/>
            </w:tcBorders>
            <w:shd w:val="clear" w:color="auto" w:fill="C6EFCE"/>
            <w:tcMar>
              <w:top w:w="15" w:type="dxa"/>
              <w:left w:w="15" w:type="dxa"/>
              <w:bottom w:w="15" w:type="dxa"/>
              <w:right w:w="15" w:type="dxa"/>
            </w:tcMar>
          </w:tcPr>
          <w:p w14:paraId="4F76B235" w14:textId="77777777" w:rsidR="00C45D59" w:rsidRDefault="009B0962">
            <w:pPr>
              <w:pStyle w:val="P68B1DB1-Normal12"/>
              <w:spacing w:line="240" w:lineRule="auto"/>
              <w:rPr>
                <w:noProof/>
              </w:rPr>
            </w:pPr>
            <w:r>
              <w:rPr>
                <w:noProof/>
              </w:rPr>
              <w:t>Banca Elenă de Dezvoltare este evaluată pe baza pilonilor pentru execuția fondurilor UE</w:t>
            </w:r>
          </w:p>
        </w:tc>
        <w:tc>
          <w:tcPr>
            <w:tcW w:w="249" w:type="pct"/>
            <w:tcBorders>
              <w:top w:val="single" w:sz="6" w:space="0" w:color="auto"/>
              <w:left w:val="single" w:sz="6" w:space="0" w:color="auto"/>
              <w:bottom w:val="single" w:sz="6" w:space="0" w:color="auto"/>
              <w:right w:val="single" w:sz="6" w:space="0" w:color="auto"/>
            </w:tcBorders>
            <w:shd w:val="clear" w:color="auto" w:fill="C6EFCE"/>
            <w:tcMar>
              <w:top w:w="15" w:type="dxa"/>
              <w:left w:w="15" w:type="dxa"/>
              <w:bottom w:w="15" w:type="dxa"/>
              <w:right w:w="15" w:type="dxa"/>
            </w:tcMar>
          </w:tcPr>
          <w:p w14:paraId="179F68E2" w14:textId="77777777" w:rsidR="00C45D59" w:rsidRDefault="00C45D59">
            <w:pPr>
              <w:spacing w:line="240" w:lineRule="auto"/>
              <w:rPr>
                <w:rFonts w:ascii="Times New Roman" w:hAnsi="Times New Roman" w:cs="Times New Roman"/>
                <w:noProof/>
                <w:color w:val="006100"/>
                <w:sz w:val="18"/>
                <w:szCs w:val="18"/>
              </w:rPr>
            </w:pPr>
          </w:p>
        </w:tc>
        <w:tc>
          <w:tcPr>
            <w:tcW w:w="342" w:type="pct"/>
            <w:tcBorders>
              <w:top w:val="single" w:sz="6" w:space="0" w:color="auto"/>
              <w:left w:val="single" w:sz="6" w:space="0" w:color="auto"/>
              <w:bottom w:val="single" w:sz="6" w:space="0" w:color="auto"/>
              <w:right w:val="single" w:sz="6" w:space="0" w:color="auto"/>
            </w:tcBorders>
            <w:shd w:val="clear" w:color="auto" w:fill="C6EFCE"/>
            <w:tcMar>
              <w:top w:w="15" w:type="dxa"/>
              <w:left w:w="15" w:type="dxa"/>
              <w:bottom w:w="15" w:type="dxa"/>
              <w:right w:w="15" w:type="dxa"/>
            </w:tcMar>
          </w:tcPr>
          <w:p w14:paraId="59876078" w14:textId="77777777" w:rsidR="00C45D59" w:rsidRDefault="00C45D59">
            <w:pPr>
              <w:spacing w:line="240" w:lineRule="auto"/>
              <w:rPr>
                <w:rFonts w:ascii="Times New Roman" w:hAnsi="Times New Roman" w:cs="Times New Roman"/>
                <w:noProof/>
                <w:color w:val="006100"/>
                <w:sz w:val="18"/>
                <w:szCs w:val="18"/>
              </w:rPr>
            </w:pPr>
          </w:p>
        </w:tc>
        <w:tc>
          <w:tcPr>
            <w:tcW w:w="205" w:type="pct"/>
            <w:tcBorders>
              <w:top w:val="single" w:sz="6" w:space="0" w:color="auto"/>
              <w:left w:val="single" w:sz="6" w:space="0" w:color="auto"/>
              <w:bottom w:val="single" w:sz="6" w:space="0" w:color="auto"/>
              <w:right w:val="single" w:sz="6" w:space="0" w:color="auto"/>
            </w:tcBorders>
            <w:shd w:val="clear" w:color="auto" w:fill="C6EFCE"/>
            <w:tcMar>
              <w:top w:w="15" w:type="dxa"/>
              <w:left w:w="15" w:type="dxa"/>
              <w:bottom w:w="15" w:type="dxa"/>
              <w:right w:w="15" w:type="dxa"/>
            </w:tcMar>
          </w:tcPr>
          <w:p w14:paraId="398CC88A" w14:textId="77777777" w:rsidR="00C45D59" w:rsidRDefault="00C45D59">
            <w:pPr>
              <w:spacing w:line="240" w:lineRule="auto"/>
              <w:rPr>
                <w:rFonts w:ascii="Times New Roman" w:hAnsi="Times New Roman" w:cs="Times New Roman"/>
                <w:noProof/>
                <w:color w:val="006100"/>
                <w:sz w:val="18"/>
                <w:szCs w:val="18"/>
              </w:rPr>
            </w:pPr>
          </w:p>
        </w:tc>
        <w:tc>
          <w:tcPr>
            <w:tcW w:w="148" w:type="pct"/>
            <w:tcBorders>
              <w:top w:val="single" w:sz="6" w:space="0" w:color="auto"/>
              <w:left w:val="single" w:sz="6" w:space="0" w:color="auto"/>
              <w:bottom w:val="single" w:sz="6" w:space="0" w:color="auto"/>
              <w:right w:val="single" w:sz="6" w:space="0" w:color="auto"/>
            </w:tcBorders>
            <w:shd w:val="clear" w:color="auto" w:fill="C6EFCE"/>
            <w:tcMar>
              <w:top w:w="15" w:type="dxa"/>
              <w:left w:w="15" w:type="dxa"/>
              <w:bottom w:w="15" w:type="dxa"/>
              <w:right w:w="15" w:type="dxa"/>
            </w:tcMar>
          </w:tcPr>
          <w:p w14:paraId="68F63404" w14:textId="77777777" w:rsidR="00C45D59" w:rsidRDefault="009B0962">
            <w:pPr>
              <w:pStyle w:val="P68B1DB1-Normal12"/>
              <w:spacing w:line="240" w:lineRule="auto"/>
              <w:rPr>
                <w:noProof/>
              </w:rPr>
            </w:pPr>
            <w:r>
              <w:rPr>
                <w:noProof/>
              </w:rPr>
              <w:t>Î2</w:t>
            </w:r>
          </w:p>
        </w:tc>
        <w:tc>
          <w:tcPr>
            <w:tcW w:w="209" w:type="pct"/>
            <w:tcBorders>
              <w:top w:val="single" w:sz="6" w:space="0" w:color="auto"/>
              <w:left w:val="single" w:sz="6" w:space="0" w:color="auto"/>
              <w:bottom w:val="single" w:sz="6" w:space="0" w:color="auto"/>
              <w:right w:val="single" w:sz="6" w:space="0" w:color="auto"/>
            </w:tcBorders>
            <w:shd w:val="clear" w:color="auto" w:fill="C6EFCE"/>
            <w:tcMar>
              <w:top w:w="15" w:type="dxa"/>
              <w:left w:w="15" w:type="dxa"/>
              <w:bottom w:w="15" w:type="dxa"/>
              <w:right w:w="15" w:type="dxa"/>
            </w:tcMar>
          </w:tcPr>
          <w:p w14:paraId="48366E25" w14:textId="77777777" w:rsidR="00C45D59" w:rsidRDefault="009B0962">
            <w:pPr>
              <w:pStyle w:val="P68B1DB1-Normal12"/>
              <w:spacing w:line="240" w:lineRule="auto"/>
              <w:rPr>
                <w:noProof/>
              </w:rPr>
            </w:pPr>
            <w:r>
              <w:rPr>
                <w:noProof/>
              </w:rPr>
              <w:t>2026</w:t>
            </w:r>
          </w:p>
        </w:tc>
        <w:tc>
          <w:tcPr>
            <w:tcW w:w="1215" w:type="pct"/>
            <w:tcBorders>
              <w:top w:val="single" w:sz="6" w:space="0" w:color="auto"/>
              <w:left w:val="single" w:sz="6" w:space="0" w:color="auto"/>
              <w:bottom w:val="single" w:sz="6" w:space="0" w:color="auto"/>
              <w:right w:val="single" w:sz="6" w:space="0" w:color="auto"/>
            </w:tcBorders>
            <w:shd w:val="clear" w:color="auto" w:fill="C6EFCE"/>
            <w:tcMar>
              <w:top w:w="15" w:type="dxa"/>
              <w:left w:w="15" w:type="dxa"/>
              <w:bottom w:w="15" w:type="dxa"/>
              <w:right w:w="15" w:type="dxa"/>
            </w:tcMar>
          </w:tcPr>
          <w:p w14:paraId="6B2C6279" w14:textId="77777777" w:rsidR="00C45D59" w:rsidRDefault="009B0962">
            <w:pPr>
              <w:pStyle w:val="P68B1DB1-Normal12"/>
              <w:rPr>
                <w:noProof/>
              </w:rPr>
            </w:pPr>
            <w:r>
              <w:rPr>
                <w:noProof/>
              </w:rPr>
              <w:t>Hellenic Development Bank este evaluată pozitiv pe baza pilonilor de către un auditor extern independent.</w:t>
            </w:r>
          </w:p>
        </w:tc>
      </w:tr>
    </w:tbl>
    <w:p w14:paraId="6E571736" w14:textId="77777777" w:rsidR="00C45D59" w:rsidRDefault="00C45D59">
      <w:pPr>
        <w:rPr>
          <w:noProof/>
        </w:rPr>
      </w:pPr>
    </w:p>
    <w:p w14:paraId="1E2263B0" w14:textId="77777777" w:rsidR="00C45D59" w:rsidRDefault="00C45D59">
      <w:pPr>
        <w:spacing w:before="120" w:after="120" w:line="240" w:lineRule="auto"/>
        <w:ind w:firstLine="6"/>
        <w:jc w:val="both"/>
        <w:outlineLvl w:val="3"/>
        <w:rPr>
          <w:rFonts w:ascii="Times New Roman" w:hAnsi="Times New Roman"/>
          <w:b/>
          <w:bCs/>
          <w:noProof/>
          <w:sz w:val="24"/>
          <w:szCs w:val="24"/>
        </w:rPr>
        <w:sectPr w:rsidR="00C45D59">
          <w:headerReference w:type="even" r:id="rId378"/>
          <w:headerReference w:type="default" r:id="rId379"/>
          <w:footerReference w:type="even" r:id="rId380"/>
          <w:footerReference w:type="default" r:id="rId381"/>
          <w:headerReference w:type="first" r:id="rId382"/>
          <w:footerReference w:type="first" r:id="rId383"/>
          <w:pgSz w:w="16838" w:h="11906" w:orient="landscape"/>
          <w:pgMar w:top="1134" w:right="1134" w:bottom="1134" w:left="1134" w:header="567" w:footer="567" w:gutter="0"/>
          <w:cols w:space="708"/>
          <w:docGrid w:linePitch="360"/>
        </w:sectPr>
      </w:pPr>
    </w:p>
    <w:p w14:paraId="28570E29" w14:textId="77777777" w:rsidR="00C45D59" w:rsidRDefault="009B0962">
      <w:pPr>
        <w:pStyle w:val="P68B1DB1-Normal48"/>
        <w:spacing w:before="120" w:after="120" w:line="240" w:lineRule="auto"/>
        <w:ind w:firstLine="6"/>
        <w:jc w:val="both"/>
        <w:outlineLvl w:val="3"/>
        <w:rPr>
          <w:rFonts w:cs="Times New Roman"/>
          <w:bCs/>
          <w:noProof/>
        </w:rPr>
      </w:pPr>
      <w:r>
        <w:rPr>
          <w:noProof/>
        </w:rPr>
        <w:t>T. COMPONENTA 5.1: Rapoarte REPowerEU</w:t>
      </w:r>
    </w:p>
    <w:p w14:paraId="2EC70FB7" w14:textId="77777777" w:rsidR="00C45D59" w:rsidRDefault="009B0962">
      <w:pPr>
        <w:pStyle w:val="P68B1DB1-Normal6"/>
        <w:spacing w:before="120" w:after="120" w:line="240" w:lineRule="auto"/>
        <w:jc w:val="both"/>
        <w:rPr>
          <w:rFonts w:cs="Times New Roman"/>
          <w:bCs/>
          <w:noProof/>
        </w:rPr>
      </w:pPr>
      <w:r>
        <w:rPr>
          <w:noProof/>
        </w:rPr>
        <w:t>T.1. Descrierea reformelor și a investițiilor pentru sprijinul financiar nerambursabil</w:t>
      </w:r>
    </w:p>
    <w:p w14:paraId="25B2AAA3" w14:textId="77777777" w:rsidR="00C45D59" w:rsidRDefault="009B0962">
      <w:pPr>
        <w:pStyle w:val="P68B1DB1-Normal5"/>
        <w:spacing w:before="120" w:after="120" w:line="240" w:lineRule="auto"/>
        <w:jc w:val="both"/>
        <w:rPr>
          <w:rFonts w:cs="Times New Roman"/>
          <w:noProof/>
          <w:szCs w:val="24"/>
        </w:rPr>
      </w:pPr>
      <w:r>
        <w:rPr>
          <w:noProof/>
        </w:rPr>
        <w:t>Capitolul conține un set de reforme menite să promoveze decarbonizarea, energia din surse regenerabile și gazele din surse regenerabile, inclusiv: (1) o reformă privind introducerea unui cadru legislativ care să permită și să faciliteze producția, stocarea, transportul și utilizarea hidrogenului din surse regenerabile și a biometanului, (2) o reformă privind instituirea cadrului de reglementare și de funcționare a pieței pentru tehnologiile de captare, utilizare și stocare a dioxidului de carbon pentru a stimula decarbonizarea industriei în Grecia, (3) o reformă privind optimizarea utilizării spațiului terestru și maritim pentru dezvoltarea energiei din surse regenerabile, pe lângă progresul suplimentar al cadrului legislativ pentru instalarea de parcuri eoliene offshore, (4) o reformă pentru a spori capacitatea de rețea și de stocare prin abordarea stabilității și a blocajelor rețelei, (5) o reformă a cadrului de reglementare pentru rețelele inteligente pentru a accelera punerea în aplicare a tehnologiilor inteligente și digitale în rețeaua de distribuție și pentru a încuraja răspunsul părții de consum pentru consumatorul final, (6) o reformă care vizează promovarea partajării energiei, încurajând astfel utilizarea surselor regenerabile de energie prin permiterea producerii descentralizate și a partajării între mai multe sisteme de energie din surse regenerabile la scară mică și (7) o reformă care introduce o foaie de parcurs pentru intervenții inovatoare în materie de eficiență energetică, inclusiv identificarea și lansarea de noi instrumente financiare care nu se bazează pe granturi.</w:t>
      </w:r>
    </w:p>
    <w:p w14:paraId="5248E9CF" w14:textId="77777777" w:rsidR="00C45D59" w:rsidRDefault="009B0962">
      <w:pPr>
        <w:pStyle w:val="P68B1DB1-Normal7"/>
        <w:spacing w:before="120" w:after="120" w:line="240" w:lineRule="auto"/>
        <w:jc w:val="both"/>
        <w:rPr>
          <w:rFonts w:cs="Times New Roman"/>
          <w:noProof/>
        </w:rPr>
      </w:pPr>
      <w:r>
        <w:rPr>
          <w:b/>
          <w:noProof/>
        </w:rPr>
        <w:t xml:space="preserve">Reformă: Cadrul </w:t>
      </w:r>
      <w:r>
        <w:rPr>
          <w:noProof/>
        </w:rPr>
        <w:t>de acordare a licențelor pentru hidrogenul din surse regenerabile și biometanul durabil (identificatorul măsurii: 16987)</w:t>
      </w:r>
    </w:p>
    <w:p w14:paraId="523E85B0" w14:textId="77777777" w:rsidR="00C45D59" w:rsidRDefault="009B0962">
      <w:pPr>
        <w:pStyle w:val="P68B1DB1-Normal7"/>
        <w:spacing w:before="120" w:after="120" w:line="240" w:lineRule="auto"/>
        <w:jc w:val="both"/>
        <w:rPr>
          <w:rFonts w:cs="Times New Roman"/>
          <w:noProof/>
        </w:rPr>
      </w:pPr>
      <w:r>
        <w:rPr>
          <w:noProof/>
        </w:rPr>
        <w:t>Obiectivul reformei este de a pune în aplicare legislația necesară pentru o utilizare eficace a hidrogenului din surse regenerabile și a biometanului durabil în Grecia prin eliminarea potențialelor bariere și prin instituirea de procese pentru dezvoltarea sectorului gazelor din surse regenerabile și a piețelor aferente. Reforma prevede adoptarea unui cadru legislativ care vizează promovarea producției și a consumului de hidrogen din surse regenerabile și de biometan durabil. Aceasta acoperă specificarea procedurilor de acordare a licențelor și de autorizare, inclusiv dispozițiile privind amenajarea teritoriului, definirea specificațiilor tehnice pentru transportul, stocarea și injectarea în rețea, clarificarea rolurilor diferitelor părți interesate, inclusiv ale autorităților publice implicate, asigurând în același timp un mecanism de certificare a faptului că hidrogenul produs va fi din surse regenerabile și că biometanul va fi durabil, în conformitate cu dispozițiile recente din actele delegate RED II.</w:t>
      </w:r>
    </w:p>
    <w:p w14:paraId="439B8276" w14:textId="77777777" w:rsidR="00C45D59" w:rsidRDefault="009B0962">
      <w:pPr>
        <w:pStyle w:val="P68B1DB1-Normal7"/>
        <w:spacing w:before="120" w:after="120" w:line="240" w:lineRule="auto"/>
        <w:jc w:val="both"/>
        <w:rPr>
          <w:rFonts w:cs="Times New Roman"/>
          <w:noProof/>
        </w:rPr>
      </w:pPr>
      <w:r>
        <w:rPr>
          <w:noProof/>
        </w:rPr>
        <w:t>Punerea în aplicare a reformei se finalizează până la 30 iunie 2024.</w:t>
      </w:r>
    </w:p>
    <w:p w14:paraId="3FE8B452" w14:textId="77777777" w:rsidR="00C45D59" w:rsidRDefault="009B0962">
      <w:pPr>
        <w:pStyle w:val="P68B1DB1-Normal5"/>
        <w:spacing w:before="120" w:after="120" w:line="240" w:lineRule="auto"/>
        <w:jc w:val="both"/>
        <w:rPr>
          <w:rFonts w:cs="Times New Roman"/>
          <w:noProof/>
        </w:rPr>
      </w:pPr>
      <w:r>
        <w:rPr>
          <w:b/>
          <w:noProof/>
        </w:rPr>
        <w:t xml:space="preserve">Reformă: Cadrul </w:t>
      </w:r>
      <w:r>
        <w:rPr>
          <w:noProof/>
        </w:rPr>
        <w:t>de reglementare și de funcționare a pieței pentru tehnologiile de captare, utilizare și stocare a dioxidului de carbon pentru a stimula decarbonizarea industriei (identificatorul măsurii: 16988)</w:t>
      </w:r>
    </w:p>
    <w:p w14:paraId="5D5A8441" w14:textId="00C30DE2" w:rsidR="00C45D59" w:rsidRDefault="009B0962">
      <w:pPr>
        <w:pStyle w:val="P68B1DB1-Normal5"/>
        <w:spacing w:before="120" w:after="120" w:line="240" w:lineRule="auto"/>
        <w:jc w:val="both"/>
        <w:rPr>
          <w:rFonts w:cs="Times New Roman"/>
          <w:noProof/>
        </w:rPr>
      </w:pPr>
      <w:r>
        <w:rPr>
          <w:noProof/>
        </w:rPr>
        <w:t>Obiectivul acestei reforme este de a stabili cadrul juridic și de reglementare pentru tehnologiile de captare, utilizare și stocare a dioxidului de carbon. Reforma constă în dezvoltarea cadrului de acordare a licențelor, instituirea procesului de standardizare și certificare și definirea accesului terților.</w:t>
      </w:r>
    </w:p>
    <w:p w14:paraId="7490A2FA" w14:textId="77777777" w:rsidR="00C45D59" w:rsidRDefault="009B0962">
      <w:pPr>
        <w:pStyle w:val="P68B1DB1-Normal5"/>
        <w:spacing w:before="120" w:after="120" w:line="240" w:lineRule="auto"/>
        <w:jc w:val="both"/>
        <w:rPr>
          <w:rFonts w:cs="Times New Roman"/>
          <w:noProof/>
        </w:rPr>
      </w:pPr>
      <w:r>
        <w:rPr>
          <w:b/>
          <w:noProof/>
        </w:rPr>
        <w:t xml:space="preserve">Reformă: </w:t>
      </w:r>
      <w:r>
        <w:rPr>
          <w:noProof/>
        </w:rPr>
        <w:t>Optimizarea utilizării spațiului terestru și maritim pentru dezvoltarea surselor regenerabile de energie și a energiei eoliene offshore (identificatorul măsurii: 16989)</w:t>
      </w:r>
    </w:p>
    <w:p w14:paraId="6BC94A34" w14:textId="77777777" w:rsidR="00C45D59" w:rsidRDefault="009B0962">
      <w:pPr>
        <w:pStyle w:val="P68B1DB1-Normal7"/>
        <w:spacing w:before="120" w:after="120" w:line="240" w:lineRule="auto"/>
        <w:jc w:val="both"/>
        <w:rPr>
          <w:noProof/>
        </w:rPr>
      </w:pPr>
      <w:r>
        <w:rPr>
          <w:noProof/>
        </w:rPr>
        <w:t>Obiectivul acestei reforme este de a consolida dezvoltarea surselor regenerabile de energie (SRE) în Grecia. Reforma constă în cadrul juridic pentru parcurile eoliene offshore, precum și în facilitarea surselor regenerabile de energie pe uscat.</w:t>
      </w:r>
    </w:p>
    <w:p w14:paraId="2430909F" w14:textId="77777777" w:rsidR="00C45D59" w:rsidRDefault="009B0962">
      <w:pPr>
        <w:pStyle w:val="P68B1DB1-Normal7"/>
        <w:spacing w:before="120" w:after="120" w:line="240" w:lineRule="auto"/>
        <w:jc w:val="both"/>
        <w:rPr>
          <w:rFonts w:cs="Times New Roman"/>
          <w:noProof/>
        </w:rPr>
      </w:pPr>
      <w:r>
        <w:rPr>
          <w:b/>
          <w:noProof/>
        </w:rPr>
        <w:t xml:space="preserve">Reformă: Reforma capacității </w:t>
      </w:r>
      <w:r>
        <w:rPr>
          <w:noProof/>
        </w:rPr>
        <w:t>rețelei și a capacității de stocare (identificatorul măsurii: 16990)</w:t>
      </w:r>
    </w:p>
    <w:p w14:paraId="35771C30" w14:textId="1F520E4D" w:rsidR="00C45D59" w:rsidRDefault="009B0962">
      <w:pPr>
        <w:pStyle w:val="P68B1DB1-Normal7"/>
        <w:spacing w:before="120" w:after="120" w:line="240" w:lineRule="auto"/>
        <w:jc w:val="both"/>
        <w:rPr>
          <w:rFonts w:cs="Times New Roman"/>
          <w:noProof/>
        </w:rPr>
      </w:pPr>
      <w:r>
        <w:rPr>
          <w:noProof/>
        </w:rPr>
        <w:t xml:space="preserve">Obiectivul acestei reforme este adoptarea cadrului juridic pentru participarea unităților de stocare la piața energiei electrice. Reforma constă în adoptarea cadrului de sprijinire a proiectelor de stocare de sine stătătoare în baterii, precum și a centralelor de stocare combinate cu noi centrale de energie din surse regenerabile, precum și în adoptarea deciziilor de reglementare care să permită participarea unităților de stocare pe piețele energiei electrice. </w:t>
      </w:r>
    </w:p>
    <w:p w14:paraId="1C3CDE24" w14:textId="0B0199E9" w:rsidR="00C45D59" w:rsidRDefault="009B0962">
      <w:pPr>
        <w:pStyle w:val="P68B1DB1-Normal7"/>
        <w:spacing w:before="120" w:after="120" w:line="240" w:lineRule="auto"/>
        <w:jc w:val="both"/>
        <w:rPr>
          <w:rFonts w:cs="Times New Roman"/>
          <w:noProof/>
        </w:rPr>
      </w:pPr>
      <w:r>
        <w:rPr>
          <w:b/>
          <w:noProof/>
        </w:rPr>
        <w:t>Reformă:</w:t>
      </w:r>
      <w:r>
        <w:rPr>
          <w:noProof/>
        </w:rPr>
        <w:t xml:space="preserve"> Cadrul de reglementare pentru o rețea inteligentă (identificatorul măsurii: 16991)</w:t>
      </w:r>
    </w:p>
    <w:p w14:paraId="6622BA0E" w14:textId="6127CE3A" w:rsidR="00C45D59" w:rsidRDefault="009B0962">
      <w:pPr>
        <w:pStyle w:val="NormalWeb"/>
        <w:spacing w:before="120" w:after="120" w:line="240" w:lineRule="auto"/>
        <w:jc w:val="both"/>
        <w:rPr>
          <w:noProof/>
        </w:rPr>
      </w:pPr>
      <w:r>
        <w:rPr>
          <w:noProof/>
        </w:rPr>
        <w:t xml:space="preserve">Obiectivul măsurii este de a investi în tehnologii și practici de rețele inteligente pe piața energiei electrice din Grecia. Această măsură constă în adoptarea de reforme pentru stimularea utilizării contoarelor inteligente și în stabilirea unui cadru pentru stabilirea dinamică a prețurilor pentru consumatorii finali. </w:t>
      </w:r>
    </w:p>
    <w:p w14:paraId="5D48A704" w14:textId="77777777" w:rsidR="00C45D59" w:rsidRDefault="009B0962">
      <w:pPr>
        <w:pStyle w:val="P68B1DB1-Normal5"/>
        <w:spacing w:before="120" w:after="120" w:line="240" w:lineRule="auto"/>
        <w:jc w:val="both"/>
        <w:rPr>
          <w:rFonts w:cs="Times New Roman"/>
          <w:noProof/>
          <w:szCs w:val="24"/>
        </w:rPr>
      </w:pPr>
      <w:r>
        <w:rPr>
          <w:b/>
          <w:noProof/>
        </w:rPr>
        <w:t xml:space="preserve">Reformă: </w:t>
      </w:r>
      <w:r>
        <w:rPr>
          <w:noProof/>
        </w:rPr>
        <w:t>Set de instrumente pentru promovarea partajării energiei, a autoconsumului și a comunităților de energie din surse regenerabile (identificatorul măsurii: 16992)</w:t>
      </w:r>
    </w:p>
    <w:p w14:paraId="473C2EED" w14:textId="77777777" w:rsidR="00C45D59" w:rsidRDefault="009B0962">
      <w:pPr>
        <w:pStyle w:val="P68B1DB1-Normal5"/>
        <w:spacing w:before="120" w:after="120" w:line="240" w:lineRule="auto"/>
        <w:jc w:val="both"/>
        <w:rPr>
          <w:rFonts w:cs="Times New Roman"/>
          <w:noProof/>
        </w:rPr>
      </w:pPr>
      <w:r>
        <w:rPr>
          <w:noProof/>
          <w:szCs w:val="24"/>
        </w:rPr>
        <w:t xml:space="preserve">Obiectivul acestei reforme este de a stimula partajarea energiei. Reforma include facilitarea instalării de stații SRE în clădiri, instituirea unui cadru de </w:t>
      </w:r>
      <w:r>
        <w:rPr>
          <w:noProof/>
        </w:rPr>
        <w:t>reglementare pentru autoconsumul de energie și sprijinirea comunităților de energie din surse regenerabile.</w:t>
      </w:r>
    </w:p>
    <w:p w14:paraId="6AE11835" w14:textId="77777777" w:rsidR="00C45D59" w:rsidRDefault="009B0962">
      <w:pPr>
        <w:pStyle w:val="P68B1DB1-Normal5"/>
        <w:spacing w:before="120" w:after="120" w:line="240" w:lineRule="auto"/>
        <w:jc w:val="both"/>
        <w:rPr>
          <w:rFonts w:cs="Times New Roman"/>
          <w:noProof/>
        </w:rPr>
      </w:pPr>
      <w:r>
        <w:rPr>
          <w:b/>
          <w:noProof/>
        </w:rPr>
        <w:t xml:space="preserve">Reformă: </w:t>
      </w:r>
      <w:r>
        <w:rPr>
          <w:noProof/>
        </w:rPr>
        <w:t>Foaie de parcurs pentru intervenții inovatoare în domeniul eficienței energetice și identificarea de noi instrumente financiare (identificatorul măsurii: 16993)</w:t>
      </w:r>
    </w:p>
    <w:p w14:paraId="586A887D" w14:textId="77777777" w:rsidR="00C45D59" w:rsidRDefault="009B0962">
      <w:pPr>
        <w:pStyle w:val="P68B1DB1-Normal7"/>
        <w:spacing w:before="120" w:after="120" w:line="240" w:lineRule="auto"/>
        <w:jc w:val="both"/>
        <w:rPr>
          <w:noProof/>
        </w:rPr>
      </w:pPr>
      <w:r>
        <w:rPr>
          <w:noProof/>
        </w:rPr>
        <w:t xml:space="preserve">Obiectivul acestei reforme este de a stabili o foaie de parcurs pentru intervenții inovatoare în materie de eficiență energetică pentru a stimula renovarea aprofundată a locuințelor și a clădirilor industriale. </w:t>
      </w:r>
    </w:p>
    <w:p w14:paraId="0A02F828" w14:textId="77777777" w:rsidR="00C45D59" w:rsidRDefault="009B0962">
      <w:pPr>
        <w:pStyle w:val="P68B1DB1-Normal7"/>
        <w:spacing w:before="120" w:after="120" w:line="240" w:lineRule="auto"/>
        <w:jc w:val="both"/>
        <w:rPr>
          <w:rFonts w:cs="Times New Roman"/>
          <w:noProof/>
        </w:rPr>
      </w:pPr>
      <w:r>
        <w:rPr>
          <w:noProof/>
        </w:rPr>
        <w:t xml:space="preserve">Reforma constă în (i) o foaie de parcurs care definește intervențiile inovatoare în materie de eficiență energetică; și (ii) lansarea unui instrument financiar pentru eficiență energetică bazat pe surse financiare nesubvenționate. </w:t>
      </w:r>
    </w:p>
    <w:p w14:paraId="2EF6DAB8" w14:textId="77777777" w:rsidR="00C45D59" w:rsidRDefault="00C45D59">
      <w:pPr>
        <w:spacing w:before="120" w:after="120" w:line="240" w:lineRule="auto"/>
        <w:jc w:val="both"/>
        <w:rPr>
          <w:rFonts w:ascii="Times New Roman" w:hAnsi="Times New Roman" w:cs="Times New Roman"/>
          <w:noProof/>
          <w:sz w:val="24"/>
        </w:rPr>
      </w:pPr>
    </w:p>
    <w:p w14:paraId="4F31838F" w14:textId="77777777" w:rsidR="00C45D59" w:rsidRDefault="00C45D59">
      <w:pPr>
        <w:spacing w:before="120" w:after="120" w:line="240" w:lineRule="auto"/>
        <w:jc w:val="both"/>
        <w:rPr>
          <w:rFonts w:ascii="Times New Roman" w:hAnsi="Times New Roman" w:cs="Times New Roman"/>
          <w:noProof/>
          <w:sz w:val="24"/>
        </w:rPr>
        <w:sectPr w:rsidR="00C45D59">
          <w:headerReference w:type="even" r:id="rId384"/>
          <w:headerReference w:type="default" r:id="rId385"/>
          <w:footerReference w:type="even" r:id="rId386"/>
          <w:footerReference w:type="default" r:id="rId387"/>
          <w:headerReference w:type="first" r:id="rId388"/>
          <w:footerReference w:type="first" r:id="rId389"/>
          <w:pgSz w:w="11907" w:h="16839"/>
          <w:pgMar w:top="1134" w:right="1134" w:bottom="1134" w:left="1134" w:header="567" w:footer="567" w:gutter="0"/>
          <w:cols w:space="720"/>
          <w:docGrid w:linePitch="360"/>
        </w:sectPr>
      </w:pPr>
    </w:p>
    <w:p w14:paraId="3990E010" w14:textId="77777777" w:rsidR="00C45D59" w:rsidRDefault="009B0962">
      <w:pPr>
        <w:pStyle w:val="P68B1DB1-Normal6"/>
        <w:keepNext/>
        <w:keepLines/>
        <w:spacing w:before="240" w:after="0" w:line="240" w:lineRule="auto"/>
        <w:jc w:val="both"/>
        <w:outlineLvl w:val="4"/>
        <w:rPr>
          <w:rFonts w:ascii="Cambria" w:eastAsia="Times New Roman" w:hAnsi="Cambria"/>
          <w:noProof/>
          <w:color w:val="365F91"/>
        </w:rPr>
      </w:pPr>
      <w:r>
        <w:rPr>
          <w:noProof/>
        </w:rPr>
        <w:t>T.2. Jaloane, ținte, indicatori și calendarul de monitorizare și implementare aplicabile sprijinului financiar nerambursabil</w:t>
      </w:r>
    </w:p>
    <w:p w14:paraId="05F09ADC" w14:textId="7F14AB72" w:rsidR="00C45D59" w:rsidRDefault="009B0962">
      <w:pPr>
        <w:pStyle w:val="P68B1DB1-Normal9"/>
        <w:keepNext/>
        <w:keepLines/>
        <w:spacing w:before="240" w:after="240" w:line="240" w:lineRule="auto"/>
        <w:jc w:val="both"/>
        <w:outlineLvl w:val="4"/>
        <w:rPr>
          <w:rFonts w:eastAsia="Times New Roman"/>
          <w:noProof/>
          <w:szCs w:val="24"/>
        </w:rPr>
      </w:pPr>
      <w:r>
        <w:rPr>
          <w:noProof/>
        </w:rPr>
        <w:t xml:space="preserve">Reforma 1: Cadrul de acordare a licențelor pentru hidrogenul din surse regenerabile și biometanul durabil (identificatorul măsurii: 16987) </w:t>
      </w:r>
    </w:p>
    <w:tbl>
      <w:tblPr>
        <w:tblW w:w="14312" w:type="dxa"/>
        <w:tblLook w:val="04A0" w:firstRow="1" w:lastRow="0" w:firstColumn="1" w:lastColumn="0" w:noHBand="0" w:noVBand="1"/>
      </w:tblPr>
      <w:tblGrid>
        <w:gridCol w:w="675"/>
        <w:gridCol w:w="2014"/>
        <w:gridCol w:w="1376"/>
        <w:gridCol w:w="1275"/>
        <w:gridCol w:w="1134"/>
        <w:gridCol w:w="993"/>
        <w:gridCol w:w="1134"/>
        <w:gridCol w:w="866"/>
        <w:gridCol w:w="1006"/>
        <w:gridCol w:w="850"/>
        <w:gridCol w:w="3402"/>
      </w:tblGrid>
      <w:tr w:rsidR="00C45D59" w14:paraId="35E62BAC" w14:textId="77777777">
        <w:trPr>
          <w:trHeight w:val="540"/>
          <w:tblHeader/>
        </w:trPr>
        <w:tc>
          <w:tcPr>
            <w:tcW w:w="675" w:type="dxa"/>
            <w:vMerge w:val="restart"/>
            <w:tcBorders>
              <w:top w:val="single" w:sz="4" w:space="0" w:color="auto"/>
              <w:left w:val="single" w:sz="4" w:space="0" w:color="auto"/>
              <w:bottom w:val="single" w:sz="4" w:space="0" w:color="auto"/>
              <w:right w:val="single" w:sz="4" w:space="0" w:color="auto"/>
            </w:tcBorders>
            <w:shd w:val="clear" w:color="auto" w:fill="BDD7EE"/>
            <w:noWrap/>
            <w:vAlign w:val="center"/>
          </w:tcPr>
          <w:p w14:paraId="7A71A39D" w14:textId="5AE8C0D0" w:rsidR="00C45D59" w:rsidRDefault="009B0962">
            <w:pPr>
              <w:pStyle w:val="P68B1DB1-Normal15"/>
              <w:spacing w:before="120" w:after="120" w:line="240" w:lineRule="auto"/>
              <w:jc w:val="center"/>
              <w:rPr>
                <w:rFonts w:eastAsia="Times New Roman"/>
                <w:bCs/>
                <w:noProof/>
              </w:rPr>
            </w:pPr>
            <w:r>
              <w:rPr>
                <w:noProof/>
              </w:rPr>
              <w:t>N</w:t>
            </w:r>
            <w:r w:rsidR="00037E31">
              <w:rPr>
                <w:noProof/>
              </w:rPr>
              <w:t>r.</w:t>
            </w:r>
            <w:r>
              <w:rPr>
                <w:noProof/>
              </w:rPr>
              <w:t xml:space="preserve"> </w:t>
            </w:r>
            <w:r>
              <w:rPr>
                <w:noProof/>
              </w:rPr>
              <w:br/>
            </w:r>
            <w:r w:rsidR="00037E31">
              <w:rPr>
                <w:noProof/>
              </w:rPr>
              <w:t>crt</w:t>
            </w:r>
            <w:r>
              <w:rPr>
                <w:noProof/>
              </w:rPr>
              <w:t>.</w:t>
            </w:r>
          </w:p>
        </w:tc>
        <w:tc>
          <w:tcPr>
            <w:tcW w:w="2014" w:type="dxa"/>
            <w:vMerge w:val="restart"/>
            <w:tcBorders>
              <w:top w:val="single" w:sz="4" w:space="0" w:color="auto"/>
              <w:left w:val="single" w:sz="4" w:space="0" w:color="auto"/>
              <w:bottom w:val="single" w:sz="4" w:space="0" w:color="auto"/>
              <w:right w:val="single" w:sz="4" w:space="0" w:color="auto"/>
            </w:tcBorders>
            <w:shd w:val="clear" w:color="auto" w:fill="BDD7EE"/>
            <w:noWrap/>
            <w:vAlign w:val="center"/>
          </w:tcPr>
          <w:p w14:paraId="749EB8FD" w14:textId="77777777" w:rsidR="00C45D59" w:rsidRDefault="009B0962">
            <w:pPr>
              <w:pStyle w:val="P68B1DB1-Normal10"/>
              <w:spacing w:before="120" w:after="120" w:line="240" w:lineRule="auto"/>
              <w:jc w:val="center"/>
              <w:rPr>
                <w:rFonts w:eastAsia="Times New Roman" w:cs="Times New Roman"/>
                <w:bCs/>
                <w:noProof/>
                <w:szCs w:val="18"/>
              </w:rPr>
            </w:pPr>
            <w:r>
              <w:rPr>
                <w:noProof/>
              </w:rPr>
              <w:t>Măsură conexă (reformă sau investiții)</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BDD7EE"/>
            <w:noWrap/>
            <w:vAlign w:val="center"/>
          </w:tcPr>
          <w:p w14:paraId="082BC4F7" w14:textId="77777777" w:rsidR="00C45D59" w:rsidRDefault="009B0962">
            <w:pPr>
              <w:pStyle w:val="P68B1DB1-Normal10"/>
              <w:spacing w:before="120" w:after="120" w:line="240" w:lineRule="auto"/>
              <w:jc w:val="center"/>
              <w:rPr>
                <w:rFonts w:eastAsia="Times New Roman" w:cs="Times New Roman"/>
                <w:bCs/>
                <w:noProof/>
                <w:szCs w:val="18"/>
              </w:rPr>
            </w:pPr>
            <w:r>
              <w:rPr>
                <w:noProof/>
              </w:rPr>
              <w:t>Etapă/Obiectiv</w:t>
            </w:r>
          </w:p>
        </w:tc>
        <w:tc>
          <w:tcPr>
            <w:tcW w:w="1275" w:type="dxa"/>
            <w:vMerge w:val="restart"/>
            <w:tcBorders>
              <w:top w:val="single" w:sz="4" w:space="0" w:color="auto"/>
              <w:left w:val="single" w:sz="4" w:space="0" w:color="auto"/>
              <w:bottom w:val="single" w:sz="4" w:space="0" w:color="auto"/>
              <w:right w:val="single" w:sz="4" w:space="0" w:color="auto"/>
            </w:tcBorders>
            <w:shd w:val="clear" w:color="auto" w:fill="BDD7EE"/>
            <w:noWrap/>
            <w:vAlign w:val="center"/>
          </w:tcPr>
          <w:p w14:paraId="122FDF5F" w14:textId="7A5C6651" w:rsidR="00C45D59" w:rsidRDefault="00037E31">
            <w:pPr>
              <w:pStyle w:val="P68B1DB1-Normal10"/>
              <w:spacing w:before="120" w:after="120" w:line="240" w:lineRule="auto"/>
              <w:jc w:val="center"/>
              <w:rPr>
                <w:rFonts w:eastAsia="Times New Roman" w:cs="Times New Roman"/>
                <w:bCs/>
                <w:noProof/>
                <w:szCs w:val="18"/>
              </w:rPr>
            </w:pPr>
            <w:r>
              <w:rPr>
                <w:noProof/>
              </w:rPr>
              <w:t>Denumire</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BDD7EE"/>
            <w:noWrap/>
            <w:vAlign w:val="center"/>
          </w:tcPr>
          <w:p w14:paraId="5198F65C" w14:textId="77777777" w:rsidR="00C45D59" w:rsidRDefault="009B0962">
            <w:pPr>
              <w:pStyle w:val="P68B1DB1-Normal10"/>
              <w:spacing w:before="120" w:after="120" w:line="240" w:lineRule="auto"/>
              <w:jc w:val="center"/>
              <w:rPr>
                <w:rFonts w:eastAsia="Times New Roman" w:cs="Times New Roman"/>
                <w:bCs/>
                <w:noProof/>
                <w:szCs w:val="18"/>
              </w:rPr>
            </w:pPr>
            <w:r>
              <w:rPr>
                <w:noProof/>
              </w:rPr>
              <w:t>Indicatori calitativi (pentru obiectivele de etapă)</w:t>
            </w:r>
          </w:p>
        </w:tc>
        <w:tc>
          <w:tcPr>
            <w:tcW w:w="2977" w:type="dxa"/>
            <w:gridSpan w:val="3"/>
            <w:tcBorders>
              <w:top w:val="single" w:sz="4" w:space="0" w:color="auto"/>
              <w:left w:val="single" w:sz="4" w:space="0" w:color="auto"/>
              <w:bottom w:val="single" w:sz="4" w:space="0" w:color="auto"/>
              <w:right w:val="single" w:sz="4" w:space="0" w:color="auto"/>
            </w:tcBorders>
            <w:shd w:val="clear" w:color="auto" w:fill="BDD7EE"/>
            <w:noWrap/>
            <w:vAlign w:val="center"/>
          </w:tcPr>
          <w:p w14:paraId="742FFFC2" w14:textId="77777777" w:rsidR="00C45D59" w:rsidRDefault="009B0962">
            <w:pPr>
              <w:pStyle w:val="P68B1DB1-Normal10"/>
              <w:spacing w:before="120" w:after="120" w:line="240" w:lineRule="auto"/>
              <w:jc w:val="center"/>
              <w:rPr>
                <w:rFonts w:eastAsia="Times New Roman" w:cs="Times New Roman"/>
                <w:bCs/>
                <w:noProof/>
                <w:szCs w:val="18"/>
              </w:rPr>
            </w:pPr>
            <w:r>
              <w:rPr>
                <w:noProof/>
              </w:rPr>
              <w:t>Indicatori cantitativi (pentru ținte)</w:t>
            </w:r>
          </w:p>
        </w:tc>
        <w:tc>
          <w:tcPr>
            <w:tcW w:w="1701" w:type="dxa"/>
            <w:gridSpan w:val="2"/>
            <w:tcBorders>
              <w:top w:val="single" w:sz="4" w:space="0" w:color="auto"/>
              <w:left w:val="nil"/>
              <w:bottom w:val="single" w:sz="4" w:space="0" w:color="auto"/>
              <w:right w:val="single" w:sz="4" w:space="0" w:color="auto"/>
            </w:tcBorders>
            <w:shd w:val="clear" w:color="auto" w:fill="BDD7EE"/>
            <w:noWrap/>
          </w:tcPr>
          <w:p w14:paraId="7073BB98" w14:textId="77777777" w:rsidR="00C45D59" w:rsidRDefault="009B0962">
            <w:pPr>
              <w:pStyle w:val="P68B1DB1-Normal10"/>
              <w:spacing w:before="120" w:after="120" w:line="240" w:lineRule="auto"/>
              <w:jc w:val="center"/>
              <w:rPr>
                <w:rFonts w:eastAsia="Times New Roman" w:cs="Times New Roman"/>
                <w:bCs/>
                <w:noProof/>
                <w:szCs w:val="18"/>
              </w:rPr>
            </w:pPr>
            <w:r>
              <w:rPr>
                <w:noProof/>
              </w:rPr>
              <w:t>Calendar orientativ pentru finalizare</w:t>
            </w:r>
          </w:p>
        </w:tc>
        <w:tc>
          <w:tcPr>
            <w:tcW w:w="3402" w:type="dxa"/>
            <w:vMerge w:val="restart"/>
            <w:tcBorders>
              <w:top w:val="single" w:sz="4" w:space="0" w:color="auto"/>
              <w:left w:val="nil"/>
              <w:bottom w:val="single" w:sz="4" w:space="0" w:color="auto"/>
              <w:right w:val="single" w:sz="4" w:space="0" w:color="auto"/>
            </w:tcBorders>
            <w:shd w:val="clear" w:color="auto" w:fill="BDD7EE"/>
            <w:noWrap/>
          </w:tcPr>
          <w:p w14:paraId="22F0BBD1" w14:textId="77777777" w:rsidR="00C45D59" w:rsidRDefault="00C45D59">
            <w:pPr>
              <w:spacing w:before="120" w:after="120" w:line="240" w:lineRule="auto"/>
              <w:jc w:val="center"/>
              <w:rPr>
                <w:rFonts w:ascii="Times New Roman" w:eastAsia="Times New Roman" w:hAnsi="Times New Roman" w:cs="Times New Roman"/>
                <w:b/>
                <w:bCs/>
                <w:noProof/>
                <w:sz w:val="18"/>
                <w:szCs w:val="18"/>
              </w:rPr>
            </w:pPr>
          </w:p>
          <w:p w14:paraId="086215AC" w14:textId="77777777" w:rsidR="00C45D59" w:rsidRDefault="009B0962">
            <w:pPr>
              <w:pStyle w:val="P68B1DB1-Normal10"/>
              <w:spacing w:before="120" w:after="120" w:line="240" w:lineRule="auto"/>
              <w:jc w:val="center"/>
              <w:rPr>
                <w:rFonts w:eastAsia="Times New Roman" w:cs="Times New Roman"/>
                <w:bCs/>
                <w:noProof/>
                <w:szCs w:val="18"/>
              </w:rPr>
            </w:pPr>
            <w:r>
              <w:rPr>
                <w:noProof/>
              </w:rPr>
              <w:t>Descrierea fiecărui jalon și a fiecărei ținte</w:t>
            </w:r>
          </w:p>
        </w:tc>
      </w:tr>
      <w:tr w:rsidR="00C45D59" w14:paraId="42268D80" w14:textId="77777777">
        <w:trPr>
          <w:trHeight w:val="557"/>
        </w:trPr>
        <w:tc>
          <w:tcPr>
            <w:tcW w:w="675" w:type="dxa"/>
            <w:vMerge/>
            <w:tcBorders>
              <w:top w:val="single" w:sz="4" w:space="0" w:color="auto"/>
              <w:left w:val="single" w:sz="4" w:space="0" w:color="auto"/>
              <w:bottom w:val="single" w:sz="4" w:space="0" w:color="auto"/>
              <w:right w:val="single" w:sz="4" w:space="0" w:color="auto"/>
            </w:tcBorders>
            <w:noWrap/>
            <w:vAlign w:val="center"/>
          </w:tcPr>
          <w:p w14:paraId="5A262433" w14:textId="77777777" w:rsidR="00C45D59" w:rsidRDefault="00C45D59">
            <w:pPr>
              <w:spacing w:after="0" w:line="240" w:lineRule="auto"/>
              <w:rPr>
                <w:rFonts w:ascii="Times New Roman" w:eastAsia="Times New Roman" w:hAnsi="Times New Roman" w:cs="Times New Roman"/>
                <w:b/>
                <w:bCs/>
                <w:noProof/>
                <w:sz w:val="18"/>
                <w:szCs w:val="18"/>
              </w:rPr>
            </w:pPr>
          </w:p>
        </w:tc>
        <w:tc>
          <w:tcPr>
            <w:tcW w:w="2014" w:type="dxa"/>
            <w:vMerge/>
            <w:tcBorders>
              <w:top w:val="single" w:sz="4" w:space="0" w:color="auto"/>
              <w:left w:val="single" w:sz="4" w:space="0" w:color="auto"/>
              <w:bottom w:val="single" w:sz="4" w:space="0" w:color="auto"/>
              <w:right w:val="single" w:sz="4" w:space="0" w:color="auto"/>
            </w:tcBorders>
            <w:noWrap/>
            <w:vAlign w:val="center"/>
          </w:tcPr>
          <w:p w14:paraId="044793A5" w14:textId="77777777" w:rsidR="00C45D59" w:rsidRDefault="00C45D59">
            <w:pPr>
              <w:spacing w:after="0" w:line="240" w:lineRule="auto"/>
              <w:rPr>
                <w:rFonts w:ascii="Times New Roman" w:eastAsia="Times New Roman" w:hAnsi="Times New Roman" w:cs="Times New Roman"/>
                <w:b/>
                <w:bCs/>
                <w:noProof/>
                <w:sz w:val="18"/>
                <w:szCs w:val="18"/>
              </w:rPr>
            </w:pPr>
          </w:p>
        </w:tc>
        <w:tc>
          <w:tcPr>
            <w:tcW w:w="1134" w:type="dxa"/>
            <w:vMerge/>
            <w:tcBorders>
              <w:top w:val="single" w:sz="4" w:space="0" w:color="auto"/>
              <w:left w:val="single" w:sz="4" w:space="0" w:color="auto"/>
              <w:bottom w:val="single" w:sz="4" w:space="0" w:color="auto"/>
              <w:right w:val="single" w:sz="4" w:space="0" w:color="auto"/>
            </w:tcBorders>
            <w:noWrap/>
            <w:vAlign w:val="center"/>
          </w:tcPr>
          <w:p w14:paraId="48F7CF9F" w14:textId="77777777" w:rsidR="00C45D59" w:rsidRDefault="00C45D59">
            <w:pPr>
              <w:spacing w:after="0" w:line="240" w:lineRule="auto"/>
              <w:rPr>
                <w:rFonts w:ascii="Times New Roman" w:eastAsia="Times New Roman" w:hAnsi="Times New Roman" w:cs="Times New Roman"/>
                <w:b/>
                <w:bCs/>
                <w:noProof/>
                <w:sz w:val="18"/>
                <w:szCs w:val="18"/>
              </w:rPr>
            </w:pPr>
          </w:p>
        </w:tc>
        <w:tc>
          <w:tcPr>
            <w:tcW w:w="1275" w:type="dxa"/>
            <w:vMerge/>
            <w:tcBorders>
              <w:top w:val="single" w:sz="4" w:space="0" w:color="auto"/>
              <w:left w:val="single" w:sz="4" w:space="0" w:color="auto"/>
              <w:bottom w:val="single" w:sz="4" w:space="0" w:color="auto"/>
              <w:right w:val="single" w:sz="4" w:space="0" w:color="auto"/>
            </w:tcBorders>
            <w:noWrap/>
            <w:vAlign w:val="center"/>
          </w:tcPr>
          <w:p w14:paraId="65E4E6D1" w14:textId="77777777" w:rsidR="00C45D59" w:rsidRDefault="00C45D59">
            <w:pPr>
              <w:spacing w:after="0" w:line="240" w:lineRule="auto"/>
              <w:rPr>
                <w:rFonts w:ascii="Times New Roman" w:eastAsia="Times New Roman" w:hAnsi="Times New Roman" w:cs="Times New Roman"/>
                <w:b/>
                <w:bCs/>
                <w:noProof/>
                <w:sz w:val="18"/>
                <w:szCs w:val="18"/>
              </w:rPr>
            </w:pPr>
          </w:p>
        </w:tc>
        <w:tc>
          <w:tcPr>
            <w:tcW w:w="1134" w:type="dxa"/>
            <w:vMerge/>
            <w:tcBorders>
              <w:top w:val="single" w:sz="4" w:space="0" w:color="auto"/>
              <w:left w:val="single" w:sz="4" w:space="0" w:color="auto"/>
              <w:bottom w:val="single" w:sz="4" w:space="0" w:color="auto"/>
              <w:right w:val="single" w:sz="4" w:space="0" w:color="auto"/>
            </w:tcBorders>
            <w:noWrap/>
            <w:vAlign w:val="center"/>
          </w:tcPr>
          <w:p w14:paraId="1977DAE3" w14:textId="77777777" w:rsidR="00C45D59" w:rsidRDefault="00C45D59">
            <w:pPr>
              <w:spacing w:after="0" w:line="240" w:lineRule="auto"/>
              <w:rPr>
                <w:rFonts w:ascii="Times New Roman" w:eastAsia="Times New Roman" w:hAnsi="Times New Roman" w:cs="Times New Roman"/>
                <w:b/>
                <w:bCs/>
                <w:noProof/>
                <w:sz w:val="18"/>
                <w:szCs w:val="18"/>
              </w:rPr>
            </w:pPr>
          </w:p>
        </w:tc>
        <w:tc>
          <w:tcPr>
            <w:tcW w:w="993" w:type="dxa"/>
            <w:tcBorders>
              <w:top w:val="single" w:sz="4" w:space="0" w:color="auto"/>
              <w:left w:val="single" w:sz="4" w:space="0" w:color="auto"/>
              <w:bottom w:val="single" w:sz="4" w:space="0" w:color="auto"/>
              <w:right w:val="single" w:sz="4" w:space="0" w:color="auto"/>
            </w:tcBorders>
            <w:shd w:val="clear" w:color="auto" w:fill="BDD7EE"/>
            <w:noWrap/>
            <w:vAlign w:val="center"/>
          </w:tcPr>
          <w:p w14:paraId="2614ECB7" w14:textId="77777777" w:rsidR="00C45D59" w:rsidRDefault="009B0962">
            <w:pPr>
              <w:pStyle w:val="P68B1DB1-Normal10"/>
              <w:spacing w:before="120" w:after="120" w:line="240" w:lineRule="auto"/>
              <w:jc w:val="center"/>
              <w:rPr>
                <w:rFonts w:eastAsia="Times New Roman" w:cs="Times New Roman"/>
                <w:bCs/>
                <w:noProof/>
                <w:szCs w:val="18"/>
              </w:rPr>
            </w:pPr>
            <w:r>
              <w:rPr>
                <w:noProof/>
              </w:rPr>
              <w:t>Unitatea de măsură</w:t>
            </w:r>
          </w:p>
        </w:tc>
        <w:tc>
          <w:tcPr>
            <w:tcW w:w="1134" w:type="dxa"/>
            <w:tcBorders>
              <w:top w:val="single" w:sz="4" w:space="0" w:color="auto"/>
              <w:left w:val="single" w:sz="4" w:space="0" w:color="auto"/>
              <w:bottom w:val="single" w:sz="4" w:space="0" w:color="auto"/>
              <w:right w:val="single" w:sz="4" w:space="0" w:color="auto"/>
            </w:tcBorders>
            <w:shd w:val="clear" w:color="auto" w:fill="BDD7EE"/>
            <w:vAlign w:val="center"/>
          </w:tcPr>
          <w:p w14:paraId="0BC9EF71" w14:textId="77777777" w:rsidR="00C45D59" w:rsidRDefault="009B0962">
            <w:pPr>
              <w:pStyle w:val="P68B1DB1-Normal10"/>
              <w:spacing w:before="120" w:after="120" w:line="240" w:lineRule="auto"/>
              <w:jc w:val="center"/>
              <w:rPr>
                <w:rFonts w:eastAsia="Times New Roman" w:cs="Times New Roman"/>
                <w:bCs/>
                <w:noProof/>
                <w:szCs w:val="18"/>
              </w:rPr>
            </w:pPr>
            <w:r>
              <w:rPr>
                <w:noProof/>
              </w:rPr>
              <w:t>Situația de referință</w:t>
            </w:r>
          </w:p>
        </w:tc>
        <w:tc>
          <w:tcPr>
            <w:tcW w:w="850" w:type="dxa"/>
            <w:tcBorders>
              <w:top w:val="single" w:sz="4" w:space="0" w:color="auto"/>
              <w:left w:val="single" w:sz="4" w:space="0" w:color="auto"/>
              <w:bottom w:val="single" w:sz="4" w:space="0" w:color="auto"/>
              <w:right w:val="single" w:sz="4" w:space="0" w:color="auto"/>
            </w:tcBorders>
            <w:shd w:val="clear" w:color="auto" w:fill="BDD7EE"/>
            <w:vAlign w:val="center"/>
          </w:tcPr>
          <w:p w14:paraId="5CF3760D" w14:textId="77777777" w:rsidR="00C45D59" w:rsidRDefault="009B0962">
            <w:pPr>
              <w:pStyle w:val="P68B1DB1-Normal10"/>
              <w:spacing w:before="120" w:after="120" w:line="240" w:lineRule="auto"/>
              <w:jc w:val="center"/>
              <w:rPr>
                <w:rFonts w:eastAsia="Times New Roman" w:cs="Times New Roman"/>
                <w:bCs/>
                <w:noProof/>
                <w:szCs w:val="18"/>
              </w:rPr>
            </w:pPr>
            <w:r>
              <w:rPr>
                <w:noProof/>
              </w:rPr>
              <w:t>Obiectiv</w:t>
            </w:r>
          </w:p>
        </w:tc>
        <w:tc>
          <w:tcPr>
            <w:tcW w:w="851" w:type="dxa"/>
            <w:tcBorders>
              <w:top w:val="single" w:sz="4" w:space="0" w:color="auto"/>
              <w:left w:val="single" w:sz="4" w:space="0" w:color="auto"/>
              <w:bottom w:val="single" w:sz="4" w:space="0" w:color="auto"/>
              <w:right w:val="single" w:sz="4" w:space="0" w:color="auto"/>
            </w:tcBorders>
            <w:shd w:val="clear" w:color="auto" w:fill="BDD7EE"/>
            <w:noWrap/>
          </w:tcPr>
          <w:p w14:paraId="0304ACD0" w14:textId="77777777" w:rsidR="00C45D59" w:rsidRDefault="009B0962">
            <w:pPr>
              <w:pStyle w:val="P68B1DB1-Normal10"/>
              <w:spacing w:before="120" w:after="120" w:line="240" w:lineRule="auto"/>
              <w:jc w:val="center"/>
              <w:rPr>
                <w:rFonts w:eastAsia="Times New Roman" w:cs="Times New Roman"/>
                <w:bCs/>
                <w:noProof/>
                <w:szCs w:val="18"/>
              </w:rPr>
            </w:pPr>
            <w:r>
              <w:rPr>
                <w:noProof/>
              </w:rPr>
              <w:t>Trimestru</w:t>
            </w:r>
          </w:p>
        </w:tc>
        <w:tc>
          <w:tcPr>
            <w:tcW w:w="850" w:type="dxa"/>
            <w:tcBorders>
              <w:top w:val="single" w:sz="4" w:space="0" w:color="auto"/>
              <w:left w:val="single" w:sz="4" w:space="0" w:color="auto"/>
              <w:bottom w:val="single" w:sz="4" w:space="0" w:color="auto"/>
              <w:right w:val="single" w:sz="4" w:space="0" w:color="auto"/>
            </w:tcBorders>
            <w:shd w:val="clear" w:color="auto" w:fill="BDD7EE"/>
          </w:tcPr>
          <w:p w14:paraId="6566641A" w14:textId="77777777" w:rsidR="00C45D59" w:rsidRDefault="009B0962">
            <w:pPr>
              <w:pStyle w:val="P68B1DB1-Normal10"/>
              <w:spacing w:before="120" w:after="120" w:line="240" w:lineRule="auto"/>
              <w:jc w:val="center"/>
              <w:rPr>
                <w:rFonts w:eastAsia="Times New Roman" w:cs="Times New Roman"/>
                <w:bCs/>
                <w:noProof/>
                <w:szCs w:val="18"/>
              </w:rPr>
            </w:pPr>
            <w:r>
              <w:rPr>
                <w:noProof/>
              </w:rPr>
              <w:t>Anul</w:t>
            </w:r>
          </w:p>
        </w:tc>
        <w:tc>
          <w:tcPr>
            <w:tcW w:w="3402" w:type="dxa"/>
            <w:vMerge/>
            <w:tcBorders>
              <w:top w:val="single" w:sz="4" w:space="0" w:color="auto"/>
              <w:left w:val="single" w:sz="4" w:space="0" w:color="auto"/>
              <w:bottom w:val="single" w:sz="4" w:space="0" w:color="auto"/>
              <w:right w:val="single" w:sz="4" w:space="0" w:color="auto"/>
            </w:tcBorders>
            <w:noWrap/>
          </w:tcPr>
          <w:p w14:paraId="241B30A9" w14:textId="77777777" w:rsidR="00C45D59" w:rsidRDefault="00C45D59">
            <w:pPr>
              <w:spacing w:after="0" w:line="240" w:lineRule="auto"/>
              <w:rPr>
                <w:rFonts w:ascii="Times New Roman" w:eastAsia="Times New Roman" w:hAnsi="Times New Roman" w:cs="Times New Roman"/>
                <w:b/>
                <w:bCs/>
                <w:noProof/>
                <w:sz w:val="18"/>
                <w:szCs w:val="18"/>
              </w:rPr>
            </w:pPr>
          </w:p>
        </w:tc>
      </w:tr>
      <w:tr w:rsidR="00C45D59" w14:paraId="57B6B4AF" w14:textId="77777777">
        <w:tc>
          <w:tcPr>
            <w:tcW w:w="675" w:type="dxa"/>
            <w:tcBorders>
              <w:top w:val="single" w:sz="4" w:space="0" w:color="auto"/>
              <w:left w:val="single" w:sz="4" w:space="0" w:color="auto"/>
              <w:bottom w:val="single" w:sz="4" w:space="0" w:color="auto"/>
              <w:right w:val="single" w:sz="4" w:space="0" w:color="auto"/>
            </w:tcBorders>
            <w:shd w:val="clear" w:color="auto" w:fill="C6EFCE"/>
            <w:noWrap/>
          </w:tcPr>
          <w:p w14:paraId="5C0F33A0" w14:textId="77777777" w:rsidR="00C45D59" w:rsidRDefault="009B0962">
            <w:pPr>
              <w:pStyle w:val="P68B1DB1-Normal12"/>
              <w:spacing w:after="0" w:line="240" w:lineRule="auto"/>
              <w:rPr>
                <w:rFonts w:eastAsia="Times New Roman"/>
                <w:noProof/>
              </w:rPr>
            </w:pPr>
            <w:r>
              <w:rPr>
                <w:noProof/>
              </w:rPr>
              <w:t>351</w:t>
            </w:r>
          </w:p>
        </w:tc>
        <w:tc>
          <w:tcPr>
            <w:tcW w:w="2014" w:type="dxa"/>
            <w:tcBorders>
              <w:top w:val="single" w:sz="4" w:space="0" w:color="auto"/>
              <w:left w:val="nil"/>
              <w:bottom w:val="single" w:sz="4" w:space="0" w:color="auto"/>
              <w:right w:val="single" w:sz="4" w:space="0" w:color="auto"/>
            </w:tcBorders>
            <w:shd w:val="clear" w:color="auto" w:fill="C6EFCE"/>
            <w:noWrap/>
          </w:tcPr>
          <w:p w14:paraId="4E3C6FF2" w14:textId="77777777" w:rsidR="00C45D59" w:rsidRDefault="009B0962">
            <w:pPr>
              <w:pStyle w:val="P68B1DB1-Normal12"/>
              <w:spacing w:after="0" w:line="240" w:lineRule="auto"/>
              <w:rPr>
                <w:rFonts w:eastAsia="Times New Roman"/>
                <w:noProof/>
              </w:rPr>
            </w:pPr>
            <w:r>
              <w:rPr>
                <w:noProof/>
              </w:rPr>
              <w:t>20-5.1. Reformele REPowerEU – 16987_Cadrul de acordare a licențelor pentru hidrogenul din surse regenerabile și biometanul durabil</w:t>
            </w:r>
          </w:p>
        </w:tc>
        <w:tc>
          <w:tcPr>
            <w:tcW w:w="1134" w:type="dxa"/>
            <w:tcBorders>
              <w:top w:val="single" w:sz="4" w:space="0" w:color="auto"/>
              <w:left w:val="nil"/>
              <w:bottom w:val="single" w:sz="4" w:space="0" w:color="auto"/>
              <w:right w:val="single" w:sz="4" w:space="0" w:color="auto"/>
            </w:tcBorders>
            <w:shd w:val="clear" w:color="auto" w:fill="C6EFCE"/>
            <w:noWrap/>
          </w:tcPr>
          <w:p w14:paraId="7F9F6330" w14:textId="77777777" w:rsidR="00C45D59" w:rsidRDefault="009B0962">
            <w:pPr>
              <w:pStyle w:val="P68B1DB1-Normal12"/>
              <w:spacing w:after="0" w:line="240" w:lineRule="auto"/>
              <w:rPr>
                <w:rFonts w:eastAsia="Times New Roman"/>
                <w:noProof/>
              </w:rPr>
            </w:pPr>
            <w:r>
              <w:rPr>
                <w:noProof/>
              </w:rPr>
              <w:t>Etapă</w:t>
            </w:r>
          </w:p>
        </w:tc>
        <w:tc>
          <w:tcPr>
            <w:tcW w:w="1275" w:type="dxa"/>
            <w:tcBorders>
              <w:top w:val="single" w:sz="4" w:space="0" w:color="auto"/>
              <w:left w:val="nil"/>
              <w:bottom w:val="single" w:sz="4" w:space="0" w:color="auto"/>
              <w:right w:val="single" w:sz="4" w:space="0" w:color="auto"/>
            </w:tcBorders>
            <w:shd w:val="clear" w:color="auto" w:fill="C6EFCE"/>
            <w:noWrap/>
          </w:tcPr>
          <w:p w14:paraId="20AD2532" w14:textId="77777777" w:rsidR="00C45D59" w:rsidRDefault="009B0962">
            <w:pPr>
              <w:pStyle w:val="P68B1DB1-Normal12"/>
              <w:spacing w:after="0" w:line="240" w:lineRule="auto"/>
              <w:rPr>
                <w:rFonts w:eastAsia="Times New Roman"/>
                <w:noProof/>
              </w:rPr>
            </w:pPr>
            <w:r>
              <w:rPr>
                <w:noProof/>
              </w:rPr>
              <w:t>Cadrul legislativ pentru hidrogenul din surse regenerabile și biometanul durabil</w:t>
            </w:r>
          </w:p>
        </w:tc>
        <w:tc>
          <w:tcPr>
            <w:tcW w:w="1134" w:type="dxa"/>
            <w:tcBorders>
              <w:top w:val="single" w:sz="4" w:space="0" w:color="auto"/>
              <w:left w:val="nil"/>
              <w:bottom w:val="single" w:sz="4" w:space="0" w:color="auto"/>
              <w:right w:val="single" w:sz="4" w:space="0" w:color="auto"/>
            </w:tcBorders>
            <w:shd w:val="clear" w:color="auto" w:fill="C6EFCE"/>
            <w:noWrap/>
          </w:tcPr>
          <w:p w14:paraId="2D78B346" w14:textId="77777777" w:rsidR="00C45D59" w:rsidRDefault="009B0962">
            <w:pPr>
              <w:pStyle w:val="P68B1DB1-Normal12"/>
              <w:spacing w:after="0" w:line="240" w:lineRule="auto"/>
              <w:rPr>
                <w:rFonts w:eastAsia="Times New Roman"/>
                <w:noProof/>
              </w:rPr>
            </w:pPr>
            <w:r>
              <w:rPr>
                <w:noProof/>
              </w:rPr>
              <w:t xml:space="preserve">Intrarea în vigoare a legislației </w:t>
            </w:r>
          </w:p>
        </w:tc>
        <w:tc>
          <w:tcPr>
            <w:tcW w:w="993" w:type="dxa"/>
            <w:tcBorders>
              <w:top w:val="single" w:sz="4" w:space="0" w:color="auto"/>
              <w:left w:val="nil"/>
              <w:bottom w:val="single" w:sz="4" w:space="0" w:color="auto"/>
              <w:right w:val="single" w:sz="4" w:space="0" w:color="auto"/>
            </w:tcBorders>
            <w:shd w:val="clear" w:color="auto" w:fill="C6EFCE"/>
            <w:noWrap/>
          </w:tcPr>
          <w:p w14:paraId="0A82628B"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134" w:type="dxa"/>
            <w:tcBorders>
              <w:top w:val="single" w:sz="4" w:space="0" w:color="auto"/>
              <w:left w:val="nil"/>
              <w:bottom w:val="single" w:sz="4" w:space="0" w:color="auto"/>
              <w:right w:val="single" w:sz="4" w:space="0" w:color="auto"/>
            </w:tcBorders>
            <w:shd w:val="clear" w:color="auto" w:fill="C6EFCE"/>
            <w:noWrap/>
          </w:tcPr>
          <w:p w14:paraId="470B275E"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50" w:type="dxa"/>
            <w:tcBorders>
              <w:top w:val="single" w:sz="4" w:space="0" w:color="auto"/>
              <w:left w:val="nil"/>
              <w:bottom w:val="single" w:sz="4" w:space="0" w:color="auto"/>
              <w:right w:val="single" w:sz="4" w:space="0" w:color="auto"/>
            </w:tcBorders>
            <w:shd w:val="clear" w:color="auto" w:fill="C6EFCE"/>
            <w:noWrap/>
          </w:tcPr>
          <w:p w14:paraId="11F215D2"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51" w:type="dxa"/>
            <w:tcBorders>
              <w:top w:val="single" w:sz="4" w:space="0" w:color="auto"/>
              <w:left w:val="nil"/>
              <w:bottom w:val="single" w:sz="4" w:space="0" w:color="auto"/>
              <w:right w:val="single" w:sz="4" w:space="0" w:color="auto"/>
            </w:tcBorders>
            <w:shd w:val="clear" w:color="auto" w:fill="C6EFCE"/>
            <w:noWrap/>
          </w:tcPr>
          <w:p w14:paraId="0F3BD682" w14:textId="77777777" w:rsidR="00C45D59" w:rsidRDefault="009B0962">
            <w:pPr>
              <w:pStyle w:val="P68B1DB1-Normal12"/>
              <w:spacing w:after="0" w:line="240" w:lineRule="auto"/>
              <w:rPr>
                <w:rFonts w:eastAsia="Times New Roman"/>
                <w:noProof/>
              </w:rPr>
            </w:pPr>
            <w:r>
              <w:rPr>
                <w:noProof/>
              </w:rPr>
              <w:t>Î2</w:t>
            </w:r>
          </w:p>
        </w:tc>
        <w:tc>
          <w:tcPr>
            <w:tcW w:w="850" w:type="dxa"/>
            <w:tcBorders>
              <w:top w:val="single" w:sz="4" w:space="0" w:color="auto"/>
              <w:left w:val="nil"/>
              <w:bottom w:val="single" w:sz="4" w:space="0" w:color="auto"/>
              <w:right w:val="single" w:sz="4" w:space="0" w:color="auto"/>
            </w:tcBorders>
            <w:shd w:val="clear" w:color="auto" w:fill="C6EFCE"/>
            <w:noWrap/>
          </w:tcPr>
          <w:p w14:paraId="05A0FC11" w14:textId="77777777" w:rsidR="00C45D59" w:rsidRDefault="009B0962">
            <w:pPr>
              <w:pStyle w:val="P68B1DB1-Normal12"/>
              <w:spacing w:after="0" w:line="240" w:lineRule="auto"/>
              <w:rPr>
                <w:rFonts w:eastAsia="Times New Roman"/>
                <w:noProof/>
              </w:rPr>
            </w:pPr>
            <w:r>
              <w:rPr>
                <w:noProof/>
              </w:rPr>
              <w:t>2024</w:t>
            </w:r>
          </w:p>
        </w:tc>
        <w:tc>
          <w:tcPr>
            <w:tcW w:w="3402" w:type="dxa"/>
            <w:tcBorders>
              <w:top w:val="single" w:sz="4" w:space="0" w:color="auto"/>
              <w:left w:val="nil"/>
              <w:bottom w:val="single" w:sz="4" w:space="0" w:color="auto"/>
              <w:right w:val="single" w:sz="4" w:space="0" w:color="auto"/>
            </w:tcBorders>
            <w:shd w:val="clear" w:color="auto" w:fill="C6EFCE"/>
            <w:noWrap/>
          </w:tcPr>
          <w:p w14:paraId="0BF2CC8E" w14:textId="77777777" w:rsidR="00C45D59" w:rsidRDefault="009B0962">
            <w:pPr>
              <w:pStyle w:val="P68B1DB1-Normal12"/>
              <w:spacing w:after="0" w:line="240" w:lineRule="auto"/>
              <w:rPr>
                <w:noProof/>
              </w:rPr>
            </w:pPr>
            <w:r>
              <w:rPr>
                <w:noProof/>
              </w:rPr>
              <w:t xml:space="preserve">Intrarea în vigoare a legislației (primare și secundare) pentru sprijinirea hidrogenului din surse regenerabile și a biometanului durabil. </w:t>
            </w:r>
          </w:p>
          <w:p w14:paraId="7C9E15C9" w14:textId="77777777" w:rsidR="00C45D59" w:rsidRDefault="009B0962">
            <w:pPr>
              <w:pStyle w:val="P68B1DB1-Normal12"/>
              <w:spacing w:after="0" w:line="240" w:lineRule="auto"/>
              <w:rPr>
                <w:rFonts w:eastAsia="Times New Roman"/>
                <w:noProof/>
              </w:rPr>
            </w:pPr>
            <w:r>
              <w:rPr>
                <w:noProof/>
              </w:rPr>
              <w:t>Legislația include: promovarea producției și a consumului de hidrogen din surse regenerabile și de biometan durabil, inclusiv specificarea procedurilor de acordare a licențelor și de autorizare, dispoziții privind amenajarea teritoriului, definirea specificațiilor tehnice pentru transportul, stocarea și injectarea în rețea, clarificarea rolurilor diferitelor părți interesate, precum și ale autorităților publice implicate, asigurând în același timp un mecanism de certificare a faptului că hidrogenul produs va fi din surse regenerabile și biometanul durabil, în conformitate cu dispozițiile recente din actele delegate RED II.</w:t>
            </w:r>
          </w:p>
        </w:tc>
      </w:tr>
    </w:tbl>
    <w:p w14:paraId="173E705F" w14:textId="77777777" w:rsidR="00C45D59" w:rsidRDefault="00C45D59">
      <w:pPr>
        <w:rPr>
          <w:noProof/>
        </w:rPr>
      </w:pPr>
    </w:p>
    <w:p w14:paraId="5169BB56" w14:textId="77777777" w:rsidR="00C45D59" w:rsidRDefault="009B0962">
      <w:pPr>
        <w:pStyle w:val="P68B1DB1-Normal9"/>
        <w:spacing w:after="0" w:line="240" w:lineRule="auto"/>
        <w:rPr>
          <w:noProof/>
          <w:color w:val="365F91" w:themeColor="accent1" w:themeShade="BF"/>
        </w:rPr>
      </w:pPr>
      <w:r>
        <w:rPr>
          <w:noProof/>
        </w:rPr>
        <w:br w:type="page"/>
      </w:r>
    </w:p>
    <w:p w14:paraId="6044AF60" w14:textId="77777777" w:rsidR="00C45D59" w:rsidRDefault="009B0962">
      <w:pPr>
        <w:pStyle w:val="P68B1DB1-Normal9"/>
        <w:keepNext/>
        <w:keepLines/>
        <w:spacing w:before="240" w:after="0" w:line="240" w:lineRule="auto"/>
        <w:jc w:val="both"/>
        <w:outlineLvl w:val="4"/>
        <w:rPr>
          <w:noProof/>
          <w:color w:val="365F91" w:themeColor="accent1" w:themeShade="BF"/>
        </w:rPr>
      </w:pPr>
      <w:r>
        <w:rPr>
          <w:noProof/>
        </w:rPr>
        <w:t>Reforma 2: Optimizarea utilizării spațiului terestru și maritim pentru dezvoltarea surselor regenerabile de energie și a energiei eoliene offshore (identificatorul măsurii: 16989)</w:t>
      </w:r>
    </w:p>
    <w:tbl>
      <w:tblPr>
        <w:tblW w:w="14454"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793"/>
        <w:gridCol w:w="2126"/>
        <w:gridCol w:w="1134"/>
        <w:gridCol w:w="1559"/>
        <w:gridCol w:w="1418"/>
        <w:gridCol w:w="992"/>
        <w:gridCol w:w="992"/>
        <w:gridCol w:w="709"/>
        <w:gridCol w:w="1019"/>
        <w:gridCol w:w="900"/>
        <w:gridCol w:w="2812"/>
      </w:tblGrid>
      <w:tr w:rsidR="00C45D59" w14:paraId="7FB1F447" w14:textId="77777777" w:rsidTr="00037E31">
        <w:trPr>
          <w:trHeight w:val="844"/>
          <w:tblHeader/>
          <w:jc w:val="center"/>
        </w:trPr>
        <w:tc>
          <w:tcPr>
            <w:tcW w:w="793" w:type="dxa"/>
            <w:vMerge w:val="restart"/>
            <w:shd w:val="clear" w:color="auto" w:fill="BDD7EE"/>
            <w:vAlign w:val="center"/>
            <w:hideMark/>
          </w:tcPr>
          <w:p w14:paraId="4608ED9C" w14:textId="43D404BC" w:rsidR="00C45D59" w:rsidRDefault="009B0962">
            <w:pPr>
              <w:pStyle w:val="P68B1DB1-Normal15"/>
              <w:spacing w:before="120" w:after="120" w:line="240" w:lineRule="auto"/>
              <w:jc w:val="center"/>
              <w:rPr>
                <w:noProof/>
              </w:rPr>
            </w:pPr>
            <w:r>
              <w:rPr>
                <w:noProof/>
              </w:rPr>
              <w:t>Nr</w:t>
            </w:r>
            <w:r w:rsidR="00037E31">
              <w:rPr>
                <w:noProof/>
              </w:rPr>
              <w:t>.</w:t>
            </w:r>
            <w:r w:rsidR="00CD2DBD">
              <w:rPr>
                <w:noProof/>
              </w:rPr>
              <w:t xml:space="preserve"> </w:t>
            </w:r>
            <w:r>
              <w:rPr>
                <w:noProof/>
              </w:rPr>
              <w:br/>
            </w:r>
            <w:r w:rsidR="00037E31">
              <w:rPr>
                <w:noProof/>
              </w:rPr>
              <w:t>crt</w:t>
            </w:r>
            <w:r>
              <w:rPr>
                <w:noProof/>
              </w:rPr>
              <w:t>.</w:t>
            </w:r>
          </w:p>
        </w:tc>
        <w:tc>
          <w:tcPr>
            <w:tcW w:w="2126" w:type="dxa"/>
            <w:vMerge w:val="restart"/>
            <w:shd w:val="clear" w:color="auto" w:fill="BDD7EE"/>
            <w:vAlign w:val="center"/>
            <w:hideMark/>
          </w:tcPr>
          <w:p w14:paraId="5F905D8D" w14:textId="77777777" w:rsidR="00C45D59" w:rsidRDefault="009B0962">
            <w:pPr>
              <w:pStyle w:val="P68B1DB1-Normal10"/>
              <w:spacing w:before="120" w:after="120" w:line="240" w:lineRule="auto"/>
              <w:jc w:val="center"/>
              <w:rPr>
                <w:rFonts w:cs="Times New Roman"/>
                <w:noProof/>
                <w:szCs w:val="18"/>
              </w:rPr>
            </w:pPr>
            <w:r>
              <w:rPr>
                <w:noProof/>
              </w:rPr>
              <w:t>Măsură conexă (reformă sau investiții)</w:t>
            </w:r>
          </w:p>
        </w:tc>
        <w:tc>
          <w:tcPr>
            <w:tcW w:w="1134" w:type="dxa"/>
            <w:vMerge w:val="restart"/>
            <w:shd w:val="clear" w:color="auto" w:fill="BDD7EE"/>
            <w:vAlign w:val="center"/>
            <w:hideMark/>
          </w:tcPr>
          <w:p w14:paraId="4061C8EF" w14:textId="7F20EC2E" w:rsidR="00C45D59" w:rsidRDefault="009B0962">
            <w:pPr>
              <w:pStyle w:val="P68B1DB1-Normal10"/>
              <w:spacing w:before="120" w:after="120" w:line="240" w:lineRule="auto"/>
              <w:jc w:val="center"/>
              <w:rPr>
                <w:rFonts w:cs="Times New Roman"/>
                <w:noProof/>
                <w:szCs w:val="18"/>
              </w:rPr>
            </w:pPr>
            <w:r>
              <w:rPr>
                <w:noProof/>
              </w:rPr>
              <w:t>Etapă/</w:t>
            </w:r>
            <w:r w:rsidR="00037E31">
              <w:rPr>
                <w:noProof/>
              </w:rPr>
              <w:t xml:space="preserve"> </w:t>
            </w:r>
            <w:r>
              <w:rPr>
                <w:noProof/>
              </w:rPr>
              <w:t>Obiectiv</w:t>
            </w:r>
          </w:p>
        </w:tc>
        <w:tc>
          <w:tcPr>
            <w:tcW w:w="1559" w:type="dxa"/>
            <w:vMerge w:val="restart"/>
            <w:shd w:val="clear" w:color="auto" w:fill="BDD7EE"/>
            <w:vAlign w:val="center"/>
            <w:hideMark/>
          </w:tcPr>
          <w:p w14:paraId="02664315" w14:textId="079F5BD1" w:rsidR="00C45D59" w:rsidRDefault="00037E31">
            <w:pPr>
              <w:pStyle w:val="P68B1DB1-Normal10"/>
              <w:spacing w:before="120" w:after="120" w:line="240" w:lineRule="auto"/>
              <w:jc w:val="center"/>
              <w:rPr>
                <w:rFonts w:cs="Times New Roman"/>
                <w:noProof/>
                <w:szCs w:val="18"/>
              </w:rPr>
            </w:pPr>
            <w:r>
              <w:rPr>
                <w:noProof/>
              </w:rPr>
              <w:t>Denumire</w:t>
            </w:r>
          </w:p>
        </w:tc>
        <w:tc>
          <w:tcPr>
            <w:tcW w:w="1418" w:type="dxa"/>
            <w:vMerge w:val="restart"/>
            <w:shd w:val="clear" w:color="auto" w:fill="BDD7EE"/>
            <w:vAlign w:val="center"/>
            <w:hideMark/>
          </w:tcPr>
          <w:p w14:paraId="28283055" w14:textId="77777777" w:rsidR="00C45D59" w:rsidRDefault="009B0962">
            <w:pPr>
              <w:pStyle w:val="P68B1DB1-Normal10"/>
              <w:spacing w:before="120" w:after="120" w:line="240" w:lineRule="auto"/>
              <w:jc w:val="center"/>
              <w:rPr>
                <w:rFonts w:cs="Times New Roman"/>
                <w:noProof/>
                <w:szCs w:val="18"/>
              </w:rPr>
            </w:pPr>
            <w:r>
              <w:rPr>
                <w:noProof/>
              </w:rPr>
              <w:t>Indicatori calitativi (pentru obiectivele de etapă)</w:t>
            </w:r>
          </w:p>
        </w:tc>
        <w:tc>
          <w:tcPr>
            <w:tcW w:w="2693" w:type="dxa"/>
            <w:gridSpan w:val="3"/>
            <w:shd w:val="clear" w:color="auto" w:fill="BDD7EE"/>
            <w:vAlign w:val="center"/>
            <w:hideMark/>
          </w:tcPr>
          <w:p w14:paraId="28D2ED19" w14:textId="77777777" w:rsidR="00C45D59" w:rsidRDefault="009B0962">
            <w:pPr>
              <w:pStyle w:val="P68B1DB1-Normal10"/>
              <w:spacing w:before="120" w:after="120" w:line="240" w:lineRule="auto"/>
              <w:jc w:val="center"/>
              <w:rPr>
                <w:rFonts w:cs="Times New Roman"/>
                <w:noProof/>
                <w:szCs w:val="18"/>
              </w:rPr>
            </w:pPr>
            <w:r>
              <w:rPr>
                <w:noProof/>
              </w:rPr>
              <w:t>Indicatori cantitativi (pentru ținte)</w:t>
            </w:r>
          </w:p>
        </w:tc>
        <w:tc>
          <w:tcPr>
            <w:tcW w:w="1919" w:type="dxa"/>
            <w:gridSpan w:val="2"/>
            <w:shd w:val="clear" w:color="auto" w:fill="BDD7EE"/>
            <w:vAlign w:val="center"/>
            <w:hideMark/>
          </w:tcPr>
          <w:p w14:paraId="3EDE95C0" w14:textId="77777777" w:rsidR="00C45D59" w:rsidRDefault="009B0962">
            <w:pPr>
              <w:pStyle w:val="P68B1DB1-Normal10"/>
              <w:spacing w:before="120" w:after="120" w:line="240" w:lineRule="auto"/>
              <w:jc w:val="center"/>
              <w:rPr>
                <w:rFonts w:cs="Times New Roman"/>
                <w:noProof/>
                <w:szCs w:val="18"/>
              </w:rPr>
            </w:pPr>
            <w:r>
              <w:rPr>
                <w:noProof/>
              </w:rPr>
              <w:t>Calendar orientativ pentru finalizare</w:t>
            </w:r>
          </w:p>
        </w:tc>
        <w:tc>
          <w:tcPr>
            <w:tcW w:w="2812" w:type="dxa"/>
            <w:vMerge w:val="restart"/>
            <w:shd w:val="clear" w:color="auto" w:fill="BDD7EE"/>
            <w:vAlign w:val="center"/>
            <w:hideMark/>
          </w:tcPr>
          <w:p w14:paraId="7C23AD08" w14:textId="77777777" w:rsidR="00C45D59" w:rsidRDefault="009B0962">
            <w:pPr>
              <w:pStyle w:val="P68B1DB1-Normal10"/>
              <w:spacing w:before="120" w:after="120" w:line="240" w:lineRule="auto"/>
              <w:jc w:val="center"/>
              <w:rPr>
                <w:rFonts w:cs="Times New Roman"/>
                <w:noProof/>
                <w:szCs w:val="18"/>
              </w:rPr>
            </w:pPr>
            <w:r>
              <w:rPr>
                <w:noProof/>
              </w:rPr>
              <w:t>Descrierea fiecărui jalon și a fiecărei ținte</w:t>
            </w:r>
          </w:p>
        </w:tc>
      </w:tr>
      <w:tr w:rsidR="00C45D59" w14:paraId="6591E3D5" w14:textId="77777777" w:rsidTr="00037E31">
        <w:trPr>
          <w:trHeight w:val="277"/>
          <w:tblHeader/>
          <w:jc w:val="center"/>
        </w:trPr>
        <w:tc>
          <w:tcPr>
            <w:tcW w:w="793" w:type="dxa"/>
            <w:vMerge/>
            <w:vAlign w:val="center"/>
          </w:tcPr>
          <w:p w14:paraId="68F5490B" w14:textId="77777777" w:rsidR="00C45D59" w:rsidRDefault="00C45D59">
            <w:pPr>
              <w:spacing w:before="120" w:after="120" w:line="240" w:lineRule="auto"/>
              <w:jc w:val="center"/>
              <w:rPr>
                <w:rFonts w:ascii="Times New Roman" w:eastAsia="Times New Roman" w:hAnsi="Times New Roman" w:cs="Times New Roman"/>
                <w:b/>
                <w:bCs/>
                <w:noProof/>
                <w:sz w:val="18"/>
                <w:szCs w:val="18"/>
              </w:rPr>
            </w:pPr>
          </w:p>
        </w:tc>
        <w:tc>
          <w:tcPr>
            <w:tcW w:w="2126" w:type="dxa"/>
            <w:vMerge/>
            <w:vAlign w:val="center"/>
          </w:tcPr>
          <w:p w14:paraId="25001193" w14:textId="77777777" w:rsidR="00C45D59" w:rsidRDefault="00C45D59">
            <w:pPr>
              <w:spacing w:before="120" w:after="120" w:line="240" w:lineRule="auto"/>
              <w:jc w:val="center"/>
              <w:rPr>
                <w:rFonts w:ascii="Times New Roman" w:eastAsia="Times New Roman" w:hAnsi="Times New Roman" w:cs="Times New Roman"/>
                <w:b/>
                <w:bCs/>
                <w:noProof/>
                <w:sz w:val="18"/>
                <w:szCs w:val="18"/>
              </w:rPr>
            </w:pPr>
          </w:p>
        </w:tc>
        <w:tc>
          <w:tcPr>
            <w:tcW w:w="1134" w:type="dxa"/>
            <w:vMerge/>
            <w:vAlign w:val="center"/>
          </w:tcPr>
          <w:p w14:paraId="0EAF016F" w14:textId="77777777" w:rsidR="00C45D59" w:rsidRDefault="00C45D59">
            <w:pPr>
              <w:spacing w:before="120" w:after="120" w:line="240" w:lineRule="auto"/>
              <w:jc w:val="center"/>
              <w:rPr>
                <w:rFonts w:ascii="Times New Roman" w:eastAsia="Times New Roman" w:hAnsi="Times New Roman" w:cs="Times New Roman"/>
                <w:b/>
                <w:bCs/>
                <w:noProof/>
                <w:sz w:val="18"/>
                <w:szCs w:val="18"/>
              </w:rPr>
            </w:pPr>
          </w:p>
        </w:tc>
        <w:tc>
          <w:tcPr>
            <w:tcW w:w="1559" w:type="dxa"/>
            <w:vMerge/>
            <w:vAlign w:val="center"/>
          </w:tcPr>
          <w:p w14:paraId="6AD6A84F" w14:textId="77777777" w:rsidR="00C45D59" w:rsidRDefault="00C45D59">
            <w:pPr>
              <w:spacing w:before="120" w:after="120" w:line="240" w:lineRule="auto"/>
              <w:jc w:val="center"/>
              <w:rPr>
                <w:rFonts w:ascii="Times New Roman" w:eastAsia="Times New Roman" w:hAnsi="Times New Roman" w:cs="Times New Roman"/>
                <w:b/>
                <w:bCs/>
                <w:noProof/>
                <w:sz w:val="18"/>
                <w:szCs w:val="18"/>
              </w:rPr>
            </w:pPr>
          </w:p>
        </w:tc>
        <w:tc>
          <w:tcPr>
            <w:tcW w:w="1418" w:type="dxa"/>
            <w:vMerge/>
            <w:vAlign w:val="center"/>
          </w:tcPr>
          <w:p w14:paraId="4803C640" w14:textId="77777777" w:rsidR="00C45D59" w:rsidRDefault="00C45D59">
            <w:pPr>
              <w:spacing w:before="120" w:after="120" w:line="240" w:lineRule="auto"/>
              <w:jc w:val="center"/>
              <w:rPr>
                <w:rFonts w:ascii="Times New Roman" w:eastAsia="Times New Roman" w:hAnsi="Times New Roman" w:cs="Times New Roman"/>
                <w:b/>
                <w:bCs/>
                <w:noProof/>
                <w:sz w:val="18"/>
                <w:szCs w:val="18"/>
              </w:rPr>
            </w:pPr>
          </w:p>
        </w:tc>
        <w:tc>
          <w:tcPr>
            <w:tcW w:w="992" w:type="dxa"/>
            <w:shd w:val="clear" w:color="auto" w:fill="BDD7EE"/>
            <w:vAlign w:val="center"/>
          </w:tcPr>
          <w:p w14:paraId="53D96049" w14:textId="77777777" w:rsidR="00C45D59" w:rsidRDefault="009B0962">
            <w:pPr>
              <w:pStyle w:val="P68B1DB1-Normal10"/>
              <w:spacing w:before="120" w:after="120" w:line="240" w:lineRule="auto"/>
              <w:jc w:val="center"/>
              <w:rPr>
                <w:rFonts w:eastAsia="Times New Roman" w:cs="Times New Roman"/>
                <w:bCs/>
                <w:noProof/>
                <w:szCs w:val="18"/>
              </w:rPr>
            </w:pPr>
            <w:r>
              <w:rPr>
                <w:noProof/>
              </w:rPr>
              <w:t>Unitatea de măsură</w:t>
            </w:r>
          </w:p>
        </w:tc>
        <w:tc>
          <w:tcPr>
            <w:tcW w:w="992" w:type="dxa"/>
            <w:shd w:val="clear" w:color="auto" w:fill="BDD7EE"/>
            <w:vAlign w:val="center"/>
          </w:tcPr>
          <w:p w14:paraId="554FC4F5" w14:textId="77777777" w:rsidR="00C45D59" w:rsidRDefault="009B0962">
            <w:pPr>
              <w:pStyle w:val="P68B1DB1-Normal10"/>
              <w:spacing w:before="120" w:after="120" w:line="240" w:lineRule="auto"/>
              <w:jc w:val="center"/>
              <w:rPr>
                <w:rFonts w:eastAsia="Times New Roman" w:cs="Times New Roman"/>
                <w:bCs/>
                <w:noProof/>
                <w:szCs w:val="18"/>
              </w:rPr>
            </w:pPr>
            <w:r>
              <w:rPr>
                <w:noProof/>
              </w:rPr>
              <w:t>Situația de referință</w:t>
            </w:r>
          </w:p>
        </w:tc>
        <w:tc>
          <w:tcPr>
            <w:tcW w:w="709" w:type="dxa"/>
            <w:shd w:val="clear" w:color="auto" w:fill="BDD7EE"/>
            <w:vAlign w:val="center"/>
          </w:tcPr>
          <w:p w14:paraId="7043CF2E" w14:textId="77777777" w:rsidR="00C45D59" w:rsidRDefault="009B0962">
            <w:pPr>
              <w:pStyle w:val="P68B1DB1-Normal10"/>
              <w:spacing w:before="120" w:after="120" w:line="240" w:lineRule="auto"/>
              <w:jc w:val="center"/>
              <w:rPr>
                <w:rFonts w:eastAsia="Times New Roman" w:cs="Times New Roman"/>
                <w:bCs/>
                <w:noProof/>
                <w:szCs w:val="18"/>
              </w:rPr>
            </w:pPr>
            <w:r>
              <w:rPr>
                <w:noProof/>
              </w:rPr>
              <w:t>Obiectiv</w:t>
            </w:r>
          </w:p>
        </w:tc>
        <w:tc>
          <w:tcPr>
            <w:tcW w:w="1019" w:type="dxa"/>
            <w:shd w:val="clear" w:color="auto" w:fill="BDD7EE"/>
            <w:vAlign w:val="center"/>
          </w:tcPr>
          <w:p w14:paraId="7470124A" w14:textId="77777777" w:rsidR="00C45D59" w:rsidRDefault="009B0962">
            <w:pPr>
              <w:pStyle w:val="P68B1DB1-Normal10"/>
              <w:spacing w:before="120" w:after="120" w:line="240" w:lineRule="auto"/>
              <w:jc w:val="center"/>
              <w:rPr>
                <w:rFonts w:eastAsia="Times New Roman" w:cs="Times New Roman"/>
                <w:bCs/>
                <w:noProof/>
                <w:szCs w:val="18"/>
              </w:rPr>
            </w:pPr>
            <w:r>
              <w:rPr>
                <w:noProof/>
              </w:rPr>
              <w:t>Trimestru</w:t>
            </w:r>
          </w:p>
        </w:tc>
        <w:tc>
          <w:tcPr>
            <w:tcW w:w="900" w:type="dxa"/>
            <w:shd w:val="clear" w:color="auto" w:fill="BDD7EE"/>
            <w:vAlign w:val="center"/>
          </w:tcPr>
          <w:p w14:paraId="0A7AA762" w14:textId="77777777" w:rsidR="00C45D59" w:rsidRDefault="009B0962">
            <w:pPr>
              <w:pStyle w:val="P68B1DB1-Normal10"/>
              <w:spacing w:before="120" w:after="120" w:line="240" w:lineRule="auto"/>
              <w:jc w:val="center"/>
              <w:rPr>
                <w:rFonts w:eastAsia="Times New Roman" w:cs="Times New Roman"/>
                <w:bCs/>
                <w:noProof/>
                <w:szCs w:val="18"/>
              </w:rPr>
            </w:pPr>
            <w:r>
              <w:rPr>
                <w:noProof/>
              </w:rPr>
              <w:t>Anul</w:t>
            </w:r>
          </w:p>
        </w:tc>
        <w:tc>
          <w:tcPr>
            <w:tcW w:w="2812" w:type="dxa"/>
            <w:vMerge/>
            <w:vAlign w:val="center"/>
          </w:tcPr>
          <w:p w14:paraId="1E740FE1" w14:textId="77777777" w:rsidR="00C45D59" w:rsidRDefault="00C45D59">
            <w:pPr>
              <w:spacing w:before="120" w:after="120" w:line="240" w:lineRule="auto"/>
              <w:jc w:val="center"/>
              <w:rPr>
                <w:rFonts w:ascii="Times New Roman" w:eastAsia="Times New Roman" w:hAnsi="Times New Roman" w:cs="Times New Roman"/>
                <w:b/>
                <w:bCs/>
                <w:noProof/>
                <w:sz w:val="18"/>
                <w:szCs w:val="18"/>
              </w:rPr>
            </w:pPr>
          </w:p>
        </w:tc>
      </w:tr>
      <w:tr w:rsidR="00C45D59" w14:paraId="05F72930" w14:textId="77777777" w:rsidTr="00037E31">
        <w:trPr>
          <w:jc w:val="center"/>
        </w:trPr>
        <w:tc>
          <w:tcPr>
            <w:tcW w:w="793" w:type="dxa"/>
            <w:shd w:val="clear" w:color="auto" w:fill="C6EFCE"/>
            <w:noWrap/>
          </w:tcPr>
          <w:p w14:paraId="28DE4BF4" w14:textId="77777777" w:rsidR="00C45D59" w:rsidRDefault="009B0962">
            <w:pPr>
              <w:pStyle w:val="P68B1DB1-Normal12"/>
              <w:spacing w:after="0" w:line="240" w:lineRule="auto"/>
              <w:rPr>
                <w:rFonts w:eastAsia="Times New Roman"/>
                <w:noProof/>
              </w:rPr>
            </w:pPr>
            <w:r>
              <w:rPr>
                <w:noProof/>
              </w:rPr>
              <w:t>353</w:t>
            </w:r>
          </w:p>
        </w:tc>
        <w:tc>
          <w:tcPr>
            <w:tcW w:w="2126" w:type="dxa"/>
            <w:shd w:val="clear" w:color="auto" w:fill="C6EFCE"/>
            <w:noWrap/>
          </w:tcPr>
          <w:p w14:paraId="7314A6DB" w14:textId="77777777" w:rsidR="00C45D59" w:rsidRDefault="009B0962">
            <w:pPr>
              <w:pStyle w:val="P68B1DB1-Normal12"/>
              <w:spacing w:after="120" w:line="240" w:lineRule="auto"/>
              <w:rPr>
                <w:noProof/>
              </w:rPr>
            </w:pPr>
            <w:r>
              <w:rPr>
                <w:noProof/>
              </w:rPr>
              <w:t>20-5.1. Reformele REPowerEU – 16989_Optimizarea utilizării spațiului terestru și maritim pentru dezvoltarea surselor regenerabile de energie și a energiei eoliene offshore</w:t>
            </w:r>
          </w:p>
        </w:tc>
        <w:tc>
          <w:tcPr>
            <w:tcW w:w="1134" w:type="dxa"/>
            <w:shd w:val="clear" w:color="auto" w:fill="C6EFCE"/>
            <w:noWrap/>
          </w:tcPr>
          <w:p w14:paraId="7A5209E1" w14:textId="77777777" w:rsidR="00C45D59" w:rsidRDefault="009B0962">
            <w:pPr>
              <w:pStyle w:val="P68B1DB1-Normal12"/>
              <w:spacing w:after="120" w:line="240" w:lineRule="auto"/>
              <w:rPr>
                <w:noProof/>
              </w:rPr>
            </w:pPr>
            <w:r>
              <w:rPr>
                <w:noProof/>
              </w:rPr>
              <w:t>Etapă</w:t>
            </w:r>
          </w:p>
        </w:tc>
        <w:tc>
          <w:tcPr>
            <w:tcW w:w="1559" w:type="dxa"/>
            <w:shd w:val="clear" w:color="auto" w:fill="C6EFCE"/>
            <w:noWrap/>
          </w:tcPr>
          <w:p w14:paraId="3851F35A" w14:textId="77777777" w:rsidR="00C45D59" w:rsidRDefault="009B0962">
            <w:pPr>
              <w:pStyle w:val="P68B1DB1-Normal12"/>
              <w:spacing w:after="0" w:line="240" w:lineRule="auto"/>
              <w:rPr>
                <w:noProof/>
              </w:rPr>
            </w:pPr>
            <w:r>
              <w:rPr>
                <w:noProof/>
              </w:rPr>
              <w:t>Identificarea domeniilor pentru sursele regenerabile de energie și a cadrului pentru dubla utilizare a terenurilor pentru agricultură și energia fotovoltaică</w:t>
            </w:r>
          </w:p>
        </w:tc>
        <w:tc>
          <w:tcPr>
            <w:tcW w:w="1418" w:type="dxa"/>
            <w:shd w:val="clear" w:color="auto" w:fill="C6EFCE"/>
            <w:noWrap/>
          </w:tcPr>
          <w:p w14:paraId="3AF18BDA" w14:textId="523443A2" w:rsidR="00C45D59" w:rsidRDefault="009B0962">
            <w:pPr>
              <w:pStyle w:val="P68B1DB1-Normal12"/>
              <w:spacing w:after="120" w:line="240" w:lineRule="auto"/>
              <w:rPr>
                <w:rFonts w:eastAsia="Times New Roman"/>
                <w:noProof/>
                <w:highlight w:val="yellow"/>
              </w:rPr>
            </w:pPr>
            <w:r>
              <w:rPr>
                <w:noProof/>
              </w:rPr>
              <w:t>Act (e) juridic (e)</w:t>
            </w:r>
          </w:p>
        </w:tc>
        <w:tc>
          <w:tcPr>
            <w:tcW w:w="992" w:type="dxa"/>
            <w:shd w:val="clear" w:color="auto" w:fill="C6EFCE"/>
            <w:noWrap/>
          </w:tcPr>
          <w:p w14:paraId="5F8F00F6"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992" w:type="dxa"/>
            <w:shd w:val="clear" w:color="auto" w:fill="C6EFCE"/>
            <w:noWrap/>
          </w:tcPr>
          <w:p w14:paraId="0C24C43F"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709" w:type="dxa"/>
            <w:shd w:val="clear" w:color="auto" w:fill="C6EFCE"/>
            <w:noWrap/>
          </w:tcPr>
          <w:p w14:paraId="7989676B"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019" w:type="dxa"/>
            <w:shd w:val="clear" w:color="auto" w:fill="C6EFCE"/>
            <w:noWrap/>
          </w:tcPr>
          <w:p w14:paraId="27517F77" w14:textId="77777777" w:rsidR="00C45D59" w:rsidRDefault="009B0962">
            <w:pPr>
              <w:pStyle w:val="P68B1DB1-Normal12"/>
              <w:spacing w:after="120" w:line="240" w:lineRule="auto"/>
              <w:rPr>
                <w:rFonts w:eastAsia="Times New Roman"/>
                <w:noProof/>
              </w:rPr>
            </w:pPr>
            <w:r>
              <w:rPr>
                <w:noProof/>
              </w:rPr>
              <w:t>Î4</w:t>
            </w:r>
          </w:p>
        </w:tc>
        <w:tc>
          <w:tcPr>
            <w:tcW w:w="900" w:type="dxa"/>
            <w:shd w:val="clear" w:color="auto" w:fill="C6EFCE"/>
            <w:noWrap/>
          </w:tcPr>
          <w:p w14:paraId="7C93BAFD" w14:textId="77777777" w:rsidR="00C45D59" w:rsidRDefault="009B0962">
            <w:pPr>
              <w:pStyle w:val="P68B1DB1-Normal12"/>
              <w:spacing w:after="120" w:line="240" w:lineRule="auto"/>
              <w:rPr>
                <w:rFonts w:eastAsia="Times New Roman"/>
                <w:noProof/>
              </w:rPr>
            </w:pPr>
            <w:r>
              <w:rPr>
                <w:noProof/>
              </w:rPr>
              <w:t>2024</w:t>
            </w:r>
          </w:p>
        </w:tc>
        <w:tc>
          <w:tcPr>
            <w:tcW w:w="2812" w:type="dxa"/>
            <w:shd w:val="clear" w:color="auto" w:fill="C6EFCE"/>
            <w:noWrap/>
          </w:tcPr>
          <w:p w14:paraId="4A79760B" w14:textId="77777777" w:rsidR="00C45D59" w:rsidRDefault="009B0962">
            <w:pPr>
              <w:pStyle w:val="P68B1DB1-Normal12"/>
              <w:spacing w:after="0" w:line="240" w:lineRule="auto"/>
              <w:rPr>
                <w:rFonts w:eastAsia="Times New Roman"/>
                <w:noProof/>
              </w:rPr>
            </w:pPr>
            <w:r>
              <w:rPr>
                <w:noProof/>
              </w:rPr>
              <w:t>Intrarea în vigoare a actului juridic, identificând:</w:t>
            </w:r>
          </w:p>
          <w:p w14:paraId="30B260D5" w14:textId="77777777" w:rsidR="00C45D59" w:rsidRDefault="009B0962">
            <w:pPr>
              <w:pStyle w:val="P68B1DB1-ListParagraph34"/>
              <w:numPr>
                <w:ilvl w:val="0"/>
                <w:numId w:val="87"/>
              </w:numPr>
              <w:spacing w:after="0" w:line="240" w:lineRule="auto"/>
              <w:rPr>
                <w:noProof/>
              </w:rPr>
            </w:pPr>
            <w:r>
              <w:rPr>
                <w:noProof/>
              </w:rPr>
              <w:t>Potențialul surselor regenerabile de energie;</w:t>
            </w:r>
          </w:p>
          <w:p w14:paraId="4639A73E" w14:textId="77777777" w:rsidR="00C45D59" w:rsidRDefault="009B0962">
            <w:pPr>
              <w:pStyle w:val="P68B1DB1-ListParagraph34"/>
              <w:numPr>
                <w:ilvl w:val="0"/>
                <w:numId w:val="87"/>
              </w:numPr>
              <w:spacing w:after="0" w:line="240" w:lineRule="auto"/>
              <w:rPr>
                <w:noProof/>
              </w:rPr>
            </w:pPr>
            <w:r>
              <w:rPr>
                <w:noProof/>
              </w:rPr>
              <w:t>distribuția geografică a unităților existente de surse regenerabile de energie;</w:t>
            </w:r>
          </w:p>
          <w:p w14:paraId="2CD1C386" w14:textId="77777777" w:rsidR="00C45D59" w:rsidRDefault="009B0962">
            <w:pPr>
              <w:pStyle w:val="P68B1DB1-ListParagraph34"/>
              <w:numPr>
                <w:ilvl w:val="0"/>
                <w:numId w:val="87"/>
              </w:numPr>
              <w:spacing w:after="0" w:line="240" w:lineRule="auto"/>
              <w:rPr>
                <w:noProof/>
              </w:rPr>
            </w:pPr>
            <w:r>
              <w:rPr>
                <w:noProof/>
              </w:rPr>
              <w:t xml:space="preserve">autorizații pentru viitoarele unități de producere a energiei din surse regenerabile. </w:t>
            </w:r>
          </w:p>
          <w:p w14:paraId="0646C8E5" w14:textId="77777777" w:rsidR="00C45D59" w:rsidRDefault="009B0962">
            <w:pPr>
              <w:pStyle w:val="P68B1DB1-Normal12"/>
              <w:spacing w:after="0" w:line="240" w:lineRule="auto"/>
              <w:rPr>
                <w:noProof/>
              </w:rPr>
            </w:pPr>
            <w:r>
              <w:rPr>
                <w:noProof/>
              </w:rPr>
              <w:t xml:space="preserve"> </w:t>
            </w:r>
          </w:p>
          <w:p w14:paraId="6495AB2B" w14:textId="77777777" w:rsidR="00C45D59" w:rsidRDefault="009B0962">
            <w:pPr>
              <w:pStyle w:val="P68B1DB1-Normal12"/>
              <w:spacing w:after="0" w:line="240" w:lineRule="auto"/>
              <w:rPr>
                <w:noProof/>
              </w:rPr>
            </w:pPr>
            <w:r>
              <w:rPr>
                <w:noProof/>
              </w:rPr>
              <w:t xml:space="preserve">Intrarea în vigoare a actului juridic, identificând: </w:t>
            </w:r>
          </w:p>
          <w:p w14:paraId="5CD47061" w14:textId="77777777" w:rsidR="00C45D59" w:rsidRDefault="009B0962">
            <w:pPr>
              <w:pStyle w:val="P68B1DB1-ListParagraph34"/>
              <w:numPr>
                <w:ilvl w:val="0"/>
                <w:numId w:val="88"/>
              </w:numPr>
              <w:spacing w:after="0" w:line="240" w:lineRule="auto"/>
              <w:rPr>
                <w:noProof/>
              </w:rPr>
            </w:pPr>
            <w:r>
              <w:rPr>
                <w:noProof/>
              </w:rPr>
              <w:t>amplasamente adecvate pentru punerea în aplicare a sistemelor agrofotovoltaice;</w:t>
            </w:r>
          </w:p>
          <w:p w14:paraId="5CE81852" w14:textId="77777777" w:rsidR="00C45D59" w:rsidRDefault="009B0962">
            <w:pPr>
              <w:pStyle w:val="P68B1DB1-ListParagraph34"/>
              <w:numPr>
                <w:ilvl w:val="0"/>
                <w:numId w:val="88"/>
              </w:numPr>
              <w:spacing w:after="0" w:line="240" w:lineRule="auto"/>
              <w:rPr>
                <w:noProof/>
              </w:rPr>
            </w:pPr>
            <w:r>
              <w:rPr>
                <w:noProof/>
              </w:rPr>
              <w:t xml:space="preserve">acțiuni de promovare a sistemelor agrofotovoltaice; </w:t>
            </w:r>
          </w:p>
          <w:p w14:paraId="654E3FEC" w14:textId="7D79F01C" w:rsidR="00C45D59" w:rsidRDefault="009B0962">
            <w:pPr>
              <w:pStyle w:val="P68B1DB1-ListParagraph34"/>
              <w:numPr>
                <w:ilvl w:val="0"/>
                <w:numId w:val="88"/>
              </w:numPr>
              <w:spacing w:after="0" w:line="240" w:lineRule="auto"/>
              <w:rPr>
                <w:rFonts w:eastAsia="Times New Roman"/>
                <w:noProof/>
              </w:rPr>
            </w:pPr>
            <w:r>
              <w:rPr>
                <w:noProof/>
              </w:rPr>
              <w:t>norme privind dubla utilizare a terenurilor și proiectele agrofotovoltaice.</w:t>
            </w:r>
          </w:p>
        </w:tc>
      </w:tr>
      <w:tr w:rsidR="00C45D59" w14:paraId="6805238C" w14:textId="77777777" w:rsidTr="00037E31">
        <w:trPr>
          <w:jc w:val="center"/>
        </w:trPr>
        <w:tc>
          <w:tcPr>
            <w:tcW w:w="793" w:type="dxa"/>
            <w:shd w:val="clear" w:color="auto" w:fill="C6EFCE"/>
            <w:noWrap/>
          </w:tcPr>
          <w:p w14:paraId="75F3D1DA" w14:textId="77777777" w:rsidR="00C45D59" w:rsidRDefault="009B0962">
            <w:pPr>
              <w:pStyle w:val="P68B1DB1-Normal12"/>
              <w:spacing w:after="0" w:line="240" w:lineRule="auto"/>
              <w:rPr>
                <w:noProof/>
              </w:rPr>
            </w:pPr>
            <w:r>
              <w:rPr>
                <w:noProof/>
              </w:rPr>
              <w:t>354</w:t>
            </w:r>
          </w:p>
        </w:tc>
        <w:tc>
          <w:tcPr>
            <w:tcW w:w="2126" w:type="dxa"/>
            <w:shd w:val="clear" w:color="auto" w:fill="C6EFCE"/>
            <w:noWrap/>
          </w:tcPr>
          <w:p w14:paraId="25C699F9" w14:textId="77777777" w:rsidR="00C45D59" w:rsidRDefault="009B0962">
            <w:pPr>
              <w:pStyle w:val="P68B1DB1-Normal12"/>
              <w:spacing w:after="120" w:line="240" w:lineRule="auto"/>
              <w:rPr>
                <w:noProof/>
              </w:rPr>
            </w:pPr>
            <w:r>
              <w:rPr>
                <w:noProof/>
              </w:rPr>
              <w:t>20-5.1. Reformele REPowerEU – 16989_Optimizarea utilizării spațiului terestru și maritim pentru dezvoltarea surselor regenerabile de energie și a energiei eoliene offshore</w:t>
            </w:r>
          </w:p>
        </w:tc>
        <w:tc>
          <w:tcPr>
            <w:tcW w:w="1134" w:type="dxa"/>
            <w:shd w:val="clear" w:color="auto" w:fill="C6EFCE"/>
            <w:noWrap/>
          </w:tcPr>
          <w:p w14:paraId="4F0DB003" w14:textId="77777777" w:rsidR="00C45D59" w:rsidRDefault="009B0962">
            <w:pPr>
              <w:pStyle w:val="P68B1DB1-Normal12"/>
              <w:spacing w:after="120" w:line="240" w:lineRule="auto"/>
              <w:rPr>
                <w:noProof/>
              </w:rPr>
            </w:pPr>
            <w:r>
              <w:rPr>
                <w:noProof/>
              </w:rPr>
              <w:t>Etapă</w:t>
            </w:r>
          </w:p>
        </w:tc>
        <w:tc>
          <w:tcPr>
            <w:tcW w:w="1559" w:type="dxa"/>
            <w:shd w:val="clear" w:color="auto" w:fill="C6EFCE"/>
            <w:noWrap/>
          </w:tcPr>
          <w:p w14:paraId="5B2632AA" w14:textId="46334023" w:rsidR="00C45D59" w:rsidRDefault="009B0962">
            <w:pPr>
              <w:pStyle w:val="P68B1DB1-Normal12"/>
              <w:spacing w:after="120" w:line="240" w:lineRule="auto"/>
              <w:rPr>
                <w:rFonts w:eastAsia="Times New Roman"/>
                <w:noProof/>
              </w:rPr>
            </w:pPr>
            <w:r>
              <w:rPr>
                <w:noProof/>
              </w:rPr>
              <w:t>Act (e) juridic (e) pentru parcurile eoliene offshore și sursele regenerabile de energie</w:t>
            </w:r>
          </w:p>
        </w:tc>
        <w:tc>
          <w:tcPr>
            <w:tcW w:w="1418" w:type="dxa"/>
            <w:shd w:val="clear" w:color="auto" w:fill="C6EFCE"/>
            <w:noWrap/>
          </w:tcPr>
          <w:p w14:paraId="637279D9" w14:textId="5B90CFF3" w:rsidR="00C45D59" w:rsidRDefault="009B0962">
            <w:pPr>
              <w:pStyle w:val="P68B1DB1-Normal12"/>
              <w:spacing w:after="120" w:line="240" w:lineRule="auto"/>
              <w:rPr>
                <w:noProof/>
              </w:rPr>
            </w:pPr>
            <w:r>
              <w:rPr>
                <w:noProof/>
              </w:rPr>
              <w:t>Intrarea în vigoare a actului (actelor) juridic (e)</w:t>
            </w:r>
          </w:p>
        </w:tc>
        <w:tc>
          <w:tcPr>
            <w:tcW w:w="992" w:type="dxa"/>
            <w:shd w:val="clear" w:color="auto" w:fill="C6EFCE"/>
            <w:noWrap/>
          </w:tcPr>
          <w:p w14:paraId="39B96EB9" w14:textId="77777777" w:rsidR="00C45D59" w:rsidRDefault="00C45D59">
            <w:pPr>
              <w:spacing w:after="120" w:line="240" w:lineRule="auto"/>
              <w:rPr>
                <w:rFonts w:ascii="Times New Roman" w:hAnsi="Times New Roman" w:cs="Times New Roman"/>
                <w:noProof/>
                <w:sz w:val="18"/>
                <w:szCs w:val="18"/>
              </w:rPr>
            </w:pPr>
          </w:p>
        </w:tc>
        <w:tc>
          <w:tcPr>
            <w:tcW w:w="992" w:type="dxa"/>
            <w:shd w:val="clear" w:color="auto" w:fill="C6EFCE"/>
            <w:noWrap/>
          </w:tcPr>
          <w:p w14:paraId="19D97079" w14:textId="77777777" w:rsidR="00C45D59" w:rsidRDefault="00C45D59">
            <w:pPr>
              <w:spacing w:after="120" w:line="240" w:lineRule="auto"/>
              <w:rPr>
                <w:rFonts w:ascii="Times New Roman" w:hAnsi="Times New Roman" w:cs="Times New Roman"/>
                <w:noProof/>
                <w:sz w:val="18"/>
                <w:szCs w:val="18"/>
              </w:rPr>
            </w:pPr>
          </w:p>
        </w:tc>
        <w:tc>
          <w:tcPr>
            <w:tcW w:w="709" w:type="dxa"/>
            <w:shd w:val="clear" w:color="auto" w:fill="C6EFCE"/>
            <w:noWrap/>
          </w:tcPr>
          <w:p w14:paraId="45BC8D73" w14:textId="77777777" w:rsidR="00C45D59" w:rsidRDefault="00C45D59">
            <w:pPr>
              <w:spacing w:after="120" w:line="240" w:lineRule="auto"/>
              <w:rPr>
                <w:rFonts w:ascii="Times New Roman" w:hAnsi="Times New Roman" w:cs="Times New Roman"/>
                <w:noProof/>
                <w:sz w:val="18"/>
                <w:szCs w:val="18"/>
              </w:rPr>
            </w:pPr>
          </w:p>
        </w:tc>
        <w:tc>
          <w:tcPr>
            <w:tcW w:w="1019" w:type="dxa"/>
            <w:shd w:val="clear" w:color="auto" w:fill="C6EFCE"/>
            <w:noWrap/>
          </w:tcPr>
          <w:p w14:paraId="6D8B5728" w14:textId="77777777" w:rsidR="00C45D59" w:rsidRDefault="009B0962">
            <w:pPr>
              <w:pStyle w:val="P68B1DB1-Normal12"/>
              <w:spacing w:after="120" w:line="240" w:lineRule="auto"/>
              <w:rPr>
                <w:rFonts w:eastAsia="Times New Roman"/>
                <w:noProof/>
              </w:rPr>
            </w:pPr>
            <w:r>
              <w:rPr>
                <w:noProof/>
              </w:rPr>
              <w:t>Î4</w:t>
            </w:r>
          </w:p>
        </w:tc>
        <w:tc>
          <w:tcPr>
            <w:tcW w:w="900" w:type="dxa"/>
            <w:shd w:val="clear" w:color="auto" w:fill="C6EFCE"/>
            <w:noWrap/>
          </w:tcPr>
          <w:p w14:paraId="159B8654" w14:textId="77777777" w:rsidR="00C45D59" w:rsidRDefault="009B0962">
            <w:pPr>
              <w:pStyle w:val="P68B1DB1-Normal12"/>
              <w:spacing w:after="120" w:line="240" w:lineRule="auto"/>
              <w:rPr>
                <w:rFonts w:eastAsia="Times New Roman"/>
                <w:noProof/>
              </w:rPr>
            </w:pPr>
            <w:r>
              <w:rPr>
                <w:noProof/>
              </w:rPr>
              <w:t>2025</w:t>
            </w:r>
          </w:p>
        </w:tc>
        <w:tc>
          <w:tcPr>
            <w:tcW w:w="2812" w:type="dxa"/>
            <w:shd w:val="clear" w:color="auto" w:fill="C6EFCE"/>
            <w:noWrap/>
          </w:tcPr>
          <w:p w14:paraId="0A7D1478" w14:textId="5D86723F" w:rsidR="00C45D59" w:rsidRDefault="009B0962">
            <w:pPr>
              <w:pStyle w:val="P68B1DB1-Normal23"/>
              <w:spacing w:after="0" w:line="240" w:lineRule="auto"/>
              <w:rPr>
                <w:noProof/>
              </w:rPr>
            </w:pPr>
            <w:r>
              <w:rPr>
                <w:noProof/>
              </w:rPr>
              <w:t>În ceea ce privește dezvoltarea energiei eoliene offshore:</w:t>
            </w:r>
          </w:p>
          <w:p w14:paraId="7B86EBCC" w14:textId="77777777" w:rsidR="00C45D59" w:rsidRDefault="00C45D59">
            <w:pPr>
              <w:spacing w:after="0" w:line="240" w:lineRule="auto"/>
              <w:rPr>
                <w:rFonts w:ascii="Times New Roman" w:eastAsia="Times New Roman" w:hAnsi="Times New Roman" w:cs="Times New Roman"/>
                <w:noProof/>
                <w:color w:val="006100"/>
                <w:sz w:val="18"/>
                <w:szCs w:val="18"/>
              </w:rPr>
            </w:pPr>
          </w:p>
          <w:p w14:paraId="0210F7C2" w14:textId="64C226CE" w:rsidR="00C45D59" w:rsidRDefault="009B0962">
            <w:pPr>
              <w:pStyle w:val="P68B1DB1-Normal23"/>
              <w:spacing w:after="0" w:line="240" w:lineRule="auto"/>
              <w:rPr>
                <w:noProof/>
              </w:rPr>
            </w:pPr>
            <w:r>
              <w:rPr>
                <w:noProof/>
              </w:rPr>
              <w:t xml:space="preserve">(I) Crearea unui vehicul cu scop special (SPV) responsabil cu coordonarea colectării datelor pentru parcurile eoliene offshore: (a) înregistrarea vehiculului cu scop special în registrul comerțului; (b) decizia administrativă stabilește mandatul, domeniul de activitate și structura de guvernanță a vehiculului cu scop special; (c) actul juridic alocă finanțare vehiculului cu scop special. </w:t>
            </w:r>
          </w:p>
          <w:p w14:paraId="5FFD90B0" w14:textId="77777777" w:rsidR="00C45D59" w:rsidRDefault="00C45D59">
            <w:pPr>
              <w:spacing w:after="120" w:line="240" w:lineRule="auto"/>
              <w:rPr>
                <w:rFonts w:ascii="Times New Roman" w:eastAsia="Times New Roman" w:hAnsi="Times New Roman" w:cs="Times New Roman"/>
                <w:noProof/>
                <w:color w:val="006100"/>
                <w:sz w:val="18"/>
                <w:szCs w:val="18"/>
              </w:rPr>
            </w:pPr>
          </w:p>
          <w:p w14:paraId="1DA48729" w14:textId="77777777" w:rsidR="00C45D59" w:rsidRDefault="009B0962">
            <w:pPr>
              <w:pStyle w:val="P68B1DB1-Normal23"/>
              <w:spacing w:after="120" w:line="240" w:lineRule="auto"/>
              <w:rPr>
                <w:noProof/>
              </w:rPr>
            </w:pPr>
            <w:r>
              <w:rPr>
                <w:noProof/>
              </w:rPr>
              <w:t xml:space="preserve">(II) Actul juridic stabilește rezervarea de spațiu electric pentru proiectele de parcuri eoliene offshore cu o capacitate totală estimată de 1,9 GW. </w:t>
            </w:r>
          </w:p>
          <w:p w14:paraId="7A529612" w14:textId="77777777" w:rsidR="00C45D59" w:rsidRDefault="00C45D59">
            <w:pPr>
              <w:spacing w:after="120" w:line="240" w:lineRule="auto"/>
              <w:rPr>
                <w:rFonts w:ascii="Times New Roman" w:hAnsi="Times New Roman" w:cs="Times New Roman"/>
                <w:noProof/>
                <w:sz w:val="18"/>
                <w:szCs w:val="18"/>
              </w:rPr>
            </w:pPr>
          </w:p>
          <w:p w14:paraId="4BE1E47E" w14:textId="77777777" w:rsidR="00C45D59" w:rsidRDefault="009B0962">
            <w:pPr>
              <w:pStyle w:val="P68B1DB1-Normal23"/>
              <w:spacing w:after="120" w:line="240" w:lineRule="auto"/>
              <w:rPr>
                <w:noProof/>
              </w:rPr>
            </w:pPr>
            <w:r>
              <w:rPr>
                <w:noProof/>
              </w:rPr>
              <w:t>(III) Actul juridic stabilește cadrul pentru licitațiile pentru parcurile eoliene offshore.</w:t>
            </w:r>
          </w:p>
          <w:p w14:paraId="3407A33F" w14:textId="075789E7" w:rsidR="00C45D59" w:rsidRDefault="009B0962">
            <w:pPr>
              <w:pStyle w:val="P68B1DB1-Normal23"/>
              <w:spacing w:after="0" w:line="240" w:lineRule="auto"/>
              <w:rPr>
                <w:noProof/>
              </w:rPr>
            </w:pPr>
            <w:r>
              <w:rPr>
                <w:noProof/>
              </w:rPr>
              <w:t>În ceea ce privește dezvoltarea surselor regenerabile de energie terestre:</w:t>
            </w:r>
          </w:p>
          <w:p w14:paraId="240E69D3" w14:textId="77777777" w:rsidR="00C45D59" w:rsidRDefault="00C45D59">
            <w:pPr>
              <w:spacing w:after="0" w:line="240" w:lineRule="auto"/>
              <w:rPr>
                <w:rFonts w:ascii="Times New Roman" w:eastAsia="Times New Roman" w:hAnsi="Times New Roman" w:cs="Times New Roman"/>
                <w:noProof/>
                <w:color w:val="006100"/>
                <w:sz w:val="18"/>
                <w:szCs w:val="18"/>
              </w:rPr>
            </w:pPr>
          </w:p>
          <w:p w14:paraId="57FE977F" w14:textId="47D7D7D9" w:rsidR="00C45D59" w:rsidRDefault="009B0962">
            <w:pPr>
              <w:pStyle w:val="P68B1DB1-Normal23"/>
              <w:spacing w:after="120" w:line="240" w:lineRule="auto"/>
              <w:rPr>
                <w:noProof/>
              </w:rPr>
            </w:pPr>
            <w:r>
              <w:rPr>
                <w:noProof/>
              </w:rPr>
              <w:t>(I) Actul juridic stabilește (a) domeniile pentru dezvoltarea surselor regenerabile de energie; și (b) zonele din Grecia pretabile accelerării proiectelor de producere a energiei din surse regenerabile. Se efectuează evaluări strategice de mediu ale zonelor pretabile accelerării proiectelor de producere a energiei din surse regenerabile.</w:t>
            </w:r>
          </w:p>
          <w:p w14:paraId="5D06C6CA" w14:textId="42780888" w:rsidR="00C45D59" w:rsidRDefault="009B0962">
            <w:pPr>
              <w:pStyle w:val="P68B1DB1-Normal23"/>
              <w:spacing w:after="120" w:line="240" w:lineRule="auto"/>
              <w:rPr>
                <w:noProof/>
              </w:rPr>
            </w:pPr>
            <w:r>
              <w:rPr>
                <w:noProof/>
              </w:rPr>
              <w:t>(II) Act juridic care să stimuleze proiectele privind sursele regenerabile de energie în zonele de accelerare, permițând implementarea surselor regenerabile de energie după 2030. Aceasta include instituirea unui cadru pentru zonele de accelerare, inclusiv (a) durate limitate ale procedurilor de acordare a autorizațiilor, care să nu depășească 12 luni; și (b) evaluarea impactului asupra mediului în cazul zonelor cu accelerare rapidă.</w:t>
            </w:r>
          </w:p>
        </w:tc>
      </w:tr>
    </w:tbl>
    <w:p w14:paraId="2831AED7" w14:textId="77777777" w:rsidR="00C45D59" w:rsidRDefault="00C45D59">
      <w:pPr>
        <w:keepNext/>
        <w:keepLines/>
        <w:spacing w:before="240" w:after="0" w:line="240" w:lineRule="auto"/>
        <w:jc w:val="both"/>
        <w:outlineLvl w:val="4"/>
        <w:rPr>
          <w:rFonts w:ascii="Cambria" w:hAnsi="Cambria"/>
          <w:noProof/>
          <w:color w:val="365F91" w:themeColor="accent1" w:themeShade="BF"/>
          <w:sz w:val="24"/>
        </w:rPr>
        <w:sectPr w:rsidR="00C45D59">
          <w:headerReference w:type="even" r:id="rId390"/>
          <w:headerReference w:type="default" r:id="rId391"/>
          <w:footerReference w:type="even" r:id="rId392"/>
          <w:footerReference w:type="default" r:id="rId393"/>
          <w:headerReference w:type="first" r:id="rId394"/>
          <w:footerReference w:type="first" r:id="rId395"/>
          <w:pgSz w:w="16839" w:h="11907" w:orient="landscape"/>
          <w:pgMar w:top="1134" w:right="1134" w:bottom="1134" w:left="1134" w:header="567" w:footer="567" w:gutter="0"/>
          <w:cols w:space="720"/>
          <w:docGrid w:linePitch="360"/>
        </w:sectPr>
      </w:pPr>
    </w:p>
    <w:p w14:paraId="150D470C" w14:textId="77777777" w:rsidR="00C45D59" w:rsidRDefault="009B0962">
      <w:pPr>
        <w:pStyle w:val="P68B1DB1-Normal9"/>
        <w:keepNext/>
        <w:keepLines/>
        <w:spacing w:before="240" w:after="0" w:line="240" w:lineRule="auto"/>
        <w:jc w:val="both"/>
        <w:outlineLvl w:val="4"/>
        <w:rPr>
          <w:rFonts w:eastAsia="Times New Roman"/>
          <w:noProof/>
          <w:color w:val="4F81BD" w:themeColor="accent1"/>
          <w:szCs w:val="24"/>
        </w:rPr>
      </w:pPr>
      <w:r>
        <w:rPr>
          <w:noProof/>
        </w:rPr>
        <w:t>Reforma 3: Cadrul de reglementare și de funcționare a pieței pentru tehnologiile de captare, utilizare și stocare a dioxidului de carbon pentru a stimula decarbonizarea industriei (identificatorul măsurii: 16988)</w:t>
      </w:r>
    </w:p>
    <w:tbl>
      <w:tblPr>
        <w:tblW w:w="15417" w:type="dxa"/>
        <w:tblLayout w:type="fixed"/>
        <w:tblLook w:val="04A0" w:firstRow="1" w:lastRow="0" w:firstColumn="1" w:lastColumn="0" w:noHBand="0" w:noVBand="1"/>
      </w:tblPr>
      <w:tblGrid>
        <w:gridCol w:w="588"/>
        <w:gridCol w:w="2781"/>
        <w:gridCol w:w="1134"/>
        <w:gridCol w:w="1275"/>
        <w:gridCol w:w="1701"/>
        <w:gridCol w:w="856"/>
        <w:gridCol w:w="24"/>
        <w:gridCol w:w="963"/>
        <w:gridCol w:w="709"/>
        <w:gridCol w:w="1147"/>
        <w:gridCol w:w="630"/>
        <w:gridCol w:w="3609"/>
      </w:tblGrid>
      <w:tr w:rsidR="00C45D59" w14:paraId="1F88F049" w14:textId="77777777" w:rsidTr="00037E31">
        <w:trPr>
          <w:trHeight w:val="694"/>
          <w:tblHeader/>
        </w:trPr>
        <w:tc>
          <w:tcPr>
            <w:tcW w:w="58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96B6223" w14:textId="7FCEF09E" w:rsidR="00C45D59" w:rsidRDefault="009B0962">
            <w:pPr>
              <w:pStyle w:val="P68B1DB1-Normal15"/>
              <w:spacing w:before="120" w:after="120" w:line="240" w:lineRule="auto"/>
              <w:jc w:val="center"/>
              <w:rPr>
                <w:noProof/>
              </w:rPr>
            </w:pPr>
            <w:r>
              <w:rPr>
                <w:noProof/>
              </w:rPr>
              <w:t>Nr</w:t>
            </w:r>
            <w:r w:rsidR="00037E31">
              <w:rPr>
                <w:noProof/>
              </w:rPr>
              <w:t>.</w:t>
            </w:r>
            <w:r>
              <w:rPr>
                <w:noProof/>
              </w:rPr>
              <w:t xml:space="preserve"> </w:t>
            </w:r>
            <w:r>
              <w:rPr>
                <w:noProof/>
              </w:rPr>
              <w:br/>
            </w:r>
            <w:r w:rsidR="00037E31">
              <w:rPr>
                <w:noProof/>
              </w:rPr>
              <w:t>crt</w:t>
            </w:r>
            <w:r>
              <w:rPr>
                <w:noProof/>
              </w:rPr>
              <w:t>.</w:t>
            </w:r>
          </w:p>
        </w:tc>
        <w:tc>
          <w:tcPr>
            <w:tcW w:w="278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7A0BD31" w14:textId="77777777" w:rsidR="00C45D59" w:rsidRDefault="009B0962">
            <w:pPr>
              <w:pStyle w:val="P68B1DB1-Normal10"/>
              <w:spacing w:before="120" w:after="120" w:line="240" w:lineRule="auto"/>
              <w:jc w:val="center"/>
              <w:rPr>
                <w:rFonts w:cs="Times New Roman"/>
                <w:noProof/>
                <w:sz w:val="24"/>
              </w:rPr>
            </w:pPr>
            <w:r>
              <w:rPr>
                <w:noProof/>
              </w:rPr>
              <w:t>Măsură conexă (reformă sau investiții)</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C86F0E5" w14:textId="40F1DBCE" w:rsidR="00C45D59" w:rsidRDefault="009B0962">
            <w:pPr>
              <w:pStyle w:val="P68B1DB1-Normal10"/>
              <w:spacing w:before="120" w:after="120" w:line="240" w:lineRule="auto"/>
              <w:jc w:val="center"/>
              <w:rPr>
                <w:rFonts w:cs="Times New Roman"/>
                <w:noProof/>
                <w:sz w:val="24"/>
              </w:rPr>
            </w:pPr>
            <w:r>
              <w:rPr>
                <w:noProof/>
              </w:rPr>
              <w:t>Etapă/</w:t>
            </w:r>
            <w:r w:rsidR="00037E31">
              <w:rPr>
                <w:noProof/>
              </w:rPr>
              <w:t xml:space="preserve"> </w:t>
            </w:r>
            <w:r>
              <w:rPr>
                <w:noProof/>
              </w:rPr>
              <w:t>Obiectiv</w:t>
            </w:r>
          </w:p>
        </w:tc>
        <w:tc>
          <w:tcPr>
            <w:tcW w:w="127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FD450D6" w14:textId="3962C999" w:rsidR="00C45D59" w:rsidRDefault="00037E31">
            <w:pPr>
              <w:pStyle w:val="P68B1DB1-Normal10"/>
              <w:spacing w:before="120" w:after="120" w:line="240" w:lineRule="auto"/>
              <w:jc w:val="center"/>
              <w:rPr>
                <w:rFonts w:cs="Times New Roman"/>
                <w:noProof/>
                <w:sz w:val="24"/>
              </w:rPr>
            </w:pPr>
            <w:r>
              <w:rPr>
                <w:noProof/>
              </w:rPr>
              <w:t>Denumire</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F2E252B" w14:textId="77777777" w:rsidR="00C45D59" w:rsidRDefault="009B0962">
            <w:pPr>
              <w:pStyle w:val="P68B1DB1-Normal10"/>
              <w:spacing w:before="120" w:after="120" w:line="240" w:lineRule="auto"/>
              <w:jc w:val="center"/>
              <w:rPr>
                <w:rFonts w:cs="Times New Roman"/>
                <w:noProof/>
                <w:sz w:val="24"/>
              </w:rPr>
            </w:pPr>
            <w:r>
              <w:rPr>
                <w:noProof/>
              </w:rPr>
              <w:t>Indicatori calitativi (pentru obiectivele de etapă)</w:t>
            </w:r>
          </w:p>
        </w:tc>
        <w:tc>
          <w:tcPr>
            <w:tcW w:w="2552" w:type="dxa"/>
            <w:gridSpan w:val="4"/>
            <w:tcBorders>
              <w:top w:val="single" w:sz="4" w:space="0" w:color="auto"/>
              <w:left w:val="single" w:sz="4" w:space="0" w:color="auto"/>
              <w:bottom w:val="single" w:sz="4" w:space="0" w:color="auto"/>
              <w:right w:val="single" w:sz="4" w:space="0" w:color="auto"/>
            </w:tcBorders>
            <w:shd w:val="clear" w:color="auto" w:fill="BDD7EE"/>
            <w:vAlign w:val="center"/>
            <w:hideMark/>
          </w:tcPr>
          <w:p w14:paraId="7854AD2C" w14:textId="77777777" w:rsidR="00C45D59" w:rsidRDefault="009B0962">
            <w:pPr>
              <w:pStyle w:val="P68B1DB1-Normal10"/>
              <w:spacing w:before="120" w:after="120" w:line="240" w:lineRule="auto"/>
              <w:jc w:val="center"/>
              <w:rPr>
                <w:rFonts w:cs="Times New Roman"/>
                <w:noProof/>
                <w:sz w:val="24"/>
              </w:rPr>
            </w:pPr>
            <w:r>
              <w:rPr>
                <w:noProof/>
              </w:rPr>
              <w:t>Indicatori cantitativi (pentru ținte)</w:t>
            </w:r>
          </w:p>
        </w:tc>
        <w:tc>
          <w:tcPr>
            <w:tcW w:w="1777"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638466EB" w14:textId="77777777" w:rsidR="00C45D59" w:rsidRDefault="009B0962">
            <w:pPr>
              <w:pStyle w:val="P68B1DB1-Normal10"/>
              <w:spacing w:before="120" w:after="120" w:line="240" w:lineRule="auto"/>
              <w:jc w:val="center"/>
              <w:rPr>
                <w:rFonts w:cs="Times New Roman"/>
                <w:noProof/>
                <w:sz w:val="24"/>
              </w:rPr>
            </w:pPr>
            <w:r>
              <w:rPr>
                <w:noProof/>
              </w:rPr>
              <w:t>Calendar orientativ pentru finalizare</w:t>
            </w:r>
          </w:p>
        </w:tc>
        <w:tc>
          <w:tcPr>
            <w:tcW w:w="360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96D41FA" w14:textId="77777777" w:rsidR="00C45D59" w:rsidRDefault="009B0962">
            <w:pPr>
              <w:pStyle w:val="P68B1DB1-Normal10"/>
              <w:spacing w:before="120" w:after="120" w:line="240" w:lineRule="auto"/>
              <w:jc w:val="center"/>
              <w:rPr>
                <w:rFonts w:cs="Times New Roman"/>
                <w:noProof/>
                <w:sz w:val="24"/>
              </w:rPr>
            </w:pPr>
            <w:r>
              <w:rPr>
                <w:noProof/>
              </w:rPr>
              <w:t>Descrierea fiecărui jalon și a fiecărei ținte</w:t>
            </w:r>
          </w:p>
        </w:tc>
      </w:tr>
      <w:tr w:rsidR="00C45D59" w14:paraId="241E4D0E" w14:textId="77777777" w:rsidTr="00037E31">
        <w:trPr>
          <w:trHeight w:val="413"/>
          <w:tblHeader/>
        </w:trPr>
        <w:tc>
          <w:tcPr>
            <w:tcW w:w="588" w:type="dxa"/>
            <w:vMerge/>
            <w:tcBorders>
              <w:top w:val="single" w:sz="4" w:space="0" w:color="auto"/>
              <w:left w:val="single" w:sz="4" w:space="0" w:color="auto"/>
              <w:bottom w:val="single" w:sz="4" w:space="0" w:color="auto"/>
              <w:right w:val="single" w:sz="4" w:space="0" w:color="auto"/>
            </w:tcBorders>
            <w:vAlign w:val="center"/>
          </w:tcPr>
          <w:p w14:paraId="6376D98A" w14:textId="77777777" w:rsidR="00C45D59" w:rsidRDefault="00C45D59">
            <w:pPr>
              <w:spacing w:before="120" w:after="120" w:line="240" w:lineRule="auto"/>
              <w:jc w:val="center"/>
              <w:rPr>
                <w:rFonts w:ascii="Times New Roman" w:eastAsia="Times New Roman" w:hAnsi="Times New Roman" w:cs="Times New Roman"/>
                <w:b/>
                <w:bCs/>
                <w:noProof/>
                <w:sz w:val="18"/>
                <w:szCs w:val="18"/>
              </w:rPr>
            </w:pPr>
          </w:p>
        </w:tc>
        <w:tc>
          <w:tcPr>
            <w:tcW w:w="2781" w:type="dxa"/>
            <w:vMerge/>
            <w:tcBorders>
              <w:top w:val="single" w:sz="4" w:space="0" w:color="auto"/>
              <w:left w:val="single" w:sz="4" w:space="0" w:color="auto"/>
              <w:bottom w:val="single" w:sz="4" w:space="0" w:color="auto"/>
              <w:right w:val="single" w:sz="4" w:space="0" w:color="auto"/>
            </w:tcBorders>
            <w:vAlign w:val="center"/>
          </w:tcPr>
          <w:p w14:paraId="618465BD" w14:textId="77777777" w:rsidR="00C45D59" w:rsidRDefault="00C45D59">
            <w:pPr>
              <w:spacing w:before="120" w:after="120" w:line="240" w:lineRule="auto"/>
              <w:jc w:val="center"/>
              <w:rPr>
                <w:rFonts w:ascii="Times New Roman" w:eastAsia="Times New Roman" w:hAnsi="Times New Roman" w:cs="Times New Roman"/>
                <w:b/>
                <w:bCs/>
                <w:noProof/>
                <w:sz w:val="18"/>
                <w:szCs w:val="18"/>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2F3FDF00" w14:textId="77777777" w:rsidR="00C45D59" w:rsidRDefault="00C45D59">
            <w:pPr>
              <w:spacing w:before="120" w:after="120" w:line="240" w:lineRule="auto"/>
              <w:jc w:val="center"/>
              <w:rPr>
                <w:rFonts w:ascii="Times New Roman" w:eastAsia="Times New Roman" w:hAnsi="Times New Roman" w:cs="Times New Roman"/>
                <w:b/>
                <w:bCs/>
                <w:noProof/>
                <w:sz w:val="18"/>
                <w:szCs w:val="18"/>
              </w:rPr>
            </w:pPr>
          </w:p>
        </w:tc>
        <w:tc>
          <w:tcPr>
            <w:tcW w:w="1275" w:type="dxa"/>
            <w:vMerge/>
            <w:tcBorders>
              <w:top w:val="single" w:sz="4" w:space="0" w:color="auto"/>
              <w:left w:val="single" w:sz="4" w:space="0" w:color="auto"/>
              <w:bottom w:val="single" w:sz="4" w:space="0" w:color="auto"/>
              <w:right w:val="single" w:sz="4" w:space="0" w:color="auto"/>
            </w:tcBorders>
            <w:vAlign w:val="center"/>
          </w:tcPr>
          <w:p w14:paraId="405AC696" w14:textId="77777777" w:rsidR="00C45D59" w:rsidRDefault="00C45D59">
            <w:pPr>
              <w:spacing w:before="120" w:after="120" w:line="240" w:lineRule="auto"/>
              <w:jc w:val="center"/>
              <w:rPr>
                <w:rFonts w:ascii="Times New Roman" w:eastAsia="Times New Roman" w:hAnsi="Times New Roman" w:cs="Times New Roman"/>
                <w:b/>
                <w:bCs/>
                <w:noProof/>
                <w:sz w:val="18"/>
                <w:szCs w:val="18"/>
              </w:rPr>
            </w:pPr>
          </w:p>
        </w:tc>
        <w:tc>
          <w:tcPr>
            <w:tcW w:w="1701" w:type="dxa"/>
            <w:vMerge/>
            <w:tcBorders>
              <w:top w:val="single" w:sz="4" w:space="0" w:color="auto"/>
              <w:left w:val="single" w:sz="4" w:space="0" w:color="auto"/>
              <w:bottom w:val="single" w:sz="4" w:space="0" w:color="auto"/>
              <w:right w:val="single" w:sz="4" w:space="0" w:color="auto"/>
            </w:tcBorders>
            <w:vAlign w:val="center"/>
          </w:tcPr>
          <w:p w14:paraId="75813C2F" w14:textId="77777777" w:rsidR="00C45D59" w:rsidRDefault="00C45D59">
            <w:pPr>
              <w:spacing w:before="120" w:after="120" w:line="240" w:lineRule="auto"/>
              <w:jc w:val="center"/>
              <w:rPr>
                <w:rFonts w:ascii="Times New Roman" w:eastAsia="Times New Roman" w:hAnsi="Times New Roman" w:cs="Times New Roman"/>
                <w:b/>
                <w:bCs/>
                <w:noProof/>
                <w:sz w:val="18"/>
                <w:szCs w:val="18"/>
              </w:rPr>
            </w:pPr>
          </w:p>
        </w:tc>
        <w:tc>
          <w:tcPr>
            <w:tcW w:w="880" w:type="dxa"/>
            <w:gridSpan w:val="2"/>
            <w:tcBorders>
              <w:top w:val="single" w:sz="4" w:space="0" w:color="auto"/>
              <w:left w:val="single" w:sz="4" w:space="0" w:color="auto"/>
              <w:bottom w:val="single" w:sz="4" w:space="0" w:color="auto"/>
              <w:right w:val="single" w:sz="4" w:space="0" w:color="auto"/>
            </w:tcBorders>
            <w:shd w:val="clear" w:color="auto" w:fill="BDD7EE"/>
            <w:vAlign w:val="center"/>
          </w:tcPr>
          <w:p w14:paraId="79EED327" w14:textId="77777777" w:rsidR="00C45D59" w:rsidRDefault="009B0962">
            <w:pPr>
              <w:pStyle w:val="P68B1DB1-Normal10"/>
              <w:spacing w:before="120" w:after="120" w:line="240" w:lineRule="auto"/>
              <w:jc w:val="center"/>
              <w:rPr>
                <w:rFonts w:eastAsia="Times New Roman" w:cs="Times New Roman"/>
                <w:bCs/>
                <w:noProof/>
                <w:szCs w:val="18"/>
              </w:rPr>
            </w:pPr>
            <w:r>
              <w:rPr>
                <w:noProof/>
              </w:rPr>
              <w:t>Unitatea de măsură</w:t>
            </w:r>
          </w:p>
        </w:tc>
        <w:tc>
          <w:tcPr>
            <w:tcW w:w="963" w:type="dxa"/>
            <w:tcBorders>
              <w:top w:val="single" w:sz="4" w:space="0" w:color="auto"/>
              <w:left w:val="single" w:sz="4" w:space="0" w:color="auto"/>
              <w:bottom w:val="single" w:sz="4" w:space="0" w:color="auto"/>
              <w:right w:val="single" w:sz="4" w:space="0" w:color="auto"/>
            </w:tcBorders>
            <w:shd w:val="clear" w:color="auto" w:fill="BDD7EE"/>
            <w:vAlign w:val="center"/>
          </w:tcPr>
          <w:p w14:paraId="5A277794" w14:textId="77777777" w:rsidR="00C45D59" w:rsidRDefault="009B0962">
            <w:pPr>
              <w:pStyle w:val="P68B1DB1-Normal10"/>
              <w:spacing w:before="120" w:after="120" w:line="240" w:lineRule="auto"/>
              <w:jc w:val="center"/>
              <w:rPr>
                <w:rFonts w:eastAsia="Times New Roman" w:cs="Times New Roman"/>
                <w:bCs/>
                <w:noProof/>
                <w:szCs w:val="18"/>
              </w:rPr>
            </w:pPr>
            <w:r>
              <w:rPr>
                <w:noProof/>
              </w:rPr>
              <w:t>Situația de referință</w:t>
            </w:r>
          </w:p>
        </w:tc>
        <w:tc>
          <w:tcPr>
            <w:tcW w:w="709" w:type="dxa"/>
            <w:tcBorders>
              <w:top w:val="single" w:sz="4" w:space="0" w:color="auto"/>
              <w:left w:val="single" w:sz="4" w:space="0" w:color="auto"/>
              <w:bottom w:val="single" w:sz="4" w:space="0" w:color="auto"/>
              <w:right w:val="single" w:sz="4" w:space="0" w:color="auto"/>
            </w:tcBorders>
            <w:shd w:val="clear" w:color="auto" w:fill="BDD7EE"/>
            <w:vAlign w:val="center"/>
          </w:tcPr>
          <w:p w14:paraId="37233EB6" w14:textId="77777777" w:rsidR="00C45D59" w:rsidRDefault="009B0962">
            <w:pPr>
              <w:pStyle w:val="P68B1DB1-Normal10"/>
              <w:spacing w:before="120" w:after="120" w:line="240" w:lineRule="auto"/>
              <w:jc w:val="center"/>
              <w:rPr>
                <w:rFonts w:eastAsia="Times New Roman" w:cs="Times New Roman"/>
                <w:bCs/>
                <w:noProof/>
                <w:szCs w:val="18"/>
              </w:rPr>
            </w:pPr>
            <w:r>
              <w:rPr>
                <w:noProof/>
              </w:rPr>
              <w:t>Obiectiv</w:t>
            </w:r>
          </w:p>
        </w:tc>
        <w:tc>
          <w:tcPr>
            <w:tcW w:w="1147" w:type="dxa"/>
            <w:tcBorders>
              <w:top w:val="single" w:sz="4" w:space="0" w:color="auto"/>
              <w:left w:val="single" w:sz="4" w:space="0" w:color="auto"/>
              <w:bottom w:val="single" w:sz="4" w:space="0" w:color="auto"/>
              <w:right w:val="single" w:sz="4" w:space="0" w:color="auto"/>
            </w:tcBorders>
            <w:shd w:val="clear" w:color="auto" w:fill="BDD7EE"/>
            <w:vAlign w:val="center"/>
          </w:tcPr>
          <w:p w14:paraId="5E298CB4" w14:textId="77777777" w:rsidR="00C45D59" w:rsidRDefault="009B0962">
            <w:pPr>
              <w:pStyle w:val="P68B1DB1-Normal10"/>
              <w:spacing w:before="120" w:after="120" w:line="240" w:lineRule="auto"/>
              <w:jc w:val="center"/>
              <w:rPr>
                <w:rFonts w:eastAsia="Times New Roman" w:cs="Times New Roman"/>
                <w:bCs/>
                <w:noProof/>
                <w:szCs w:val="18"/>
              </w:rPr>
            </w:pPr>
            <w:r>
              <w:rPr>
                <w:noProof/>
              </w:rPr>
              <w:t>Trimestru</w:t>
            </w:r>
          </w:p>
        </w:tc>
        <w:tc>
          <w:tcPr>
            <w:tcW w:w="630" w:type="dxa"/>
            <w:tcBorders>
              <w:top w:val="single" w:sz="4" w:space="0" w:color="auto"/>
              <w:left w:val="single" w:sz="4" w:space="0" w:color="auto"/>
              <w:bottom w:val="single" w:sz="4" w:space="0" w:color="auto"/>
              <w:right w:val="single" w:sz="4" w:space="0" w:color="auto"/>
            </w:tcBorders>
            <w:shd w:val="clear" w:color="auto" w:fill="BDD7EE"/>
            <w:vAlign w:val="center"/>
          </w:tcPr>
          <w:p w14:paraId="7B07C541" w14:textId="77777777" w:rsidR="00C45D59" w:rsidRDefault="009B0962">
            <w:pPr>
              <w:pStyle w:val="P68B1DB1-Normal10"/>
              <w:spacing w:before="120" w:after="120" w:line="240" w:lineRule="auto"/>
              <w:jc w:val="center"/>
              <w:rPr>
                <w:rFonts w:eastAsia="Times New Roman" w:cs="Times New Roman"/>
                <w:bCs/>
                <w:noProof/>
                <w:szCs w:val="18"/>
              </w:rPr>
            </w:pPr>
            <w:r>
              <w:rPr>
                <w:noProof/>
              </w:rPr>
              <w:t>Anul</w:t>
            </w:r>
          </w:p>
        </w:tc>
        <w:tc>
          <w:tcPr>
            <w:tcW w:w="3609" w:type="dxa"/>
            <w:vMerge/>
            <w:tcBorders>
              <w:top w:val="single" w:sz="4" w:space="0" w:color="auto"/>
              <w:bottom w:val="single" w:sz="4" w:space="0" w:color="auto"/>
              <w:right w:val="single" w:sz="4" w:space="0" w:color="auto"/>
            </w:tcBorders>
            <w:vAlign w:val="center"/>
          </w:tcPr>
          <w:p w14:paraId="74275615" w14:textId="77777777" w:rsidR="00C45D59" w:rsidRDefault="00C45D59">
            <w:pPr>
              <w:spacing w:before="120" w:after="120" w:line="240" w:lineRule="auto"/>
              <w:jc w:val="center"/>
              <w:rPr>
                <w:rFonts w:ascii="Times New Roman" w:eastAsia="Times New Roman" w:hAnsi="Times New Roman" w:cs="Times New Roman"/>
                <w:b/>
                <w:bCs/>
                <w:noProof/>
                <w:sz w:val="18"/>
                <w:szCs w:val="18"/>
              </w:rPr>
            </w:pPr>
          </w:p>
        </w:tc>
      </w:tr>
      <w:tr w:rsidR="00C45D59" w14:paraId="2C304CC8" w14:textId="77777777" w:rsidTr="00037E31">
        <w:tc>
          <w:tcPr>
            <w:tcW w:w="588" w:type="dxa"/>
            <w:tcBorders>
              <w:top w:val="single" w:sz="4" w:space="0" w:color="auto"/>
              <w:left w:val="single" w:sz="4" w:space="0" w:color="auto"/>
              <w:bottom w:val="single" w:sz="4" w:space="0" w:color="auto"/>
              <w:right w:val="single" w:sz="4" w:space="0" w:color="auto"/>
            </w:tcBorders>
            <w:shd w:val="clear" w:color="auto" w:fill="C6EFCE"/>
            <w:noWrap/>
          </w:tcPr>
          <w:p w14:paraId="397EDB71" w14:textId="77777777" w:rsidR="00C45D59" w:rsidRDefault="009B0962">
            <w:pPr>
              <w:pStyle w:val="P68B1DB1-Normal12"/>
              <w:spacing w:after="0" w:line="240" w:lineRule="auto"/>
              <w:rPr>
                <w:rFonts w:eastAsia="Times New Roman"/>
                <w:noProof/>
              </w:rPr>
            </w:pPr>
            <w:r>
              <w:rPr>
                <w:noProof/>
              </w:rPr>
              <w:t>355</w:t>
            </w:r>
          </w:p>
        </w:tc>
        <w:tc>
          <w:tcPr>
            <w:tcW w:w="2781" w:type="dxa"/>
            <w:tcBorders>
              <w:top w:val="single" w:sz="4" w:space="0" w:color="auto"/>
              <w:left w:val="nil"/>
              <w:bottom w:val="single" w:sz="4" w:space="0" w:color="auto"/>
              <w:right w:val="single" w:sz="4" w:space="0" w:color="auto"/>
            </w:tcBorders>
            <w:shd w:val="clear" w:color="auto" w:fill="C6EFCE"/>
            <w:noWrap/>
          </w:tcPr>
          <w:p w14:paraId="52B55138" w14:textId="77777777" w:rsidR="00C45D59" w:rsidRDefault="009B0962">
            <w:pPr>
              <w:pStyle w:val="P68B1DB1-Normal13"/>
              <w:spacing w:after="0" w:line="240" w:lineRule="auto"/>
              <w:rPr>
                <w:rFonts w:eastAsia="Times New Roman"/>
                <w:noProof/>
                <w:szCs w:val="18"/>
              </w:rPr>
            </w:pPr>
            <w:r>
              <w:rPr>
                <w:noProof/>
              </w:rPr>
              <w:t xml:space="preserve">20-5.1. Reformele REPowerEU – 16988_Cadrul de reglementare și de funcționare a pieței pentru tehnologiile de captare, utilizare și stocare a dioxidului de carbon pentru a încuraja decarbonizarea industriei </w:t>
            </w:r>
          </w:p>
        </w:tc>
        <w:tc>
          <w:tcPr>
            <w:tcW w:w="1134" w:type="dxa"/>
            <w:tcBorders>
              <w:top w:val="single" w:sz="4" w:space="0" w:color="auto"/>
              <w:left w:val="nil"/>
              <w:bottom w:val="single" w:sz="4" w:space="0" w:color="auto"/>
              <w:right w:val="single" w:sz="4" w:space="0" w:color="auto"/>
            </w:tcBorders>
            <w:shd w:val="clear" w:color="auto" w:fill="C6EFCE"/>
            <w:noWrap/>
          </w:tcPr>
          <w:p w14:paraId="10F9C303" w14:textId="77777777" w:rsidR="00C45D59" w:rsidRDefault="009B0962">
            <w:pPr>
              <w:pStyle w:val="P68B1DB1-Normal13"/>
              <w:spacing w:after="0" w:line="240" w:lineRule="auto"/>
              <w:rPr>
                <w:rFonts w:eastAsia="Times New Roman"/>
                <w:noProof/>
                <w:szCs w:val="18"/>
              </w:rPr>
            </w:pPr>
            <w:r>
              <w:rPr>
                <w:noProof/>
              </w:rPr>
              <w:t>Etapă</w:t>
            </w:r>
          </w:p>
        </w:tc>
        <w:tc>
          <w:tcPr>
            <w:tcW w:w="1275" w:type="dxa"/>
            <w:tcBorders>
              <w:top w:val="single" w:sz="4" w:space="0" w:color="auto"/>
              <w:left w:val="single" w:sz="4" w:space="0" w:color="auto"/>
              <w:bottom w:val="single" w:sz="4" w:space="0" w:color="auto"/>
              <w:right w:val="single" w:sz="4" w:space="0" w:color="auto"/>
            </w:tcBorders>
            <w:shd w:val="clear" w:color="auto" w:fill="C6EFCE"/>
            <w:noWrap/>
          </w:tcPr>
          <w:p w14:paraId="58BB129F" w14:textId="77777777" w:rsidR="00C45D59" w:rsidRDefault="009B0962">
            <w:pPr>
              <w:pStyle w:val="P68B1DB1-Normal13"/>
              <w:spacing w:after="0" w:line="240" w:lineRule="auto"/>
              <w:rPr>
                <w:rFonts w:eastAsia="Times New Roman"/>
                <w:noProof/>
                <w:szCs w:val="18"/>
              </w:rPr>
            </w:pPr>
            <w:r>
              <w:rPr>
                <w:noProof/>
              </w:rPr>
              <w:t>Stabilirea cadrului juridic pentru captarea, utilizarea și stocarea dioxidului de carbon.</w:t>
            </w:r>
          </w:p>
        </w:tc>
        <w:tc>
          <w:tcPr>
            <w:tcW w:w="1701" w:type="dxa"/>
            <w:tcBorders>
              <w:top w:val="single" w:sz="4" w:space="0" w:color="auto"/>
              <w:left w:val="nil"/>
              <w:bottom w:val="single" w:sz="4" w:space="0" w:color="auto"/>
              <w:right w:val="single" w:sz="4" w:space="0" w:color="auto"/>
            </w:tcBorders>
            <w:shd w:val="clear" w:color="auto" w:fill="C6EFCE"/>
            <w:noWrap/>
          </w:tcPr>
          <w:p w14:paraId="1BC63102" w14:textId="77777777" w:rsidR="00C45D59" w:rsidRDefault="009B0962">
            <w:pPr>
              <w:pStyle w:val="P68B1DB1-Normal13"/>
              <w:spacing w:after="0" w:line="240" w:lineRule="auto"/>
              <w:rPr>
                <w:rFonts w:eastAsia="Times New Roman"/>
                <w:noProof/>
                <w:szCs w:val="18"/>
              </w:rPr>
            </w:pPr>
            <w:r>
              <w:rPr>
                <w:noProof/>
              </w:rPr>
              <w:t xml:space="preserve">Intrarea în vigoare a legislației </w:t>
            </w:r>
          </w:p>
        </w:tc>
        <w:tc>
          <w:tcPr>
            <w:tcW w:w="856" w:type="dxa"/>
            <w:tcBorders>
              <w:top w:val="single" w:sz="4" w:space="0" w:color="auto"/>
              <w:left w:val="nil"/>
              <w:bottom w:val="single" w:sz="4" w:space="0" w:color="auto"/>
              <w:right w:val="single" w:sz="4" w:space="0" w:color="auto"/>
            </w:tcBorders>
            <w:shd w:val="clear" w:color="auto" w:fill="C6EFCE"/>
            <w:noWrap/>
          </w:tcPr>
          <w:p w14:paraId="1D52EC00" w14:textId="77777777" w:rsidR="00C45D59" w:rsidRDefault="00C45D59">
            <w:pPr>
              <w:spacing w:after="0" w:line="240" w:lineRule="auto"/>
              <w:rPr>
                <w:rFonts w:ascii="Times New Roman" w:eastAsia="Times New Roman" w:hAnsi="Times New Roman" w:cs="Times New Roman"/>
                <w:noProof/>
                <w:sz w:val="18"/>
                <w:szCs w:val="18"/>
              </w:rPr>
            </w:pPr>
          </w:p>
        </w:tc>
        <w:tc>
          <w:tcPr>
            <w:tcW w:w="987" w:type="dxa"/>
            <w:gridSpan w:val="2"/>
            <w:tcBorders>
              <w:top w:val="single" w:sz="4" w:space="0" w:color="auto"/>
              <w:left w:val="nil"/>
              <w:bottom w:val="single" w:sz="4" w:space="0" w:color="auto"/>
              <w:right w:val="single" w:sz="4" w:space="0" w:color="auto"/>
            </w:tcBorders>
            <w:shd w:val="clear" w:color="auto" w:fill="C6EFCE"/>
            <w:noWrap/>
          </w:tcPr>
          <w:p w14:paraId="1134806A" w14:textId="77777777" w:rsidR="00C45D59" w:rsidRDefault="00C45D59">
            <w:pPr>
              <w:spacing w:after="0" w:line="240" w:lineRule="auto"/>
              <w:rPr>
                <w:rFonts w:ascii="Times New Roman" w:eastAsia="Times New Roman" w:hAnsi="Times New Roman" w:cs="Times New Roman"/>
                <w:noProof/>
                <w:sz w:val="18"/>
                <w:szCs w:val="18"/>
              </w:rPr>
            </w:pPr>
          </w:p>
        </w:tc>
        <w:tc>
          <w:tcPr>
            <w:tcW w:w="709" w:type="dxa"/>
            <w:tcBorders>
              <w:top w:val="single" w:sz="4" w:space="0" w:color="auto"/>
              <w:left w:val="nil"/>
              <w:bottom w:val="single" w:sz="4" w:space="0" w:color="auto"/>
              <w:right w:val="single" w:sz="4" w:space="0" w:color="auto"/>
            </w:tcBorders>
            <w:shd w:val="clear" w:color="auto" w:fill="C6EFCE"/>
            <w:noWrap/>
          </w:tcPr>
          <w:p w14:paraId="262F0FC4" w14:textId="77777777" w:rsidR="00C45D59" w:rsidRDefault="00C45D59">
            <w:pPr>
              <w:spacing w:after="0" w:line="240" w:lineRule="auto"/>
              <w:rPr>
                <w:rFonts w:ascii="Times New Roman" w:eastAsia="Times New Roman" w:hAnsi="Times New Roman" w:cs="Times New Roman"/>
                <w:noProof/>
                <w:sz w:val="18"/>
                <w:szCs w:val="18"/>
              </w:rPr>
            </w:pPr>
          </w:p>
        </w:tc>
        <w:tc>
          <w:tcPr>
            <w:tcW w:w="1147" w:type="dxa"/>
            <w:tcBorders>
              <w:top w:val="single" w:sz="4" w:space="0" w:color="auto"/>
              <w:left w:val="nil"/>
              <w:bottom w:val="single" w:sz="4" w:space="0" w:color="auto"/>
              <w:right w:val="single" w:sz="4" w:space="0" w:color="auto"/>
            </w:tcBorders>
            <w:shd w:val="clear" w:color="auto" w:fill="C6EFCE"/>
            <w:noWrap/>
          </w:tcPr>
          <w:p w14:paraId="767CA0F3" w14:textId="77777777" w:rsidR="00C45D59" w:rsidRDefault="009B0962">
            <w:pPr>
              <w:pStyle w:val="P68B1DB1-Normal13"/>
              <w:spacing w:after="120" w:line="240" w:lineRule="auto"/>
              <w:rPr>
                <w:rFonts w:eastAsia="Times New Roman"/>
                <w:noProof/>
                <w:szCs w:val="18"/>
              </w:rPr>
            </w:pPr>
            <w:r>
              <w:rPr>
                <w:noProof/>
              </w:rPr>
              <w:t>Î3</w:t>
            </w:r>
          </w:p>
        </w:tc>
        <w:tc>
          <w:tcPr>
            <w:tcW w:w="630" w:type="dxa"/>
            <w:tcBorders>
              <w:top w:val="single" w:sz="4" w:space="0" w:color="auto"/>
              <w:left w:val="nil"/>
              <w:bottom w:val="single" w:sz="4" w:space="0" w:color="auto"/>
              <w:right w:val="single" w:sz="4" w:space="0" w:color="auto"/>
            </w:tcBorders>
            <w:shd w:val="clear" w:color="auto" w:fill="C6EFCE"/>
            <w:noWrap/>
          </w:tcPr>
          <w:p w14:paraId="263786CF" w14:textId="77777777" w:rsidR="00C45D59" w:rsidRDefault="009B0962">
            <w:pPr>
              <w:pStyle w:val="P68B1DB1-Normal13"/>
              <w:spacing w:after="120" w:line="240" w:lineRule="auto"/>
              <w:rPr>
                <w:rFonts w:eastAsia="Times New Roman"/>
                <w:noProof/>
                <w:szCs w:val="18"/>
              </w:rPr>
            </w:pPr>
            <w:r>
              <w:rPr>
                <w:noProof/>
              </w:rPr>
              <w:t>2024</w:t>
            </w:r>
          </w:p>
        </w:tc>
        <w:tc>
          <w:tcPr>
            <w:tcW w:w="3609" w:type="dxa"/>
            <w:tcBorders>
              <w:top w:val="single" w:sz="4" w:space="0" w:color="auto"/>
              <w:left w:val="nil"/>
              <w:bottom w:val="single" w:sz="4" w:space="0" w:color="auto"/>
              <w:right w:val="single" w:sz="4" w:space="0" w:color="auto"/>
            </w:tcBorders>
            <w:shd w:val="clear" w:color="auto" w:fill="C6EFCE"/>
            <w:noWrap/>
          </w:tcPr>
          <w:p w14:paraId="3B3B88D8" w14:textId="77777777" w:rsidR="00C45D59" w:rsidRDefault="009B0962">
            <w:pPr>
              <w:pStyle w:val="P68B1DB1-Normal13"/>
              <w:spacing w:after="0" w:line="240" w:lineRule="auto"/>
              <w:rPr>
                <w:rFonts w:eastAsia="Times New Roman"/>
                <w:noProof/>
                <w:szCs w:val="18"/>
              </w:rPr>
            </w:pPr>
            <w:r>
              <w:rPr>
                <w:noProof/>
              </w:rPr>
              <w:t>Intrarea în vigoare a cadrului juridic pentru captarea, utilizarea și stocarea dioxidului de carbon, care stabilește:</w:t>
            </w:r>
          </w:p>
          <w:p w14:paraId="75FD918B" w14:textId="77777777" w:rsidR="00C45D59" w:rsidRDefault="009B0962">
            <w:pPr>
              <w:pStyle w:val="P68B1DB1-ListParagraph53"/>
              <w:numPr>
                <w:ilvl w:val="0"/>
                <w:numId w:val="89"/>
              </w:numPr>
              <w:spacing w:after="0" w:line="240" w:lineRule="auto"/>
              <w:rPr>
                <w:rFonts w:eastAsia="Times New Roman"/>
                <w:noProof/>
                <w:szCs w:val="18"/>
              </w:rPr>
            </w:pPr>
            <w:r>
              <w:rPr>
                <w:noProof/>
              </w:rPr>
              <w:t>Dezvoltarea cadrului de acordare a licențelor pentru instalarea și exploatarea tehnologiilor de captare, utilizare și stocare a dioxidului de carbon, inclusiv eliberarea autorizației de mediu.</w:t>
            </w:r>
          </w:p>
          <w:p w14:paraId="1BC581DA" w14:textId="77777777" w:rsidR="00C45D59" w:rsidRDefault="009B0962">
            <w:pPr>
              <w:pStyle w:val="P68B1DB1-ListParagraph53"/>
              <w:numPr>
                <w:ilvl w:val="0"/>
                <w:numId w:val="89"/>
              </w:numPr>
              <w:spacing w:after="0" w:line="240" w:lineRule="auto"/>
              <w:rPr>
                <w:rFonts w:eastAsia="Times New Roman"/>
                <w:noProof/>
                <w:szCs w:val="18"/>
              </w:rPr>
            </w:pPr>
            <w:r>
              <w:rPr>
                <w:noProof/>
              </w:rPr>
              <w:t>Stabilirea unui proces relevant de standardizare și certificare pentru originea emisiilor de CO2 captate și stocate.</w:t>
            </w:r>
          </w:p>
          <w:p w14:paraId="03134185" w14:textId="77777777" w:rsidR="00C45D59" w:rsidRDefault="009B0962">
            <w:pPr>
              <w:pStyle w:val="P68B1DB1-ListParagraph53"/>
              <w:numPr>
                <w:ilvl w:val="0"/>
                <w:numId w:val="89"/>
              </w:numPr>
              <w:spacing w:after="0" w:line="240" w:lineRule="auto"/>
              <w:rPr>
                <w:rFonts w:eastAsia="Times New Roman"/>
                <w:noProof/>
                <w:szCs w:val="18"/>
              </w:rPr>
            </w:pPr>
            <w:r>
              <w:rPr>
                <w:noProof/>
              </w:rPr>
              <w:t>Dezvoltarea cadrului de reglementare pentru lanțul valoric CSC pentru taxele de stocare și transport. Cadrul include dispoziții de abilitare pentru contractele pe diferență, precum și tarife reglementate. Stabilirea cadrului pentru utilizarea/utilizarea CO2 captat</w:t>
            </w:r>
          </w:p>
          <w:p w14:paraId="14C53D12" w14:textId="77777777" w:rsidR="00C45D59" w:rsidRDefault="009B0962">
            <w:pPr>
              <w:pStyle w:val="P68B1DB1-ListParagraph53"/>
              <w:numPr>
                <w:ilvl w:val="0"/>
                <w:numId w:val="89"/>
              </w:numPr>
              <w:spacing w:after="0" w:line="240" w:lineRule="auto"/>
              <w:rPr>
                <w:rFonts w:eastAsia="Times New Roman"/>
                <w:noProof/>
                <w:szCs w:val="18"/>
              </w:rPr>
            </w:pPr>
            <w:r>
              <w:rPr>
                <w:noProof/>
              </w:rPr>
              <w:t>Adoptarea cadrului privind accesul terților la rețea/infrastructura de transport și la instalația de stocare.</w:t>
            </w:r>
          </w:p>
          <w:p w14:paraId="6DC4A664" w14:textId="77777777" w:rsidR="00C45D59" w:rsidRDefault="009B0962">
            <w:pPr>
              <w:pStyle w:val="P68B1DB1-ListParagraph53"/>
              <w:numPr>
                <w:ilvl w:val="0"/>
                <w:numId w:val="89"/>
              </w:numPr>
              <w:spacing w:after="0" w:line="240" w:lineRule="auto"/>
              <w:rPr>
                <w:rFonts w:eastAsia="Times New Roman"/>
                <w:noProof/>
                <w:szCs w:val="18"/>
              </w:rPr>
            </w:pPr>
            <w:r>
              <w:rPr>
                <w:noProof/>
              </w:rPr>
              <w:t>Atribuirea unor responsabilități distincte diferitelor părți interesate în ceea ce privește exploatarea tehnologiilor de captare, utilizare și stocare a dioxidului de carbon și supravegherea pieței respective.</w:t>
            </w:r>
          </w:p>
        </w:tc>
      </w:tr>
    </w:tbl>
    <w:p w14:paraId="157AD3AB" w14:textId="77777777" w:rsidR="00C45D59" w:rsidRDefault="00C45D59">
      <w:pPr>
        <w:keepNext/>
        <w:keepLines/>
        <w:spacing w:before="240" w:after="0" w:line="240" w:lineRule="auto"/>
        <w:jc w:val="both"/>
        <w:outlineLvl w:val="4"/>
        <w:rPr>
          <w:rFonts w:ascii="Cambria" w:hAnsi="Cambria"/>
          <w:noProof/>
          <w:color w:val="365F91"/>
          <w:sz w:val="24"/>
        </w:rPr>
      </w:pPr>
    </w:p>
    <w:p w14:paraId="53FE5146" w14:textId="2416F3A1" w:rsidR="00C45D59" w:rsidRDefault="009B0962">
      <w:pPr>
        <w:rPr>
          <w:rFonts w:eastAsia="Times New Roman"/>
          <w:noProof/>
        </w:rPr>
      </w:pPr>
      <w:r>
        <w:rPr>
          <w:noProof/>
        </w:rPr>
        <w:br w:type="page"/>
      </w:r>
      <w:r>
        <w:rPr>
          <w:rFonts w:ascii="Cambria" w:hAnsi="Cambria"/>
          <w:noProof/>
          <w:color w:val="365F91" w:themeColor="accent1" w:themeShade="BF"/>
          <w:sz w:val="24"/>
        </w:rPr>
        <w:t>Reforma 4: Creșterea capacității rețelei și a capacității de stocare – promovarea investițiilor în stocare (identificatorul măsurii: 16990)</w:t>
      </w:r>
    </w:p>
    <w:tbl>
      <w:tblPr>
        <w:tblW w:w="14737" w:type="dxa"/>
        <w:tblLayout w:type="fixed"/>
        <w:tblLook w:val="04A0" w:firstRow="1" w:lastRow="0" w:firstColumn="1" w:lastColumn="0" w:noHBand="0" w:noVBand="1"/>
      </w:tblPr>
      <w:tblGrid>
        <w:gridCol w:w="675"/>
        <w:gridCol w:w="2537"/>
        <w:gridCol w:w="1007"/>
        <w:gridCol w:w="1134"/>
        <w:gridCol w:w="1163"/>
        <w:gridCol w:w="992"/>
        <w:gridCol w:w="1192"/>
        <w:gridCol w:w="666"/>
        <w:gridCol w:w="1092"/>
        <w:gridCol w:w="990"/>
        <w:gridCol w:w="3289"/>
      </w:tblGrid>
      <w:tr w:rsidR="00C45D59" w14:paraId="07D12F5B" w14:textId="77777777" w:rsidTr="00037E31">
        <w:trPr>
          <w:trHeight w:val="1125"/>
          <w:tblHeader/>
        </w:trPr>
        <w:tc>
          <w:tcPr>
            <w:tcW w:w="67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E80C23E" w14:textId="19A07F4D" w:rsidR="00C45D59" w:rsidRDefault="009B0962">
            <w:pPr>
              <w:pStyle w:val="P68B1DB1-Normal15"/>
              <w:spacing w:before="120" w:after="120" w:line="240" w:lineRule="auto"/>
              <w:jc w:val="center"/>
              <w:rPr>
                <w:noProof/>
              </w:rPr>
            </w:pPr>
            <w:r>
              <w:rPr>
                <w:noProof/>
              </w:rPr>
              <w:t>Nr</w:t>
            </w:r>
            <w:r w:rsidR="00037E31">
              <w:rPr>
                <w:noProof/>
              </w:rPr>
              <w:t>.</w:t>
            </w:r>
            <w:r>
              <w:rPr>
                <w:noProof/>
              </w:rPr>
              <w:t xml:space="preserve"> </w:t>
            </w:r>
            <w:r>
              <w:rPr>
                <w:noProof/>
              </w:rPr>
              <w:br/>
            </w:r>
            <w:r w:rsidR="00037E31">
              <w:rPr>
                <w:noProof/>
              </w:rPr>
              <w:t>crt</w:t>
            </w:r>
            <w:r>
              <w:rPr>
                <w:noProof/>
              </w:rPr>
              <w:t>.</w:t>
            </w:r>
          </w:p>
        </w:tc>
        <w:tc>
          <w:tcPr>
            <w:tcW w:w="253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CA8C03C" w14:textId="77777777" w:rsidR="00C45D59" w:rsidRDefault="009B0962">
            <w:pPr>
              <w:pStyle w:val="P68B1DB1-Normal10"/>
              <w:spacing w:before="120" w:after="120" w:line="240" w:lineRule="auto"/>
              <w:jc w:val="center"/>
              <w:rPr>
                <w:rFonts w:cs="Times New Roman"/>
                <w:noProof/>
                <w:szCs w:val="18"/>
              </w:rPr>
            </w:pPr>
            <w:r>
              <w:rPr>
                <w:noProof/>
              </w:rPr>
              <w:t>Măsură conexă (reformă sau investiții)</w:t>
            </w:r>
          </w:p>
        </w:tc>
        <w:tc>
          <w:tcPr>
            <w:tcW w:w="100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0E36D01" w14:textId="3D4074AF" w:rsidR="00C45D59" w:rsidRDefault="009B0962">
            <w:pPr>
              <w:pStyle w:val="P68B1DB1-Normal10"/>
              <w:spacing w:before="120" w:after="120" w:line="240" w:lineRule="auto"/>
              <w:jc w:val="center"/>
              <w:rPr>
                <w:rFonts w:cs="Times New Roman"/>
                <w:noProof/>
                <w:szCs w:val="18"/>
              </w:rPr>
            </w:pPr>
            <w:r>
              <w:rPr>
                <w:noProof/>
              </w:rPr>
              <w:t>Etapă/</w:t>
            </w:r>
            <w:r w:rsidR="00037E31">
              <w:rPr>
                <w:noProof/>
              </w:rPr>
              <w:t xml:space="preserve"> </w:t>
            </w:r>
            <w:r>
              <w:rPr>
                <w:noProof/>
              </w:rPr>
              <w:t>Obiectiv</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FD98378" w14:textId="7B1854F1" w:rsidR="00C45D59" w:rsidRDefault="00037E31">
            <w:pPr>
              <w:pStyle w:val="P68B1DB1-Normal10"/>
              <w:spacing w:before="120" w:after="120" w:line="240" w:lineRule="auto"/>
              <w:jc w:val="center"/>
              <w:rPr>
                <w:rFonts w:cs="Times New Roman"/>
                <w:noProof/>
                <w:szCs w:val="18"/>
              </w:rPr>
            </w:pPr>
            <w:r>
              <w:rPr>
                <w:noProof/>
              </w:rPr>
              <w:t>Denumire</w:t>
            </w:r>
          </w:p>
        </w:tc>
        <w:tc>
          <w:tcPr>
            <w:tcW w:w="116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6959712" w14:textId="77777777" w:rsidR="00C45D59" w:rsidRDefault="009B0962">
            <w:pPr>
              <w:pStyle w:val="P68B1DB1-Normal10"/>
              <w:spacing w:before="120" w:after="120" w:line="240" w:lineRule="auto"/>
              <w:jc w:val="center"/>
              <w:rPr>
                <w:rFonts w:cs="Times New Roman"/>
                <w:noProof/>
                <w:szCs w:val="18"/>
              </w:rPr>
            </w:pPr>
            <w:r>
              <w:rPr>
                <w:noProof/>
              </w:rPr>
              <w:t>Indicatori calitativi (pentru obiectivele de etapă)</w:t>
            </w:r>
          </w:p>
        </w:tc>
        <w:tc>
          <w:tcPr>
            <w:tcW w:w="2850"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33D14669" w14:textId="77777777" w:rsidR="00C45D59" w:rsidRDefault="009B0962">
            <w:pPr>
              <w:pStyle w:val="P68B1DB1-Normal10"/>
              <w:spacing w:before="120" w:after="120" w:line="240" w:lineRule="auto"/>
              <w:jc w:val="center"/>
              <w:rPr>
                <w:rFonts w:cs="Times New Roman"/>
                <w:noProof/>
                <w:szCs w:val="18"/>
              </w:rPr>
            </w:pPr>
            <w:r>
              <w:rPr>
                <w:noProof/>
              </w:rPr>
              <w:t>Indicatori cantitativi (pentru ținte)</w:t>
            </w:r>
          </w:p>
        </w:tc>
        <w:tc>
          <w:tcPr>
            <w:tcW w:w="2082"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7E86FECF" w14:textId="77777777" w:rsidR="00C45D59" w:rsidRDefault="009B0962">
            <w:pPr>
              <w:pStyle w:val="P68B1DB1-Normal10"/>
              <w:spacing w:before="120" w:after="120" w:line="240" w:lineRule="auto"/>
              <w:jc w:val="center"/>
              <w:rPr>
                <w:rFonts w:cs="Times New Roman"/>
                <w:noProof/>
                <w:szCs w:val="18"/>
              </w:rPr>
            </w:pPr>
            <w:r>
              <w:rPr>
                <w:noProof/>
              </w:rPr>
              <w:t>Calendar orientativ pentru finalizare</w:t>
            </w:r>
          </w:p>
        </w:tc>
        <w:tc>
          <w:tcPr>
            <w:tcW w:w="328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BEA5525" w14:textId="77777777" w:rsidR="00C45D59" w:rsidRDefault="009B0962">
            <w:pPr>
              <w:pStyle w:val="P68B1DB1-Normal10"/>
              <w:spacing w:before="120" w:after="120" w:line="240" w:lineRule="auto"/>
              <w:jc w:val="center"/>
              <w:rPr>
                <w:rFonts w:cs="Times New Roman"/>
                <w:noProof/>
                <w:szCs w:val="18"/>
              </w:rPr>
            </w:pPr>
            <w:r>
              <w:rPr>
                <w:noProof/>
              </w:rPr>
              <w:t>Descrierea fiecărui jalon și a fiecărei ținte</w:t>
            </w:r>
          </w:p>
        </w:tc>
      </w:tr>
      <w:tr w:rsidR="00C45D59" w14:paraId="1C333FB0" w14:textId="77777777" w:rsidTr="00037E31">
        <w:trPr>
          <w:trHeight w:val="687"/>
          <w:tblHeader/>
        </w:trPr>
        <w:tc>
          <w:tcPr>
            <w:tcW w:w="675" w:type="dxa"/>
            <w:vMerge/>
            <w:tcBorders>
              <w:top w:val="single" w:sz="4" w:space="0" w:color="auto"/>
              <w:left w:val="single" w:sz="4" w:space="0" w:color="auto"/>
              <w:bottom w:val="single" w:sz="4" w:space="0" w:color="auto"/>
              <w:right w:val="single" w:sz="4" w:space="0" w:color="auto"/>
            </w:tcBorders>
            <w:vAlign w:val="center"/>
          </w:tcPr>
          <w:p w14:paraId="7F127166" w14:textId="77777777" w:rsidR="00C45D59" w:rsidRDefault="00C45D59">
            <w:pPr>
              <w:spacing w:before="120" w:after="120" w:line="240" w:lineRule="auto"/>
              <w:jc w:val="center"/>
              <w:rPr>
                <w:rFonts w:ascii="Times New Roman" w:eastAsia="Times New Roman" w:hAnsi="Times New Roman" w:cs="Times New Roman"/>
                <w:b/>
                <w:bCs/>
                <w:noProof/>
                <w:sz w:val="18"/>
                <w:szCs w:val="18"/>
              </w:rPr>
            </w:pPr>
          </w:p>
        </w:tc>
        <w:tc>
          <w:tcPr>
            <w:tcW w:w="2537" w:type="dxa"/>
            <w:vMerge/>
            <w:tcBorders>
              <w:top w:val="single" w:sz="4" w:space="0" w:color="auto"/>
              <w:left w:val="single" w:sz="4" w:space="0" w:color="auto"/>
              <w:bottom w:val="single" w:sz="4" w:space="0" w:color="auto"/>
              <w:right w:val="single" w:sz="4" w:space="0" w:color="auto"/>
            </w:tcBorders>
            <w:vAlign w:val="center"/>
          </w:tcPr>
          <w:p w14:paraId="019550DE" w14:textId="77777777" w:rsidR="00C45D59" w:rsidRDefault="00C45D59">
            <w:pPr>
              <w:spacing w:before="120" w:after="120" w:line="240" w:lineRule="auto"/>
              <w:jc w:val="center"/>
              <w:rPr>
                <w:rFonts w:ascii="Times New Roman" w:eastAsia="Times New Roman" w:hAnsi="Times New Roman" w:cs="Times New Roman"/>
                <w:b/>
                <w:bCs/>
                <w:noProof/>
                <w:sz w:val="18"/>
                <w:szCs w:val="18"/>
              </w:rPr>
            </w:pPr>
          </w:p>
        </w:tc>
        <w:tc>
          <w:tcPr>
            <w:tcW w:w="1007" w:type="dxa"/>
            <w:vMerge/>
            <w:tcBorders>
              <w:top w:val="single" w:sz="4" w:space="0" w:color="auto"/>
              <w:left w:val="single" w:sz="4" w:space="0" w:color="auto"/>
              <w:bottom w:val="single" w:sz="4" w:space="0" w:color="auto"/>
              <w:right w:val="single" w:sz="4" w:space="0" w:color="auto"/>
            </w:tcBorders>
            <w:vAlign w:val="center"/>
          </w:tcPr>
          <w:p w14:paraId="584BFD09" w14:textId="77777777" w:rsidR="00C45D59" w:rsidRDefault="00C45D59">
            <w:pPr>
              <w:spacing w:before="120" w:after="120" w:line="240" w:lineRule="auto"/>
              <w:jc w:val="center"/>
              <w:rPr>
                <w:rFonts w:ascii="Times New Roman" w:eastAsia="Times New Roman" w:hAnsi="Times New Roman" w:cs="Times New Roman"/>
                <w:b/>
                <w:bCs/>
                <w:noProof/>
                <w:sz w:val="18"/>
                <w:szCs w:val="18"/>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7637186F"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163" w:type="dxa"/>
            <w:vMerge/>
            <w:tcBorders>
              <w:top w:val="single" w:sz="4" w:space="0" w:color="auto"/>
              <w:left w:val="single" w:sz="4" w:space="0" w:color="auto"/>
              <w:bottom w:val="single" w:sz="4" w:space="0" w:color="auto"/>
              <w:right w:val="single" w:sz="4" w:space="0" w:color="auto"/>
            </w:tcBorders>
            <w:vAlign w:val="center"/>
          </w:tcPr>
          <w:p w14:paraId="3AB161A5" w14:textId="77777777" w:rsidR="00C45D59" w:rsidRDefault="00C45D59">
            <w:pPr>
              <w:spacing w:before="120" w:after="120" w:line="240" w:lineRule="auto"/>
              <w:jc w:val="center"/>
              <w:rPr>
                <w:rFonts w:ascii="Times New Roman" w:eastAsia="Times New Roman" w:hAnsi="Times New Roman" w:cs="Times New Roman"/>
                <w:b/>
                <w:bCs/>
                <w:noProof/>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BDD7EE"/>
            <w:vAlign w:val="center"/>
          </w:tcPr>
          <w:p w14:paraId="41FBD294" w14:textId="77777777" w:rsidR="00C45D59" w:rsidRDefault="009B0962">
            <w:pPr>
              <w:pStyle w:val="P68B1DB1-Normal10"/>
              <w:spacing w:before="120" w:after="120" w:line="240" w:lineRule="auto"/>
              <w:jc w:val="center"/>
              <w:rPr>
                <w:rFonts w:eastAsia="Times New Roman" w:cs="Times New Roman"/>
                <w:bCs/>
                <w:noProof/>
                <w:szCs w:val="18"/>
              </w:rPr>
            </w:pPr>
            <w:r>
              <w:rPr>
                <w:noProof/>
              </w:rPr>
              <w:t>Unitatea de măsură</w:t>
            </w:r>
          </w:p>
        </w:tc>
        <w:tc>
          <w:tcPr>
            <w:tcW w:w="1192" w:type="dxa"/>
            <w:tcBorders>
              <w:top w:val="single" w:sz="4" w:space="0" w:color="auto"/>
              <w:left w:val="single" w:sz="4" w:space="0" w:color="auto"/>
              <w:bottom w:val="single" w:sz="4" w:space="0" w:color="auto"/>
              <w:right w:val="single" w:sz="4" w:space="0" w:color="auto"/>
            </w:tcBorders>
            <w:shd w:val="clear" w:color="auto" w:fill="BDD7EE"/>
            <w:vAlign w:val="center"/>
          </w:tcPr>
          <w:p w14:paraId="74CA5739" w14:textId="77777777" w:rsidR="00C45D59" w:rsidRDefault="009B0962">
            <w:pPr>
              <w:pStyle w:val="P68B1DB1-Normal10"/>
              <w:spacing w:before="120" w:after="120" w:line="240" w:lineRule="auto"/>
              <w:jc w:val="center"/>
              <w:rPr>
                <w:rFonts w:eastAsia="Times New Roman" w:cs="Times New Roman"/>
                <w:bCs/>
                <w:noProof/>
                <w:szCs w:val="18"/>
              </w:rPr>
            </w:pPr>
            <w:r>
              <w:rPr>
                <w:noProof/>
              </w:rPr>
              <w:t>Situația de referință</w:t>
            </w:r>
          </w:p>
        </w:tc>
        <w:tc>
          <w:tcPr>
            <w:tcW w:w="666" w:type="dxa"/>
            <w:tcBorders>
              <w:top w:val="single" w:sz="4" w:space="0" w:color="auto"/>
              <w:left w:val="single" w:sz="4" w:space="0" w:color="auto"/>
              <w:bottom w:val="single" w:sz="4" w:space="0" w:color="auto"/>
              <w:right w:val="single" w:sz="4" w:space="0" w:color="auto"/>
            </w:tcBorders>
            <w:shd w:val="clear" w:color="auto" w:fill="BDD7EE"/>
            <w:vAlign w:val="center"/>
          </w:tcPr>
          <w:p w14:paraId="11810F49" w14:textId="77777777" w:rsidR="00C45D59" w:rsidRDefault="009B0962">
            <w:pPr>
              <w:pStyle w:val="P68B1DB1-Normal10"/>
              <w:spacing w:before="120" w:after="120" w:line="240" w:lineRule="auto"/>
              <w:jc w:val="center"/>
              <w:rPr>
                <w:rFonts w:eastAsia="Times New Roman" w:cs="Times New Roman"/>
                <w:bCs/>
                <w:noProof/>
                <w:szCs w:val="18"/>
              </w:rPr>
            </w:pPr>
            <w:r>
              <w:rPr>
                <w:noProof/>
              </w:rPr>
              <w:t>Obiectiv</w:t>
            </w:r>
          </w:p>
        </w:tc>
        <w:tc>
          <w:tcPr>
            <w:tcW w:w="1092" w:type="dxa"/>
            <w:tcBorders>
              <w:top w:val="single" w:sz="4" w:space="0" w:color="auto"/>
              <w:left w:val="single" w:sz="4" w:space="0" w:color="auto"/>
              <w:bottom w:val="single" w:sz="4" w:space="0" w:color="auto"/>
              <w:right w:val="single" w:sz="4" w:space="0" w:color="auto"/>
            </w:tcBorders>
            <w:shd w:val="clear" w:color="auto" w:fill="BDD7EE"/>
            <w:vAlign w:val="center"/>
          </w:tcPr>
          <w:p w14:paraId="1F341473" w14:textId="77777777" w:rsidR="00C45D59" w:rsidRDefault="009B0962">
            <w:pPr>
              <w:pStyle w:val="P68B1DB1-Normal10"/>
              <w:spacing w:before="120" w:after="120" w:line="240" w:lineRule="auto"/>
              <w:jc w:val="center"/>
              <w:rPr>
                <w:rFonts w:eastAsia="Times New Roman" w:cs="Times New Roman"/>
                <w:bCs/>
                <w:noProof/>
                <w:szCs w:val="18"/>
              </w:rPr>
            </w:pPr>
            <w:r>
              <w:rPr>
                <w:noProof/>
              </w:rPr>
              <w:t>Trimestru</w:t>
            </w:r>
          </w:p>
        </w:tc>
        <w:tc>
          <w:tcPr>
            <w:tcW w:w="990" w:type="dxa"/>
            <w:tcBorders>
              <w:top w:val="single" w:sz="4" w:space="0" w:color="auto"/>
              <w:left w:val="single" w:sz="4" w:space="0" w:color="auto"/>
              <w:bottom w:val="single" w:sz="4" w:space="0" w:color="auto"/>
              <w:right w:val="single" w:sz="4" w:space="0" w:color="auto"/>
            </w:tcBorders>
            <w:shd w:val="clear" w:color="auto" w:fill="BDD7EE"/>
            <w:vAlign w:val="center"/>
          </w:tcPr>
          <w:p w14:paraId="2C014AB5" w14:textId="77777777" w:rsidR="00C45D59" w:rsidRDefault="009B0962">
            <w:pPr>
              <w:pStyle w:val="P68B1DB1-Normal10"/>
              <w:spacing w:before="120" w:after="120" w:line="240" w:lineRule="auto"/>
              <w:jc w:val="center"/>
              <w:rPr>
                <w:rFonts w:eastAsia="Times New Roman" w:cs="Times New Roman"/>
                <w:bCs/>
                <w:noProof/>
                <w:szCs w:val="18"/>
              </w:rPr>
            </w:pPr>
            <w:r>
              <w:rPr>
                <w:noProof/>
              </w:rPr>
              <w:t>Anul</w:t>
            </w:r>
          </w:p>
        </w:tc>
        <w:tc>
          <w:tcPr>
            <w:tcW w:w="3289" w:type="dxa"/>
            <w:vMerge/>
            <w:tcBorders>
              <w:top w:val="single" w:sz="4" w:space="0" w:color="auto"/>
              <w:left w:val="single" w:sz="4" w:space="0" w:color="auto"/>
              <w:bottom w:val="single" w:sz="4" w:space="0" w:color="auto"/>
              <w:right w:val="single" w:sz="4" w:space="0" w:color="auto"/>
            </w:tcBorders>
            <w:vAlign w:val="center"/>
          </w:tcPr>
          <w:p w14:paraId="489BCDCE" w14:textId="77777777" w:rsidR="00C45D59" w:rsidRDefault="00C45D59">
            <w:pPr>
              <w:spacing w:before="120" w:after="120" w:line="240" w:lineRule="auto"/>
              <w:jc w:val="center"/>
              <w:rPr>
                <w:rFonts w:ascii="Times New Roman" w:eastAsia="Times New Roman" w:hAnsi="Times New Roman" w:cs="Times New Roman"/>
                <w:b/>
                <w:bCs/>
                <w:noProof/>
                <w:sz w:val="18"/>
                <w:szCs w:val="18"/>
              </w:rPr>
            </w:pPr>
          </w:p>
        </w:tc>
      </w:tr>
      <w:tr w:rsidR="00C45D59" w14:paraId="709DD65A" w14:textId="77777777" w:rsidTr="00037E31">
        <w:tc>
          <w:tcPr>
            <w:tcW w:w="675" w:type="dxa"/>
            <w:tcBorders>
              <w:top w:val="single" w:sz="4" w:space="0" w:color="auto"/>
              <w:left w:val="single" w:sz="4" w:space="0" w:color="auto"/>
              <w:bottom w:val="single" w:sz="4" w:space="0" w:color="auto"/>
              <w:right w:val="single" w:sz="4" w:space="0" w:color="auto"/>
            </w:tcBorders>
            <w:shd w:val="clear" w:color="auto" w:fill="C6EFCE"/>
            <w:noWrap/>
          </w:tcPr>
          <w:p w14:paraId="751F1355" w14:textId="77777777" w:rsidR="00C45D59" w:rsidRDefault="009B0962">
            <w:pPr>
              <w:pStyle w:val="P68B1DB1-Normal12"/>
              <w:spacing w:after="0" w:line="240" w:lineRule="auto"/>
              <w:rPr>
                <w:rFonts w:eastAsia="Times New Roman"/>
                <w:noProof/>
                <w:highlight w:val="cyan"/>
              </w:rPr>
            </w:pPr>
            <w:r>
              <w:rPr>
                <w:noProof/>
              </w:rPr>
              <w:t>356</w:t>
            </w:r>
          </w:p>
        </w:tc>
        <w:tc>
          <w:tcPr>
            <w:tcW w:w="2537" w:type="dxa"/>
            <w:tcBorders>
              <w:top w:val="single" w:sz="4" w:space="0" w:color="auto"/>
              <w:left w:val="nil"/>
              <w:bottom w:val="single" w:sz="4" w:space="0" w:color="auto"/>
              <w:right w:val="single" w:sz="4" w:space="0" w:color="auto"/>
            </w:tcBorders>
            <w:shd w:val="clear" w:color="auto" w:fill="C6EFCE"/>
            <w:noWrap/>
          </w:tcPr>
          <w:p w14:paraId="4435A043" w14:textId="77777777" w:rsidR="00C45D59" w:rsidRDefault="009B0962">
            <w:pPr>
              <w:pStyle w:val="P68B1DB1-Normal12"/>
              <w:spacing w:after="0" w:line="240" w:lineRule="auto"/>
              <w:rPr>
                <w:rFonts w:eastAsia="Times New Roman"/>
                <w:noProof/>
              </w:rPr>
            </w:pPr>
            <w:r>
              <w:rPr>
                <w:noProof/>
              </w:rPr>
              <w:t>20-5.1. Reformele REPowerEU – 16990_Creșterea capacității rețelei și a capacității de stocare – promovarea investițiilor în stocare </w:t>
            </w:r>
          </w:p>
        </w:tc>
        <w:tc>
          <w:tcPr>
            <w:tcW w:w="1007" w:type="dxa"/>
            <w:tcBorders>
              <w:top w:val="single" w:sz="4" w:space="0" w:color="auto"/>
              <w:left w:val="nil"/>
              <w:bottom w:val="single" w:sz="4" w:space="0" w:color="auto"/>
              <w:right w:val="single" w:sz="4" w:space="0" w:color="auto"/>
            </w:tcBorders>
            <w:shd w:val="clear" w:color="auto" w:fill="C6EFCE"/>
            <w:noWrap/>
          </w:tcPr>
          <w:p w14:paraId="5851F1E5" w14:textId="77777777" w:rsidR="00C45D59" w:rsidRDefault="009B0962">
            <w:pPr>
              <w:pStyle w:val="P68B1DB1-Normal12"/>
              <w:spacing w:after="0" w:line="240" w:lineRule="auto"/>
              <w:rPr>
                <w:rFonts w:eastAsia="Times New Roman"/>
                <w:noProof/>
              </w:rPr>
            </w:pPr>
            <w:r>
              <w:rPr>
                <w:noProof/>
              </w:rPr>
              <w:t>Etapă</w:t>
            </w:r>
          </w:p>
        </w:tc>
        <w:tc>
          <w:tcPr>
            <w:tcW w:w="1134" w:type="dxa"/>
            <w:tcBorders>
              <w:top w:val="single" w:sz="4" w:space="0" w:color="auto"/>
              <w:left w:val="nil"/>
              <w:bottom w:val="single" w:sz="4" w:space="0" w:color="auto"/>
              <w:right w:val="single" w:sz="4" w:space="0" w:color="auto"/>
            </w:tcBorders>
            <w:shd w:val="clear" w:color="auto" w:fill="C6EFCE"/>
            <w:noWrap/>
          </w:tcPr>
          <w:p w14:paraId="5AB9C9F0" w14:textId="77777777" w:rsidR="00C45D59" w:rsidRDefault="009B0962">
            <w:pPr>
              <w:pStyle w:val="P68B1DB1-Normal12"/>
              <w:spacing w:after="0" w:line="240" w:lineRule="auto"/>
              <w:rPr>
                <w:rFonts w:eastAsia="Times New Roman"/>
                <w:noProof/>
              </w:rPr>
            </w:pPr>
            <w:r>
              <w:rPr>
                <w:noProof/>
              </w:rPr>
              <w:t>Intrarea în vigoare a cadrului legislativ.</w:t>
            </w:r>
          </w:p>
        </w:tc>
        <w:tc>
          <w:tcPr>
            <w:tcW w:w="1163" w:type="dxa"/>
            <w:tcBorders>
              <w:top w:val="single" w:sz="4" w:space="0" w:color="auto"/>
              <w:left w:val="nil"/>
              <w:bottom w:val="single" w:sz="4" w:space="0" w:color="auto"/>
              <w:right w:val="single" w:sz="4" w:space="0" w:color="auto"/>
            </w:tcBorders>
            <w:shd w:val="clear" w:color="auto" w:fill="C6EFCE"/>
            <w:noWrap/>
          </w:tcPr>
          <w:p w14:paraId="2484DDAC" w14:textId="09A3CED8" w:rsidR="00C45D59" w:rsidRDefault="009B0962">
            <w:pPr>
              <w:pStyle w:val="P68B1DB1-Normal12"/>
              <w:spacing w:after="0" w:line="240" w:lineRule="auto"/>
              <w:rPr>
                <w:rFonts w:eastAsia="Times New Roman"/>
                <w:noProof/>
              </w:rPr>
            </w:pPr>
            <w:r>
              <w:rPr>
                <w:noProof/>
              </w:rPr>
              <w:t xml:space="preserve">Legislația primară și secundară </w:t>
            </w:r>
          </w:p>
        </w:tc>
        <w:tc>
          <w:tcPr>
            <w:tcW w:w="992" w:type="dxa"/>
            <w:tcBorders>
              <w:top w:val="single" w:sz="4" w:space="0" w:color="auto"/>
              <w:left w:val="nil"/>
              <w:bottom w:val="single" w:sz="4" w:space="0" w:color="auto"/>
              <w:right w:val="single" w:sz="4" w:space="0" w:color="auto"/>
            </w:tcBorders>
            <w:shd w:val="clear" w:color="auto" w:fill="C6EFCE"/>
            <w:noWrap/>
          </w:tcPr>
          <w:p w14:paraId="1838CF07" w14:textId="77777777" w:rsidR="00C45D59" w:rsidRDefault="00C45D59">
            <w:pPr>
              <w:spacing w:after="0" w:line="240" w:lineRule="auto"/>
              <w:rPr>
                <w:rFonts w:ascii="Times New Roman" w:eastAsia="Times New Roman" w:hAnsi="Times New Roman" w:cs="Times New Roman"/>
                <w:noProof/>
                <w:sz w:val="18"/>
                <w:szCs w:val="18"/>
              </w:rPr>
            </w:pPr>
          </w:p>
        </w:tc>
        <w:tc>
          <w:tcPr>
            <w:tcW w:w="1192" w:type="dxa"/>
            <w:tcBorders>
              <w:top w:val="single" w:sz="4" w:space="0" w:color="auto"/>
              <w:left w:val="nil"/>
              <w:bottom w:val="single" w:sz="4" w:space="0" w:color="auto"/>
              <w:right w:val="single" w:sz="4" w:space="0" w:color="auto"/>
            </w:tcBorders>
            <w:shd w:val="clear" w:color="auto" w:fill="C6EFCE"/>
            <w:noWrap/>
          </w:tcPr>
          <w:p w14:paraId="566AF437" w14:textId="77777777" w:rsidR="00C45D59" w:rsidRDefault="00C45D59">
            <w:pPr>
              <w:spacing w:after="0" w:line="240" w:lineRule="auto"/>
              <w:rPr>
                <w:rFonts w:ascii="Times New Roman" w:eastAsia="Times New Roman" w:hAnsi="Times New Roman" w:cs="Times New Roman"/>
                <w:noProof/>
                <w:sz w:val="18"/>
                <w:szCs w:val="18"/>
              </w:rPr>
            </w:pPr>
          </w:p>
        </w:tc>
        <w:tc>
          <w:tcPr>
            <w:tcW w:w="666" w:type="dxa"/>
            <w:tcBorders>
              <w:top w:val="single" w:sz="4" w:space="0" w:color="auto"/>
              <w:left w:val="nil"/>
              <w:bottom w:val="single" w:sz="4" w:space="0" w:color="auto"/>
              <w:right w:val="single" w:sz="4" w:space="0" w:color="auto"/>
            </w:tcBorders>
            <w:shd w:val="clear" w:color="auto" w:fill="C6EFCE"/>
            <w:noWrap/>
          </w:tcPr>
          <w:p w14:paraId="6027D66B" w14:textId="77777777" w:rsidR="00C45D59" w:rsidRDefault="00C45D59">
            <w:pPr>
              <w:spacing w:after="0" w:line="240" w:lineRule="auto"/>
              <w:rPr>
                <w:rFonts w:ascii="Times New Roman" w:eastAsia="Times New Roman" w:hAnsi="Times New Roman" w:cs="Times New Roman"/>
                <w:noProof/>
                <w:sz w:val="18"/>
                <w:szCs w:val="18"/>
              </w:rPr>
            </w:pPr>
          </w:p>
        </w:tc>
        <w:tc>
          <w:tcPr>
            <w:tcW w:w="1092" w:type="dxa"/>
            <w:tcBorders>
              <w:top w:val="single" w:sz="4" w:space="0" w:color="auto"/>
              <w:left w:val="nil"/>
              <w:bottom w:val="single" w:sz="4" w:space="0" w:color="auto"/>
              <w:right w:val="single" w:sz="4" w:space="0" w:color="auto"/>
            </w:tcBorders>
            <w:shd w:val="clear" w:color="auto" w:fill="C6EFCE"/>
            <w:noWrap/>
          </w:tcPr>
          <w:p w14:paraId="7359AB0C" w14:textId="77777777" w:rsidR="00C45D59" w:rsidRDefault="009B0962">
            <w:pPr>
              <w:pStyle w:val="P68B1DB1-Normal12"/>
              <w:spacing w:after="120" w:line="240" w:lineRule="auto"/>
              <w:rPr>
                <w:rFonts w:eastAsia="Times New Roman"/>
                <w:noProof/>
              </w:rPr>
            </w:pPr>
            <w:r>
              <w:rPr>
                <w:noProof/>
              </w:rPr>
              <w:t>Î2</w:t>
            </w:r>
          </w:p>
        </w:tc>
        <w:tc>
          <w:tcPr>
            <w:tcW w:w="990" w:type="dxa"/>
            <w:tcBorders>
              <w:top w:val="single" w:sz="4" w:space="0" w:color="auto"/>
              <w:left w:val="nil"/>
              <w:bottom w:val="single" w:sz="4" w:space="0" w:color="auto"/>
              <w:right w:val="single" w:sz="4" w:space="0" w:color="auto"/>
            </w:tcBorders>
            <w:shd w:val="clear" w:color="auto" w:fill="C6EFCE"/>
            <w:noWrap/>
          </w:tcPr>
          <w:p w14:paraId="5203E5F1" w14:textId="77777777" w:rsidR="00C45D59" w:rsidRDefault="009B0962">
            <w:pPr>
              <w:pStyle w:val="P68B1DB1-Normal12"/>
              <w:spacing w:after="120" w:line="240" w:lineRule="auto"/>
              <w:rPr>
                <w:rFonts w:eastAsia="Times New Roman"/>
                <w:noProof/>
              </w:rPr>
            </w:pPr>
            <w:r>
              <w:rPr>
                <w:noProof/>
              </w:rPr>
              <w:t>2024</w:t>
            </w:r>
          </w:p>
        </w:tc>
        <w:tc>
          <w:tcPr>
            <w:tcW w:w="3289" w:type="dxa"/>
            <w:tcBorders>
              <w:top w:val="single" w:sz="4" w:space="0" w:color="auto"/>
              <w:left w:val="nil"/>
              <w:bottom w:val="single" w:sz="4" w:space="0" w:color="auto"/>
              <w:right w:val="single" w:sz="4" w:space="0" w:color="auto"/>
            </w:tcBorders>
            <w:shd w:val="clear" w:color="auto" w:fill="C6EFCE"/>
            <w:noWrap/>
          </w:tcPr>
          <w:p w14:paraId="7A992EAE" w14:textId="77777777" w:rsidR="00C45D59" w:rsidRDefault="009B0962">
            <w:pPr>
              <w:pStyle w:val="P68B1DB1-Normal12"/>
              <w:spacing w:after="0" w:line="240" w:lineRule="auto"/>
              <w:rPr>
                <w:noProof/>
              </w:rPr>
            </w:pPr>
            <w:r>
              <w:rPr>
                <w:noProof/>
              </w:rPr>
              <w:t xml:space="preserve">Intrarea în vigoare a legislației primare și secundare care stabilește cadrul favorabil pentru instalarea de unități de stocare în centralele electrice SRE existente sau noi, care acordă prioritate procedurilor de acordare a licențelor și accesului la rețea pentru aceste centrale. </w:t>
            </w:r>
          </w:p>
          <w:p w14:paraId="61A0CB23" w14:textId="77777777" w:rsidR="00C45D59" w:rsidRDefault="00C45D59">
            <w:pPr>
              <w:spacing w:after="0" w:line="240" w:lineRule="auto"/>
              <w:rPr>
                <w:rFonts w:ascii="Times New Roman" w:eastAsia="Times New Roman" w:hAnsi="Times New Roman" w:cs="Times New Roman"/>
                <w:noProof/>
                <w:sz w:val="18"/>
                <w:szCs w:val="18"/>
              </w:rPr>
            </w:pPr>
          </w:p>
        </w:tc>
      </w:tr>
      <w:tr w:rsidR="00C45D59" w14:paraId="235233C5" w14:textId="77777777" w:rsidTr="00037E31">
        <w:tc>
          <w:tcPr>
            <w:tcW w:w="675" w:type="dxa"/>
            <w:tcBorders>
              <w:top w:val="single" w:sz="4" w:space="0" w:color="auto"/>
              <w:left w:val="single" w:sz="4" w:space="0" w:color="auto"/>
              <w:bottom w:val="single" w:sz="4" w:space="0" w:color="auto"/>
              <w:right w:val="single" w:sz="4" w:space="0" w:color="auto"/>
            </w:tcBorders>
            <w:shd w:val="clear" w:color="auto" w:fill="C6EFCE"/>
            <w:noWrap/>
          </w:tcPr>
          <w:p w14:paraId="72353653" w14:textId="77777777" w:rsidR="00C45D59" w:rsidRDefault="009B0962">
            <w:pPr>
              <w:pStyle w:val="P68B1DB1-Normal12"/>
              <w:spacing w:after="0" w:line="240" w:lineRule="auto"/>
              <w:rPr>
                <w:rFonts w:eastAsia="Times New Roman"/>
                <w:noProof/>
              </w:rPr>
            </w:pPr>
            <w:r>
              <w:rPr>
                <w:noProof/>
              </w:rPr>
              <w:t>357</w:t>
            </w:r>
          </w:p>
        </w:tc>
        <w:tc>
          <w:tcPr>
            <w:tcW w:w="2537" w:type="dxa"/>
            <w:tcBorders>
              <w:top w:val="single" w:sz="4" w:space="0" w:color="auto"/>
              <w:left w:val="nil"/>
              <w:bottom w:val="single" w:sz="4" w:space="0" w:color="auto"/>
              <w:right w:val="single" w:sz="4" w:space="0" w:color="auto"/>
            </w:tcBorders>
            <w:shd w:val="clear" w:color="auto" w:fill="C6EFCE"/>
            <w:noWrap/>
          </w:tcPr>
          <w:p w14:paraId="7E720343" w14:textId="77777777" w:rsidR="00C45D59" w:rsidRDefault="009B0962">
            <w:pPr>
              <w:pStyle w:val="P68B1DB1-Normal12"/>
              <w:spacing w:after="0" w:line="240" w:lineRule="auto"/>
              <w:rPr>
                <w:noProof/>
              </w:rPr>
            </w:pPr>
            <w:r>
              <w:rPr>
                <w:noProof/>
              </w:rPr>
              <w:t>20-5.1. Reformele REPowerEU – 16990_Reforma rețelei și a capacității de stocare</w:t>
            </w:r>
          </w:p>
        </w:tc>
        <w:tc>
          <w:tcPr>
            <w:tcW w:w="1007" w:type="dxa"/>
            <w:tcBorders>
              <w:top w:val="single" w:sz="4" w:space="0" w:color="auto"/>
              <w:left w:val="nil"/>
              <w:bottom w:val="single" w:sz="4" w:space="0" w:color="auto"/>
              <w:right w:val="single" w:sz="4" w:space="0" w:color="auto"/>
            </w:tcBorders>
            <w:shd w:val="clear" w:color="auto" w:fill="C6EFCE"/>
            <w:noWrap/>
          </w:tcPr>
          <w:p w14:paraId="76F41DF1" w14:textId="77777777" w:rsidR="00C45D59" w:rsidRDefault="009B0962">
            <w:pPr>
              <w:pStyle w:val="P68B1DB1-Normal12"/>
              <w:spacing w:after="0" w:line="240" w:lineRule="auto"/>
              <w:rPr>
                <w:rFonts w:eastAsia="Times New Roman"/>
                <w:noProof/>
              </w:rPr>
            </w:pPr>
            <w:r>
              <w:rPr>
                <w:noProof/>
              </w:rPr>
              <w:t xml:space="preserve">Etapă </w:t>
            </w:r>
          </w:p>
        </w:tc>
        <w:tc>
          <w:tcPr>
            <w:tcW w:w="1134" w:type="dxa"/>
            <w:tcBorders>
              <w:top w:val="single" w:sz="4" w:space="0" w:color="auto"/>
              <w:left w:val="nil"/>
              <w:bottom w:val="single" w:sz="4" w:space="0" w:color="auto"/>
              <w:right w:val="single" w:sz="4" w:space="0" w:color="auto"/>
            </w:tcBorders>
            <w:shd w:val="clear" w:color="auto" w:fill="C6EFCE"/>
            <w:noWrap/>
          </w:tcPr>
          <w:p w14:paraId="0E2DA974" w14:textId="77777777" w:rsidR="00C45D59" w:rsidRDefault="009B0962">
            <w:pPr>
              <w:pStyle w:val="P68B1DB1-Normal12"/>
              <w:spacing w:after="0" w:line="240" w:lineRule="auto"/>
              <w:rPr>
                <w:rFonts w:eastAsia="Times New Roman"/>
                <w:noProof/>
              </w:rPr>
            </w:pPr>
            <w:r>
              <w:rPr>
                <w:noProof/>
              </w:rPr>
              <w:t xml:space="preserve">Intrarea în vigoare a actelor juridice. </w:t>
            </w:r>
          </w:p>
        </w:tc>
        <w:tc>
          <w:tcPr>
            <w:tcW w:w="1163" w:type="dxa"/>
            <w:tcBorders>
              <w:top w:val="single" w:sz="4" w:space="0" w:color="auto"/>
              <w:left w:val="nil"/>
              <w:bottom w:val="single" w:sz="4" w:space="0" w:color="auto"/>
              <w:right w:val="single" w:sz="4" w:space="0" w:color="auto"/>
            </w:tcBorders>
            <w:shd w:val="clear" w:color="auto" w:fill="C6EFCE"/>
            <w:noWrap/>
          </w:tcPr>
          <w:p w14:paraId="08CA8735" w14:textId="0CE7FBC5" w:rsidR="00C45D59" w:rsidRDefault="009B0962">
            <w:pPr>
              <w:pStyle w:val="P68B1DB1-Normal12"/>
              <w:spacing w:after="0" w:line="240" w:lineRule="auto"/>
              <w:rPr>
                <w:noProof/>
              </w:rPr>
            </w:pPr>
            <w:r>
              <w:rPr>
                <w:noProof/>
              </w:rPr>
              <w:t xml:space="preserve">Acte juridice </w:t>
            </w:r>
          </w:p>
        </w:tc>
        <w:tc>
          <w:tcPr>
            <w:tcW w:w="992" w:type="dxa"/>
            <w:tcBorders>
              <w:top w:val="single" w:sz="4" w:space="0" w:color="auto"/>
              <w:left w:val="nil"/>
              <w:bottom w:val="single" w:sz="4" w:space="0" w:color="auto"/>
              <w:right w:val="single" w:sz="4" w:space="0" w:color="auto"/>
            </w:tcBorders>
            <w:shd w:val="clear" w:color="auto" w:fill="C6EFCE"/>
            <w:noWrap/>
          </w:tcPr>
          <w:p w14:paraId="5CB1BB58" w14:textId="77777777" w:rsidR="00C45D59" w:rsidRDefault="00C45D59">
            <w:pPr>
              <w:spacing w:after="0" w:line="240" w:lineRule="auto"/>
              <w:rPr>
                <w:rFonts w:ascii="Times New Roman" w:eastAsia="Times New Roman" w:hAnsi="Times New Roman" w:cs="Times New Roman"/>
                <w:noProof/>
                <w:sz w:val="18"/>
                <w:szCs w:val="18"/>
              </w:rPr>
            </w:pPr>
          </w:p>
        </w:tc>
        <w:tc>
          <w:tcPr>
            <w:tcW w:w="1192" w:type="dxa"/>
            <w:tcBorders>
              <w:top w:val="single" w:sz="4" w:space="0" w:color="auto"/>
              <w:left w:val="nil"/>
              <w:bottom w:val="single" w:sz="4" w:space="0" w:color="auto"/>
              <w:right w:val="single" w:sz="4" w:space="0" w:color="auto"/>
            </w:tcBorders>
            <w:shd w:val="clear" w:color="auto" w:fill="C6EFCE"/>
            <w:noWrap/>
          </w:tcPr>
          <w:p w14:paraId="296CF690" w14:textId="77777777" w:rsidR="00C45D59" w:rsidRDefault="00C45D59">
            <w:pPr>
              <w:spacing w:after="0" w:line="240" w:lineRule="auto"/>
              <w:rPr>
                <w:rFonts w:ascii="Times New Roman" w:eastAsia="Times New Roman" w:hAnsi="Times New Roman" w:cs="Times New Roman"/>
                <w:noProof/>
                <w:sz w:val="18"/>
                <w:szCs w:val="18"/>
              </w:rPr>
            </w:pPr>
          </w:p>
        </w:tc>
        <w:tc>
          <w:tcPr>
            <w:tcW w:w="666" w:type="dxa"/>
            <w:tcBorders>
              <w:top w:val="single" w:sz="4" w:space="0" w:color="auto"/>
              <w:left w:val="nil"/>
              <w:bottom w:val="single" w:sz="4" w:space="0" w:color="auto"/>
              <w:right w:val="single" w:sz="4" w:space="0" w:color="auto"/>
            </w:tcBorders>
            <w:shd w:val="clear" w:color="auto" w:fill="C6EFCE"/>
            <w:noWrap/>
          </w:tcPr>
          <w:p w14:paraId="543BB2C0" w14:textId="77777777" w:rsidR="00C45D59" w:rsidRDefault="00C45D59">
            <w:pPr>
              <w:spacing w:after="0" w:line="240" w:lineRule="auto"/>
              <w:rPr>
                <w:rFonts w:ascii="Times New Roman" w:eastAsia="Times New Roman" w:hAnsi="Times New Roman" w:cs="Times New Roman"/>
                <w:noProof/>
                <w:sz w:val="18"/>
                <w:szCs w:val="18"/>
              </w:rPr>
            </w:pPr>
          </w:p>
        </w:tc>
        <w:tc>
          <w:tcPr>
            <w:tcW w:w="1092" w:type="dxa"/>
            <w:tcBorders>
              <w:top w:val="single" w:sz="4" w:space="0" w:color="auto"/>
              <w:left w:val="nil"/>
              <w:bottom w:val="single" w:sz="4" w:space="0" w:color="auto"/>
              <w:right w:val="single" w:sz="4" w:space="0" w:color="auto"/>
            </w:tcBorders>
            <w:shd w:val="clear" w:color="auto" w:fill="C6EFCE"/>
            <w:noWrap/>
          </w:tcPr>
          <w:p w14:paraId="114551AF" w14:textId="77777777" w:rsidR="00C45D59" w:rsidRDefault="009B0962">
            <w:pPr>
              <w:pStyle w:val="P68B1DB1-Normal12"/>
              <w:spacing w:after="120" w:line="240" w:lineRule="auto"/>
              <w:rPr>
                <w:rFonts w:eastAsia="Times New Roman"/>
                <w:noProof/>
              </w:rPr>
            </w:pPr>
            <w:r>
              <w:rPr>
                <w:noProof/>
              </w:rPr>
              <w:t>Î2</w:t>
            </w:r>
          </w:p>
        </w:tc>
        <w:tc>
          <w:tcPr>
            <w:tcW w:w="990" w:type="dxa"/>
            <w:tcBorders>
              <w:top w:val="single" w:sz="4" w:space="0" w:color="auto"/>
              <w:left w:val="nil"/>
              <w:bottom w:val="single" w:sz="4" w:space="0" w:color="auto"/>
              <w:right w:val="single" w:sz="4" w:space="0" w:color="auto"/>
            </w:tcBorders>
            <w:shd w:val="clear" w:color="auto" w:fill="C6EFCE"/>
            <w:noWrap/>
          </w:tcPr>
          <w:p w14:paraId="2B5B6990" w14:textId="77777777" w:rsidR="00C45D59" w:rsidRDefault="009B0962">
            <w:pPr>
              <w:pStyle w:val="P68B1DB1-Normal12"/>
              <w:spacing w:after="120" w:line="240" w:lineRule="auto"/>
              <w:rPr>
                <w:rFonts w:eastAsia="Times New Roman"/>
                <w:noProof/>
              </w:rPr>
            </w:pPr>
            <w:r>
              <w:rPr>
                <w:noProof/>
              </w:rPr>
              <w:t>2025</w:t>
            </w:r>
          </w:p>
        </w:tc>
        <w:tc>
          <w:tcPr>
            <w:tcW w:w="3289" w:type="dxa"/>
            <w:tcBorders>
              <w:top w:val="single" w:sz="4" w:space="0" w:color="auto"/>
              <w:left w:val="nil"/>
              <w:bottom w:val="single" w:sz="4" w:space="0" w:color="auto"/>
              <w:right w:val="single" w:sz="4" w:space="0" w:color="auto"/>
            </w:tcBorders>
            <w:shd w:val="clear" w:color="auto" w:fill="C6EFCE"/>
            <w:noWrap/>
          </w:tcPr>
          <w:p w14:paraId="6CED7B9F" w14:textId="77777777" w:rsidR="00C45D59" w:rsidRDefault="009B0962">
            <w:pPr>
              <w:pStyle w:val="P68B1DB1-Normal12"/>
              <w:spacing w:after="0" w:line="240" w:lineRule="auto"/>
              <w:rPr>
                <w:noProof/>
              </w:rPr>
            </w:pPr>
            <w:r>
              <w:rPr>
                <w:noProof/>
              </w:rPr>
              <w:t xml:space="preserve">Intrarea în vigoare a actelor juridice de adoptare a cadrului de acordare a licențelor pentru sprijinirea proiectelor de sine stătătoare privind bateriile. </w:t>
            </w:r>
          </w:p>
          <w:p w14:paraId="0CBBFFD5" w14:textId="066A678E" w:rsidR="00C45D59" w:rsidRDefault="009B0962">
            <w:pPr>
              <w:pStyle w:val="P68B1DB1-Normal12"/>
              <w:spacing w:after="0" w:line="240" w:lineRule="auto"/>
              <w:rPr>
                <w:noProof/>
              </w:rPr>
            </w:pPr>
            <w:r>
              <w:rPr>
                <w:noProof/>
              </w:rPr>
              <w:t xml:space="preserve">Adoptarea deciziilor de reglementare care permit participarea unităților de stocare pe piețele energiei electrice. </w:t>
            </w:r>
          </w:p>
        </w:tc>
      </w:tr>
    </w:tbl>
    <w:p w14:paraId="2398D88C" w14:textId="77777777" w:rsidR="00C45D59" w:rsidRDefault="009B0962">
      <w:pPr>
        <w:pStyle w:val="P68B1DB1-Normal9"/>
        <w:keepNext/>
        <w:keepLines/>
        <w:spacing w:before="240" w:after="0" w:line="240" w:lineRule="auto"/>
        <w:jc w:val="both"/>
        <w:outlineLvl w:val="4"/>
        <w:rPr>
          <w:rFonts w:eastAsia="Times New Roman"/>
          <w:noProof/>
          <w:szCs w:val="24"/>
        </w:rPr>
      </w:pPr>
      <w:r>
        <w:rPr>
          <w:noProof/>
        </w:rPr>
        <w:t>Reforma 5: Cadrul de reglementare pentru o rețea inteligentă (identificatorul măsurii: 16991)</w:t>
      </w:r>
    </w:p>
    <w:tbl>
      <w:tblPr>
        <w:tblW w:w="14596" w:type="dxa"/>
        <w:tblLayout w:type="fixed"/>
        <w:tblLook w:val="04A0" w:firstRow="1" w:lastRow="0" w:firstColumn="1" w:lastColumn="0" w:noHBand="0" w:noVBand="1"/>
      </w:tblPr>
      <w:tblGrid>
        <w:gridCol w:w="675"/>
        <w:gridCol w:w="1843"/>
        <w:gridCol w:w="992"/>
        <w:gridCol w:w="1843"/>
        <w:gridCol w:w="1556"/>
        <w:gridCol w:w="954"/>
        <w:gridCol w:w="996"/>
        <w:gridCol w:w="652"/>
        <w:gridCol w:w="1037"/>
        <w:gridCol w:w="900"/>
        <w:gridCol w:w="3148"/>
      </w:tblGrid>
      <w:tr w:rsidR="00C45D59" w14:paraId="4B35E882" w14:textId="77777777" w:rsidTr="00037E31">
        <w:trPr>
          <w:trHeight w:val="1125"/>
          <w:tblHeader/>
        </w:trPr>
        <w:tc>
          <w:tcPr>
            <w:tcW w:w="67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9B82D61" w14:textId="1CF549FD" w:rsidR="00C45D59" w:rsidRDefault="009B0962">
            <w:pPr>
              <w:pStyle w:val="P68B1DB1-Normal15"/>
              <w:spacing w:before="120" w:after="120" w:line="240" w:lineRule="auto"/>
              <w:jc w:val="center"/>
              <w:rPr>
                <w:noProof/>
              </w:rPr>
            </w:pPr>
            <w:r>
              <w:rPr>
                <w:noProof/>
              </w:rPr>
              <w:t>Nr</w:t>
            </w:r>
            <w:r w:rsidR="00037E31">
              <w:rPr>
                <w:noProof/>
              </w:rPr>
              <w:t>.</w:t>
            </w:r>
            <w:r>
              <w:rPr>
                <w:noProof/>
              </w:rPr>
              <w:t xml:space="preserve"> </w:t>
            </w:r>
            <w:r>
              <w:rPr>
                <w:noProof/>
              </w:rPr>
              <w:br/>
            </w:r>
            <w:r w:rsidR="00037E31">
              <w:rPr>
                <w:noProof/>
              </w:rPr>
              <w:t>crt</w:t>
            </w:r>
            <w:r>
              <w:rPr>
                <w:noProof/>
              </w:rPr>
              <w:t>.</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9B1B6C1" w14:textId="77777777" w:rsidR="00C45D59" w:rsidRDefault="009B0962">
            <w:pPr>
              <w:pStyle w:val="P68B1DB1-Normal10"/>
              <w:spacing w:before="120" w:after="120" w:line="240" w:lineRule="auto"/>
              <w:jc w:val="center"/>
              <w:rPr>
                <w:rFonts w:cs="Times New Roman"/>
                <w:noProof/>
                <w:szCs w:val="18"/>
              </w:rPr>
            </w:pPr>
            <w:r>
              <w:rPr>
                <w:noProof/>
              </w:rPr>
              <w:t>Măsură conexă (reformă sau investiții)</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1BD061E" w14:textId="2DA39BD0" w:rsidR="00C45D59" w:rsidRDefault="009B0962">
            <w:pPr>
              <w:pStyle w:val="P68B1DB1-Normal10"/>
              <w:spacing w:before="120" w:after="120" w:line="240" w:lineRule="auto"/>
              <w:jc w:val="center"/>
              <w:rPr>
                <w:rFonts w:cs="Times New Roman"/>
                <w:noProof/>
                <w:szCs w:val="18"/>
              </w:rPr>
            </w:pPr>
            <w:r>
              <w:rPr>
                <w:noProof/>
              </w:rPr>
              <w:t>Etapă/</w:t>
            </w:r>
            <w:r w:rsidR="00E649D5">
              <w:rPr>
                <w:noProof/>
              </w:rPr>
              <w:t xml:space="preserve"> </w:t>
            </w:r>
            <w:r>
              <w:rPr>
                <w:noProof/>
              </w:rPr>
              <w:t>Obiectiv</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BA09E57" w14:textId="471E5BAB" w:rsidR="00C45D59" w:rsidRDefault="00037E31">
            <w:pPr>
              <w:pStyle w:val="P68B1DB1-Normal10"/>
              <w:spacing w:before="120" w:after="120" w:line="240" w:lineRule="auto"/>
              <w:jc w:val="center"/>
              <w:rPr>
                <w:rFonts w:cs="Times New Roman"/>
                <w:noProof/>
                <w:szCs w:val="18"/>
              </w:rPr>
            </w:pPr>
            <w:r>
              <w:rPr>
                <w:noProof/>
              </w:rPr>
              <w:t>Denumire</w:t>
            </w:r>
          </w:p>
        </w:tc>
        <w:tc>
          <w:tcPr>
            <w:tcW w:w="155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BE74998" w14:textId="77777777" w:rsidR="00C45D59" w:rsidRDefault="009B0962">
            <w:pPr>
              <w:pStyle w:val="P68B1DB1-Normal10"/>
              <w:spacing w:before="120" w:after="120" w:line="240" w:lineRule="auto"/>
              <w:jc w:val="center"/>
              <w:rPr>
                <w:rFonts w:cs="Times New Roman"/>
                <w:noProof/>
                <w:szCs w:val="18"/>
              </w:rPr>
            </w:pPr>
            <w:r>
              <w:rPr>
                <w:noProof/>
              </w:rPr>
              <w:t>Indicatori calitativi (pentru obiectivele de etapă)</w:t>
            </w:r>
          </w:p>
        </w:tc>
        <w:tc>
          <w:tcPr>
            <w:tcW w:w="2602"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02FF2BD5" w14:textId="77777777" w:rsidR="00C45D59" w:rsidRDefault="009B0962">
            <w:pPr>
              <w:pStyle w:val="P68B1DB1-Normal10"/>
              <w:spacing w:before="120" w:after="120" w:line="240" w:lineRule="auto"/>
              <w:jc w:val="center"/>
              <w:rPr>
                <w:rFonts w:cs="Times New Roman"/>
                <w:noProof/>
                <w:szCs w:val="18"/>
              </w:rPr>
            </w:pPr>
            <w:r>
              <w:rPr>
                <w:noProof/>
              </w:rPr>
              <w:t>Indicatori cantitativi (pentru ținte)</w:t>
            </w:r>
          </w:p>
        </w:tc>
        <w:tc>
          <w:tcPr>
            <w:tcW w:w="1937"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1241352B" w14:textId="77777777" w:rsidR="00C45D59" w:rsidRDefault="009B0962">
            <w:pPr>
              <w:pStyle w:val="P68B1DB1-Normal10"/>
              <w:spacing w:before="120" w:after="120" w:line="240" w:lineRule="auto"/>
              <w:jc w:val="center"/>
              <w:rPr>
                <w:rFonts w:cs="Times New Roman"/>
                <w:noProof/>
                <w:szCs w:val="18"/>
              </w:rPr>
            </w:pPr>
            <w:r>
              <w:rPr>
                <w:noProof/>
              </w:rPr>
              <w:t>Calendar orientativ pentru finalizare</w:t>
            </w:r>
          </w:p>
        </w:tc>
        <w:tc>
          <w:tcPr>
            <w:tcW w:w="314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AA15B3B" w14:textId="77777777" w:rsidR="00C45D59" w:rsidRDefault="009B0962">
            <w:pPr>
              <w:pStyle w:val="P68B1DB1-Normal10"/>
              <w:spacing w:before="120" w:after="120" w:line="240" w:lineRule="auto"/>
              <w:jc w:val="center"/>
              <w:rPr>
                <w:rFonts w:cs="Times New Roman"/>
                <w:noProof/>
                <w:szCs w:val="18"/>
              </w:rPr>
            </w:pPr>
            <w:r>
              <w:rPr>
                <w:noProof/>
              </w:rPr>
              <w:t>Descrierea fiecărui jalon și a fiecărei ținte</w:t>
            </w:r>
          </w:p>
        </w:tc>
      </w:tr>
      <w:tr w:rsidR="00C45D59" w14:paraId="26D209E8" w14:textId="77777777" w:rsidTr="00037E31">
        <w:trPr>
          <w:trHeight w:val="611"/>
          <w:tblHeader/>
        </w:trPr>
        <w:tc>
          <w:tcPr>
            <w:tcW w:w="675" w:type="dxa"/>
            <w:vMerge/>
            <w:tcBorders>
              <w:top w:val="single" w:sz="4" w:space="0" w:color="auto"/>
              <w:left w:val="single" w:sz="4" w:space="0" w:color="auto"/>
              <w:bottom w:val="single" w:sz="4" w:space="0" w:color="auto"/>
              <w:right w:val="single" w:sz="4" w:space="0" w:color="auto"/>
            </w:tcBorders>
            <w:vAlign w:val="center"/>
          </w:tcPr>
          <w:p w14:paraId="6E25A9A7" w14:textId="77777777" w:rsidR="00C45D59" w:rsidRDefault="00C45D59">
            <w:pPr>
              <w:spacing w:before="120" w:after="120" w:line="240" w:lineRule="auto"/>
              <w:jc w:val="center"/>
              <w:rPr>
                <w:rFonts w:ascii="Times New Roman" w:eastAsia="Times New Roman" w:hAnsi="Times New Roman" w:cs="Times New Roman"/>
                <w:b/>
                <w:bCs/>
                <w:noProof/>
                <w:sz w:val="18"/>
                <w:szCs w:val="18"/>
              </w:rPr>
            </w:pPr>
          </w:p>
        </w:tc>
        <w:tc>
          <w:tcPr>
            <w:tcW w:w="1843" w:type="dxa"/>
            <w:vMerge/>
            <w:tcBorders>
              <w:top w:val="single" w:sz="4" w:space="0" w:color="auto"/>
              <w:left w:val="single" w:sz="4" w:space="0" w:color="auto"/>
              <w:bottom w:val="single" w:sz="4" w:space="0" w:color="auto"/>
              <w:right w:val="single" w:sz="4" w:space="0" w:color="auto"/>
            </w:tcBorders>
            <w:vAlign w:val="center"/>
          </w:tcPr>
          <w:p w14:paraId="35EA511F" w14:textId="77777777" w:rsidR="00C45D59" w:rsidRDefault="00C45D59">
            <w:pPr>
              <w:spacing w:before="120" w:after="120" w:line="240" w:lineRule="auto"/>
              <w:jc w:val="center"/>
              <w:rPr>
                <w:rFonts w:ascii="Times New Roman" w:eastAsia="Times New Roman" w:hAnsi="Times New Roman" w:cs="Times New Roman"/>
                <w:b/>
                <w:bCs/>
                <w:noProof/>
                <w:sz w:val="18"/>
                <w:szCs w:val="18"/>
              </w:rPr>
            </w:pPr>
          </w:p>
        </w:tc>
        <w:tc>
          <w:tcPr>
            <w:tcW w:w="992" w:type="dxa"/>
            <w:vMerge/>
            <w:tcBorders>
              <w:top w:val="single" w:sz="4" w:space="0" w:color="auto"/>
              <w:left w:val="single" w:sz="4" w:space="0" w:color="auto"/>
              <w:bottom w:val="single" w:sz="4" w:space="0" w:color="auto"/>
              <w:right w:val="single" w:sz="4" w:space="0" w:color="auto"/>
            </w:tcBorders>
            <w:vAlign w:val="center"/>
          </w:tcPr>
          <w:p w14:paraId="7936EA00" w14:textId="77777777" w:rsidR="00C45D59" w:rsidRDefault="00C45D59">
            <w:pPr>
              <w:spacing w:before="120" w:after="120" w:line="240" w:lineRule="auto"/>
              <w:jc w:val="center"/>
              <w:rPr>
                <w:rFonts w:ascii="Times New Roman" w:eastAsia="Times New Roman" w:hAnsi="Times New Roman" w:cs="Times New Roman"/>
                <w:b/>
                <w:bCs/>
                <w:noProof/>
                <w:sz w:val="18"/>
                <w:szCs w:val="18"/>
              </w:rPr>
            </w:pPr>
          </w:p>
        </w:tc>
        <w:tc>
          <w:tcPr>
            <w:tcW w:w="1843" w:type="dxa"/>
            <w:vMerge/>
            <w:tcBorders>
              <w:top w:val="single" w:sz="4" w:space="0" w:color="auto"/>
              <w:left w:val="single" w:sz="4" w:space="0" w:color="auto"/>
              <w:bottom w:val="single" w:sz="4" w:space="0" w:color="auto"/>
              <w:right w:val="single" w:sz="4" w:space="0" w:color="auto"/>
            </w:tcBorders>
            <w:vAlign w:val="center"/>
          </w:tcPr>
          <w:p w14:paraId="4ABBF6BD"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556" w:type="dxa"/>
            <w:vMerge/>
            <w:tcBorders>
              <w:top w:val="single" w:sz="4" w:space="0" w:color="auto"/>
              <w:left w:val="single" w:sz="4" w:space="0" w:color="auto"/>
              <w:bottom w:val="single" w:sz="4" w:space="0" w:color="auto"/>
              <w:right w:val="single" w:sz="4" w:space="0" w:color="auto"/>
            </w:tcBorders>
            <w:vAlign w:val="center"/>
          </w:tcPr>
          <w:p w14:paraId="27F58A80" w14:textId="77777777" w:rsidR="00C45D59" w:rsidRDefault="00C45D59">
            <w:pPr>
              <w:spacing w:before="120" w:after="120" w:line="240" w:lineRule="auto"/>
              <w:jc w:val="center"/>
              <w:rPr>
                <w:rFonts w:ascii="Times New Roman" w:eastAsia="Times New Roman" w:hAnsi="Times New Roman" w:cs="Times New Roman"/>
                <w:b/>
                <w:bCs/>
                <w:noProof/>
                <w:sz w:val="18"/>
                <w:szCs w:val="18"/>
              </w:rPr>
            </w:pPr>
          </w:p>
        </w:tc>
        <w:tc>
          <w:tcPr>
            <w:tcW w:w="954" w:type="dxa"/>
            <w:tcBorders>
              <w:top w:val="single" w:sz="4" w:space="0" w:color="auto"/>
              <w:left w:val="single" w:sz="4" w:space="0" w:color="auto"/>
              <w:bottom w:val="single" w:sz="4" w:space="0" w:color="auto"/>
              <w:right w:val="single" w:sz="4" w:space="0" w:color="auto"/>
            </w:tcBorders>
            <w:shd w:val="clear" w:color="auto" w:fill="BDD7EE"/>
            <w:vAlign w:val="center"/>
          </w:tcPr>
          <w:p w14:paraId="11CF222D" w14:textId="77777777" w:rsidR="00C45D59" w:rsidRDefault="009B0962">
            <w:pPr>
              <w:pStyle w:val="P68B1DB1-Normal10"/>
              <w:spacing w:before="120" w:after="120" w:line="240" w:lineRule="auto"/>
              <w:jc w:val="center"/>
              <w:rPr>
                <w:rFonts w:eastAsia="Times New Roman" w:cs="Times New Roman"/>
                <w:bCs/>
                <w:noProof/>
                <w:szCs w:val="18"/>
              </w:rPr>
            </w:pPr>
            <w:r>
              <w:rPr>
                <w:noProof/>
              </w:rPr>
              <w:t>Unitatea de măsură</w:t>
            </w:r>
          </w:p>
        </w:tc>
        <w:tc>
          <w:tcPr>
            <w:tcW w:w="996" w:type="dxa"/>
            <w:tcBorders>
              <w:top w:val="single" w:sz="4" w:space="0" w:color="auto"/>
              <w:left w:val="nil"/>
              <w:bottom w:val="single" w:sz="4" w:space="0" w:color="auto"/>
              <w:right w:val="single" w:sz="4" w:space="0" w:color="auto"/>
            </w:tcBorders>
            <w:shd w:val="clear" w:color="auto" w:fill="BDD7EE"/>
            <w:vAlign w:val="center"/>
          </w:tcPr>
          <w:p w14:paraId="525ECB5F" w14:textId="77777777" w:rsidR="00C45D59" w:rsidRDefault="009B0962">
            <w:pPr>
              <w:pStyle w:val="P68B1DB1-Normal10"/>
              <w:spacing w:before="120" w:after="120" w:line="240" w:lineRule="auto"/>
              <w:jc w:val="center"/>
              <w:rPr>
                <w:rFonts w:eastAsia="Times New Roman" w:cs="Times New Roman"/>
                <w:bCs/>
                <w:noProof/>
                <w:szCs w:val="18"/>
              </w:rPr>
            </w:pPr>
            <w:r>
              <w:rPr>
                <w:noProof/>
              </w:rPr>
              <w:t>Situația de referință</w:t>
            </w:r>
          </w:p>
        </w:tc>
        <w:tc>
          <w:tcPr>
            <w:tcW w:w="652" w:type="dxa"/>
            <w:tcBorders>
              <w:top w:val="single" w:sz="4" w:space="0" w:color="auto"/>
              <w:left w:val="nil"/>
              <w:bottom w:val="single" w:sz="4" w:space="0" w:color="auto"/>
              <w:right w:val="single" w:sz="4" w:space="0" w:color="auto"/>
            </w:tcBorders>
            <w:shd w:val="clear" w:color="auto" w:fill="BDD7EE"/>
            <w:vAlign w:val="center"/>
          </w:tcPr>
          <w:p w14:paraId="19ACF01A" w14:textId="77777777" w:rsidR="00C45D59" w:rsidRDefault="009B0962">
            <w:pPr>
              <w:pStyle w:val="P68B1DB1-Normal10"/>
              <w:spacing w:before="120" w:after="120" w:line="240" w:lineRule="auto"/>
              <w:jc w:val="center"/>
              <w:rPr>
                <w:rFonts w:eastAsia="Times New Roman" w:cs="Times New Roman"/>
                <w:bCs/>
                <w:noProof/>
                <w:szCs w:val="18"/>
              </w:rPr>
            </w:pPr>
            <w:r>
              <w:rPr>
                <w:noProof/>
              </w:rPr>
              <w:t>Obiectiv</w:t>
            </w:r>
          </w:p>
        </w:tc>
        <w:tc>
          <w:tcPr>
            <w:tcW w:w="1037" w:type="dxa"/>
            <w:tcBorders>
              <w:top w:val="single" w:sz="4" w:space="0" w:color="auto"/>
              <w:left w:val="nil"/>
              <w:bottom w:val="single" w:sz="4" w:space="0" w:color="auto"/>
              <w:right w:val="single" w:sz="4" w:space="0" w:color="auto"/>
            </w:tcBorders>
            <w:shd w:val="clear" w:color="auto" w:fill="BDD7EE"/>
            <w:vAlign w:val="center"/>
          </w:tcPr>
          <w:p w14:paraId="1A83E133" w14:textId="77777777" w:rsidR="00C45D59" w:rsidRDefault="009B0962">
            <w:pPr>
              <w:pStyle w:val="P68B1DB1-Normal10"/>
              <w:spacing w:before="120" w:after="120" w:line="240" w:lineRule="auto"/>
              <w:jc w:val="center"/>
              <w:rPr>
                <w:rFonts w:eastAsia="Times New Roman" w:cs="Times New Roman"/>
                <w:bCs/>
                <w:noProof/>
                <w:szCs w:val="18"/>
              </w:rPr>
            </w:pPr>
            <w:r>
              <w:rPr>
                <w:noProof/>
              </w:rPr>
              <w:t>Trimestru</w:t>
            </w:r>
          </w:p>
        </w:tc>
        <w:tc>
          <w:tcPr>
            <w:tcW w:w="900" w:type="dxa"/>
            <w:tcBorders>
              <w:top w:val="single" w:sz="4" w:space="0" w:color="auto"/>
              <w:left w:val="nil"/>
              <w:bottom w:val="single" w:sz="4" w:space="0" w:color="auto"/>
              <w:right w:val="single" w:sz="4" w:space="0" w:color="auto"/>
            </w:tcBorders>
            <w:shd w:val="clear" w:color="auto" w:fill="BDD7EE"/>
            <w:vAlign w:val="center"/>
          </w:tcPr>
          <w:p w14:paraId="50632D81" w14:textId="77777777" w:rsidR="00C45D59" w:rsidRDefault="009B0962">
            <w:pPr>
              <w:pStyle w:val="P68B1DB1-Normal10"/>
              <w:spacing w:before="120" w:after="120" w:line="240" w:lineRule="auto"/>
              <w:jc w:val="center"/>
              <w:rPr>
                <w:rFonts w:eastAsia="Times New Roman" w:cs="Times New Roman"/>
                <w:bCs/>
                <w:noProof/>
                <w:szCs w:val="18"/>
              </w:rPr>
            </w:pPr>
            <w:r>
              <w:rPr>
                <w:noProof/>
              </w:rPr>
              <w:t>Anul</w:t>
            </w:r>
          </w:p>
        </w:tc>
        <w:tc>
          <w:tcPr>
            <w:tcW w:w="3148" w:type="dxa"/>
            <w:vMerge/>
            <w:tcBorders>
              <w:top w:val="single" w:sz="4" w:space="0" w:color="auto"/>
              <w:bottom w:val="single" w:sz="4" w:space="0" w:color="auto"/>
              <w:right w:val="single" w:sz="4" w:space="0" w:color="auto"/>
            </w:tcBorders>
            <w:vAlign w:val="center"/>
          </w:tcPr>
          <w:p w14:paraId="07D58EC0" w14:textId="77777777" w:rsidR="00C45D59" w:rsidRDefault="00C45D59">
            <w:pPr>
              <w:spacing w:before="120" w:after="120" w:line="240" w:lineRule="auto"/>
              <w:jc w:val="center"/>
              <w:rPr>
                <w:rFonts w:ascii="Times New Roman" w:eastAsia="Times New Roman" w:hAnsi="Times New Roman" w:cs="Times New Roman"/>
                <w:b/>
                <w:bCs/>
                <w:noProof/>
                <w:sz w:val="18"/>
                <w:szCs w:val="18"/>
              </w:rPr>
            </w:pPr>
          </w:p>
        </w:tc>
      </w:tr>
      <w:tr w:rsidR="00C45D59" w14:paraId="34164A6C" w14:textId="77777777" w:rsidTr="00037E31">
        <w:tc>
          <w:tcPr>
            <w:tcW w:w="675" w:type="dxa"/>
            <w:tcBorders>
              <w:top w:val="single" w:sz="4" w:space="0" w:color="auto"/>
              <w:left w:val="single" w:sz="4" w:space="0" w:color="auto"/>
              <w:bottom w:val="single" w:sz="4" w:space="0" w:color="auto"/>
              <w:right w:val="single" w:sz="4" w:space="0" w:color="auto"/>
            </w:tcBorders>
            <w:shd w:val="clear" w:color="auto" w:fill="C6EFCE"/>
            <w:noWrap/>
          </w:tcPr>
          <w:p w14:paraId="62D2DEEC" w14:textId="77777777" w:rsidR="00C45D59" w:rsidRDefault="009B0962">
            <w:pPr>
              <w:pStyle w:val="P68B1DB1-Normal12"/>
              <w:spacing w:after="0" w:line="240" w:lineRule="auto"/>
              <w:rPr>
                <w:rFonts w:eastAsia="Times New Roman"/>
                <w:noProof/>
                <w:highlight w:val="cyan"/>
              </w:rPr>
            </w:pPr>
            <w:r>
              <w:rPr>
                <w:noProof/>
              </w:rPr>
              <w:t>358</w:t>
            </w:r>
          </w:p>
        </w:tc>
        <w:tc>
          <w:tcPr>
            <w:tcW w:w="1843" w:type="dxa"/>
            <w:tcBorders>
              <w:top w:val="single" w:sz="4" w:space="0" w:color="auto"/>
              <w:left w:val="nil"/>
              <w:bottom w:val="single" w:sz="4" w:space="0" w:color="auto"/>
              <w:right w:val="single" w:sz="4" w:space="0" w:color="auto"/>
            </w:tcBorders>
            <w:shd w:val="clear" w:color="auto" w:fill="C6EFCE"/>
            <w:noWrap/>
          </w:tcPr>
          <w:p w14:paraId="4EBEF52D" w14:textId="77777777" w:rsidR="00C45D59" w:rsidRDefault="009B0962">
            <w:pPr>
              <w:pStyle w:val="P68B1DB1-Normal12"/>
              <w:spacing w:after="0" w:line="240" w:lineRule="auto"/>
              <w:rPr>
                <w:rFonts w:eastAsia="Times New Roman"/>
                <w:noProof/>
              </w:rPr>
            </w:pPr>
            <w:r>
              <w:rPr>
                <w:noProof/>
              </w:rPr>
              <w:t>20-5.1. Reformele REPowerEU – 16991_Cadrul de reglementare pentru realizarea unei rețele inteligente</w:t>
            </w:r>
          </w:p>
        </w:tc>
        <w:tc>
          <w:tcPr>
            <w:tcW w:w="992" w:type="dxa"/>
            <w:tcBorders>
              <w:top w:val="single" w:sz="4" w:space="0" w:color="auto"/>
              <w:left w:val="nil"/>
              <w:bottom w:val="single" w:sz="4" w:space="0" w:color="auto"/>
              <w:right w:val="single" w:sz="4" w:space="0" w:color="auto"/>
            </w:tcBorders>
            <w:shd w:val="clear" w:color="auto" w:fill="C6EFCE"/>
            <w:noWrap/>
          </w:tcPr>
          <w:p w14:paraId="0ED09957" w14:textId="77777777" w:rsidR="00C45D59" w:rsidRDefault="009B0962">
            <w:pPr>
              <w:pStyle w:val="P68B1DB1-Normal12"/>
              <w:spacing w:after="0" w:line="240" w:lineRule="auto"/>
              <w:rPr>
                <w:rFonts w:eastAsia="Times New Roman"/>
                <w:noProof/>
              </w:rPr>
            </w:pPr>
            <w:r>
              <w:rPr>
                <w:noProof/>
              </w:rPr>
              <w:t>Etapă</w:t>
            </w:r>
          </w:p>
        </w:tc>
        <w:tc>
          <w:tcPr>
            <w:tcW w:w="1843" w:type="dxa"/>
            <w:tcBorders>
              <w:top w:val="single" w:sz="4" w:space="0" w:color="auto"/>
              <w:left w:val="nil"/>
              <w:bottom w:val="single" w:sz="4" w:space="0" w:color="auto"/>
              <w:right w:val="single" w:sz="4" w:space="0" w:color="auto"/>
            </w:tcBorders>
            <w:shd w:val="clear" w:color="auto" w:fill="C6EFCE"/>
            <w:noWrap/>
          </w:tcPr>
          <w:p w14:paraId="739757D9" w14:textId="77777777" w:rsidR="00C45D59" w:rsidRDefault="009B0962">
            <w:pPr>
              <w:pStyle w:val="P68B1DB1-Normal12"/>
              <w:spacing w:after="0" w:line="240" w:lineRule="auto"/>
              <w:rPr>
                <w:rFonts w:eastAsia="Times New Roman"/>
                <w:noProof/>
              </w:rPr>
            </w:pPr>
            <w:r>
              <w:rPr>
                <w:noProof/>
              </w:rPr>
              <w:t>Dezvoltarea unui sistem bazat pe stimulente pentru operatorii de sisteme de distribuție și consumatori, pentru a spori implementarea și utilizarea contoarelor inteligente.</w:t>
            </w:r>
          </w:p>
        </w:tc>
        <w:tc>
          <w:tcPr>
            <w:tcW w:w="1556" w:type="dxa"/>
            <w:tcBorders>
              <w:top w:val="single" w:sz="4" w:space="0" w:color="auto"/>
              <w:left w:val="nil"/>
              <w:bottom w:val="single" w:sz="4" w:space="0" w:color="auto"/>
              <w:right w:val="single" w:sz="4" w:space="0" w:color="auto"/>
            </w:tcBorders>
            <w:shd w:val="clear" w:color="auto" w:fill="C6EFCE"/>
            <w:noWrap/>
          </w:tcPr>
          <w:p w14:paraId="10121759" w14:textId="77777777" w:rsidR="00C45D59" w:rsidRDefault="009B0962">
            <w:pPr>
              <w:pStyle w:val="P68B1DB1-Normal12"/>
              <w:spacing w:after="0" w:line="240" w:lineRule="auto"/>
              <w:rPr>
                <w:rFonts w:eastAsia="Times New Roman"/>
                <w:noProof/>
              </w:rPr>
            </w:pPr>
            <w:r>
              <w:rPr>
                <w:noProof/>
              </w:rPr>
              <w:t>Decizie ministerială comună/Decizie a autorității de reglementare</w:t>
            </w:r>
          </w:p>
        </w:tc>
        <w:tc>
          <w:tcPr>
            <w:tcW w:w="954" w:type="dxa"/>
            <w:tcBorders>
              <w:top w:val="nil"/>
              <w:left w:val="nil"/>
              <w:bottom w:val="single" w:sz="4" w:space="0" w:color="auto"/>
              <w:right w:val="single" w:sz="4" w:space="0" w:color="auto"/>
            </w:tcBorders>
            <w:shd w:val="clear" w:color="auto" w:fill="C6EFCE"/>
            <w:noWrap/>
          </w:tcPr>
          <w:p w14:paraId="21165A05" w14:textId="77777777" w:rsidR="00C45D59" w:rsidRDefault="00C45D59">
            <w:pPr>
              <w:spacing w:after="0" w:line="240" w:lineRule="auto"/>
              <w:rPr>
                <w:rFonts w:ascii="Times New Roman" w:eastAsia="Times New Roman" w:hAnsi="Times New Roman" w:cs="Times New Roman"/>
                <w:noProof/>
                <w:sz w:val="18"/>
                <w:szCs w:val="18"/>
              </w:rPr>
            </w:pPr>
          </w:p>
        </w:tc>
        <w:tc>
          <w:tcPr>
            <w:tcW w:w="996" w:type="dxa"/>
            <w:tcBorders>
              <w:top w:val="nil"/>
              <w:left w:val="nil"/>
              <w:bottom w:val="single" w:sz="4" w:space="0" w:color="auto"/>
              <w:right w:val="single" w:sz="4" w:space="0" w:color="auto"/>
            </w:tcBorders>
            <w:shd w:val="clear" w:color="auto" w:fill="C6EFCE"/>
            <w:noWrap/>
          </w:tcPr>
          <w:p w14:paraId="71883D7E" w14:textId="77777777" w:rsidR="00C45D59" w:rsidRDefault="00C45D59">
            <w:pPr>
              <w:spacing w:after="0" w:line="240" w:lineRule="auto"/>
              <w:rPr>
                <w:rFonts w:ascii="Times New Roman" w:eastAsia="Times New Roman" w:hAnsi="Times New Roman" w:cs="Times New Roman"/>
                <w:noProof/>
                <w:sz w:val="18"/>
                <w:szCs w:val="18"/>
              </w:rPr>
            </w:pPr>
          </w:p>
        </w:tc>
        <w:tc>
          <w:tcPr>
            <w:tcW w:w="652" w:type="dxa"/>
            <w:tcBorders>
              <w:top w:val="nil"/>
              <w:left w:val="nil"/>
              <w:bottom w:val="single" w:sz="4" w:space="0" w:color="auto"/>
              <w:right w:val="single" w:sz="4" w:space="0" w:color="auto"/>
            </w:tcBorders>
            <w:shd w:val="clear" w:color="auto" w:fill="C6EFCE"/>
            <w:noWrap/>
          </w:tcPr>
          <w:p w14:paraId="12ABF626" w14:textId="77777777" w:rsidR="00C45D59" w:rsidRDefault="00C45D59">
            <w:pPr>
              <w:spacing w:after="0" w:line="240" w:lineRule="auto"/>
              <w:rPr>
                <w:rFonts w:ascii="Times New Roman" w:eastAsia="Times New Roman" w:hAnsi="Times New Roman" w:cs="Times New Roman"/>
                <w:noProof/>
                <w:sz w:val="18"/>
                <w:szCs w:val="18"/>
              </w:rPr>
            </w:pPr>
          </w:p>
        </w:tc>
        <w:tc>
          <w:tcPr>
            <w:tcW w:w="1037" w:type="dxa"/>
            <w:tcBorders>
              <w:top w:val="nil"/>
              <w:left w:val="nil"/>
              <w:bottom w:val="single" w:sz="4" w:space="0" w:color="auto"/>
              <w:right w:val="single" w:sz="4" w:space="0" w:color="auto"/>
            </w:tcBorders>
            <w:shd w:val="clear" w:color="auto" w:fill="C6EFCE"/>
            <w:noWrap/>
          </w:tcPr>
          <w:p w14:paraId="6A0ECE84" w14:textId="77777777" w:rsidR="00C45D59" w:rsidRDefault="009B0962">
            <w:pPr>
              <w:pStyle w:val="P68B1DB1-Normal12"/>
              <w:spacing w:after="120" w:line="240" w:lineRule="auto"/>
              <w:rPr>
                <w:rFonts w:eastAsia="Times New Roman"/>
                <w:noProof/>
              </w:rPr>
            </w:pPr>
            <w:r>
              <w:rPr>
                <w:noProof/>
              </w:rPr>
              <w:t>Î2</w:t>
            </w:r>
          </w:p>
        </w:tc>
        <w:tc>
          <w:tcPr>
            <w:tcW w:w="900" w:type="dxa"/>
            <w:tcBorders>
              <w:top w:val="nil"/>
              <w:left w:val="nil"/>
              <w:bottom w:val="single" w:sz="4" w:space="0" w:color="auto"/>
              <w:right w:val="single" w:sz="4" w:space="0" w:color="auto"/>
            </w:tcBorders>
            <w:shd w:val="clear" w:color="auto" w:fill="C6EFCE"/>
            <w:noWrap/>
          </w:tcPr>
          <w:p w14:paraId="55159F6E" w14:textId="77777777" w:rsidR="00C45D59" w:rsidRDefault="009B0962">
            <w:pPr>
              <w:pStyle w:val="P68B1DB1-Normal12"/>
              <w:spacing w:after="120" w:line="240" w:lineRule="auto"/>
              <w:rPr>
                <w:rFonts w:eastAsia="Times New Roman"/>
                <w:noProof/>
              </w:rPr>
            </w:pPr>
            <w:r>
              <w:rPr>
                <w:noProof/>
              </w:rPr>
              <w:t>2024</w:t>
            </w:r>
          </w:p>
        </w:tc>
        <w:tc>
          <w:tcPr>
            <w:tcW w:w="3148" w:type="dxa"/>
            <w:tcBorders>
              <w:top w:val="single" w:sz="4" w:space="0" w:color="auto"/>
              <w:left w:val="nil"/>
              <w:bottom w:val="single" w:sz="4" w:space="0" w:color="auto"/>
              <w:right w:val="single" w:sz="4" w:space="0" w:color="auto"/>
            </w:tcBorders>
            <w:shd w:val="clear" w:color="auto" w:fill="C6EFCE"/>
            <w:noWrap/>
          </w:tcPr>
          <w:p w14:paraId="39921401" w14:textId="77777777" w:rsidR="00C45D59" w:rsidRDefault="009B0962">
            <w:pPr>
              <w:pStyle w:val="P68B1DB1-Normal12"/>
              <w:spacing w:after="0" w:line="240" w:lineRule="auto"/>
              <w:rPr>
                <w:rFonts w:eastAsia="Times New Roman"/>
                <w:noProof/>
              </w:rPr>
            </w:pPr>
            <w:r>
              <w:rPr>
                <w:noProof/>
              </w:rPr>
              <w:t>Intrarea în vigoare a unei decizii ministeriale comune/decizii a autorității de reglementare pentru dezvoltarea unui sistem bazat pe stimulente pentru operatorul de sistem de distribuție și consumatori în vederea creșterii gradului de implementare și utilizare a contoarelor inteligente.</w:t>
            </w:r>
          </w:p>
        </w:tc>
      </w:tr>
      <w:tr w:rsidR="00C45D59" w14:paraId="51FF298C" w14:textId="77777777" w:rsidTr="00037E31">
        <w:trPr>
          <w:trHeight w:val="1526"/>
        </w:trPr>
        <w:tc>
          <w:tcPr>
            <w:tcW w:w="675" w:type="dxa"/>
            <w:tcBorders>
              <w:top w:val="single" w:sz="4" w:space="0" w:color="auto"/>
              <w:left w:val="single" w:sz="4" w:space="0" w:color="auto"/>
              <w:bottom w:val="single" w:sz="4" w:space="0" w:color="auto"/>
              <w:right w:val="single" w:sz="4" w:space="0" w:color="auto"/>
            </w:tcBorders>
            <w:shd w:val="clear" w:color="auto" w:fill="C6EFCE"/>
            <w:noWrap/>
          </w:tcPr>
          <w:p w14:paraId="5631E5D4" w14:textId="77777777" w:rsidR="00C45D59" w:rsidRDefault="009B0962">
            <w:pPr>
              <w:pStyle w:val="P68B1DB1-Normal12"/>
              <w:spacing w:after="0" w:line="240" w:lineRule="auto"/>
              <w:rPr>
                <w:rFonts w:eastAsia="Times New Roman"/>
                <w:noProof/>
              </w:rPr>
            </w:pPr>
            <w:r>
              <w:rPr>
                <w:noProof/>
              </w:rPr>
              <w:t>359</w:t>
            </w:r>
          </w:p>
        </w:tc>
        <w:tc>
          <w:tcPr>
            <w:tcW w:w="1843" w:type="dxa"/>
            <w:tcBorders>
              <w:top w:val="single" w:sz="4" w:space="0" w:color="auto"/>
              <w:left w:val="nil"/>
              <w:bottom w:val="single" w:sz="4" w:space="0" w:color="auto"/>
              <w:right w:val="single" w:sz="4" w:space="0" w:color="auto"/>
            </w:tcBorders>
            <w:shd w:val="clear" w:color="auto" w:fill="C6EFCE"/>
            <w:noWrap/>
          </w:tcPr>
          <w:p w14:paraId="534AD2A0" w14:textId="77777777" w:rsidR="00C45D59" w:rsidRDefault="009B0962">
            <w:pPr>
              <w:pStyle w:val="P68B1DB1-Normal12"/>
              <w:spacing w:after="0" w:line="240" w:lineRule="auto"/>
              <w:rPr>
                <w:rFonts w:eastAsia="Times New Roman"/>
                <w:noProof/>
              </w:rPr>
            </w:pPr>
            <w:r>
              <w:rPr>
                <w:noProof/>
              </w:rPr>
              <w:t>20-5.1. Reformele REPowerEU – 16991_Cadrul de reglementare pentru realizarea unei rețele inteligente</w:t>
            </w:r>
          </w:p>
        </w:tc>
        <w:tc>
          <w:tcPr>
            <w:tcW w:w="992" w:type="dxa"/>
            <w:tcBorders>
              <w:top w:val="single" w:sz="4" w:space="0" w:color="auto"/>
              <w:left w:val="nil"/>
              <w:bottom w:val="single" w:sz="4" w:space="0" w:color="auto"/>
              <w:right w:val="single" w:sz="4" w:space="0" w:color="auto"/>
            </w:tcBorders>
            <w:shd w:val="clear" w:color="auto" w:fill="C6EFCE"/>
            <w:noWrap/>
          </w:tcPr>
          <w:p w14:paraId="787F3171" w14:textId="77777777" w:rsidR="00C45D59" w:rsidRDefault="009B0962">
            <w:pPr>
              <w:pStyle w:val="P68B1DB1-Normal12"/>
              <w:spacing w:after="0" w:line="240" w:lineRule="auto"/>
              <w:rPr>
                <w:rFonts w:eastAsia="Times New Roman"/>
                <w:noProof/>
              </w:rPr>
            </w:pPr>
            <w:r>
              <w:rPr>
                <w:noProof/>
              </w:rPr>
              <w:t xml:space="preserve">Etapă </w:t>
            </w:r>
          </w:p>
        </w:tc>
        <w:tc>
          <w:tcPr>
            <w:tcW w:w="1843" w:type="dxa"/>
            <w:tcBorders>
              <w:top w:val="single" w:sz="4" w:space="0" w:color="auto"/>
              <w:left w:val="nil"/>
              <w:bottom w:val="single" w:sz="4" w:space="0" w:color="auto"/>
              <w:right w:val="single" w:sz="4" w:space="0" w:color="auto"/>
            </w:tcBorders>
            <w:shd w:val="clear" w:color="auto" w:fill="C6EFCE"/>
            <w:noWrap/>
          </w:tcPr>
          <w:p w14:paraId="4298BCC7" w14:textId="77777777" w:rsidR="00C45D59" w:rsidRDefault="009B0962">
            <w:pPr>
              <w:pStyle w:val="P68B1DB1-Normal12"/>
              <w:spacing w:after="0" w:line="240" w:lineRule="auto"/>
              <w:rPr>
                <w:rFonts w:eastAsia="Times New Roman"/>
                <w:noProof/>
              </w:rPr>
            </w:pPr>
            <w:r>
              <w:rPr>
                <w:noProof/>
              </w:rPr>
              <w:t xml:space="preserve">Cadrul pentru contractele cu prețuri dinamice </w:t>
            </w:r>
          </w:p>
        </w:tc>
        <w:tc>
          <w:tcPr>
            <w:tcW w:w="1556" w:type="dxa"/>
            <w:tcBorders>
              <w:top w:val="single" w:sz="4" w:space="0" w:color="auto"/>
              <w:left w:val="nil"/>
              <w:bottom w:val="single" w:sz="4" w:space="0" w:color="auto"/>
              <w:right w:val="single" w:sz="4" w:space="0" w:color="auto"/>
            </w:tcBorders>
            <w:shd w:val="clear" w:color="auto" w:fill="C6EFCE"/>
            <w:noWrap/>
          </w:tcPr>
          <w:p w14:paraId="788EFA87" w14:textId="77777777" w:rsidR="00C45D59" w:rsidRDefault="009B0962">
            <w:pPr>
              <w:pStyle w:val="P68B1DB1-Normal12"/>
              <w:spacing w:after="0" w:line="240" w:lineRule="auto"/>
              <w:rPr>
                <w:noProof/>
              </w:rPr>
            </w:pPr>
            <w:r>
              <w:rPr>
                <w:noProof/>
              </w:rPr>
              <w:t xml:space="preserve"> Actul legislativ</w:t>
            </w:r>
          </w:p>
        </w:tc>
        <w:tc>
          <w:tcPr>
            <w:tcW w:w="954" w:type="dxa"/>
            <w:tcBorders>
              <w:top w:val="single" w:sz="4" w:space="0" w:color="auto"/>
              <w:left w:val="nil"/>
              <w:bottom w:val="single" w:sz="4" w:space="0" w:color="auto"/>
              <w:right w:val="single" w:sz="4" w:space="0" w:color="auto"/>
            </w:tcBorders>
            <w:shd w:val="clear" w:color="auto" w:fill="C6EFCE"/>
            <w:noWrap/>
          </w:tcPr>
          <w:p w14:paraId="202DFDE3" w14:textId="77777777" w:rsidR="00C45D59" w:rsidRDefault="00C45D59">
            <w:pPr>
              <w:spacing w:after="0" w:line="240" w:lineRule="auto"/>
              <w:rPr>
                <w:rFonts w:ascii="Times New Roman" w:eastAsia="Times New Roman" w:hAnsi="Times New Roman" w:cs="Times New Roman"/>
                <w:noProof/>
                <w:sz w:val="18"/>
                <w:szCs w:val="18"/>
              </w:rPr>
            </w:pPr>
          </w:p>
        </w:tc>
        <w:tc>
          <w:tcPr>
            <w:tcW w:w="996" w:type="dxa"/>
            <w:tcBorders>
              <w:top w:val="single" w:sz="4" w:space="0" w:color="auto"/>
              <w:left w:val="nil"/>
              <w:bottom w:val="single" w:sz="4" w:space="0" w:color="auto"/>
              <w:right w:val="single" w:sz="4" w:space="0" w:color="auto"/>
            </w:tcBorders>
            <w:shd w:val="clear" w:color="auto" w:fill="C6EFCE"/>
            <w:noWrap/>
          </w:tcPr>
          <w:p w14:paraId="1F71B639" w14:textId="77777777" w:rsidR="00C45D59" w:rsidRDefault="00C45D59">
            <w:pPr>
              <w:spacing w:after="0" w:line="240" w:lineRule="auto"/>
              <w:rPr>
                <w:rFonts w:ascii="Times New Roman" w:eastAsia="Times New Roman" w:hAnsi="Times New Roman" w:cs="Times New Roman"/>
                <w:noProof/>
                <w:sz w:val="18"/>
                <w:szCs w:val="18"/>
              </w:rPr>
            </w:pPr>
          </w:p>
        </w:tc>
        <w:tc>
          <w:tcPr>
            <w:tcW w:w="652" w:type="dxa"/>
            <w:tcBorders>
              <w:top w:val="single" w:sz="4" w:space="0" w:color="auto"/>
              <w:left w:val="nil"/>
              <w:bottom w:val="single" w:sz="4" w:space="0" w:color="auto"/>
              <w:right w:val="single" w:sz="4" w:space="0" w:color="auto"/>
            </w:tcBorders>
            <w:shd w:val="clear" w:color="auto" w:fill="C6EFCE"/>
            <w:noWrap/>
          </w:tcPr>
          <w:p w14:paraId="68686A7E" w14:textId="77777777" w:rsidR="00C45D59" w:rsidRDefault="00C45D59">
            <w:pPr>
              <w:spacing w:after="0" w:line="240" w:lineRule="auto"/>
              <w:rPr>
                <w:rFonts w:ascii="Times New Roman" w:eastAsia="Times New Roman" w:hAnsi="Times New Roman" w:cs="Times New Roman"/>
                <w:noProof/>
                <w:sz w:val="18"/>
                <w:szCs w:val="18"/>
              </w:rPr>
            </w:pPr>
          </w:p>
        </w:tc>
        <w:tc>
          <w:tcPr>
            <w:tcW w:w="1037" w:type="dxa"/>
            <w:tcBorders>
              <w:top w:val="single" w:sz="4" w:space="0" w:color="auto"/>
              <w:left w:val="nil"/>
              <w:bottom w:val="single" w:sz="4" w:space="0" w:color="auto"/>
              <w:right w:val="single" w:sz="4" w:space="0" w:color="auto"/>
            </w:tcBorders>
            <w:shd w:val="clear" w:color="auto" w:fill="C6EFCE"/>
            <w:noWrap/>
          </w:tcPr>
          <w:p w14:paraId="08CA500C" w14:textId="77777777" w:rsidR="00C45D59" w:rsidRDefault="009B0962">
            <w:pPr>
              <w:pStyle w:val="P68B1DB1-Normal12"/>
              <w:spacing w:after="120" w:line="240" w:lineRule="auto"/>
              <w:rPr>
                <w:rFonts w:eastAsia="Times New Roman"/>
                <w:noProof/>
              </w:rPr>
            </w:pPr>
            <w:r>
              <w:rPr>
                <w:noProof/>
              </w:rPr>
              <w:t>Î4</w:t>
            </w:r>
          </w:p>
        </w:tc>
        <w:tc>
          <w:tcPr>
            <w:tcW w:w="900" w:type="dxa"/>
            <w:tcBorders>
              <w:top w:val="single" w:sz="4" w:space="0" w:color="auto"/>
              <w:left w:val="nil"/>
              <w:bottom w:val="single" w:sz="4" w:space="0" w:color="auto"/>
              <w:right w:val="single" w:sz="4" w:space="0" w:color="auto"/>
            </w:tcBorders>
            <w:shd w:val="clear" w:color="auto" w:fill="C6EFCE"/>
            <w:noWrap/>
          </w:tcPr>
          <w:p w14:paraId="546DA1E4" w14:textId="77777777" w:rsidR="00C45D59" w:rsidRDefault="009B0962">
            <w:pPr>
              <w:pStyle w:val="P68B1DB1-Normal12"/>
              <w:spacing w:after="120" w:line="240" w:lineRule="auto"/>
              <w:rPr>
                <w:rFonts w:eastAsia="Times New Roman"/>
                <w:noProof/>
              </w:rPr>
            </w:pPr>
            <w:r>
              <w:rPr>
                <w:noProof/>
              </w:rPr>
              <w:t>2024</w:t>
            </w:r>
          </w:p>
        </w:tc>
        <w:tc>
          <w:tcPr>
            <w:tcW w:w="3148" w:type="dxa"/>
            <w:tcBorders>
              <w:top w:val="single" w:sz="4" w:space="0" w:color="auto"/>
              <w:left w:val="nil"/>
              <w:bottom w:val="single" w:sz="4" w:space="0" w:color="auto"/>
              <w:right w:val="single" w:sz="4" w:space="0" w:color="auto"/>
            </w:tcBorders>
            <w:shd w:val="clear" w:color="auto" w:fill="C6EFCE"/>
            <w:noWrap/>
          </w:tcPr>
          <w:p w14:paraId="0CE89740" w14:textId="77777777" w:rsidR="00C45D59" w:rsidRDefault="009B0962">
            <w:pPr>
              <w:pStyle w:val="P68B1DB1-Normal12"/>
              <w:spacing w:after="0" w:line="240" w:lineRule="auto"/>
              <w:rPr>
                <w:rFonts w:eastAsia="Times New Roman"/>
                <w:noProof/>
              </w:rPr>
            </w:pPr>
            <w:r>
              <w:rPr>
                <w:noProof/>
              </w:rPr>
              <w:t xml:space="preserve">Intrarea în vigoare a actelor juridice privind contractele de stabilire dinamică a prețurilor pentru a pune în aplicare stabilirea dinamică a prețurilor pentru toți consumatorii finali de îndată ce un contor inteligent este instalat în conexiunea lor de servicii. Actul juridic care stabilește aspectele legate de proiectare, principalele clauze ale contractelor dinamice. Actul juridic stabilește drepturile și obligațiile operatorilor, ale reprezentanților încărcăturii și ale clienților în ceea ce privește punerea în aplicare a stabilirii dinamice a prețurilor. </w:t>
            </w:r>
          </w:p>
        </w:tc>
      </w:tr>
    </w:tbl>
    <w:p w14:paraId="325CE8CE" w14:textId="77777777" w:rsidR="00C45D59" w:rsidRDefault="00C45D59">
      <w:pPr>
        <w:keepNext/>
        <w:keepLines/>
        <w:spacing w:before="240" w:after="0" w:line="240" w:lineRule="auto"/>
        <w:jc w:val="both"/>
        <w:outlineLvl w:val="4"/>
        <w:rPr>
          <w:rFonts w:ascii="Cambria" w:hAnsi="Cambria"/>
          <w:noProof/>
          <w:color w:val="365F91" w:themeColor="accent1" w:themeShade="BF"/>
          <w:sz w:val="24"/>
        </w:rPr>
        <w:sectPr w:rsidR="00C45D59">
          <w:headerReference w:type="even" r:id="rId396"/>
          <w:headerReference w:type="default" r:id="rId397"/>
          <w:footerReference w:type="even" r:id="rId398"/>
          <w:footerReference w:type="default" r:id="rId399"/>
          <w:headerReference w:type="first" r:id="rId400"/>
          <w:footerReference w:type="first" r:id="rId401"/>
          <w:pgSz w:w="16839" w:h="11907" w:orient="landscape"/>
          <w:pgMar w:top="1134" w:right="1134" w:bottom="1134" w:left="1134" w:header="567" w:footer="567" w:gutter="0"/>
          <w:cols w:space="720"/>
          <w:docGrid w:linePitch="360"/>
        </w:sectPr>
      </w:pPr>
    </w:p>
    <w:p w14:paraId="315BE5ED" w14:textId="77777777" w:rsidR="00C45D59" w:rsidRDefault="009B0962">
      <w:pPr>
        <w:pStyle w:val="P68B1DB1-Normal9"/>
        <w:keepNext/>
        <w:keepLines/>
        <w:spacing w:before="240" w:after="0" w:line="240" w:lineRule="auto"/>
        <w:jc w:val="both"/>
        <w:outlineLvl w:val="4"/>
        <w:rPr>
          <w:noProof/>
          <w:color w:val="4F81BD" w:themeColor="accent1"/>
        </w:rPr>
      </w:pPr>
      <w:r>
        <w:rPr>
          <w:noProof/>
        </w:rPr>
        <w:t>Reforma 6: Set de instrumente pentru promovarea partajării energiei, a autoconsumului și a comunităților de energie din surse regenerabile (identificatorul măsurii: 16992)</w:t>
      </w:r>
    </w:p>
    <w:tbl>
      <w:tblPr>
        <w:tblW w:w="1555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675"/>
        <w:gridCol w:w="1985"/>
        <w:gridCol w:w="992"/>
        <w:gridCol w:w="1843"/>
        <w:gridCol w:w="1559"/>
        <w:gridCol w:w="992"/>
        <w:gridCol w:w="869"/>
        <w:gridCol w:w="832"/>
        <w:gridCol w:w="1071"/>
        <w:gridCol w:w="1170"/>
        <w:gridCol w:w="3571"/>
      </w:tblGrid>
      <w:tr w:rsidR="00C45D59" w14:paraId="751C3B6D" w14:textId="77777777" w:rsidTr="00E649D5">
        <w:trPr>
          <w:trHeight w:val="839"/>
          <w:tblHeader/>
        </w:trPr>
        <w:tc>
          <w:tcPr>
            <w:tcW w:w="675" w:type="dxa"/>
            <w:vMerge w:val="restart"/>
            <w:shd w:val="clear" w:color="auto" w:fill="BDD7EE"/>
            <w:vAlign w:val="center"/>
            <w:hideMark/>
          </w:tcPr>
          <w:p w14:paraId="2D908CB1" w14:textId="66422194" w:rsidR="00C45D59" w:rsidRDefault="00097639">
            <w:pPr>
              <w:pStyle w:val="P68B1DB1-Normal15"/>
              <w:spacing w:before="120" w:after="120" w:line="240" w:lineRule="auto"/>
              <w:jc w:val="center"/>
              <w:rPr>
                <w:noProof/>
              </w:rPr>
            </w:pPr>
            <w:r>
              <w:rPr>
                <w:noProof/>
              </w:rPr>
              <w:t>Nr. crt.</w:t>
            </w:r>
          </w:p>
        </w:tc>
        <w:tc>
          <w:tcPr>
            <w:tcW w:w="1985" w:type="dxa"/>
            <w:vMerge w:val="restart"/>
            <w:shd w:val="clear" w:color="auto" w:fill="BDD7EE"/>
            <w:vAlign w:val="center"/>
            <w:hideMark/>
          </w:tcPr>
          <w:p w14:paraId="1D7222BE" w14:textId="77777777" w:rsidR="00C45D59" w:rsidRDefault="009B0962">
            <w:pPr>
              <w:pStyle w:val="P68B1DB1-Normal10"/>
              <w:spacing w:before="120" w:after="120" w:line="240" w:lineRule="auto"/>
              <w:jc w:val="center"/>
              <w:rPr>
                <w:rFonts w:cs="Times New Roman"/>
                <w:noProof/>
                <w:szCs w:val="18"/>
              </w:rPr>
            </w:pPr>
            <w:r>
              <w:rPr>
                <w:noProof/>
              </w:rPr>
              <w:t>Măsură conexă (reformă sau investiții)</w:t>
            </w:r>
          </w:p>
        </w:tc>
        <w:tc>
          <w:tcPr>
            <w:tcW w:w="992" w:type="dxa"/>
            <w:vMerge w:val="restart"/>
            <w:shd w:val="clear" w:color="auto" w:fill="BDD7EE"/>
            <w:vAlign w:val="center"/>
            <w:hideMark/>
          </w:tcPr>
          <w:p w14:paraId="3EAB8E98" w14:textId="77777777" w:rsidR="00C45D59" w:rsidRDefault="009B0962">
            <w:pPr>
              <w:pStyle w:val="P68B1DB1-Normal10"/>
              <w:spacing w:before="120" w:after="120" w:line="240" w:lineRule="auto"/>
              <w:jc w:val="center"/>
              <w:rPr>
                <w:rFonts w:cs="Times New Roman"/>
                <w:noProof/>
                <w:szCs w:val="18"/>
              </w:rPr>
            </w:pPr>
            <w:r>
              <w:rPr>
                <w:noProof/>
              </w:rPr>
              <w:t>Etapă/Obiectiv</w:t>
            </w:r>
          </w:p>
        </w:tc>
        <w:tc>
          <w:tcPr>
            <w:tcW w:w="1843" w:type="dxa"/>
            <w:vMerge w:val="restart"/>
            <w:shd w:val="clear" w:color="auto" w:fill="BDD7EE"/>
            <w:vAlign w:val="center"/>
            <w:hideMark/>
          </w:tcPr>
          <w:p w14:paraId="568A2034" w14:textId="791856CD" w:rsidR="00C45D59" w:rsidRDefault="00E649D5">
            <w:pPr>
              <w:pStyle w:val="P68B1DB1-Normal10"/>
              <w:spacing w:before="120" w:after="120" w:line="240" w:lineRule="auto"/>
              <w:jc w:val="center"/>
              <w:rPr>
                <w:rFonts w:cs="Times New Roman"/>
                <w:noProof/>
                <w:szCs w:val="18"/>
              </w:rPr>
            </w:pPr>
            <w:r>
              <w:rPr>
                <w:noProof/>
              </w:rPr>
              <w:t>Denumire</w:t>
            </w:r>
          </w:p>
        </w:tc>
        <w:tc>
          <w:tcPr>
            <w:tcW w:w="1559" w:type="dxa"/>
            <w:vMerge w:val="restart"/>
            <w:shd w:val="clear" w:color="auto" w:fill="BDD7EE"/>
            <w:vAlign w:val="center"/>
            <w:hideMark/>
          </w:tcPr>
          <w:p w14:paraId="0C025392" w14:textId="77777777" w:rsidR="00C45D59" w:rsidRDefault="009B0962">
            <w:pPr>
              <w:pStyle w:val="P68B1DB1-Normal10"/>
              <w:spacing w:before="120" w:after="120" w:line="240" w:lineRule="auto"/>
              <w:jc w:val="center"/>
              <w:rPr>
                <w:rFonts w:cs="Times New Roman"/>
                <w:noProof/>
                <w:szCs w:val="18"/>
              </w:rPr>
            </w:pPr>
            <w:r>
              <w:rPr>
                <w:noProof/>
              </w:rPr>
              <w:t>Indicatori calitativi (pentru obiectivele de etapă)</w:t>
            </w:r>
          </w:p>
        </w:tc>
        <w:tc>
          <w:tcPr>
            <w:tcW w:w="2693" w:type="dxa"/>
            <w:gridSpan w:val="3"/>
            <w:shd w:val="clear" w:color="auto" w:fill="BDD7EE"/>
            <w:vAlign w:val="center"/>
            <w:hideMark/>
          </w:tcPr>
          <w:p w14:paraId="504CB200" w14:textId="77777777" w:rsidR="00C45D59" w:rsidRDefault="009B0962">
            <w:pPr>
              <w:pStyle w:val="P68B1DB1-Normal10"/>
              <w:spacing w:before="120" w:after="120" w:line="240" w:lineRule="auto"/>
              <w:jc w:val="center"/>
              <w:rPr>
                <w:rFonts w:cs="Times New Roman"/>
                <w:noProof/>
                <w:szCs w:val="18"/>
              </w:rPr>
            </w:pPr>
            <w:r>
              <w:rPr>
                <w:noProof/>
              </w:rPr>
              <w:t>Indicatori cantitativi (pentru ținte)</w:t>
            </w:r>
          </w:p>
        </w:tc>
        <w:tc>
          <w:tcPr>
            <w:tcW w:w="2241" w:type="dxa"/>
            <w:gridSpan w:val="2"/>
            <w:shd w:val="clear" w:color="auto" w:fill="BDD7EE"/>
            <w:vAlign w:val="center"/>
            <w:hideMark/>
          </w:tcPr>
          <w:p w14:paraId="2955790D" w14:textId="77777777" w:rsidR="00C45D59" w:rsidRDefault="009B0962">
            <w:pPr>
              <w:pStyle w:val="P68B1DB1-Normal10"/>
              <w:spacing w:before="120" w:after="120" w:line="240" w:lineRule="auto"/>
              <w:jc w:val="center"/>
              <w:rPr>
                <w:rFonts w:cs="Times New Roman"/>
                <w:noProof/>
                <w:szCs w:val="18"/>
              </w:rPr>
            </w:pPr>
            <w:r>
              <w:rPr>
                <w:noProof/>
              </w:rPr>
              <w:t>Calendar orientativ pentru finalizare</w:t>
            </w:r>
          </w:p>
        </w:tc>
        <w:tc>
          <w:tcPr>
            <w:tcW w:w="3571" w:type="dxa"/>
            <w:vMerge w:val="restart"/>
            <w:shd w:val="clear" w:color="auto" w:fill="BDD7EE"/>
            <w:vAlign w:val="center"/>
            <w:hideMark/>
          </w:tcPr>
          <w:p w14:paraId="4F11B366" w14:textId="77777777" w:rsidR="00C45D59" w:rsidRDefault="009B0962">
            <w:pPr>
              <w:pStyle w:val="P68B1DB1-Normal10"/>
              <w:spacing w:before="120" w:after="120" w:line="240" w:lineRule="auto"/>
              <w:jc w:val="center"/>
              <w:rPr>
                <w:rFonts w:cs="Times New Roman"/>
                <w:noProof/>
                <w:szCs w:val="18"/>
              </w:rPr>
            </w:pPr>
            <w:r>
              <w:rPr>
                <w:noProof/>
              </w:rPr>
              <w:t>Descrierea fiecărui jalon și a fiecărei ținte</w:t>
            </w:r>
          </w:p>
        </w:tc>
      </w:tr>
      <w:tr w:rsidR="00C45D59" w14:paraId="4FE29DCF" w14:textId="77777777" w:rsidTr="00E649D5">
        <w:trPr>
          <w:trHeight w:val="281"/>
          <w:tblHeader/>
        </w:trPr>
        <w:tc>
          <w:tcPr>
            <w:tcW w:w="675" w:type="dxa"/>
            <w:vMerge/>
            <w:vAlign w:val="center"/>
          </w:tcPr>
          <w:p w14:paraId="5720A99A" w14:textId="77777777" w:rsidR="00C45D59" w:rsidRDefault="00C45D59">
            <w:pPr>
              <w:spacing w:before="120" w:after="120" w:line="240" w:lineRule="auto"/>
              <w:jc w:val="center"/>
              <w:rPr>
                <w:rFonts w:ascii="Times New Roman" w:eastAsia="Times New Roman" w:hAnsi="Times New Roman" w:cs="Times New Roman"/>
                <w:b/>
                <w:bCs/>
                <w:noProof/>
                <w:sz w:val="18"/>
                <w:szCs w:val="18"/>
              </w:rPr>
            </w:pPr>
          </w:p>
        </w:tc>
        <w:tc>
          <w:tcPr>
            <w:tcW w:w="1985" w:type="dxa"/>
            <w:vMerge/>
            <w:vAlign w:val="center"/>
          </w:tcPr>
          <w:p w14:paraId="1B174D18" w14:textId="77777777" w:rsidR="00C45D59" w:rsidRDefault="00C45D59">
            <w:pPr>
              <w:spacing w:before="120" w:after="120" w:line="240" w:lineRule="auto"/>
              <w:jc w:val="center"/>
              <w:rPr>
                <w:rFonts w:ascii="Times New Roman" w:eastAsia="Times New Roman" w:hAnsi="Times New Roman" w:cs="Times New Roman"/>
                <w:b/>
                <w:bCs/>
                <w:noProof/>
                <w:sz w:val="18"/>
                <w:szCs w:val="18"/>
              </w:rPr>
            </w:pPr>
          </w:p>
        </w:tc>
        <w:tc>
          <w:tcPr>
            <w:tcW w:w="992" w:type="dxa"/>
            <w:vMerge/>
            <w:vAlign w:val="center"/>
          </w:tcPr>
          <w:p w14:paraId="67F54485" w14:textId="77777777" w:rsidR="00C45D59" w:rsidRDefault="00C45D59">
            <w:pPr>
              <w:spacing w:before="120" w:after="120" w:line="240" w:lineRule="auto"/>
              <w:jc w:val="center"/>
              <w:rPr>
                <w:rFonts w:ascii="Times New Roman" w:eastAsia="Times New Roman" w:hAnsi="Times New Roman" w:cs="Times New Roman"/>
                <w:b/>
                <w:bCs/>
                <w:noProof/>
                <w:sz w:val="18"/>
                <w:szCs w:val="18"/>
              </w:rPr>
            </w:pPr>
          </w:p>
        </w:tc>
        <w:tc>
          <w:tcPr>
            <w:tcW w:w="1843" w:type="dxa"/>
            <w:vMerge/>
            <w:vAlign w:val="center"/>
          </w:tcPr>
          <w:p w14:paraId="47528200" w14:textId="77777777" w:rsidR="00C45D59" w:rsidRDefault="00C45D59">
            <w:pPr>
              <w:spacing w:before="120" w:after="120" w:line="240" w:lineRule="auto"/>
              <w:jc w:val="center"/>
              <w:rPr>
                <w:rFonts w:ascii="Times New Roman" w:eastAsia="Times New Roman" w:hAnsi="Times New Roman" w:cs="Times New Roman"/>
                <w:b/>
                <w:bCs/>
                <w:noProof/>
                <w:sz w:val="18"/>
                <w:szCs w:val="18"/>
              </w:rPr>
            </w:pPr>
          </w:p>
        </w:tc>
        <w:tc>
          <w:tcPr>
            <w:tcW w:w="1559" w:type="dxa"/>
            <w:vMerge/>
            <w:vAlign w:val="center"/>
          </w:tcPr>
          <w:p w14:paraId="4352121E" w14:textId="77777777" w:rsidR="00C45D59" w:rsidRDefault="00C45D59">
            <w:pPr>
              <w:spacing w:before="120" w:after="120" w:line="240" w:lineRule="auto"/>
              <w:jc w:val="center"/>
              <w:rPr>
                <w:rFonts w:ascii="Times New Roman" w:eastAsia="Times New Roman" w:hAnsi="Times New Roman" w:cs="Times New Roman"/>
                <w:b/>
                <w:bCs/>
                <w:noProof/>
                <w:sz w:val="18"/>
                <w:szCs w:val="18"/>
              </w:rPr>
            </w:pPr>
          </w:p>
        </w:tc>
        <w:tc>
          <w:tcPr>
            <w:tcW w:w="992" w:type="dxa"/>
            <w:shd w:val="clear" w:color="auto" w:fill="BDD7EE"/>
            <w:vAlign w:val="center"/>
          </w:tcPr>
          <w:p w14:paraId="3E8DD3C1" w14:textId="77777777" w:rsidR="00C45D59" w:rsidRDefault="009B0962">
            <w:pPr>
              <w:pStyle w:val="P68B1DB1-Normal10"/>
              <w:spacing w:before="120" w:after="120" w:line="240" w:lineRule="auto"/>
              <w:jc w:val="center"/>
              <w:rPr>
                <w:rFonts w:eastAsia="Times New Roman" w:cs="Times New Roman"/>
                <w:bCs/>
                <w:noProof/>
                <w:szCs w:val="18"/>
              </w:rPr>
            </w:pPr>
            <w:r>
              <w:rPr>
                <w:noProof/>
              </w:rPr>
              <w:t>Unitatea de măsură</w:t>
            </w:r>
          </w:p>
        </w:tc>
        <w:tc>
          <w:tcPr>
            <w:tcW w:w="869" w:type="dxa"/>
            <w:shd w:val="clear" w:color="auto" w:fill="BDD7EE"/>
            <w:vAlign w:val="center"/>
          </w:tcPr>
          <w:p w14:paraId="62015832" w14:textId="77777777" w:rsidR="00C45D59" w:rsidRDefault="009B0962">
            <w:pPr>
              <w:pStyle w:val="P68B1DB1-Normal10"/>
              <w:spacing w:before="120" w:after="120" w:line="240" w:lineRule="auto"/>
              <w:jc w:val="center"/>
              <w:rPr>
                <w:rFonts w:eastAsia="Times New Roman" w:cs="Times New Roman"/>
                <w:bCs/>
                <w:noProof/>
                <w:szCs w:val="18"/>
              </w:rPr>
            </w:pPr>
            <w:r>
              <w:rPr>
                <w:noProof/>
              </w:rPr>
              <w:t>Situația de referință</w:t>
            </w:r>
          </w:p>
        </w:tc>
        <w:tc>
          <w:tcPr>
            <w:tcW w:w="832" w:type="dxa"/>
            <w:shd w:val="clear" w:color="auto" w:fill="BDD7EE"/>
            <w:vAlign w:val="center"/>
          </w:tcPr>
          <w:p w14:paraId="68A16222" w14:textId="77777777" w:rsidR="00C45D59" w:rsidRDefault="009B0962">
            <w:pPr>
              <w:pStyle w:val="P68B1DB1-Normal10"/>
              <w:spacing w:before="120" w:after="120" w:line="240" w:lineRule="auto"/>
              <w:jc w:val="center"/>
              <w:rPr>
                <w:rFonts w:eastAsia="Times New Roman" w:cs="Times New Roman"/>
                <w:bCs/>
                <w:noProof/>
                <w:szCs w:val="18"/>
              </w:rPr>
            </w:pPr>
            <w:r>
              <w:rPr>
                <w:noProof/>
              </w:rPr>
              <w:t>Obiectiv</w:t>
            </w:r>
          </w:p>
        </w:tc>
        <w:tc>
          <w:tcPr>
            <w:tcW w:w="1071" w:type="dxa"/>
            <w:shd w:val="clear" w:color="auto" w:fill="BDD7EE"/>
            <w:vAlign w:val="center"/>
          </w:tcPr>
          <w:p w14:paraId="123EA8BE" w14:textId="77777777" w:rsidR="00C45D59" w:rsidRDefault="009B0962">
            <w:pPr>
              <w:pStyle w:val="P68B1DB1-Normal10"/>
              <w:spacing w:before="120" w:after="120" w:line="240" w:lineRule="auto"/>
              <w:jc w:val="center"/>
              <w:rPr>
                <w:rFonts w:eastAsia="Times New Roman" w:cs="Times New Roman"/>
                <w:bCs/>
                <w:noProof/>
                <w:szCs w:val="18"/>
              </w:rPr>
            </w:pPr>
            <w:r>
              <w:rPr>
                <w:noProof/>
              </w:rPr>
              <w:t>Trimestru</w:t>
            </w:r>
          </w:p>
        </w:tc>
        <w:tc>
          <w:tcPr>
            <w:tcW w:w="1170" w:type="dxa"/>
            <w:shd w:val="clear" w:color="auto" w:fill="BDD7EE"/>
            <w:vAlign w:val="center"/>
          </w:tcPr>
          <w:p w14:paraId="08DC3434" w14:textId="77777777" w:rsidR="00C45D59" w:rsidRDefault="009B0962">
            <w:pPr>
              <w:pStyle w:val="P68B1DB1-Normal10"/>
              <w:spacing w:before="120" w:after="120" w:line="240" w:lineRule="auto"/>
              <w:jc w:val="center"/>
              <w:rPr>
                <w:rFonts w:eastAsia="Times New Roman" w:cs="Times New Roman"/>
                <w:bCs/>
                <w:noProof/>
                <w:szCs w:val="18"/>
              </w:rPr>
            </w:pPr>
            <w:r>
              <w:rPr>
                <w:noProof/>
              </w:rPr>
              <w:t>Anul</w:t>
            </w:r>
          </w:p>
        </w:tc>
        <w:tc>
          <w:tcPr>
            <w:tcW w:w="3571" w:type="dxa"/>
            <w:vMerge/>
            <w:vAlign w:val="center"/>
          </w:tcPr>
          <w:p w14:paraId="02CB64B1" w14:textId="77777777" w:rsidR="00C45D59" w:rsidRDefault="00C45D59">
            <w:pPr>
              <w:spacing w:before="120" w:after="120" w:line="240" w:lineRule="auto"/>
              <w:jc w:val="center"/>
              <w:rPr>
                <w:rFonts w:ascii="Times New Roman" w:eastAsia="Times New Roman" w:hAnsi="Times New Roman" w:cs="Times New Roman"/>
                <w:b/>
                <w:bCs/>
                <w:noProof/>
                <w:sz w:val="18"/>
                <w:szCs w:val="18"/>
              </w:rPr>
            </w:pPr>
          </w:p>
        </w:tc>
      </w:tr>
      <w:tr w:rsidR="00C45D59" w14:paraId="6F4F0FF5" w14:textId="77777777" w:rsidTr="00E649D5">
        <w:tc>
          <w:tcPr>
            <w:tcW w:w="675" w:type="dxa"/>
            <w:shd w:val="clear" w:color="auto" w:fill="C6EFCE"/>
            <w:noWrap/>
          </w:tcPr>
          <w:p w14:paraId="43CD014B" w14:textId="77777777" w:rsidR="00C45D59" w:rsidRDefault="009B0962">
            <w:pPr>
              <w:pStyle w:val="P68B1DB1-Normal12"/>
              <w:spacing w:after="0" w:line="240" w:lineRule="auto"/>
              <w:rPr>
                <w:rFonts w:eastAsia="Times New Roman"/>
                <w:noProof/>
              </w:rPr>
            </w:pPr>
            <w:r>
              <w:rPr>
                <w:noProof/>
              </w:rPr>
              <w:t>361</w:t>
            </w:r>
          </w:p>
        </w:tc>
        <w:tc>
          <w:tcPr>
            <w:tcW w:w="1985" w:type="dxa"/>
            <w:shd w:val="clear" w:color="auto" w:fill="C6EFCE"/>
            <w:noWrap/>
          </w:tcPr>
          <w:p w14:paraId="2AB764BA" w14:textId="77777777" w:rsidR="00C45D59" w:rsidRDefault="009B0962">
            <w:pPr>
              <w:pStyle w:val="P68B1DB1-Normal12"/>
              <w:spacing w:after="0" w:line="240" w:lineRule="auto"/>
              <w:rPr>
                <w:noProof/>
              </w:rPr>
            </w:pPr>
            <w:r>
              <w:rPr>
                <w:noProof/>
              </w:rPr>
              <w:t>20-5. Reformele REPowerEU – 16992_Set de instrumente pentru promovarea partajării energiei, a autoconsumului și a comunităților de energie din surse regenerabile</w:t>
            </w:r>
          </w:p>
        </w:tc>
        <w:tc>
          <w:tcPr>
            <w:tcW w:w="992" w:type="dxa"/>
            <w:shd w:val="clear" w:color="auto" w:fill="C6EFCE"/>
            <w:noWrap/>
          </w:tcPr>
          <w:p w14:paraId="589FFC2D" w14:textId="77777777" w:rsidR="00C45D59" w:rsidRDefault="009B0962">
            <w:pPr>
              <w:pStyle w:val="P68B1DB1-Normal12"/>
              <w:spacing w:after="120" w:line="240" w:lineRule="auto"/>
              <w:rPr>
                <w:noProof/>
              </w:rPr>
            </w:pPr>
            <w:r>
              <w:rPr>
                <w:noProof/>
              </w:rPr>
              <w:t>Etapă</w:t>
            </w:r>
          </w:p>
        </w:tc>
        <w:tc>
          <w:tcPr>
            <w:tcW w:w="1843" w:type="dxa"/>
            <w:shd w:val="clear" w:color="auto" w:fill="C6EFCE"/>
            <w:noWrap/>
          </w:tcPr>
          <w:p w14:paraId="0C9A2491" w14:textId="77777777" w:rsidR="00C45D59" w:rsidRDefault="009B0962">
            <w:pPr>
              <w:pStyle w:val="P68B1DB1-Normal12"/>
              <w:spacing w:after="0" w:line="240" w:lineRule="auto"/>
              <w:rPr>
                <w:rFonts w:eastAsia="Times New Roman"/>
                <w:noProof/>
              </w:rPr>
            </w:pPr>
            <w:r>
              <w:rPr>
                <w:noProof/>
              </w:rPr>
              <w:t>Intrarea în vigoare a legislației primare și secundare privind autoconsumul și facilitarea proceselor de autorizare pentru instalarea de stații SRE în clădirile de apartamente</w:t>
            </w:r>
          </w:p>
        </w:tc>
        <w:tc>
          <w:tcPr>
            <w:tcW w:w="1559" w:type="dxa"/>
            <w:shd w:val="clear" w:color="auto" w:fill="C6EFCE"/>
            <w:noWrap/>
          </w:tcPr>
          <w:p w14:paraId="10797677" w14:textId="77777777" w:rsidR="00C45D59" w:rsidRDefault="009B0962">
            <w:pPr>
              <w:pStyle w:val="P68B1DB1-Normal12"/>
              <w:spacing w:after="120" w:line="240" w:lineRule="auto"/>
              <w:rPr>
                <w:rFonts w:eastAsia="Times New Roman"/>
                <w:b/>
                <w:bCs/>
                <w:noProof/>
              </w:rPr>
            </w:pPr>
            <w:r>
              <w:rPr>
                <w:noProof/>
              </w:rPr>
              <w:t>Intrarea în vigoare a legislației primare și secundare</w:t>
            </w:r>
          </w:p>
        </w:tc>
        <w:tc>
          <w:tcPr>
            <w:tcW w:w="992" w:type="dxa"/>
            <w:shd w:val="clear" w:color="auto" w:fill="C6EFCE"/>
            <w:noWrap/>
          </w:tcPr>
          <w:p w14:paraId="1EC27804"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69" w:type="dxa"/>
            <w:shd w:val="clear" w:color="auto" w:fill="C6EFCE"/>
            <w:noWrap/>
          </w:tcPr>
          <w:p w14:paraId="2583018E"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32" w:type="dxa"/>
            <w:shd w:val="clear" w:color="auto" w:fill="C6EFCE"/>
            <w:noWrap/>
          </w:tcPr>
          <w:p w14:paraId="2DDF5EBB"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071" w:type="dxa"/>
            <w:shd w:val="clear" w:color="auto" w:fill="C6EFCE"/>
            <w:noWrap/>
          </w:tcPr>
          <w:p w14:paraId="6D4203F9" w14:textId="77777777" w:rsidR="00C45D59" w:rsidRDefault="009B0962">
            <w:pPr>
              <w:pStyle w:val="P68B1DB1-Normal12"/>
              <w:spacing w:after="120" w:line="240" w:lineRule="auto"/>
              <w:rPr>
                <w:rFonts w:eastAsia="Times New Roman"/>
                <w:noProof/>
              </w:rPr>
            </w:pPr>
            <w:r>
              <w:rPr>
                <w:noProof/>
              </w:rPr>
              <w:t>Î1</w:t>
            </w:r>
          </w:p>
        </w:tc>
        <w:tc>
          <w:tcPr>
            <w:tcW w:w="1170" w:type="dxa"/>
            <w:shd w:val="clear" w:color="auto" w:fill="C6EFCE"/>
            <w:noWrap/>
          </w:tcPr>
          <w:p w14:paraId="189F51B5" w14:textId="77777777" w:rsidR="00C45D59" w:rsidRDefault="009B0962">
            <w:pPr>
              <w:pStyle w:val="P68B1DB1-Normal12"/>
              <w:spacing w:after="120" w:line="240" w:lineRule="auto"/>
              <w:rPr>
                <w:rFonts w:eastAsia="Times New Roman"/>
                <w:noProof/>
              </w:rPr>
            </w:pPr>
            <w:r>
              <w:rPr>
                <w:noProof/>
              </w:rPr>
              <w:t>2024</w:t>
            </w:r>
          </w:p>
        </w:tc>
        <w:tc>
          <w:tcPr>
            <w:tcW w:w="3571" w:type="dxa"/>
            <w:shd w:val="clear" w:color="auto" w:fill="C6EFCE"/>
            <w:noWrap/>
          </w:tcPr>
          <w:p w14:paraId="330E561C" w14:textId="77777777" w:rsidR="00C45D59" w:rsidRDefault="009B0962">
            <w:pPr>
              <w:pStyle w:val="P68B1DB1-Normal12"/>
              <w:spacing w:after="0" w:line="240" w:lineRule="auto"/>
              <w:rPr>
                <w:rFonts w:eastAsia="Times New Roman"/>
                <w:noProof/>
              </w:rPr>
            </w:pPr>
            <w:r>
              <w:rPr>
                <w:noProof/>
              </w:rPr>
              <w:t>1. Intrarea în vigoare a legislației secundare prevăzute în Legea nr. 5037/2023. În special:</w:t>
            </w:r>
          </w:p>
          <w:p w14:paraId="480A4358" w14:textId="77777777" w:rsidR="00C45D59" w:rsidRDefault="009B0962">
            <w:pPr>
              <w:pStyle w:val="P68B1DB1-Normal12"/>
              <w:spacing w:after="120" w:line="240" w:lineRule="auto"/>
              <w:rPr>
                <w:rFonts w:eastAsia="Times New Roman"/>
                <w:noProof/>
              </w:rPr>
            </w:pPr>
            <w:r>
              <w:rPr>
                <w:noProof/>
              </w:rPr>
              <w:t>Intrarea în vigoare a deciziei (deciziilor) ministeriale pentru punerea în aplicare a autoconsumului, a autoconsumului prin facturarea netă virtuală și a autoconsumului colectiv, a facturării nete a energiei și a facturării nete virtuale, specificând, care decurg din articolele 64 și 66 din Legea nr. 5037/2023.</w:t>
            </w:r>
          </w:p>
          <w:p w14:paraId="4CC65245" w14:textId="77777777" w:rsidR="00C45D59" w:rsidRDefault="009B0962">
            <w:pPr>
              <w:pStyle w:val="P68B1DB1-Normal12"/>
              <w:spacing w:after="120" w:line="240" w:lineRule="auto"/>
              <w:rPr>
                <w:rFonts w:eastAsia="Times New Roman"/>
                <w:noProof/>
              </w:rPr>
            </w:pPr>
            <w:r>
              <w:rPr>
                <w:noProof/>
              </w:rPr>
              <w:t xml:space="preserve">2. Intrarea în vigoare a legislației primare pentru facilitarea proceselor de autorizare pentru instalarea de stații SRE în clădirile de apartamente (sau cu mai multe apartamente), inclusiv pentru a promova autoconsumul colectiv. Aceasta include norme pentru facilitarea procesului decizional, inclusiv introducerea unui proces bazat pe majoritate pentru instalarea SRE. </w:t>
            </w:r>
          </w:p>
        </w:tc>
      </w:tr>
      <w:tr w:rsidR="00C45D59" w14:paraId="613A02D1" w14:textId="77777777" w:rsidTr="00E649D5">
        <w:tc>
          <w:tcPr>
            <w:tcW w:w="675" w:type="dxa"/>
            <w:shd w:val="clear" w:color="auto" w:fill="C6EFCE"/>
            <w:noWrap/>
          </w:tcPr>
          <w:p w14:paraId="4724239D" w14:textId="77777777" w:rsidR="00C45D59" w:rsidRDefault="009B0962">
            <w:pPr>
              <w:pStyle w:val="P68B1DB1-Normal12"/>
              <w:spacing w:after="0" w:line="240" w:lineRule="auto"/>
              <w:rPr>
                <w:rFonts w:eastAsia="Times New Roman"/>
                <w:noProof/>
              </w:rPr>
            </w:pPr>
            <w:r>
              <w:rPr>
                <w:noProof/>
              </w:rPr>
              <w:t>362</w:t>
            </w:r>
          </w:p>
        </w:tc>
        <w:tc>
          <w:tcPr>
            <w:tcW w:w="1985" w:type="dxa"/>
            <w:shd w:val="clear" w:color="auto" w:fill="C6EFCE"/>
            <w:noWrap/>
          </w:tcPr>
          <w:p w14:paraId="50771061" w14:textId="77777777" w:rsidR="00C45D59" w:rsidRDefault="009B0962">
            <w:pPr>
              <w:pStyle w:val="P68B1DB1-Normal12"/>
              <w:spacing w:after="0" w:line="240" w:lineRule="auto"/>
              <w:rPr>
                <w:rFonts w:eastAsia="Times New Roman"/>
                <w:noProof/>
              </w:rPr>
            </w:pPr>
            <w:r>
              <w:rPr>
                <w:noProof/>
              </w:rPr>
              <w:t>20-5. Reformele REPowerEU – 16992_Set de instrumente pentru promovarea partajării energiei, a autoconsumului și a comunităților de energie din surse regenerabile</w:t>
            </w:r>
          </w:p>
        </w:tc>
        <w:tc>
          <w:tcPr>
            <w:tcW w:w="992" w:type="dxa"/>
            <w:shd w:val="clear" w:color="auto" w:fill="C6EFCE"/>
            <w:noWrap/>
          </w:tcPr>
          <w:p w14:paraId="02BC4AFC" w14:textId="77777777" w:rsidR="00C45D59" w:rsidRDefault="009B0962">
            <w:pPr>
              <w:pStyle w:val="P68B1DB1-Normal12"/>
              <w:spacing w:after="120" w:line="240" w:lineRule="auto"/>
              <w:rPr>
                <w:rFonts w:eastAsia="Times New Roman"/>
                <w:noProof/>
              </w:rPr>
            </w:pPr>
            <w:r>
              <w:rPr>
                <w:noProof/>
              </w:rPr>
              <w:t>Etapă</w:t>
            </w:r>
          </w:p>
        </w:tc>
        <w:tc>
          <w:tcPr>
            <w:tcW w:w="1843" w:type="dxa"/>
            <w:shd w:val="clear" w:color="auto" w:fill="C6EFCE"/>
            <w:noWrap/>
          </w:tcPr>
          <w:p w14:paraId="0C954EB0" w14:textId="77777777" w:rsidR="00C45D59" w:rsidRDefault="009B0962">
            <w:pPr>
              <w:pStyle w:val="P68B1DB1-Normal12"/>
              <w:spacing w:after="120" w:line="240" w:lineRule="auto"/>
              <w:rPr>
                <w:rFonts w:eastAsia="Times New Roman"/>
                <w:noProof/>
              </w:rPr>
            </w:pPr>
            <w:r>
              <w:rPr>
                <w:noProof/>
              </w:rPr>
              <w:t>Crearea Registrului consumatorilor autonomi și asistența tehnică pentru comunitățile de energie</w:t>
            </w:r>
          </w:p>
        </w:tc>
        <w:tc>
          <w:tcPr>
            <w:tcW w:w="1559" w:type="dxa"/>
            <w:shd w:val="clear" w:color="auto" w:fill="C6EFCE"/>
            <w:noWrap/>
          </w:tcPr>
          <w:p w14:paraId="56F85EB3" w14:textId="6070A826" w:rsidR="00C45D59" w:rsidRDefault="009B0962">
            <w:pPr>
              <w:pStyle w:val="P68B1DB1-Normal12"/>
              <w:spacing w:after="120" w:line="240" w:lineRule="auto"/>
              <w:rPr>
                <w:rFonts w:eastAsia="Times New Roman"/>
                <w:noProof/>
              </w:rPr>
            </w:pPr>
            <w:r>
              <w:rPr>
                <w:noProof/>
              </w:rPr>
              <w:t>Intrarea în vigoare a actului (actelor) juridic (e) și a raportului de punere în aplicare al Ministerului Mediului și Energiei care certifică instituirea asistenței tehnice</w:t>
            </w:r>
          </w:p>
        </w:tc>
        <w:tc>
          <w:tcPr>
            <w:tcW w:w="992" w:type="dxa"/>
            <w:shd w:val="clear" w:color="auto" w:fill="C6EFCE"/>
            <w:noWrap/>
          </w:tcPr>
          <w:p w14:paraId="1155E2AC" w14:textId="77777777" w:rsidR="00C45D59" w:rsidRDefault="00C45D59">
            <w:pPr>
              <w:spacing w:after="120" w:line="240" w:lineRule="auto"/>
              <w:rPr>
                <w:rFonts w:ascii="Times New Roman" w:hAnsi="Times New Roman" w:cs="Times New Roman"/>
                <w:noProof/>
                <w:sz w:val="18"/>
                <w:szCs w:val="18"/>
              </w:rPr>
            </w:pPr>
          </w:p>
        </w:tc>
        <w:tc>
          <w:tcPr>
            <w:tcW w:w="869" w:type="dxa"/>
            <w:shd w:val="clear" w:color="auto" w:fill="C6EFCE"/>
            <w:noWrap/>
          </w:tcPr>
          <w:p w14:paraId="26E58906" w14:textId="77777777" w:rsidR="00C45D59" w:rsidRDefault="00C45D59">
            <w:pPr>
              <w:spacing w:after="120" w:line="240" w:lineRule="auto"/>
              <w:rPr>
                <w:rFonts w:ascii="Times New Roman" w:hAnsi="Times New Roman" w:cs="Times New Roman"/>
                <w:noProof/>
                <w:sz w:val="18"/>
                <w:szCs w:val="18"/>
              </w:rPr>
            </w:pPr>
          </w:p>
        </w:tc>
        <w:tc>
          <w:tcPr>
            <w:tcW w:w="832" w:type="dxa"/>
            <w:shd w:val="clear" w:color="auto" w:fill="C6EFCE"/>
            <w:noWrap/>
          </w:tcPr>
          <w:p w14:paraId="4EC668EC" w14:textId="77777777" w:rsidR="00C45D59" w:rsidRDefault="00C45D59">
            <w:pPr>
              <w:spacing w:after="120" w:line="240" w:lineRule="auto"/>
              <w:rPr>
                <w:rFonts w:ascii="Times New Roman" w:hAnsi="Times New Roman" w:cs="Times New Roman"/>
                <w:noProof/>
                <w:sz w:val="18"/>
                <w:szCs w:val="18"/>
              </w:rPr>
            </w:pPr>
          </w:p>
        </w:tc>
        <w:tc>
          <w:tcPr>
            <w:tcW w:w="1071" w:type="dxa"/>
            <w:shd w:val="clear" w:color="auto" w:fill="C6EFCE"/>
            <w:noWrap/>
          </w:tcPr>
          <w:p w14:paraId="2CB3F2FD" w14:textId="77777777" w:rsidR="00C45D59" w:rsidRDefault="009B0962">
            <w:pPr>
              <w:pStyle w:val="P68B1DB1-Normal12"/>
              <w:spacing w:after="120" w:line="240" w:lineRule="auto"/>
              <w:rPr>
                <w:rFonts w:eastAsia="Times New Roman"/>
                <w:noProof/>
              </w:rPr>
            </w:pPr>
            <w:r>
              <w:rPr>
                <w:noProof/>
              </w:rPr>
              <w:t>Î1</w:t>
            </w:r>
          </w:p>
        </w:tc>
        <w:tc>
          <w:tcPr>
            <w:tcW w:w="1170" w:type="dxa"/>
            <w:shd w:val="clear" w:color="auto" w:fill="C6EFCE"/>
            <w:noWrap/>
          </w:tcPr>
          <w:p w14:paraId="0E7D91CE" w14:textId="77777777" w:rsidR="00C45D59" w:rsidRDefault="009B0962">
            <w:pPr>
              <w:pStyle w:val="P68B1DB1-Normal12"/>
              <w:spacing w:after="120" w:line="240" w:lineRule="auto"/>
              <w:rPr>
                <w:rFonts w:eastAsia="Times New Roman"/>
                <w:noProof/>
              </w:rPr>
            </w:pPr>
            <w:r>
              <w:rPr>
                <w:noProof/>
              </w:rPr>
              <w:t>2025</w:t>
            </w:r>
          </w:p>
        </w:tc>
        <w:tc>
          <w:tcPr>
            <w:tcW w:w="3571" w:type="dxa"/>
            <w:shd w:val="clear" w:color="auto" w:fill="C6EFCE"/>
            <w:noWrap/>
          </w:tcPr>
          <w:p w14:paraId="024F40AA" w14:textId="496C79A6" w:rsidR="00C45D59" w:rsidRDefault="009B0962">
            <w:pPr>
              <w:pStyle w:val="P68B1DB1-Normal12"/>
              <w:spacing w:after="0" w:line="240" w:lineRule="auto"/>
              <w:rPr>
                <w:noProof/>
              </w:rPr>
            </w:pPr>
            <w:r>
              <w:rPr>
                <w:noProof/>
              </w:rPr>
              <w:t xml:space="preserve">Intrarea în vigoare a actului juridic de instituire a unui Registru al consumatorilor autonomi și de instituire a asistenței tehnice pentru a sprijini dezvoltarea și funcționarea comunităților de energie. Registrul consumatorilor autonomi se utilizează pentru analiza datelor și analiza statistică, facilitând în același timp interoperabilitatea și schimbul de informații. </w:t>
            </w:r>
          </w:p>
          <w:p w14:paraId="35706F68" w14:textId="77777777" w:rsidR="00C45D59" w:rsidRDefault="00C45D59">
            <w:pPr>
              <w:spacing w:after="0" w:line="240" w:lineRule="auto"/>
              <w:rPr>
                <w:rFonts w:ascii="Times New Roman" w:eastAsia="Times New Roman" w:hAnsi="Times New Roman" w:cs="Times New Roman"/>
                <w:noProof/>
                <w:color w:val="006100"/>
                <w:sz w:val="18"/>
                <w:szCs w:val="18"/>
              </w:rPr>
            </w:pPr>
          </w:p>
          <w:p w14:paraId="356EC4B9" w14:textId="26798CBA" w:rsidR="00C45D59" w:rsidRDefault="009B0962">
            <w:pPr>
              <w:pStyle w:val="P68B1DB1-Normal12"/>
              <w:spacing w:after="0" w:line="240" w:lineRule="auto"/>
              <w:rPr>
                <w:rFonts w:eastAsia="Times New Roman"/>
                <w:noProof/>
              </w:rPr>
            </w:pPr>
            <w:r>
              <w:rPr>
                <w:noProof/>
              </w:rPr>
              <w:t>Desemnarea unei entități competente pentru gestionarea Registrului Autoconsumatorilor.</w:t>
            </w:r>
          </w:p>
          <w:p w14:paraId="757DB2D0" w14:textId="77777777" w:rsidR="00C45D59" w:rsidRDefault="00C45D59">
            <w:pPr>
              <w:spacing w:after="0" w:line="240" w:lineRule="auto"/>
              <w:rPr>
                <w:rFonts w:ascii="Times New Roman" w:eastAsia="Times New Roman" w:hAnsi="Times New Roman" w:cs="Times New Roman"/>
                <w:noProof/>
                <w:color w:val="006100"/>
                <w:sz w:val="18"/>
                <w:szCs w:val="18"/>
              </w:rPr>
            </w:pPr>
          </w:p>
          <w:p w14:paraId="7241CBF2" w14:textId="47A1D837" w:rsidR="00C45D59" w:rsidRDefault="009B0962">
            <w:pPr>
              <w:pStyle w:val="P68B1DB1-Normal12"/>
              <w:spacing w:after="0" w:line="240" w:lineRule="auto"/>
              <w:rPr>
                <w:rFonts w:eastAsia="Times New Roman"/>
                <w:noProof/>
              </w:rPr>
            </w:pPr>
            <w:r>
              <w:rPr>
                <w:noProof/>
              </w:rPr>
              <w:t xml:space="preserve">Prezentarea raportului de punere în aplicare care certifică instituirea asistenței tehnice pentru comunitățile de energie, inclusiv a punctelor de contact interactive. </w:t>
            </w:r>
          </w:p>
        </w:tc>
      </w:tr>
    </w:tbl>
    <w:p w14:paraId="098AE82B" w14:textId="77777777" w:rsidR="00C45D59" w:rsidRDefault="009B0962">
      <w:pPr>
        <w:pStyle w:val="P68B1DB1-Normal9"/>
        <w:keepNext/>
        <w:keepLines/>
        <w:spacing w:before="240" w:after="0" w:line="240" w:lineRule="auto"/>
        <w:jc w:val="both"/>
        <w:outlineLvl w:val="4"/>
        <w:rPr>
          <w:rFonts w:eastAsia="Times New Roman"/>
          <w:noProof/>
        </w:rPr>
      </w:pPr>
      <w:r>
        <w:rPr>
          <w:noProof/>
        </w:rPr>
        <w:t>Reforma 7: Foaie de parcurs pentru intervenții inovatoare în domeniul eficienței energetice și identificarea de noi instrumente financiare (identificatorul măsurii: 16993)</w:t>
      </w:r>
    </w:p>
    <w:tbl>
      <w:tblPr>
        <w:tblW w:w="15339" w:type="dxa"/>
        <w:tblInd w:w="-31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4A0" w:firstRow="1" w:lastRow="0" w:firstColumn="1" w:lastColumn="0" w:noHBand="0" w:noVBand="1"/>
      </w:tblPr>
      <w:tblGrid>
        <w:gridCol w:w="786"/>
        <w:gridCol w:w="2280"/>
        <w:gridCol w:w="1376"/>
        <w:gridCol w:w="1333"/>
        <w:gridCol w:w="1553"/>
        <w:gridCol w:w="1205"/>
        <w:gridCol w:w="927"/>
        <w:gridCol w:w="866"/>
        <w:gridCol w:w="1006"/>
        <w:gridCol w:w="720"/>
        <w:gridCol w:w="3700"/>
      </w:tblGrid>
      <w:tr w:rsidR="00C45D59" w14:paraId="21427498" w14:textId="77777777">
        <w:trPr>
          <w:trHeight w:val="927"/>
          <w:tblHeader/>
        </w:trPr>
        <w:tc>
          <w:tcPr>
            <w:tcW w:w="786" w:type="dxa"/>
            <w:vMerge w:val="restart"/>
            <w:shd w:val="clear" w:color="auto" w:fill="BDD7EE"/>
            <w:vAlign w:val="center"/>
            <w:hideMark/>
          </w:tcPr>
          <w:p w14:paraId="30F95DBD" w14:textId="6A2CC68F" w:rsidR="00C45D59" w:rsidRDefault="00097639">
            <w:pPr>
              <w:pStyle w:val="P68B1DB1-Normal10"/>
              <w:spacing w:after="0" w:line="240" w:lineRule="auto"/>
              <w:jc w:val="center"/>
              <w:rPr>
                <w:rFonts w:eastAsia="Times New Roman" w:cs="Times New Roman"/>
                <w:bCs/>
                <w:noProof/>
                <w:szCs w:val="18"/>
              </w:rPr>
            </w:pPr>
            <w:r>
              <w:rPr>
                <w:noProof/>
              </w:rPr>
              <w:t xml:space="preserve">Nr. crt. </w:t>
            </w:r>
          </w:p>
        </w:tc>
        <w:tc>
          <w:tcPr>
            <w:tcW w:w="2280" w:type="dxa"/>
            <w:vMerge w:val="restart"/>
            <w:shd w:val="clear" w:color="auto" w:fill="BDD7EE"/>
            <w:vAlign w:val="center"/>
            <w:hideMark/>
          </w:tcPr>
          <w:p w14:paraId="698DE443" w14:textId="77777777" w:rsidR="00C45D59" w:rsidRDefault="009B0962">
            <w:pPr>
              <w:pStyle w:val="P68B1DB1-Normal10"/>
              <w:spacing w:after="0" w:line="240" w:lineRule="auto"/>
              <w:jc w:val="center"/>
              <w:rPr>
                <w:rFonts w:eastAsia="Times New Roman" w:cs="Times New Roman"/>
                <w:bCs/>
                <w:noProof/>
                <w:szCs w:val="18"/>
              </w:rPr>
            </w:pPr>
            <w:r>
              <w:rPr>
                <w:noProof/>
              </w:rPr>
              <w:t>Măsură conexă (reformă sau investiții)</w:t>
            </w:r>
          </w:p>
        </w:tc>
        <w:tc>
          <w:tcPr>
            <w:tcW w:w="1200" w:type="dxa"/>
            <w:vMerge w:val="restart"/>
            <w:shd w:val="clear" w:color="auto" w:fill="BDD7EE"/>
            <w:vAlign w:val="center"/>
            <w:hideMark/>
          </w:tcPr>
          <w:p w14:paraId="037ADEEC" w14:textId="77777777" w:rsidR="00C45D59" w:rsidRDefault="009B0962">
            <w:pPr>
              <w:pStyle w:val="P68B1DB1-Normal10"/>
              <w:spacing w:after="0" w:line="240" w:lineRule="auto"/>
              <w:jc w:val="center"/>
              <w:rPr>
                <w:rFonts w:eastAsia="Times New Roman" w:cs="Times New Roman"/>
                <w:bCs/>
                <w:noProof/>
                <w:szCs w:val="18"/>
              </w:rPr>
            </w:pPr>
            <w:r>
              <w:rPr>
                <w:noProof/>
              </w:rPr>
              <w:t>Etapă/Obiectiv</w:t>
            </w:r>
          </w:p>
        </w:tc>
        <w:tc>
          <w:tcPr>
            <w:tcW w:w="1333" w:type="dxa"/>
            <w:vMerge w:val="restart"/>
            <w:shd w:val="clear" w:color="auto" w:fill="BDD7EE"/>
            <w:vAlign w:val="center"/>
            <w:hideMark/>
          </w:tcPr>
          <w:p w14:paraId="1BC6AB86" w14:textId="77777777" w:rsidR="00C45D59" w:rsidRDefault="009B0962">
            <w:pPr>
              <w:pStyle w:val="P68B1DB1-Normal10"/>
              <w:spacing w:after="0" w:line="240" w:lineRule="auto"/>
              <w:jc w:val="center"/>
              <w:rPr>
                <w:rFonts w:eastAsia="Times New Roman" w:cs="Times New Roman"/>
                <w:bCs/>
                <w:noProof/>
                <w:szCs w:val="18"/>
              </w:rPr>
            </w:pPr>
            <w:r>
              <w:rPr>
                <w:noProof/>
              </w:rPr>
              <w:t>Nume</w:t>
            </w:r>
          </w:p>
        </w:tc>
        <w:tc>
          <w:tcPr>
            <w:tcW w:w="1553" w:type="dxa"/>
            <w:vMerge w:val="restart"/>
            <w:shd w:val="clear" w:color="auto" w:fill="BDD7EE"/>
            <w:vAlign w:val="center"/>
            <w:hideMark/>
          </w:tcPr>
          <w:p w14:paraId="2FAEF877" w14:textId="77777777" w:rsidR="00C45D59" w:rsidRDefault="009B0962">
            <w:pPr>
              <w:pStyle w:val="P68B1DB1-Normal10"/>
              <w:spacing w:after="0" w:line="240" w:lineRule="auto"/>
              <w:jc w:val="center"/>
              <w:rPr>
                <w:rFonts w:eastAsia="Times New Roman" w:cs="Times New Roman"/>
                <w:bCs/>
                <w:noProof/>
                <w:szCs w:val="18"/>
              </w:rPr>
            </w:pPr>
            <w:r>
              <w:rPr>
                <w:noProof/>
              </w:rPr>
              <w:t>Indicatori calitativi (pentru obiectivele de etapă)</w:t>
            </w:r>
          </w:p>
        </w:tc>
        <w:tc>
          <w:tcPr>
            <w:tcW w:w="2845" w:type="dxa"/>
            <w:gridSpan w:val="3"/>
            <w:shd w:val="clear" w:color="auto" w:fill="BDD7EE"/>
            <w:vAlign w:val="center"/>
            <w:hideMark/>
          </w:tcPr>
          <w:p w14:paraId="667EBD54" w14:textId="77777777" w:rsidR="00C45D59" w:rsidRDefault="009B0962">
            <w:pPr>
              <w:pStyle w:val="P68B1DB1-Normal10"/>
              <w:spacing w:after="0" w:line="240" w:lineRule="auto"/>
              <w:jc w:val="center"/>
              <w:rPr>
                <w:rFonts w:eastAsia="Times New Roman" w:cs="Times New Roman"/>
                <w:bCs/>
                <w:noProof/>
                <w:szCs w:val="18"/>
              </w:rPr>
            </w:pPr>
            <w:r>
              <w:rPr>
                <w:noProof/>
              </w:rPr>
              <w:t>Indicatori cantitativi (pentru ținte)</w:t>
            </w:r>
          </w:p>
        </w:tc>
        <w:tc>
          <w:tcPr>
            <w:tcW w:w="1642" w:type="dxa"/>
            <w:gridSpan w:val="2"/>
            <w:shd w:val="clear" w:color="auto" w:fill="BDD7EE"/>
            <w:vAlign w:val="center"/>
            <w:hideMark/>
          </w:tcPr>
          <w:p w14:paraId="27322006" w14:textId="77777777" w:rsidR="00C45D59" w:rsidRDefault="009B0962">
            <w:pPr>
              <w:pStyle w:val="P68B1DB1-Normal10"/>
              <w:spacing w:after="0" w:line="240" w:lineRule="auto"/>
              <w:jc w:val="center"/>
              <w:rPr>
                <w:rFonts w:eastAsia="Times New Roman" w:cs="Times New Roman"/>
                <w:bCs/>
                <w:noProof/>
                <w:szCs w:val="18"/>
              </w:rPr>
            </w:pPr>
            <w:r>
              <w:rPr>
                <w:noProof/>
              </w:rPr>
              <w:t xml:space="preserve">Calendar orientativ pentru finalizare </w:t>
            </w:r>
          </w:p>
        </w:tc>
        <w:tc>
          <w:tcPr>
            <w:tcW w:w="3700" w:type="dxa"/>
            <w:vMerge w:val="restart"/>
            <w:shd w:val="clear" w:color="auto" w:fill="BDD7EE"/>
            <w:vAlign w:val="center"/>
            <w:hideMark/>
          </w:tcPr>
          <w:p w14:paraId="49035E38" w14:textId="77777777" w:rsidR="00C45D59" w:rsidRDefault="009B0962">
            <w:pPr>
              <w:pStyle w:val="P68B1DB1-Normal10"/>
              <w:spacing w:after="0" w:line="240" w:lineRule="auto"/>
              <w:jc w:val="center"/>
              <w:rPr>
                <w:rFonts w:eastAsia="Times New Roman" w:cs="Times New Roman"/>
                <w:bCs/>
                <w:noProof/>
                <w:szCs w:val="18"/>
              </w:rPr>
            </w:pPr>
            <w:r>
              <w:rPr>
                <w:noProof/>
              </w:rPr>
              <w:t>Descrierea fiecărui jalon și a fiecărei ținte</w:t>
            </w:r>
          </w:p>
        </w:tc>
      </w:tr>
      <w:tr w:rsidR="00C45D59" w14:paraId="4BF809CE" w14:textId="77777777">
        <w:trPr>
          <w:trHeight w:val="665"/>
        </w:trPr>
        <w:tc>
          <w:tcPr>
            <w:tcW w:w="786" w:type="dxa"/>
            <w:vMerge/>
            <w:vAlign w:val="center"/>
            <w:hideMark/>
          </w:tcPr>
          <w:p w14:paraId="0D7FB46D" w14:textId="77777777" w:rsidR="00C45D59" w:rsidRDefault="00C45D59">
            <w:pPr>
              <w:spacing w:after="0" w:line="240" w:lineRule="auto"/>
              <w:rPr>
                <w:rFonts w:ascii="Times New Roman" w:eastAsia="Times New Roman" w:hAnsi="Times New Roman" w:cs="Times New Roman"/>
                <w:b/>
                <w:bCs/>
                <w:noProof/>
                <w:sz w:val="18"/>
                <w:szCs w:val="18"/>
              </w:rPr>
            </w:pPr>
          </w:p>
        </w:tc>
        <w:tc>
          <w:tcPr>
            <w:tcW w:w="2280" w:type="dxa"/>
            <w:vMerge/>
            <w:vAlign w:val="center"/>
            <w:hideMark/>
          </w:tcPr>
          <w:p w14:paraId="77397ED4" w14:textId="77777777" w:rsidR="00C45D59" w:rsidRDefault="00C45D59">
            <w:pPr>
              <w:spacing w:after="0" w:line="240" w:lineRule="auto"/>
              <w:rPr>
                <w:rFonts w:ascii="Times New Roman" w:eastAsia="Times New Roman" w:hAnsi="Times New Roman" w:cs="Times New Roman"/>
                <w:b/>
                <w:bCs/>
                <w:noProof/>
                <w:sz w:val="18"/>
                <w:szCs w:val="18"/>
              </w:rPr>
            </w:pPr>
          </w:p>
        </w:tc>
        <w:tc>
          <w:tcPr>
            <w:tcW w:w="1200" w:type="dxa"/>
            <w:vMerge/>
            <w:vAlign w:val="center"/>
            <w:hideMark/>
          </w:tcPr>
          <w:p w14:paraId="73C384EC" w14:textId="77777777" w:rsidR="00C45D59" w:rsidRDefault="00C45D59">
            <w:pPr>
              <w:spacing w:after="0" w:line="240" w:lineRule="auto"/>
              <w:rPr>
                <w:rFonts w:ascii="Times New Roman" w:eastAsia="Times New Roman" w:hAnsi="Times New Roman" w:cs="Times New Roman"/>
                <w:b/>
                <w:bCs/>
                <w:noProof/>
                <w:sz w:val="18"/>
                <w:szCs w:val="18"/>
              </w:rPr>
            </w:pPr>
          </w:p>
        </w:tc>
        <w:tc>
          <w:tcPr>
            <w:tcW w:w="1333" w:type="dxa"/>
            <w:vMerge/>
            <w:vAlign w:val="center"/>
            <w:hideMark/>
          </w:tcPr>
          <w:p w14:paraId="2ECF3FF5" w14:textId="77777777" w:rsidR="00C45D59" w:rsidRDefault="00C45D59">
            <w:pPr>
              <w:spacing w:after="0" w:line="240" w:lineRule="auto"/>
              <w:rPr>
                <w:rFonts w:ascii="Times New Roman" w:eastAsia="Times New Roman" w:hAnsi="Times New Roman" w:cs="Times New Roman"/>
                <w:b/>
                <w:bCs/>
                <w:noProof/>
                <w:sz w:val="18"/>
                <w:szCs w:val="18"/>
              </w:rPr>
            </w:pPr>
          </w:p>
        </w:tc>
        <w:tc>
          <w:tcPr>
            <w:tcW w:w="1553" w:type="dxa"/>
            <w:vMerge/>
            <w:vAlign w:val="center"/>
            <w:hideMark/>
          </w:tcPr>
          <w:p w14:paraId="5FD554F9" w14:textId="77777777" w:rsidR="00C45D59" w:rsidRDefault="00C45D59">
            <w:pPr>
              <w:spacing w:after="0" w:line="240" w:lineRule="auto"/>
              <w:rPr>
                <w:rFonts w:ascii="Times New Roman" w:eastAsia="Times New Roman" w:hAnsi="Times New Roman" w:cs="Times New Roman"/>
                <w:b/>
                <w:bCs/>
                <w:noProof/>
                <w:sz w:val="18"/>
                <w:szCs w:val="18"/>
              </w:rPr>
            </w:pPr>
          </w:p>
        </w:tc>
        <w:tc>
          <w:tcPr>
            <w:tcW w:w="1205" w:type="dxa"/>
            <w:shd w:val="clear" w:color="auto" w:fill="BDD7EE"/>
            <w:vAlign w:val="center"/>
            <w:hideMark/>
          </w:tcPr>
          <w:p w14:paraId="1629AC6D" w14:textId="77777777" w:rsidR="00C45D59" w:rsidRDefault="009B0962">
            <w:pPr>
              <w:pStyle w:val="P68B1DB1-Normal10"/>
              <w:spacing w:after="0" w:line="240" w:lineRule="auto"/>
              <w:jc w:val="center"/>
              <w:rPr>
                <w:rFonts w:eastAsia="Times New Roman" w:cs="Times New Roman"/>
                <w:bCs/>
                <w:noProof/>
                <w:szCs w:val="18"/>
              </w:rPr>
            </w:pPr>
            <w:r>
              <w:rPr>
                <w:noProof/>
              </w:rPr>
              <w:t>Unitatea de măsură</w:t>
            </w:r>
          </w:p>
        </w:tc>
        <w:tc>
          <w:tcPr>
            <w:tcW w:w="927" w:type="dxa"/>
            <w:shd w:val="clear" w:color="auto" w:fill="BDD7EE"/>
            <w:vAlign w:val="center"/>
            <w:hideMark/>
          </w:tcPr>
          <w:p w14:paraId="57C88E83" w14:textId="77777777" w:rsidR="00C45D59" w:rsidRDefault="009B0962">
            <w:pPr>
              <w:pStyle w:val="P68B1DB1-Normal10"/>
              <w:spacing w:after="0" w:line="240" w:lineRule="auto"/>
              <w:jc w:val="center"/>
              <w:rPr>
                <w:rFonts w:eastAsia="Times New Roman" w:cs="Times New Roman"/>
                <w:bCs/>
                <w:noProof/>
                <w:szCs w:val="18"/>
              </w:rPr>
            </w:pPr>
            <w:r>
              <w:rPr>
                <w:noProof/>
              </w:rPr>
              <w:t xml:space="preserve">Situația de referință </w:t>
            </w:r>
          </w:p>
        </w:tc>
        <w:tc>
          <w:tcPr>
            <w:tcW w:w="713" w:type="dxa"/>
            <w:shd w:val="clear" w:color="auto" w:fill="BDD7EE"/>
            <w:vAlign w:val="center"/>
            <w:hideMark/>
          </w:tcPr>
          <w:p w14:paraId="44102B47" w14:textId="77777777" w:rsidR="00C45D59" w:rsidRDefault="009B0962">
            <w:pPr>
              <w:pStyle w:val="P68B1DB1-Normal10"/>
              <w:spacing w:after="0" w:line="240" w:lineRule="auto"/>
              <w:jc w:val="center"/>
              <w:rPr>
                <w:rFonts w:eastAsia="Times New Roman" w:cs="Times New Roman"/>
                <w:bCs/>
                <w:noProof/>
                <w:szCs w:val="18"/>
              </w:rPr>
            </w:pPr>
            <w:r>
              <w:rPr>
                <w:noProof/>
              </w:rPr>
              <w:t xml:space="preserve">Obiectiv </w:t>
            </w:r>
          </w:p>
        </w:tc>
        <w:tc>
          <w:tcPr>
            <w:tcW w:w="922" w:type="dxa"/>
            <w:shd w:val="clear" w:color="auto" w:fill="BDD7EE"/>
            <w:vAlign w:val="center"/>
            <w:hideMark/>
          </w:tcPr>
          <w:p w14:paraId="3B592E04" w14:textId="77777777" w:rsidR="00C45D59" w:rsidRDefault="009B0962">
            <w:pPr>
              <w:pStyle w:val="P68B1DB1-Normal10"/>
              <w:spacing w:after="0" w:line="240" w:lineRule="auto"/>
              <w:jc w:val="center"/>
              <w:rPr>
                <w:rFonts w:eastAsia="Times New Roman" w:cs="Times New Roman"/>
                <w:bCs/>
                <w:noProof/>
                <w:szCs w:val="18"/>
              </w:rPr>
            </w:pPr>
            <w:r>
              <w:rPr>
                <w:noProof/>
              </w:rPr>
              <w:t>Trimestru</w:t>
            </w:r>
          </w:p>
        </w:tc>
        <w:tc>
          <w:tcPr>
            <w:tcW w:w="720" w:type="dxa"/>
            <w:shd w:val="clear" w:color="auto" w:fill="BDD7EE"/>
            <w:vAlign w:val="center"/>
            <w:hideMark/>
          </w:tcPr>
          <w:p w14:paraId="67472685" w14:textId="77777777" w:rsidR="00C45D59" w:rsidRDefault="009B0962">
            <w:pPr>
              <w:pStyle w:val="P68B1DB1-Normal10"/>
              <w:spacing w:after="0" w:line="240" w:lineRule="auto"/>
              <w:jc w:val="center"/>
              <w:rPr>
                <w:rFonts w:eastAsia="Times New Roman" w:cs="Times New Roman"/>
                <w:bCs/>
                <w:noProof/>
                <w:szCs w:val="18"/>
              </w:rPr>
            </w:pPr>
            <w:r>
              <w:rPr>
                <w:noProof/>
              </w:rPr>
              <w:t>Anul</w:t>
            </w:r>
          </w:p>
        </w:tc>
        <w:tc>
          <w:tcPr>
            <w:tcW w:w="3700" w:type="dxa"/>
            <w:vMerge/>
            <w:vAlign w:val="center"/>
            <w:hideMark/>
          </w:tcPr>
          <w:p w14:paraId="2F9D98B4" w14:textId="77777777" w:rsidR="00C45D59" w:rsidRDefault="00C45D59">
            <w:pPr>
              <w:spacing w:after="0" w:line="240" w:lineRule="auto"/>
              <w:rPr>
                <w:rFonts w:ascii="Times New Roman" w:eastAsia="Times New Roman" w:hAnsi="Times New Roman" w:cs="Times New Roman"/>
                <w:b/>
                <w:bCs/>
                <w:noProof/>
                <w:sz w:val="18"/>
                <w:szCs w:val="18"/>
              </w:rPr>
            </w:pPr>
          </w:p>
        </w:tc>
      </w:tr>
      <w:tr w:rsidR="00C45D59" w14:paraId="59A9BF2D" w14:textId="77777777">
        <w:tc>
          <w:tcPr>
            <w:tcW w:w="786" w:type="dxa"/>
            <w:shd w:val="clear" w:color="auto" w:fill="C6EFCE"/>
            <w:noWrap/>
          </w:tcPr>
          <w:p w14:paraId="059D0A91" w14:textId="77777777" w:rsidR="00C45D59" w:rsidRDefault="009B0962">
            <w:pPr>
              <w:pStyle w:val="P68B1DB1-Normal12"/>
              <w:spacing w:after="0" w:line="240" w:lineRule="auto"/>
              <w:rPr>
                <w:rFonts w:eastAsia="Times New Roman"/>
                <w:noProof/>
              </w:rPr>
            </w:pPr>
            <w:r>
              <w:rPr>
                <w:noProof/>
              </w:rPr>
              <w:t>363</w:t>
            </w:r>
          </w:p>
        </w:tc>
        <w:tc>
          <w:tcPr>
            <w:tcW w:w="2280" w:type="dxa"/>
            <w:shd w:val="clear" w:color="auto" w:fill="C6EFCE"/>
            <w:noWrap/>
          </w:tcPr>
          <w:p w14:paraId="74AB1146" w14:textId="77777777" w:rsidR="00C45D59" w:rsidRDefault="009B0962">
            <w:pPr>
              <w:pStyle w:val="P68B1DB1-Normal12"/>
              <w:spacing w:after="0" w:line="240" w:lineRule="auto"/>
              <w:rPr>
                <w:rFonts w:eastAsia="Times New Roman"/>
                <w:noProof/>
              </w:rPr>
            </w:pPr>
            <w:r>
              <w:rPr>
                <w:noProof/>
              </w:rPr>
              <w:t>20-5. Reformele REPowerEU – 16993_Foaie de parcurs pentru intervenții inovatoare în domeniul eficienței energetice și identificarea de noi instrumente financiare</w:t>
            </w:r>
          </w:p>
        </w:tc>
        <w:tc>
          <w:tcPr>
            <w:tcW w:w="1200" w:type="dxa"/>
            <w:shd w:val="clear" w:color="auto" w:fill="C6EFCE"/>
            <w:noWrap/>
          </w:tcPr>
          <w:p w14:paraId="61C297E6" w14:textId="77777777" w:rsidR="00C45D59" w:rsidRDefault="009B0962">
            <w:pPr>
              <w:pStyle w:val="P68B1DB1-Normal12"/>
              <w:spacing w:after="0" w:line="240" w:lineRule="auto"/>
              <w:rPr>
                <w:rFonts w:eastAsia="Times New Roman"/>
                <w:noProof/>
              </w:rPr>
            </w:pPr>
            <w:r>
              <w:rPr>
                <w:noProof/>
              </w:rPr>
              <w:t>Etapă</w:t>
            </w:r>
          </w:p>
        </w:tc>
        <w:tc>
          <w:tcPr>
            <w:tcW w:w="1333" w:type="dxa"/>
            <w:shd w:val="clear" w:color="auto" w:fill="C6EFCE"/>
            <w:noWrap/>
          </w:tcPr>
          <w:p w14:paraId="014A3AEF" w14:textId="77777777" w:rsidR="00C45D59" w:rsidRDefault="009B0962">
            <w:pPr>
              <w:pStyle w:val="P68B1DB1-Normal12"/>
              <w:spacing w:after="0" w:line="240" w:lineRule="auto"/>
              <w:rPr>
                <w:rFonts w:eastAsia="Times New Roman"/>
                <w:noProof/>
              </w:rPr>
            </w:pPr>
            <w:r>
              <w:rPr>
                <w:noProof/>
              </w:rPr>
              <w:t>Stabilirea unei foi de parcurs pentru intervenții inovatoare în materie de eficiență energetică și a unui cadru juridic</w:t>
            </w:r>
          </w:p>
        </w:tc>
        <w:tc>
          <w:tcPr>
            <w:tcW w:w="1553" w:type="dxa"/>
            <w:shd w:val="clear" w:color="auto" w:fill="C6EFCE"/>
            <w:noWrap/>
          </w:tcPr>
          <w:p w14:paraId="17C39747" w14:textId="77777777" w:rsidR="00C45D59" w:rsidRDefault="009B0962">
            <w:pPr>
              <w:pStyle w:val="P68B1DB1-Normal12"/>
              <w:spacing w:after="0" w:line="240" w:lineRule="auto"/>
              <w:rPr>
                <w:rFonts w:eastAsia="Times New Roman"/>
                <w:noProof/>
              </w:rPr>
            </w:pPr>
            <w:r>
              <w:rPr>
                <w:noProof/>
              </w:rPr>
              <w:t>Intrarea în vigoare a legislației</w:t>
            </w:r>
          </w:p>
        </w:tc>
        <w:tc>
          <w:tcPr>
            <w:tcW w:w="1205" w:type="dxa"/>
            <w:shd w:val="clear" w:color="auto" w:fill="C6EFCE"/>
            <w:noWrap/>
          </w:tcPr>
          <w:p w14:paraId="458F37F7"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927" w:type="dxa"/>
            <w:shd w:val="clear" w:color="auto" w:fill="C6EFCE"/>
            <w:noWrap/>
          </w:tcPr>
          <w:p w14:paraId="2262D46A"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713" w:type="dxa"/>
            <w:shd w:val="clear" w:color="auto" w:fill="C6EFCE"/>
            <w:noWrap/>
          </w:tcPr>
          <w:p w14:paraId="447BA1DA"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922" w:type="dxa"/>
            <w:shd w:val="clear" w:color="auto" w:fill="C6EFCE"/>
            <w:noWrap/>
          </w:tcPr>
          <w:p w14:paraId="55FCFCA3" w14:textId="77777777" w:rsidR="00C45D59" w:rsidRDefault="009B0962">
            <w:pPr>
              <w:pStyle w:val="P68B1DB1-Normal12"/>
              <w:spacing w:after="0" w:line="240" w:lineRule="auto"/>
              <w:rPr>
                <w:rFonts w:eastAsia="Times New Roman"/>
                <w:noProof/>
              </w:rPr>
            </w:pPr>
            <w:r>
              <w:rPr>
                <w:noProof/>
              </w:rPr>
              <w:t>Î2</w:t>
            </w:r>
          </w:p>
        </w:tc>
        <w:tc>
          <w:tcPr>
            <w:tcW w:w="720" w:type="dxa"/>
            <w:shd w:val="clear" w:color="auto" w:fill="C6EFCE"/>
            <w:noWrap/>
          </w:tcPr>
          <w:p w14:paraId="6574EE40" w14:textId="77777777" w:rsidR="00C45D59" w:rsidRDefault="009B0962">
            <w:pPr>
              <w:pStyle w:val="P68B1DB1-Normal12"/>
              <w:spacing w:after="0" w:line="240" w:lineRule="auto"/>
              <w:rPr>
                <w:rFonts w:eastAsia="Times New Roman"/>
                <w:noProof/>
              </w:rPr>
            </w:pPr>
            <w:r>
              <w:rPr>
                <w:noProof/>
              </w:rPr>
              <w:t>2024</w:t>
            </w:r>
          </w:p>
        </w:tc>
        <w:tc>
          <w:tcPr>
            <w:tcW w:w="3700" w:type="dxa"/>
            <w:shd w:val="clear" w:color="auto" w:fill="C6EFCE"/>
            <w:noWrap/>
          </w:tcPr>
          <w:p w14:paraId="51E502D0" w14:textId="77777777" w:rsidR="00C45D59" w:rsidRDefault="009B0962">
            <w:pPr>
              <w:pStyle w:val="P68B1DB1-Normal12"/>
              <w:spacing w:after="0" w:line="240" w:lineRule="auto"/>
              <w:rPr>
                <w:rFonts w:eastAsia="Times New Roman"/>
                <w:noProof/>
              </w:rPr>
            </w:pPr>
            <w:r>
              <w:rPr>
                <w:noProof/>
              </w:rPr>
              <w:t xml:space="preserve">Intrarea în vigoare a unei decizii ministeriale de adoptare a unei foi de parcurs care să stabilească intervenții inovatoare în materie de eficiență energetică, inclusiv instrumente financiare care nu se bazează pe granturi. </w:t>
            </w:r>
          </w:p>
        </w:tc>
      </w:tr>
      <w:tr w:rsidR="00C45D59" w14:paraId="050371D1" w14:textId="77777777">
        <w:tc>
          <w:tcPr>
            <w:tcW w:w="786" w:type="dxa"/>
            <w:shd w:val="clear" w:color="auto" w:fill="C6EFCE"/>
            <w:noWrap/>
          </w:tcPr>
          <w:p w14:paraId="6018047A" w14:textId="77777777" w:rsidR="00C45D59" w:rsidRDefault="009B0962">
            <w:pPr>
              <w:pStyle w:val="P68B1DB1-Normal12"/>
              <w:spacing w:after="0" w:line="240" w:lineRule="auto"/>
              <w:rPr>
                <w:rFonts w:eastAsia="Times New Roman"/>
                <w:noProof/>
              </w:rPr>
            </w:pPr>
            <w:r>
              <w:rPr>
                <w:noProof/>
              </w:rPr>
              <w:t>364</w:t>
            </w:r>
          </w:p>
        </w:tc>
        <w:tc>
          <w:tcPr>
            <w:tcW w:w="2280" w:type="dxa"/>
            <w:shd w:val="clear" w:color="auto" w:fill="C6EFCE"/>
            <w:noWrap/>
          </w:tcPr>
          <w:p w14:paraId="1470A213" w14:textId="77777777" w:rsidR="00C45D59" w:rsidRDefault="009B0962">
            <w:pPr>
              <w:pStyle w:val="P68B1DB1-Normal12"/>
              <w:spacing w:after="0" w:line="240" w:lineRule="auto"/>
              <w:rPr>
                <w:rFonts w:eastAsia="Times New Roman"/>
                <w:noProof/>
              </w:rPr>
            </w:pPr>
            <w:r>
              <w:rPr>
                <w:noProof/>
              </w:rPr>
              <w:t>20-5. Reformele REPowerEU – 16993_Foaie de parcurs pentru intervenții inovatoare în domeniul eficienței energetice și identificarea de noi instrumente financiare</w:t>
            </w:r>
          </w:p>
        </w:tc>
        <w:tc>
          <w:tcPr>
            <w:tcW w:w="1200" w:type="dxa"/>
            <w:shd w:val="clear" w:color="auto" w:fill="C6EFCE"/>
            <w:noWrap/>
          </w:tcPr>
          <w:p w14:paraId="40068001" w14:textId="77777777" w:rsidR="00C45D59" w:rsidRDefault="009B0962">
            <w:pPr>
              <w:pStyle w:val="P68B1DB1-Normal12"/>
              <w:spacing w:after="0" w:line="240" w:lineRule="auto"/>
              <w:rPr>
                <w:rFonts w:eastAsia="Times New Roman"/>
                <w:noProof/>
              </w:rPr>
            </w:pPr>
            <w:r>
              <w:rPr>
                <w:noProof/>
              </w:rPr>
              <w:t>Etapă</w:t>
            </w:r>
          </w:p>
        </w:tc>
        <w:tc>
          <w:tcPr>
            <w:tcW w:w="1333" w:type="dxa"/>
            <w:shd w:val="clear" w:color="auto" w:fill="C6EFCE"/>
            <w:noWrap/>
          </w:tcPr>
          <w:p w14:paraId="54697CAE" w14:textId="77777777" w:rsidR="00C45D59" w:rsidRDefault="009B0962">
            <w:pPr>
              <w:pStyle w:val="P68B1DB1-Normal12"/>
              <w:spacing w:after="0" w:line="240" w:lineRule="auto"/>
              <w:rPr>
                <w:rFonts w:eastAsia="Times New Roman"/>
                <w:noProof/>
              </w:rPr>
            </w:pPr>
            <w:r>
              <w:rPr>
                <w:noProof/>
              </w:rPr>
              <w:t>Lansarea instrumentului financiar care nu este bazat pe granturi</w:t>
            </w:r>
          </w:p>
        </w:tc>
        <w:tc>
          <w:tcPr>
            <w:tcW w:w="1553" w:type="dxa"/>
            <w:shd w:val="clear" w:color="auto" w:fill="C6EFCE"/>
            <w:noWrap/>
          </w:tcPr>
          <w:p w14:paraId="6DE102A3" w14:textId="77777777" w:rsidR="00C45D59" w:rsidRDefault="009B0962">
            <w:pPr>
              <w:pStyle w:val="P68B1DB1-Normal12"/>
              <w:spacing w:after="0" w:line="240" w:lineRule="auto"/>
              <w:rPr>
                <w:rFonts w:eastAsia="Times New Roman"/>
                <w:noProof/>
              </w:rPr>
            </w:pPr>
            <w:r>
              <w:rPr>
                <w:noProof/>
              </w:rPr>
              <w:t>Intrarea în vigoare a legislației</w:t>
            </w:r>
          </w:p>
        </w:tc>
        <w:tc>
          <w:tcPr>
            <w:tcW w:w="1205" w:type="dxa"/>
            <w:shd w:val="clear" w:color="auto" w:fill="C6EFCE"/>
            <w:noWrap/>
          </w:tcPr>
          <w:p w14:paraId="6C2F28D7"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927" w:type="dxa"/>
            <w:shd w:val="clear" w:color="auto" w:fill="C6EFCE"/>
            <w:noWrap/>
          </w:tcPr>
          <w:p w14:paraId="683EA33C"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713" w:type="dxa"/>
            <w:shd w:val="clear" w:color="auto" w:fill="C6EFCE"/>
            <w:noWrap/>
          </w:tcPr>
          <w:p w14:paraId="46091AA0"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922" w:type="dxa"/>
            <w:shd w:val="clear" w:color="auto" w:fill="C6EFCE"/>
            <w:noWrap/>
          </w:tcPr>
          <w:p w14:paraId="664F4031" w14:textId="77777777" w:rsidR="00C45D59" w:rsidRDefault="009B0962">
            <w:pPr>
              <w:pStyle w:val="P68B1DB1-Normal12"/>
              <w:spacing w:after="0" w:line="240" w:lineRule="auto"/>
              <w:rPr>
                <w:rFonts w:eastAsia="Times New Roman"/>
                <w:noProof/>
              </w:rPr>
            </w:pPr>
            <w:r>
              <w:rPr>
                <w:noProof/>
              </w:rPr>
              <w:t>Î2</w:t>
            </w:r>
          </w:p>
        </w:tc>
        <w:tc>
          <w:tcPr>
            <w:tcW w:w="720" w:type="dxa"/>
            <w:shd w:val="clear" w:color="auto" w:fill="C6EFCE"/>
            <w:noWrap/>
          </w:tcPr>
          <w:p w14:paraId="095E905D" w14:textId="77777777" w:rsidR="00C45D59" w:rsidRDefault="009B0962">
            <w:pPr>
              <w:pStyle w:val="P68B1DB1-Normal12"/>
              <w:spacing w:after="0" w:line="240" w:lineRule="auto"/>
              <w:rPr>
                <w:rFonts w:eastAsia="Times New Roman"/>
                <w:noProof/>
              </w:rPr>
            </w:pPr>
            <w:r>
              <w:rPr>
                <w:noProof/>
              </w:rPr>
              <w:t>2025</w:t>
            </w:r>
          </w:p>
        </w:tc>
        <w:tc>
          <w:tcPr>
            <w:tcW w:w="3700" w:type="dxa"/>
            <w:shd w:val="clear" w:color="auto" w:fill="C6EFCE"/>
            <w:noWrap/>
          </w:tcPr>
          <w:p w14:paraId="0BD4FD3B" w14:textId="20188B85" w:rsidR="00C45D59" w:rsidRDefault="009B0962">
            <w:pPr>
              <w:spacing w:after="0" w:line="240" w:lineRule="auto"/>
              <w:rPr>
                <w:rFonts w:ascii="Times New Roman" w:eastAsia="Times New Roman" w:hAnsi="Times New Roman" w:cs="Times New Roman"/>
                <w:noProof/>
                <w:color w:val="006100"/>
                <w:sz w:val="18"/>
                <w:szCs w:val="18"/>
              </w:rPr>
            </w:pPr>
            <w:r>
              <w:rPr>
                <w:rFonts w:ascii="Times New Roman" w:hAnsi="Times New Roman" w:cs="Times New Roman"/>
                <w:noProof/>
                <w:color w:val="006100"/>
                <w:sz w:val="18"/>
                <w:szCs w:val="18"/>
              </w:rPr>
              <w:t>Intrarea în vigoare a actului (actelor) juridic (e) care lansează un instrument financiar care nu se bazează pe granturi.</w:t>
            </w:r>
            <w:r>
              <w:rPr>
                <w:rStyle w:val="Heading1Char"/>
                <w:rFonts w:ascii="Times New Roman" w:eastAsia="Calibri" w:hAnsi="Times New Roman" w:cs="Times New Roman"/>
                <w:noProof/>
                <w:sz w:val="18"/>
                <w:szCs w:val="18"/>
              </w:rPr>
              <w:t xml:space="preserve"> </w:t>
            </w:r>
          </w:p>
        </w:tc>
      </w:tr>
    </w:tbl>
    <w:p w14:paraId="703206EF" w14:textId="77777777" w:rsidR="00C45D59" w:rsidRDefault="00C45D59">
      <w:pPr>
        <w:rPr>
          <w:rFonts w:ascii="Times New Roman" w:hAnsi="Times New Roman" w:cs="Times New Roman"/>
          <w:noProof/>
          <w:sz w:val="24"/>
        </w:rPr>
        <w:sectPr w:rsidR="00C45D59">
          <w:headerReference w:type="even" r:id="rId402"/>
          <w:headerReference w:type="default" r:id="rId403"/>
          <w:footerReference w:type="even" r:id="rId404"/>
          <w:footerReference w:type="default" r:id="rId405"/>
          <w:headerReference w:type="first" r:id="rId406"/>
          <w:footerReference w:type="first" r:id="rId407"/>
          <w:pgSz w:w="16839" w:h="11907" w:orient="landscape"/>
          <w:pgMar w:top="1134" w:right="1134" w:bottom="1134" w:left="1134" w:header="567" w:footer="567" w:gutter="0"/>
          <w:cols w:space="720"/>
          <w:docGrid w:linePitch="360"/>
        </w:sectPr>
      </w:pPr>
    </w:p>
    <w:p w14:paraId="4A40FEE0" w14:textId="77777777" w:rsidR="00C45D59" w:rsidRDefault="009B0962">
      <w:pPr>
        <w:pStyle w:val="P68B1DB1-Normal17"/>
        <w:spacing w:before="120" w:after="120" w:line="240" w:lineRule="auto"/>
        <w:ind w:firstLine="6"/>
        <w:jc w:val="both"/>
        <w:outlineLvl w:val="3"/>
        <w:rPr>
          <w:rFonts w:cs="Times New Roman"/>
          <w:bCs/>
          <w:noProof/>
        </w:rPr>
      </w:pPr>
      <w:r>
        <w:rPr>
          <w:noProof/>
        </w:rPr>
        <w:t>U. COMPONENTĂ 5.2: Măsuri PRIVIND REPowerEU</w:t>
      </w:r>
    </w:p>
    <w:p w14:paraId="3A7EC18D" w14:textId="77777777" w:rsidR="00C45D59" w:rsidRDefault="00C45D59">
      <w:pPr>
        <w:spacing w:before="120" w:after="120" w:line="240" w:lineRule="auto"/>
        <w:jc w:val="both"/>
        <w:rPr>
          <w:rFonts w:ascii="Times New Roman" w:hAnsi="Times New Roman" w:cs="Times New Roman"/>
          <w:b/>
          <w:bCs/>
          <w:noProof/>
          <w:sz w:val="24"/>
          <w:u w:val="single"/>
        </w:rPr>
      </w:pPr>
    </w:p>
    <w:p w14:paraId="2BD40076" w14:textId="77777777" w:rsidR="00C45D59" w:rsidRDefault="009B0962">
      <w:pPr>
        <w:pStyle w:val="P68B1DB1-Normal6"/>
        <w:spacing w:before="120" w:after="120" w:line="240" w:lineRule="auto"/>
        <w:jc w:val="both"/>
        <w:rPr>
          <w:rFonts w:cs="Times New Roman"/>
          <w:bCs/>
          <w:i/>
          <w:iCs/>
          <w:noProof/>
          <w:color w:val="4F81BD"/>
        </w:rPr>
      </w:pPr>
      <w:r>
        <w:rPr>
          <w:noProof/>
        </w:rPr>
        <w:t>U.1. Descrierea reformelor și a investițiilor pentru sprijinul financiar nerambursabil</w:t>
      </w:r>
    </w:p>
    <w:p w14:paraId="7F227838" w14:textId="77777777" w:rsidR="00C45D59" w:rsidRDefault="009B0962">
      <w:pPr>
        <w:pStyle w:val="P68B1DB1-Normal5"/>
        <w:spacing w:before="120" w:after="120" w:line="240" w:lineRule="auto"/>
        <w:jc w:val="both"/>
        <w:rPr>
          <w:rFonts w:cs="Times New Roman"/>
          <w:noProof/>
          <w:szCs w:val="24"/>
        </w:rPr>
      </w:pPr>
      <w:r>
        <w:rPr>
          <w:noProof/>
        </w:rPr>
        <w:t>Capitolul privind REPowerEU conține trei măsuri de investiții menite să sprijine eficiența energetică, implementarea de noi surse regenerabile de energie, stocarea energiei și captarea și stocarea dioxidului de carbon, inclusiv: (1) o investiție pentru a sprijini eficiența energetică și promovarea surselor regenerabile de energie pentru autoconsum, care constă în cinci subinvestiții care acoperă (i) renovarea energetică a clădirilor rezidențiale prin acordarea de subvenții; (II) renovarea energetică a clădirilor publice și private nerezidențiale prin acordarea de subvenții; (III) instalarea de sisteme fotovoltaice pentru autoconsum în clădirile rezidențiale și în sectorul agricol prin acordarea de subvenții; (IV) promovarea surselor regenerabile de energie în clădirile rezidențiale prin finanțarea instalării de noi sisteme regenerabile de producere a apei calde; și (v) îmbunătățirea eficienței energetice a serviciilor municipale de alimentare cu apă și de canalizare; (2) intensificarea instalării de sisteme de stocare a energiei pentru pătrunderea suplimentară a surselor regenerabile de energie; și (3) proiecte-pilot pentru producția de biometan și de hidrogen din surse regenerabile și promovarea tehnologiilor de captare și stocare a dioxidului de carbon (CSC) în industriile greu de decarbonizat, cu scopul de a stimula decarbonizarea industriei.</w:t>
      </w:r>
    </w:p>
    <w:p w14:paraId="686AF5E0" w14:textId="77777777" w:rsidR="00C45D59" w:rsidRDefault="009B0962">
      <w:pPr>
        <w:pStyle w:val="P68B1DB1-Normal7"/>
        <w:spacing w:before="120" w:after="120" w:line="240" w:lineRule="auto"/>
        <w:jc w:val="both"/>
        <w:rPr>
          <w:rFonts w:cs="Times New Roman"/>
          <w:noProof/>
        </w:rPr>
      </w:pPr>
      <w:r>
        <w:rPr>
          <w:b/>
          <w:noProof/>
        </w:rPr>
        <w:t>Investiții:</w:t>
      </w:r>
      <w:r>
        <w:rPr>
          <w:noProof/>
        </w:rPr>
        <w:t xml:space="preserve"> Instalarea stocării energiei pentru pătrunderea suplimentară a SRE (identificatorul măsurii: 16996)</w:t>
      </w:r>
    </w:p>
    <w:p w14:paraId="6A678430" w14:textId="77777777" w:rsidR="00C45D59" w:rsidRDefault="009B0962">
      <w:pPr>
        <w:pStyle w:val="P68B1DB1-Normal7"/>
        <w:spacing w:before="120" w:after="120" w:line="240" w:lineRule="auto"/>
        <w:jc w:val="both"/>
        <w:rPr>
          <w:rFonts w:cs="Times New Roman"/>
          <w:noProof/>
        </w:rPr>
      </w:pPr>
      <w:r>
        <w:rPr>
          <w:noProof/>
        </w:rPr>
        <w:t>Obiectivul acestei măsuri este de a extinde investițiile: „Sprijin pentru instalarea de sisteme de stocare pentru a îmbunătăți pătrunderea SRE” (ID: 16926) în cadrul componentei 1.1 (Putere în sus). Investiția constă în dezvoltarea unor sisteme autonome de stocare la scară de rețea și va conduce la instalarea de noi instalații suplimentare de stocare a energiei cu o capacitate de cel puțin 175 MW.</w:t>
      </w:r>
    </w:p>
    <w:p w14:paraId="20472245" w14:textId="77777777" w:rsidR="00C45D59" w:rsidRDefault="009B0962">
      <w:pPr>
        <w:pStyle w:val="P68B1DB1-Normal5"/>
        <w:spacing w:before="120" w:after="120" w:line="240" w:lineRule="auto"/>
        <w:jc w:val="both"/>
        <w:rPr>
          <w:rFonts w:cs="Times New Roman"/>
          <w:noProof/>
        </w:rPr>
      </w:pPr>
      <w:r>
        <w:rPr>
          <w:b/>
          <w:noProof/>
        </w:rPr>
        <w:t>Investiții:</w:t>
      </w:r>
      <w:r>
        <w:rPr>
          <w:noProof/>
        </w:rPr>
        <w:t xml:space="preserve"> Eficiența energetică și promovarea SRE pentru autoconsum (identificatorul măsurii: 16994)</w:t>
      </w:r>
    </w:p>
    <w:p w14:paraId="63FA7C11" w14:textId="0993D3E4" w:rsidR="00C45D59" w:rsidRDefault="009B0962">
      <w:pPr>
        <w:pStyle w:val="P68B1DB1-Normal7"/>
        <w:spacing w:before="120" w:after="120" w:line="240" w:lineRule="auto"/>
        <w:jc w:val="both"/>
        <w:rPr>
          <w:rFonts w:cs="Times New Roman"/>
          <w:noProof/>
        </w:rPr>
      </w:pPr>
      <w:r>
        <w:rPr>
          <w:noProof/>
        </w:rPr>
        <w:t xml:space="preserve">Obiectivul acestei investiții este de a efectua intervenții în domeniul eficienței energetice și al energiei din surse regenerabile în mai multe sectoare cu consum final de energie. Investiția constă în renovări pentru îmbunătățirea eficienței energetice, instalarea de sisteme fotovoltaice și achiziționarea de sisteme de încălzire a apei din surse regenerabile. </w:t>
      </w:r>
    </w:p>
    <w:p w14:paraId="1B769190" w14:textId="77777777" w:rsidR="00C45D59" w:rsidRDefault="009B0962">
      <w:pPr>
        <w:pStyle w:val="P68B1DB1-Normal5"/>
        <w:spacing w:before="120" w:after="120" w:line="240" w:lineRule="auto"/>
        <w:jc w:val="both"/>
        <w:rPr>
          <w:rFonts w:cs="Times New Roman"/>
          <w:noProof/>
          <w:szCs w:val="24"/>
        </w:rPr>
      </w:pPr>
      <w:r>
        <w:rPr>
          <w:b/>
          <w:noProof/>
        </w:rPr>
        <w:t>Investiții</w:t>
      </w:r>
      <w:r>
        <w:rPr>
          <w:noProof/>
        </w:rPr>
        <w:t>: Proiectul de producere a hidrogenului din surse regenerabile (măsura ID: 16995)</w:t>
      </w:r>
    </w:p>
    <w:p w14:paraId="2EBAFEAE" w14:textId="1C78DB1D" w:rsidR="00C45D59" w:rsidRDefault="009B0962">
      <w:pPr>
        <w:pStyle w:val="P68B1DB1-Normal7"/>
        <w:spacing w:before="120" w:after="120" w:line="240" w:lineRule="auto"/>
        <w:jc w:val="both"/>
        <w:rPr>
          <w:rFonts w:cs="Times New Roman"/>
          <w:noProof/>
        </w:rPr>
      </w:pPr>
      <w:r>
        <w:rPr>
          <w:noProof/>
        </w:rPr>
        <w:t>Obiectivul acestei investiții este de a promova producția de hidrogen din surse regenerabile în Grecia. Investiția include instalarea de electrolizoare, infrastructura de sprijin și o rețea de hidrogen pentru distribuție în cadrul rafinăriei.</w:t>
      </w:r>
    </w:p>
    <w:p w14:paraId="56C929FC" w14:textId="77777777" w:rsidR="00C45D59" w:rsidRDefault="00C45D59">
      <w:pPr>
        <w:rPr>
          <w:rFonts w:ascii="Cambria" w:eastAsia="Times New Roman" w:hAnsi="Cambria"/>
          <w:noProof/>
          <w:color w:val="365F91" w:themeColor="accent1" w:themeShade="BF"/>
          <w:sz w:val="24"/>
          <w:szCs w:val="24"/>
        </w:rPr>
        <w:sectPr w:rsidR="00C45D59">
          <w:headerReference w:type="even" r:id="rId408"/>
          <w:headerReference w:type="default" r:id="rId409"/>
          <w:footerReference w:type="even" r:id="rId410"/>
          <w:footerReference w:type="default" r:id="rId411"/>
          <w:headerReference w:type="first" r:id="rId412"/>
          <w:footerReference w:type="first" r:id="rId413"/>
          <w:pgSz w:w="11906" w:h="16838"/>
          <w:pgMar w:top="1134" w:right="1134" w:bottom="1134" w:left="1134" w:header="567" w:footer="567" w:gutter="0"/>
          <w:cols w:space="708"/>
          <w:docGrid w:linePitch="360"/>
        </w:sectPr>
      </w:pPr>
    </w:p>
    <w:p w14:paraId="7E5C7B0A" w14:textId="77777777" w:rsidR="00C45D59" w:rsidRDefault="009B0962">
      <w:pPr>
        <w:pStyle w:val="P68B1DB1-Normal14"/>
        <w:keepNext/>
        <w:keepLines/>
        <w:spacing w:before="40" w:after="0" w:line="240" w:lineRule="auto"/>
        <w:jc w:val="both"/>
        <w:outlineLvl w:val="4"/>
        <w:rPr>
          <w:rFonts w:ascii="Cambria" w:eastAsia="Times New Roman" w:hAnsi="Cambria"/>
          <w:noProof/>
          <w:color w:val="365F91"/>
          <w:szCs w:val="24"/>
        </w:rPr>
      </w:pPr>
      <w:r>
        <w:rPr>
          <w:rFonts w:ascii="Times New Roman" w:hAnsi="Times New Roman"/>
          <w:b/>
          <w:noProof/>
          <w:u w:val="single"/>
        </w:rPr>
        <w:t>U.2. Jaloane, ținte, indicatori și calendarul de monitorizare și implementare aplicabile sprijinului financiar nerambursabil</w:t>
      </w:r>
      <w:r>
        <w:rPr>
          <w:rFonts w:ascii="Cambria" w:hAnsi="Cambria"/>
          <w:noProof/>
          <w:color w:val="365F91" w:themeColor="accent1" w:themeShade="BF"/>
        </w:rPr>
        <w:t xml:space="preserve"> </w:t>
      </w:r>
    </w:p>
    <w:p w14:paraId="3CE92E50" w14:textId="77777777" w:rsidR="00C45D59" w:rsidRDefault="009B0962">
      <w:pPr>
        <w:pStyle w:val="P68B1DB1-Normal38"/>
        <w:keepNext/>
        <w:keepLines/>
        <w:spacing w:before="240" w:after="0" w:line="240" w:lineRule="auto"/>
        <w:jc w:val="both"/>
        <w:outlineLvl w:val="4"/>
        <w:rPr>
          <w:rFonts w:eastAsia="Times New Roman"/>
          <w:noProof/>
          <w:color w:val="365F91"/>
        </w:rPr>
      </w:pPr>
      <w:r>
        <w:rPr>
          <w:noProof/>
        </w:rPr>
        <w:t>Investiția 1: Instalarea stocării energiei pentru pătrunderea suplimentară a SRE (identificatorul măsurii: 16996)</w:t>
      </w:r>
    </w:p>
    <w:tbl>
      <w:tblPr>
        <w:tblW w:w="14454" w:type="dxa"/>
        <w:tblLayout w:type="fixed"/>
        <w:tblLook w:val="04A0" w:firstRow="1" w:lastRow="0" w:firstColumn="1" w:lastColumn="0" w:noHBand="0" w:noVBand="1"/>
      </w:tblPr>
      <w:tblGrid>
        <w:gridCol w:w="675"/>
        <w:gridCol w:w="2356"/>
        <w:gridCol w:w="1188"/>
        <w:gridCol w:w="992"/>
        <w:gridCol w:w="1547"/>
        <w:gridCol w:w="1022"/>
        <w:gridCol w:w="1022"/>
        <w:gridCol w:w="638"/>
        <w:gridCol w:w="1060"/>
        <w:gridCol w:w="877"/>
        <w:gridCol w:w="3077"/>
      </w:tblGrid>
      <w:tr w:rsidR="00C45D59" w14:paraId="76DF05BF" w14:textId="77777777">
        <w:trPr>
          <w:trHeight w:val="300"/>
          <w:tblHeader/>
        </w:trPr>
        <w:tc>
          <w:tcPr>
            <w:tcW w:w="675" w:type="dxa"/>
            <w:vMerge w:val="restart"/>
            <w:tcBorders>
              <w:top w:val="single" w:sz="4" w:space="0" w:color="auto"/>
              <w:left w:val="single" w:sz="4" w:space="0" w:color="auto"/>
              <w:right w:val="single" w:sz="4" w:space="0" w:color="auto"/>
            </w:tcBorders>
            <w:shd w:val="clear" w:color="auto" w:fill="BDD7EE"/>
            <w:vAlign w:val="center"/>
            <w:hideMark/>
          </w:tcPr>
          <w:p w14:paraId="58A27A51" w14:textId="378A6994" w:rsidR="00C45D59" w:rsidRDefault="009B0962">
            <w:pPr>
              <w:pStyle w:val="P68B1DB1-Normal15"/>
              <w:spacing w:before="120" w:after="120" w:line="240" w:lineRule="auto"/>
              <w:jc w:val="center"/>
              <w:rPr>
                <w:noProof/>
              </w:rPr>
            </w:pPr>
            <w:r>
              <w:rPr>
                <w:noProof/>
              </w:rPr>
              <w:t>Nr</w:t>
            </w:r>
            <w:r w:rsidR="00E649D5">
              <w:rPr>
                <w:noProof/>
              </w:rPr>
              <w:t>.</w:t>
            </w:r>
            <w:r>
              <w:rPr>
                <w:noProof/>
              </w:rPr>
              <w:t xml:space="preserve"> </w:t>
            </w:r>
            <w:r>
              <w:rPr>
                <w:noProof/>
              </w:rPr>
              <w:br/>
            </w:r>
            <w:r w:rsidR="00E649D5">
              <w:rPr>
                <w:noProof/>
              </w:rPr>
              <w:t>crt</w:t>
            </w:r>
            <w:r>
              <w:rPr>
                <w:noProof/>
              </w:rPr>
              <w:t>.</w:t>
            </w:r>
          </w:p>
        </w:tc>
        <w:tc>
          <w:tcPr>
            <w:tcW w:w="2356" w:type="dxa"/>
            <w:vMerge w:val="restart"/>
            <w:tcBorders>
              <w:top w:val="single" w:sz="4" w:space="0" w:color="auto"/>
              <w:left w:val="single" w:sz="4" w:space="0" w:color="auto"/>
              <w:right w:val="single" w:sz="4" w:space="0" w:color="auto"/>
            </w:tcBorders>
            <w:shd w:val="clear" w:color="auto" w:fill="BDD7EE"/>
            <w:vAlign w:val="center"/>
            <w:hideMark/>
          </w:tcPr>
          <w:p w14:paraId="6C3B6BA9" w14:textId="77777777" w:rsidR="00C45D59" w:rsidRDefault="009B0962">
            <w:pPr>
              <w:pStyle w:val="P68B1DB1-Normal41"/>
              <w:spacing w:before="120" w:after="120" w:line="240" w:lineRule="auto"/>
              <w:jc w:val="center"/>
              <w:rPr>
                <w:rFonts w:cs="Times New Roman"/>
                <w:noProof/>
              </w:rPr>
            </w:pPr>
            <w:r>
              <w:rPr>
                <w:noProof/>
              </w:rPr>
              <w:t>Măsură conexă (reformă sau investiții)</w:t>
            </w:r>
          </w:p>
        </w:tc>
        <w:tc>
          <w:tcPr>
            <w:tcW w:w="1188" w:type="dxa"/>
            <w:vMerge w:val="restart"/>
            <w:tcBorders>
              <w:top w:val="single" w:sz="4" w:space="0" w:color="auto"/>
              <w:left w:val="single" w:sz="4" w:space="0" w:color="auto"/>
              <w:right w:val="single" w:sz="4" w:space="0" w:color="auto"/>
            </w:tcBorders>
            <w:shd w:val="clear" w:color="auto" w:fill="BDD7EE"/>
            <w:vAlign w:val="center"/>
            <w:hideMark/>
          </w:tcPr>
          <w:p w14:paraId="3E9E245C" w14:textId="5D90E7D9" w:rsidR="00C45D59" w:rsidRDefault="009B0962">
            <w:pPr>
              <w:pStyle w:val="P68B1DB1-Normal41"/>
              <w:spacing w:before="120" w:after="120" w:line="240" w:lineRule="auto"/>
              <w:jc w:val="center"/>
              <w:rPr>
                <w:rFonts w:cs="Times New Roman"/>
                <w:noProof/>
              </w:rPr>
            </w:pPr>
            <w:r>
              <w:rPr>
                <w:noProof/>
              </w:rPr>
              <w:t>Etapă/</w:t>
            </w:r>
            <w:r w:rsidR="00E649D5">
              <w:rPr>
                <w:noProof/>
              </w:rPr>
              <w:t xml:space="preserve"> </w:t>
            </w:r>
            <w:r>
              <w:rPr>
                <w:noProof/>
              </w:rPr>
              <w:t>Obiectiv</w:t>
            </w:r>
          </w:p>
        </w:tc>
        <w:tc>
          <w:tcPr>
            <w:tcW w:w="992" w:type="dxa"/>
            <w:vMerge w:val="restart"/>
            <w:tcBorders>
              <w:top w:val="single" w:sz="4" w:space="0" w:color="auto"/>
              <w:left w:val="single" w:sz="4" w:space="0" w:color="auto"/>
              <w:right w:val="single" w:sz="4" w:space="0" w:color="auto"/>
            </w:tcBorders>
            <w:shd w:val="clear" w:color="auto" w:fill="BDD7EE"/>
            <w:vAlign w:val="center"/>
            <w:hideMark/>
          </w:tcPr>
          <w:p w14:paraId="53E5C1E6" w14:textId="4B8C4552" w:rsidR="00C45D59" w:rsidRDefault="00E649D5">
            <w:pPr>
              <w:pStyle w:val="P68B1DB1-Normal41"/>
              <w:spacing w:before="120" w:after="120" w:line="240" w:lineRule="auto"/>
              <w:jc w:val="center"/>
              <w:rPr>
                <w:rFonts w:cs="Times New Roman"/>
                <w:noProof/>
              </w:rPr>
            </w:pPr>
            <w:r>
              <w:rPr>
                <w:noProof/>
              </w:rPr>
              <w:t>Denumire</w:t>
            </w:r>
          </w:p>
        </w:tc>
        <w:tc>
          <w:tcPr>
            <w:tcW w:w="1547" w:type="dxa"/>
            <w:vMerge w:val="restart"/>
            <w:tcBorders>
              <w:top w:val="single" w:sz="4" w:space="0" w:color="auto"/>
              <w:left w:val="single" w:sz="4" w:space="0" w:color="auto"/>
              <w:right w:val="single" w:sz="4" w:space="0" w:color="auto"/>
            </w:tcBorders>
            <w:shd w:val="clear" w:color="auto" w:fill="BDD7EE"/>
            <w:vAlign w:val="center"/>
            <w:hideMark/>
          </w:tcPr>
          <w:p w14:paraId="304C84A6" w14:textId="77777777" w:rsidR="00C45D59" w:rsidRDefault="009B0962">
            <w:pPr>
              <w:pStyle w:val="P68B1DB1-Normal41"/>
              <w:spacing w:before="120" w:after="120" w:line="240" w:lineRule="auto"/>
              <w:jc w:val="center"/>
              <w:rPr>
                <w:rFonts w:cs="Times New Roman"/>
                <w:noProof/>
              </w:rPr>
            </w:pPr>
            <w:r>
              <w:rPr>
                <w:noProof/>
              </w:rPr>
              <w:t>Indicatori calitativi (pentru obiectivele de etapă)</w:t>
            </w:r>
          </w:p>
        </w:tc>
        <w:tc>
          <w:tcPr>
            <w:tcW w:w="2682"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0289A3F5" w14:textId="77777777" w:rsidR="00C45D59" w:rsidRDefault="009B0962">
            <w:pPr>
              <w:pStyle w:val="P68B1DB1-Normal41"/>
              <w:spacing w:before="120" w:after="120" w:line="240" w:lineRule="auto"/>
              <w:jc w:val="center"/>
              <w:rPr>
                <w:rFonts w:cs="Times New Roman"/>
                <w:noProof/>
              </w:rPr>
            </w:pPr>
            <w:r>
              <w:rPr>
                <w:noProof/>
              </w:rPr>
              <w:t>Indicatori cantitativi (pentru ținte)</w:t>
            </w:r>
          </w:p>
        </w:tc>
        <w:tc>
          <w:tcPr>
            <w:tcW w:w="1937"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7563A4B3" w14:textId="77777777" w:rsidR="00C45D59" w:rsidRDefault="009B0962">
            <w:pPr>
              <w:pStyle w:val="P68B1DB1-Normal41"/>
              <w:spacing w:before="120" w:after="120" w:line="240" w:lineRule="auto"/>
              <w:jc w:val="center"/>
              <w:rPr>
                <w:rFonts w:cs="Times New Roman"/>
                <w:noProof/>
              </w:rPr>
            </w:pPr>
            <w:r>
              <w:rPr>
                <w:noProof/>
              </w:rPr>
              <w:t>Calendar orientativ pentru finalizare</w:t>
            </w:r>
          </w:p>
        </w:tc>
        <w:tc>
          <w:tcPr>
            <w:tcW w:w="3077" w:type="dxa"/>
            <w:vMerge w:val="restart"/>
            <w:tcBorders>
              <w:top w:val="single" w:sz="4" w:space="0" w:color="auto"/>
              <w:left w:val="single" w:sz="4" w:space="0" w:color="auto"/>
              <w:right w:val="single" w:sz="4" w:space="0" w:color="auto"/>
            </w:tcBorders>
            <w:shd w:val="clear" w:color="auto" w:fill="BDD7EE"/>
            <w:vAlign w:val="center"/>
            <w:hideMark/>
          </w:tcPr>
          <w:p w14:paraId="0AB257CD" w14:textId="77777777" w:rsidR="00C45D59" w:rsidRDefault="009B0962">
            <w:pPr>
              <w:pStyle w:val="P68B1DB1-Normal41"/>
              <w:spacing w:before="120" w:after="120" w:line="240" w:lineRule="auto"/>
              <w:jc w:val="center"/>
              <w:rPr>
                <w:rFonts w:cs="Times New Roman"/>
                <w:noProof/>
              </w:rPr>
            </w:pPr>
            <w:r>
              <w:rPr>
                <w:noProof/>
              </w:rPr>
              <w:t>Descrierea fiecărui jalon și a fiecărei ținte</w:t>
            </w:r>
          </w:p>
        </w:tc>
      </w:tr>
      <w:tr w:rsidR="00C45D59" w14:paraId="7B91EFD5" w14:textId="77777777">
        <w:trPr>
          <w:trHeight w:val="300"/>
          <w:tblHeader/>
        </w:trPr>
        <w:tc>
          <w:tcPr>
            <w:tcW w:w="675" w:type="dxa"/>
            <w:vMerge/>
            <w:tcBorders>
              <w:left w:val="single" w:sz="4" w:space="0" w:color="auto"/>
              <w:bottom w:val="single" w:sz="4" w:space="0" w:color="auto"/>
              <w:right w:val="single" w:sz="4" w:space="0" w:color="auto"/>
            </w:tcBorders>
            <w:vAlign w:val="center"/>
          </w:tcPr>
          <w:p w14:paraId="64EC6C04" w14:textId="77777777" w:rsidR="00C45D59" w:rsidRDefault="00C45D59">
            <w:pPr>
              <w:spacing w:before="120" w:after="120" w:line="240" w:lineRule="auto"/>
              <w:jc w:val="center"/>
              <w:rPr>
                <w:rFonts w:ascii="Times New Roman" w:eastAsia="Times New Roman" w:hAnsi="Times New Roman" w:cs="Times New Roman"/>
                <w:b/>
                <w:bCs/>
                <w:noProof/>
                <w:sz w:val="18"/>
                <w:szCs w:val="18"/>
              </w:rPr>
            </w:pPr>
          </w:p>
        </w:tc>
        <w:tc>
          <w:tcPr>
            <w:tcW w:w="2356" w:type="dxa"/>
            <w:vMerge/>
            <w:tcBorders>
              <w:left w:val="single" w:sz="4" w:space="0" w:color="auto"/>
              <w:bottom w:val="single" w:sz="4" w:space="0" w:color="auto"/>
              <w:right w:val="single" w:sz="4" w:space="0" w:color="auto"/>
            </w:tcBorders>
            <w:vAlign w:val="center"/>
          </w:tcPr>
          <w:p w14:paraId="5CF8CA91" w14:textId="77777777" w:rsidR="00C45D59" w:rsidRDefault="00C45D59">
            <w:pPr>
              <w:spacing w:before="120" w:after="120" w:line="240" w:lineRule="auto"/>
              <w:jc w:val="center"/>
              <w:rPr>
                <w:rFonts w:ascii="Times New Roman" w:eastAsia="Times New Roman" w:hAnsi="Times New Roman" w:cs="Times New Roman"/>
                <w:b/>
                <w:bCs/>
                <w:noProof/>
                <w:sz w:val="18"/>
                <w:szCs w:val="18"/>
              </w:rPr>
            </w:pPr>
          </w:p>
        </w:tc>
        <w:tc>
          <w:tcPr>
            <w:tcW w:w="1188" w:type="dxa"/>
            <w:vMerge/>
            <w:tcBorders>
              <w:left w:val="single" w:sz="4" w:space="0" w:color="auto"/>
              <w:bottom w:val="single" w:sz="4" w:space="0" w:color="auto"/>
              <w:right w:val="single" w:sz="4" w:space="0" w:color="auto"/>
            </w:tcBorders>
            <w:vAlign w:val="center"/>
          </w:tcPr>
          <w:p w14:paraId="4F7FF2D8" w14:textId="77777777" w:rsidR="00C45D59" w:rsidRDefault="00C45D59">
            <w:pPr>
              <w:spacing w:before="120" w:after="120" w:line="240" w:lineRule="auto"/>
              <w:jc w:val="center"/>
              <w:rPr>
                <w:rFonts w:ascii="Times New Roman" w:eastAsia="Times New Roman" w:hAnsi="Times New Roman" w:cs="Times New Roman"/>
                <w:b/>
                <w:bCs/>
                <w:noProof/>
                <w:sz w:val="18"/>
                <w:szCs w:val="18"/>
              </w:rPr>
            </w:pPr>
          </w:p>
        </w:tc>
        <w:tc>
          <w:tcPr>
            <w:tcW w:w="992" w:type="dxa"/>
            <w:vMerge/>
            <w:tcBorders>
              <w:left w:val="single" w:sz="4" w:space="0" w:color="auto"/>
              <w:bottom w:val="single" w:sz="4" w:space="0" w:color="auto"/>
              <w:right w:val="single" w:sz="4" w:space="0" w:color="auto"/>
            </w:tcBorders>
            <w:vAlign w:val="center"/>
          </w:tcPr>
          <w:p w14:paraId="7A941DF5" w14:textId="77777777" w:rsidR="00C45D59" w:rsidRDefault="00C45D59">
            <w:pPr>
              <w:spacing w:before="120" w:after="120" w:line="240" w:lineRule="auto"/>
              <w:jc w:val="center"/>
              <w:rPr>
                <w:rFonts w:ascii="Times New Roman" w:eastAsia="Times New Roman" w:hAnsi="Times New Roman" w:cs="Times New Roman"/>
                <w:b/>
                <w:bCs/>
                <w:noProof/>
                <w:sz w:val="18"/>
                <w:szCs w:val="18"/>
              </w:rPr>
            </w:pPr>
          </w:p>
        </w:tc>
        <w:tc>
          <w:tcPr>
            <w:tcW w:w="1547" w:type="dxa"/>
            <w:vMerge/>
            <w:tcBorders>
              <w:left w:val="single" w:sz="4" w:space="0" w:color="auto"/>
              <w:bottom w:val="single" w:sz="4" w:space="0" w:color="auto"/>
              <w:right w:val="single" w:sz="4" w:space="0" w:color="auto"/>
            </w:tcBorders>
            <w:vAlign w:val="center"/>
          </w:tcPr>
          <w:p w14:paraId="1F4E49E0" w14:textId="77777777" w:rsidR="00C45D59" w:rsidRDefault="00C45D59">
            <w:pPr>
              <w:spacing w:before="120" w:after="120" w:line="240" w:lineRule="auto"/>
              <w:jc w:val="center"/>
              <w:rPr>
                <w:rFonts w:ascii="Times New Roman" w:eastAsia="Times New Roman" w:hAnsi="Times New Roman" w:cs="Times New Roman"/>
                <w:b/>
                <w:bCs/>
                <w:noProof/>
                <w:sz w:val="18"/>
                <w:szCs w:val="18"/>
              </w:rPr>
            </w:pPr>
          </w:p>
        </w:tc>
        <w:tc>
          <w:tcPr>
            <w:tcW w:w="1022" w:type="dxa"/>
            <w:tcBorders>
              <w:left w:val="single" w:sz="4" w:space="0" w:color="auto"/>
              <w:bottom w:val="single" w:sz="4" w:space="0" w:color="auto"/>
              <w:right w:val="single" w:sz="4" w:space="0" w:color="auto"/>
            </w:tcBorders>
            <w:shd w:val="clear" w:color="auto" w:fill="BDD7EE"/>
            <w:vAlign w:val="center"/>
          </w:tcPr>
          <w:p w14:paraId="1974D23F" w14:textId="77777777" w:rsidR="00C45D59" w:rsidRDefault="009B0962">
            <w:pPr>
              <w:pStyle w:val="P68B1DB1-Normal41"/>
              <w:spacing w:before="120" w:after="120" w:line="240" w:lineRule="auto"/>
              <w:jc w:val="center"/>
              <w:rPr>
                <w:rFonts w:eastAsia="Times New Roman" w:cs="Times New Roman"/>
                <w:bCs/>
                <w:noProof/>
              </w:rPr>
            </w:pPr>
            <w:r>
              <w:rPr>
                <w:noProof/>
              </w:rPr>
              <w:t>Unitatea de măsură</w:t>
            </w:r>
          </w:p>
        </w:tc>
        <w:tc>
          <w:tcPr>
            <w:tcW w:w="1022" w:type="dxa"/>
            <w:tcBorders>
              <w:left w:val="single" w:sz="4" w:space="0" w:color="auto"/>
              <w:bottom w:val="single" w:sz="4" w:space="0" w:color="auto"/>
              <w:right w:val="single" w:sz="4" w:space="0" w:color="auto"/>
            </w:tcBorders>
            <w:shd w:val="clear" w:color="auto" w:fill="BDD7EE"/>
            <w:vAlign w:val="center"/>
          </w:tcPr>
          <w:p w14:paraId="31B27362" w14:textId="77777777" w:rsidR="00C45D59" w:rsidRDefault="009B0962">
            <w:pPr>
              <w:pStyle w:val="P68B1DB1-Normal41"/>
              <w:spacing w:before="120" w:after="120" w:line="240" w:lineRule="auto"/>
              <w:jc w:val="center"/>
              <w:rPr>
                <w:rFonts w:eastAsia="Times New Roman" w:cs="Times New Roman"/>
                <w:bCs/>
                <w:noProof/>
              </w:rPr>
            </w:pPr>
            <w:r>
              <w:rPr>
                <w:noProof/>
              </w:rPr>
              <w:t>Situația de referință</w:t>
            </w:r>
          </w:p>
        </w:tc>
        <w:tc>
          <w:tcPr>
            <w:tcW w:w="638" w:type="dxa"/>
            <w:tcBorders>
              <w:top w:val="single" w:sz="4" w:space="0" w:color="auto"/>
              <w:left w:val="nil"/>
              <w:bottom w:val="single" w:sz="4" w:space="0" w:color="auto"/>
              <w:right w:val="single" w:sz="4" w:space="0" w:color="auto"/>
            </w:tcBorders>
            <w:shd w:val="clear" w:color="auto" w:fill="BDD7EE"/>
            <w:vAlign w:val="center"/>
          </w:tcPr>
          <w:p w14:paraId="26014ECB" w14:textId="77777777" w:rsidR="00C45D59" w:rsidRDefault="009B0962">
            <w:pPr>
              <w:pStyle w:val="P68B1DB1-Normal41"/>
              <w:spacing w:before="120" w:after="120" w:line="240" w:lineRule="auto"/>
              <w:jc w:val="center"/>
              <w:rPr>
                <w:rFonts w:eastAsia="Times New Roman" w:cs="Times New Roman"/>
                <w:bCs/>
                <w:noProof/>
              </w:rPr>
            </w:pPr>
            <w:r>
              <w:rPr>
                <w:noProof/>
              </w:rPr>
              <w:t>Obiectiv</w:t>
            </w:r>
          </w:p>
        </w:tc>
        <w:tc>
          <w:tcPr>
            <w:tcW w:w="1060" w:type="dxa"/>
            <w:tcBorders>
              <w:top w:val="single" w:sz="4" w:space="0" w:color="auto"/>
              <w:left w:val="nil"/>
              <w:bottom w:val="single" w:sz="4" w:space="0" w:color="auto"/>
              <w:right w:val="single" w:sz="4" w:space="0" w:color="auto"/>
            </w:tcBorders>
            <w:shd w:val="clear" w:color="auto" w:fill="BDD7EE"/>
            <w:vAlign w:val="center"/>
          </w:tcPr>
          <w:p w14:paraId="1B389392" w14:textId="77777777" w:rsidR="00C45D59" w:rsidRDefault="009B0962">
            <w:pPr>
              <w:pStyle w:val="P68B1DB1-Normal41"/>
              <w:spacing w:before="120" w:after="120" w:line="240" w:lineRule="auto"/>
              <w:jc w:val="center"/>
              <w:rPr>
                <w:rFonts w:eastAsia="Times New Roman" w:cs="Times New Roman"/>
                <w:bCs/>
                <w:noProof/>
              </w:rPr>
            </w:pPr>
            <w:r>
              <w:rPr>
                <w:noProof/>
              </w:rPr>
              <w:t>Trimestru</w:t>
            </w:r>
          </w:p>
        </w:tc>
        <w:tc>
          <w:tcPr>
            <w:tcW w:w="877" w:type="dxa"/>
            <w:tcBorders>
              <w:top w:val="single" w:sz="4" w:space="0" w:color="auto"/>
              <w:left w:val="nil"/>
              <w:bottom w:val="single" w:sz="4" w:space="0" w:color="auto"/>
              <w:right w:val="single" w:sz="4" w:space="0" w:color="auto"/>
            </w:tcBorders>
            <w:shd w:val="clear" w:color="auto" w:fill="BDD7EE"/>
            <w:vAlign w:val="center"/>
          </w:tcPr>
          <w:p w14:paraId="64820900" w14:textId="77777777" w:rsidR="00C45D59" w:rsidRDefault="009B0962">
            <w:pPr>
              <w:pStyle w:val="P68B1DB1-Normal41"/>
              <w:spacing w:before="120" w:after="120" w:line="240" w:lineRule="auto"/>
              <w:jc w:val="center"/>
              <w:rPr>
                <w:rFonts w:eastAsia="Times New Roman" w:cs="Times New Roman"/>
                <w:bCs/>
                <w:noProof/>
              </w:rPr>
            </w:pPr>
            <w:r>
              <w:rPr>
                <w:noProof/>
              </w:rPr>
              <w:t>Anul</w:t>
            </w:r>
          </w:p>
        </w:tc>
        <w:tc>
          <w:tcPr>
            <w:tcW w:w="3077" w:type="dxa"/>
            <w:vMerge/>
            <w:tcBorders>
              <w:right w:val="single" w:sz="4" w:space="0" w:color="auto"/>
            </w:tcBorders>
            <w:vAlign w:val="center"/>
          </w:tcPr>
          <w:p w14:paraId="6BA03158" w14:textId="77777777" w:rsidR="00C45D59" w:rsidRDefault="00C45D59">
            <w:pPr>
              <w:spacing w:before="120" w:after="120" w:line="240" w:lineRule="auto"/>
              <w:jc w:val="center"/>
              <w:rPr>
                <w:rFonts w:ascii="Times New Roman" w:eastAsia="Times New Roman" w:hAnsi="Times New Roman" w:cs="Times New Roman"/>
                <w:b/>
                <w:bCs/>
                <w:noProof/>
                <w:sz w:val="18"/>
                <w:szCs w:val="18"/>
              </w:rPr>
            </w:pPr>
          </w:p>
        </w:tc>
      </w:tr>
      <w:tr w:rsidR="00C45D59" w14:paraId="4F256BFB" w14:textId="77777777">
        <w:trPr>
          <w:trHeight w:val="300"/>
        </w:trPr>
        <w:tc>
          <w:tcPr>
            <w:tcW w:w="675" w:type="dxa"/>
            <w:tcBorders>
              <w:top w:val="single" w:sz="4" w:space="0" w:color="auto"/>
              <w:left w:val="single" w:sz="4" w:space="0" w:color="auto"/>
              <w:bottom w:val="single" w:sz="4" w:space="0" w:color="auto"/>
              <w:right w:val="single" w:sz="4" w:space="0" w:color="auto"/>
            </w:tcBorders>
            <w:shd w:val="clear" w:color="auto" w:fill="C6EFCE"/>
            <w:noWrap/>
          </w:tcPr>
          <w:p w14:paraId="28AAA9C1" w14:textId="77777777" w:rsidR="00C45D59" w:rsidRDefault="009B0962">
            <w:pPr>
              <w:pStyle w:val="P68B1DB1-Normal12"/>
              <w:spacing w:after="0" w:line="240" w:lineRule="auto"/>
              <w:rPr>
                <w:rFonts w:eastAsia="Times New Roman"/>
                <w:noProof/>
              </w:rPr>
            </w:pPr>
            <w:r>
              <w:rPr>
                <w:noProof/>
              </w:rPr>
              <w:t>365</w:t>
            </w:r>
          </w:p>
        </w:tc>
        <w:tc>
          <w:tcPr>
            <w:tcW w:w="2356" w:type="dxa"/>
            <w:tcBorders>
              <w:top w:val="single" w:sz="4" w:space="0" w:color="auto"/>
              <w:left w:val="nil"/>
              <w:bottom w:val="single" w:sz="4" w:space="0" w:color="auto"/>
              <w:right w:val="single" w:sz="4" w:space="0" w:color="auto"/>
            </w:tcBorders>
            <w:shd w:val="clear" w:color="auto" w:fill="C6EFCE"/>
            <w:noWrap/>
          </w:tcPr>
          <w:p w14:paraId="363F0FD4" w14:textId="77777777" w:rsidR="00C45D59" w:rsidRDefault="009B0962">
            <w:pPr>
              <w:pStyle w:val="P68B1DB1-Normal12"/>
              <w:spacing w:after="0" w:line="240" w:lineRule="auto"/>
              <w:rPr>
                <w:rFonts w:eastAsia="Times New Roman"/>
                <w:noProof/>
              </w:rPr>
            </w:pPr>
            <w:r>
              <w:rPr>
                <w:noProof/>
              </w:rPr>
              <w:t>21-5.2 investiții REPowerEU – 16996_Instalarea stocării energiei pentru pătrunderea suplimentară a surselor regenerabile de energie</w:t>
            </w:r>
          </w:p>
        </w:tc>
        <w:tc>
          <w:tcPr>
            <w:tcW w:w="1188" w:type="dxa"/>
            <w:tcBorders>
              <w:top w:val="single" w:sz="4" w:space="0" w:color="auto"/>
              <w:left w:val="nil"/>
              <w:bottom w:val="single" w:sz="4" w:space="0" w:color="auto"/>
              <w:right w:val="single" w:sz="4" w:space="0" w:color="auto"/>
            </w:tcBorders>
            <w:shd w:val="clear" w:color="auto" w:fill="C6EFCE"/>
            <w:noWrap/>
          </w:tcPr>
          <w:p w14:paraId="2C4F1321" w14:textId="77777777" w:rsidR="00C45D59" w:rsidRDefault="009B0962">
            <w:pPr>
              <w:pStyle w:val="P68B1DB1-Normal12"/>
              <w:spacing w:after="0" w:line="240" w:lineRule="auto"/>
              <w:rPr>
                <w:rFonts w:eastAsia="Times New Roman"/>
                <w:noProof/>
              </w:rPr>
            </w:pPr>
            <w:r>
              <w:rPr>
                <w:noProof/>
              </w:rPr>
              <w:t>Etapă</w:t>
            </w:r>
          </w:p>
        </w:tc>
        <w:tc>
          <w:tcPr>
            <w:tcW w:w="992" w:type="dxa"/>
            <w:tcBorders>
              <w:top w:val="single" w:sz="4" w:space="0" w:color="auto"/>
              <w:left w:val="nil"/>
              <w:bottom w:val="single" w:sz="4" w:space="0" w:color="auto"/>
              <w:right w:val="single" w:sz="4" w:space="0" w:color="auto"/>
            </w:tcBorders>
            <w:shd w:val="clear" w:color="auto" w:fill="C6EFCE"/>
            <w:noWrap/>
          </w:tcPr>
          <w:p w14:paraId="709DAE07" w14:textId="77777777" w:rsidR="00C45D59" w:rsidRDefault="009B0962">
            <w:pPr>
              <w:pStyle w:val="P68B1DB1-Normal12"/>
              <w:spacing w:after="0" w:line="240" w:lineRule="auto"/>
              <w:rPr>
                <w:rFonts w:eastAsia="Times New Roman"/>
                <w:noProof/>
              </w:rPr>
            </w:pPr>
            <w:r>
              <w:rPr>
                <w:noProof/>
              </w:rPr>
              <w:t>Proiecte aprobate de stocare a energiei</w:t>
            </w:r>
          </w:p>
        </w:tc>
        <w:tc>
          <w:tcPr>
            <w:tcW w:w="1547" w:type="dxa"/>
            <w:tcBorders>
              <w:top w:val="single" w:sz="4" w:space="0" w:color="auto"/>
              <w:left w:val="nil"/>
              <w:bottom w:val="single" w:sz="4" w:space="0" w:color="auto"/>
              <w:right w:val="single" w:sz="4" w:space="0" w:color="auto"/>
            </w:tcBorders>
            <w:shd w:val="clear" w:color="auto" w:fill="C6EFCE"/>
            <w:noWrap/>
          </w:tcPr>
          <w:p w14:paraId="6C2A48F6" w14:textId="77777777" w:rsidR="00C45D59" w:rsidRDefault="009B0962">
            <w:pPr>
              <w:pStyle w:val="P68B1DB1-Normal12"/>
              <w:spacing w:after="120" w:line="240" w:lineRule="auto"/>
              <w:rPr>
                <w:rFonts w:eastAsia="Times New Roman"/>
                <w:noProof/>
              </w:rPr>
            </w:pPr>
            <w:r>
              <w:rPr>
                <w:noProof/>
              </w:rPr>
              <w:t>Decizia de aprobare</w:t>
            </w:r>
          </w:p>
        </w:tc>
        <w:tc>
          <w:tcPr>
            <w:tcW w:w="1022" w:type="dxa"/>
            <w:tcBorders>
              <w:top w:val="single" w:sz="4" w:space="0" w:color="auto"/>
              <w:left w:val="nil"/>
              <w:bottom w:val="single" w:sz="4" w:space="0" w:color="auto"/>
              <w:right w:val="single" w:sz="4" w:space="0" w:color="auto"/>
            </w:tcBorders>
            <w:shd w:val="clear" w:color="auto" w:fill="C6EFCE"/>
            <w:noWrap/>
          </w:tcPr>
          <w:p w14:paraId="2D3E007A" w14:textId="77777777" w:rsidR="00C45D59" w:rsidRDefault="00C45D59">
            <w:pPr>
              <w:spacing w:after="0" w:line="240" w:lineRule="auto"/>
              <w:rPr>
                <w:rFonts w:ascii="Times New Roman" w:eastAsia="Times New Roman" w:hAnsi="Times New Roman" w:cs="Times New Roman"/>
                <w:noProof/>
                <w:sz w:val="18"/>
                <w:szCs w:val="18"/>
              </w:rPr>
            </w:pPr>
          </w:p>
        </w:tc>
        <w:tc>
          <w:tcPr>
            <w:tcW w:w="1022" w:type="dxa"/>
            <w:tcBorders>
              <w:top w:val="single" w:sz="4" w:space="0" w:color="auto"/>
              <w:left w:val="nil"/>
              <w:bottom w:val="single" w:sz="4" w:space="0" w:color="auto"/>
              <w:right w:val="single" w:sz="4" w:space="0" w:color="auto"/>
            </w:tcBorders>
            <w:shd w:val="clear" w:color="auto" w:fill="C6EFCE"/>
            <w:noWrap/>
          </w:tcPr>
          <w:p w14:paraId="3EA50C95" w14:textId="77777777" w:rsidR="00C45D59" w:rsidRDefault="00C45D59">
            <w:pPr>
              <w:spacing w:after="0" w:line="240" w:lineRule="auto"/>
              <w:rPr>
                <w:rFonts w:ascii="Times New Roman" w:eastAsia="Times New Roman" w:hAnsi="Times New Roman" w:cs="Times New Roman"/>
                <w:noProof/>
                <w:sz w:val="18"/>
                <w:szCs w:val="18"/>
              </w:rPr>
            </w:pPr>
          </w:p>
        </w:tc>
        <w:tc>
          <w:tcPr>
            <w:tcW w:w="638" w:type="dxa"/>
            <w:tcBorders>
              <w:top w:val="single" w:sz="4" w:space="0" w:color="auto"/>
              <w:left w:val="nil"/>
              <w:bottom w:val="single" w:sz="4" w:space="0" w:color="auto"/>
              <w:right w:val="single" w:sz="4" w:space="0" w:color="auto"/>
            </w:tcBorders>
            <w:shd w:val="clear" w:color="auto" w:fill="C6EFCE"/>
            <w:noWrap/>
          </w:tcPr>
          <w:p w14:paraId="5CE075D0" w14:textId="77777777" w:rsidR="00C45D59" w:rsidRDefault="00C45D59">
            <w:pPr>
              <w:spacing w:after="0" w:line="240" w:lineRule="auto"/>
              <w:rPr>
                <w:rFonts w:ascii="Times New Roman" w:eastAsia="Times New Roman" w:hAnsi="Times New Roman" w:cs="Times New Roman"/>
                <w:noProof/>
                <w:sz w:val="18"/>
                <w:szCs w:val="18"/>
              </w:rPr>
            </w:pPr>
          </w:p>
        </w:tc>
        <w:tc>
          <w:tcPr>
            <w:tcW w:w="1060" w:type="dxa"/>
            <w:tcBorders>
              <w:top w:val="nil"/>
              <w:left w:val="nil"/>
              <w:bottom w:val="single" w:sz="4" w:space="0" w:color="auto"/>
              <w:right w:val="single" w:sz="4" w:space="0" w:color="auto"/>
            </w:tcBorders>
            <w:shd w:val="clear" w:color="auto" w:fill="C6EFCE"/>
            <w:noWrap/>
          </w:tcPr>
          <w:p w14:paraId="2A14838E" w14:textId="77777777" w:rsidR="00C45D59" w:rsidRDefault="009B0962">
            <w:pPr>
              <w:pStyle w:val="P68B1DB1-Normal12"/>
              <w:spacing w:after="120" w:line="240" w:lineRule="auto"/>
              <w:rPr>
                <w:rFonts w:eastAsia="Times New Roman"/>
                <w:noProof/>
              </w:rPr>
            </w:pPr>
            <w:r>
              <w:rPr>
                <w:noProof/>
              </w:rPr>
              <w:t>Î2</w:t>
            </w:r>
          </w:p>
        </w:tc>
        <w:tc>
          <w:tcPr>
            <w:tcW w:w="877" w:type="dxa"/>
            <w:tcBorders>
              <w:top w:val="nil"/>
              <w:left w:val="nil"/>
              <w:bottom w:val="single" w:sz="4" w:space="0" w:color="auto"/>
              <w:right w:val="single" w:sz="4" w:space="0" w:color="auto"/>
            </w:tcBorders>
            <w:shd w:val="clear" w:color="auto" w:fill="C6EFCE"/>
            <w:noWrap/>
          </w:tcPr>
          <w:p w14:paraId="7007B400" w14:textId="77777777" w:rsidR="00C45D59" w:rsidRDefault="009B0962">
            <w:pPr>
              <w:pStyle w:val="P68B1DB1-Normal12"/>
              <w:spacing w:after="120" w:line="240" w:lineRule="auto"/>
              <w:rPr>
                <w:rFonts w:eastAsia="Times New Roman"/>
                <w:noProof/>
              </w:rPr>
            </w:pPr>
            <w:r>
              <w:rPr>
                <w:noProof/>
              </w:rPr>
              <w:t>2024</w:t>
            </w:r>
          </w:p>
        </w:tc>
        <w:tc>
          <w:tcPr>
            <w:tcW w:w="3077" w:type="dxa"/>
            <w:tcBorders>
              <w:top w:val="single" w:sz="4" w:space="0" w:color="auto"/>
              <w:left w:val="nil"/>
              <w:bottom w:val="single" w:sz="4" w:space="0" w:color="auto"/>
              <w:right w:val="single" w:sz="4" w:space="0" w:color="auto"/>
            </w:tcBorders>
            <w:shd w:val="clear" w:color="auto" w:fill="C6EFCE"/>
            <w:noWrap/>
          </w:tcPr>
          <w:p w14:paraId="729166E6" w14:textId="77777777" w:rsidR="00C45D59" w:rsidRDefault="009B0962">
            <w:pPr>
              <w:pStyle w:val="P68B1DB1-Normal12"/>
              <w:spacing w:after="0" w:line="240" w:lineRule="auto"/>
              <w:rPr>
                <w:rFonts w:eastAsia="Times New Roman"/>
                <w:noProof/>
              </w:rPr>
            </w:pPr>
            <w:r>
              <w:rPr>
                <w:noProof/>
              </w:rPr>
              <w:t xml:space="preserve">Publicarea deciziei de aprobare de către RAAWW pentru proiecte pentru o capacitate instalată totală de stocare a energiei electrice de 175 MW. </w:t>
            </w:r>
          </w:p>
        </w:tc>
      </w:tr>
    </w:tbl>
    <w:p w14:paraId="69AC61B6" w14:textId="77777777" w:rsidR="00C45D59" w:rsidRDefault="00C45D59">
      <w:pPr>
        <w:rPr>
          <w:noProof/>
        </w:rPr>
      </w:pPr>
    </w:p>
    <w:p w14:paraId="09090C88" w14:textId="401A4CEC" w:rsidR="00C45D59" w:rsidRDefault="009B0962">
      <w:pPr>
        <w:rPr>
          <w:rFonts w:ascii="Cambria" w:eastAsia="Times New Roman" w:hAnsi="Cambria"/>
          <w:noProof/>
          <w:color w:val="365F91"/>
          <w:sz w:val="24"/>
        </w:rPr>
      </w:pPr>
      <w:r>
        <w:rPr>
          <w:noProof/>
        </w:rPr>
        <w:br w:type="page"/>
      </w:r>
      <w:r>
        <w:rPr>
          <w:rFonts w:ascii="Cambria" w:hAnsi="Cambria"/>
          <w:noProof/>
          <w:color w:val="365F91"/>
          <w:sz w:val="24"/>
        </w:rPr>
        <w:t>Investiția 2: Eficiența energetică și promovarea SRE pentru autoconsum (identificatorul măsurii: 16994)</w:t>
      </w:r>
    </w:p>
    <w:tbl>
      <w:tblPr>
        <w:tblW w:w="143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2461"/>
        <w:gridCol w:w="1142"/>
        <w:gridCol w:w="1234"/>
        <w:gridCol w:w="1286"/>
        <w:gridCol w:w="1152"/>
        <w:gridCol w:w="896"/>
        <w:gridCol w:w="1195"/>
        <w:gridCol w:w="1006"/>
        <w:gridCol w:w="956"/>
        <w:gridCol w:w="2698"/>
      </w:tblGrid>
      <w:tr w:rsidR="00C45D59" w14:paraId="1595E1B7" w14:textId="77777777">
        <w:trPr>
          <w:trHeight w:val="983"/>
          <w:tblHeader/>
        </w:trPr>
        <w:tc>
          <w:tcPr>
            <w:tcW w:w="534"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noWrap/>
            <w:vAlign w:val="center"/>
          </w:tcPr>
          <w:p w14:paraId="3B327959" w14:textId="51518487" w:rsidR="00C45D59" w:rsidRDefault="009B0962">
            <w:pPr>
              <w:pStyle w:val="P68B1DB1-Normal15"/>
              <w:spacing w:after="0" w:line="240" w:lineRule="auto"/>
              <w:jc w:val="center"/>
              <w:rPr>
                <w:rFonts w:eastAsia="Times New Roman"/>
                <w:noProof/>
                <w:color w:val="006100"/>
              </w:rPr>
            </w:pPr>
            <w:r>
              <w:rPr>
                <w:noProof/>
              </w:rPr>
              <w:t>Nr</w:t>
            </w:r>
            <w:r w:rsidR="00E649D5">
              <w:rPr>
                <w:noProof/>
              </w:rPr>
              <w:t>.</w:t>
            </w:r>
            <w:r w:rsidR="00CD2DBD">
              <w:rPr>
                <w:noProof/>
              </w:rPr>
              <w:t xml:space="preserve"> </w:t>
            </w:r>
            <w:r>
              <w:rPr>
                <w:noProof/>
              </w:rPr>
              <w:br/>
            </w:r>
            <w:r w:rsidR="00E649D5">
              <w:rPr>
                <w:noProof/>
              </w:rPr>
              <w:t>crt</w:t>
            </w:r>
            <w:r>
              <w:rPr>
                <w:noProof/>
              </w:rPr>
              <w:t>.</w:t>
            </w:r>
          </w:p>
        </w:tc>
        <w:tc>
          <w:tcPr>
            <w:tcW w:w="2461"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noWrap/>
            <w:vAlign w:val="center"/>
          </w:tcPr>
          <w:p w14:paraId="1A66312A" w14:textId="77777777" w:rsidR="00C45D59" w:rsidRDefault="009B0962">
            <w:pPr>
              <w:pStyle w:val="P68B1DB1-Normal10"/>
              <w:spacing w:after="0" w:line="240" w:lineRule="auto"/>
              <w:jc w:val="center"/>
              <w:rPr>
                <w:rFonts w:eastAsia="Times New Roman" w:cs="Times New Roman"/>
                <w:noProof/>
                <w:color w:val="006100"/>
                <w:szCs w:val="18"/>
              </w:rPr>
            </w:pPr>
            <w:r>
              <w:rPr>
                <w:noProof/>
              </w:rPr>
              <w:t>Măsură conexă (reformă sau investiții)</w:t>
            </w:r>
          </w:p>
        </w:tc>
        <w:tc>
          <w:tcPr>
            <w:tcW w:w="1142"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noWrap/>
            <w:vAlign w:val="center"/>
          </w:tcPr>
          <w:p w14:paraId="5D78C5F6" w14:textId="17E4AAE3" w:rsidR="00C45D59" w:rsidRDefault="009B0962">
            <w:pPr>
              <w:pStyle w:val="P68B1DB1-Normal10"/>
              <w:spacing w:after="0" w:line="240" w:lineRule="auto"/>
              <w:jc w:val="center"/>
              <w:rPr>
                <w:rFonts w:eastAsia="Times New Roman" w:cs="Times New Roman"/>
                <w:noProof/>
                <w:color w:val="006100"/>
                <w:szCs w:val="18"/>
              </w:rPr>
            </w:pPr>
            <w:r>
              <w:rPr>
                <w:noProof/>
              </w:rPr>
              <w:t>Etapă/</w:t>
            </w:r>
            <w:r w:rsidR="00E649D5">
              <w:rPr>
                <w:noProof/>
              </w:rPr>
              <w:t xml:space="preserve"> </w:t>
            </w:r>
            <w:r>
              <w:rPr>
                <w:noProof/>
              </w:rPr>
              <w:t>Obiectiv</w:t>
            </w:r>
          </w:p>
        </w:tc>
        <w:tc>
          <w:tcPr>
            <w:tcW w:w="1234"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noWrap/>
            <w:vAlign w:val="center"/>
          </w:tcPr>
          <w:p w14:paraId="7D4F66EC" w14:textId="5478C30F" w:rsidR="00C45D59" w:rsidRDefault="00E649D5">
            <w:pPr>
              <w:pStyle w:val="P68B1DB1-Normal10"/>
              <w:spacing w:after="0" w:line="240" w:lineRule="auto"/>
              <w:jc w:val="center"/>
              <w:rPr>
                <w:rFonts w:eastAsia="Times New Roman" w:cs="Times New Roman"/>
                <w:noProof/>
                <w:color w:val="006100"/>
                <w:szCs w:val="18"/>
              </w:rPr>
            </w:pPr>
            <w:r>
              <w:rPr>
                <w:noProof/>
              </w:rPr>
              <w:t>Denumire</w:t>
            </w:r>
          </w:p>
        </w:tc>
        <w:tc>
          <w:tcPr>
            <w:tcW w:w="1286"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noWrap/>
            <w:vAlign w:val="center"/>
          </w:tcPr>
          <w:p w14:paraId="6A2C75E6" w14:textId="77777777" w:rsidR="00C45D59" w:rsidRDefault="009B0962">
            <w:pPr>
              <w:pStyle w:val="P68B1DB1-Normal10"/>
              <w:spacing w:after="0" w:line="240" w:lineRule="auto"/>
              <w:jc w:val="center"/>
              <w:rPr>
                <w:rFonts w:eastAsia="Times New Roman" w:cs="Times New Roman"/>
                <w:noProof/>
                <w:color w:val="006100"/>
                <w:szCs w:val="18"/>
              </w:rPr>
            </w:pPr>
            <w:r>
              <w:rPr>
                <w:noProof/>
              </w:rPr>
              <w:t>Indicatori calitativi (pentru obiectivele de etapă)</w:t>
            </w:r>
          </w:p>
        </w:tc>
        <w:tc>
          <w:tcPr>
            <w:tcW w:w="3232" w:type="dxa"/>
            <w:gridSpan w:val="3"/>
            <w:tcBorders>
              <w:top w:val="single" w:sz="4" w:space="0" w:color="auto"/>
              <w:left w:val="single" w:sz="4" w:space="0" w:color="auto"/>
              <w:bottom w:val="single" w:sz="4" w:space="0" w:color="auto"/>
              <w:right w:val="single" w:sz="4" w:space="0" w:color="auto"/>
            </w:tcBorders>
            <w:shd w:val="clear" w:color="auto" w:fill="B8CCE4" w:themeFill="accent1" w:themeFillTint="66"/>
            <w:noWrap/>
            <w:vAlign w:val="center"/>
          </w:tcPr>
          <w:p w14:paraId="46B3F6A9" w14:textId="77777777" w:rsidR="00C45D59" w:rsidRDefault="009B0962">
            <w:pPr>
              <w:pStyle w:val="P68B1DB1-Normal10"/>
              <w:spacing w:after="0" w:line="240" w:lineRule="auto"/>
              <w:jc w:val="center"/>
              <w:rPr>
                <w:rFonts w:eastAsia="Times New Roman" w:cs="Times New Roman"/>
                <w:noProof/>
                <w:color w:val="006100"/>
                <w:szCs w:val="18"/>
              </w:rPr>
            </w:pPr>
            <w:r>
              <w:rPr>
                <w:noProof/>
              </w:rPr>
              <w:t>Indicatori cantitativi (pentru ținte)</w:t>
            </w:r>
          </w:p>
        </w:tc>
        <w:tc>
          <w:tcPr>
            <w:tcW w:w="1802"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noWrap/>
            <w:vAlign w:val="center"/>
          </w:tcPr>
          <w:p w14:paraId="010A7FC6" w14:textId="77777777" w:rsidR="00C45D59" w:rsidRDefault="009B0962">
            <w:pPr>
              <w:pStyle w:val="P68B1DB1-Normal10"/>
              <w:spacing w:after="0" w:line="240" w:lineRule="auto"/>
              <w:jc w:val="center"/>
              <w:rPr>
                <w:rFonts w:eastAsia="Times New Roman" w:cs="Times New Roman"/>
                <w:noProof/>
                <w:color w:val="006100"/>
                <w:szCs w:val="18"/>
              </w:rPr>
            </w:pPr>
            <w:r>
              <w:rPr>
                <w:noProof/>
              </w:rPr>
              <w:t>Calendar orientativ pentru finalizare</w:t>
            </w:r>
          </w:p>
        </w:tc>
        <w:tc>
          <w:tcPr>
            <w:tcW w:w="2698"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noWrap/>
            <w:vAlign w:val="center"/>
          </w:tcPr>
          <w:p w14:paraId="0AD48242" w14:textId="77777777" w:rsidR="00C45D59" w:rsidRDefault="009B0962">
            <w:pPr>
              <w:pStyle w:val="P68B1DB1-Normal10"/>
              <w:spacing w:after="0" w:line="240" w:lineRule="auto"/>
              <w:jc w:val="center"/>
              <w:rPr>
                <w:rFonts w:eastAsia="Times New Roman" w:cs="Times New Roman"/>
                <w:noProof/>
                <w:color w:val="006100"/>
                <w:szCs w:val="18"/>
              </w:rPr>
            </w:pPr>
            <w:r>
              <w:rPr>
                <w:noProof/>
              </w:rPr>
              <w:t>Descrierea fiecărui jalon și a fiecărei ținte</w:t>
            </w:r>
          </w:p>
        </w:tc>
      </w:tr>
      <w:tr w:rsidR="00C45D59" w14:paraId="3197BFEF" w14:textId="77777777">
        <w:trPr>
          <w:trHeight w:val="557"/>
          <w:tblHeader/>
        </w:trPr>
        <w:tc>
          <w:tcPr>
            <w:tcW w:w="534" w:type="dxa"/>
            <w:vMerge/>
            <w:noWrap/>
            <w:vAlign w:val="center"/>
          </w:tcPr>
          <w:p w14:paraId="3200F040" w14:textId="77777777" w:rsidR="00C45D59" w:rsidRDefault="00C45D59">
            <w:pPr>
              <w:spacing w:after="0" w:line="240" w:lineRule="auto"/>
              <w:rPr>
                <w:rFonts w:ascii="Times New Roman" w:eastAsia="Times New Roman" w:hAnsi="Times New Roman" w:cs="Times New Roman"/>
                <w:b/>
                <w:bCs/>
                <w:noProof/>
                <w:sz w:val="18"/>
                <w:szCs w:val="18"/>
              </w:rPr>
            </w:pPr>
          </w:p>
        </w:tc>
        <w:tc>
          <w:tcPr>
            <w:tcW w:w="2461" w:type="dxa"/>
            <w:vMerge/>
            <w:noWrap/>
            <w:vAlign w:val="center"/>
          </w:tcPr>
          <w:p w14:paraId="690DA35F" w14:textId="77777777" w:rsidR="00C45D59" w:rsidRDefault="00C45D59">
            <w:pPr>
              <w:spacing w:after="0" w:line="240" w:lineRule="auto"/>
              <w:rPr>
                <w:rFonts w:ascii="Times New Roman" w:eastAsia="Times New Roman" w:hAnsi="Times New Roman" w:cs="Times New Roman"/>
                <w:b/>
                <w:bCs/>
                <w:noProof/>
                <w:sz w:val="18"/>
                <w:szCs w:val="18"/>
              </w:rPr>
            </w:pPr>
          </w:p>
        </w:tc>
        <w:tc>
          <w:tcPr>
            <w:tcW w:w="1142" w:type="dxa"/>
            <w:vMerge/>
            <w:noWrap/>
            <w:vAlign w:val="center"/>
          </w:tcPr>
          <w:p w14:paraId="4B416D15" w14:textId="77777777" w:rsidR="00C45D59" w:rsidRDefault="00C45D59">
            <w:pPr>
              <w:spacing w:after="0" w:line="240" w:lineRule="auto"/>
              <w:rPr>
                <w:rFonts w:ascii="Times New Roman" w:eastAsia="Times New Roman" w:hAnsi="Times New Roman" w:cs="Times New Roman"/>
                <w:b/>
                <w:bCs/>
                <w:noProof/>
                <w:sz w:val="18"/>
                <w:szCs w:val="18"/>
              </w:rPr>
            </w:pPr>
          </w:p>
        </w:tc>
        <w:tc>
          <w:tcPr>
            <w:tcW w:w="1234" w:type="dxa"/>
            <w:vMerge/>
            <w:noWrap/>
            <w:vAlign w:val="center"/>
          </w:tcPr>
          <w:p w14:paraId="2802A0A3" w14:textId="77777777" w:rsidR="00C45D59" w:rsidRDefault="00C45D59">
            <w:pPr>
              <w:spacing w:after="0" w:line="240" w:lineRule="auto"/>
              <w:rPr>
                <w:rFonts w:ascii="Times New Roman" w:eastAsia="Times New Roman" w:hAnsi="Times New Roman" w:cs="Times New Roman"/>
                <w:b/>
                <w:bCs/>
                <w:noProof/>
                <w:sz w:val="18"/>
                <w:szCs w:val="18"/>
              </w:rPr>
            </w:pPr>
          </w:p>
        </w:tc>
        <w:tc>
          <w:tcPr>
            <w:tcW w:w="1286" w:type="dxa"/>
            <w:vMerge/>
            <w:noWrap/>
            <w:vAlign w:val="center"/>
          </w:tcPr>
          <w:p w14:paraId="07D9572C" w14:textId="77777777" w:rsidR="00C45D59" w:rsidRDefault="00C45D59">
            <w:pPr>
              <w:spacing w:after="0" w:line="240" w:lineRule="auto"/>
              <w:rPr>
                <w:rFonts w:ascii="Times New Roman" w:eastAsia="Times New Roman" w:hAnsi="Times New Roman" w:cs="Times New Roman"/>
                <w:b/>
                <w:bCs/>
                <w:noProof/>
                <w:sz w:val="18"/>
                <w:szCs w:val="18"/>
              </w:rPr>
            </w:pPr>
          </w:p>
        </w:tc>
        <w:tc>
          <w:tcPr>
            <w:tcW w:w="1152" w:type="dxa"/>
            <w:tcBorders>
              <w:top w:val="single" w:sz="4" w:space="0" w:color="auto"/>
            </w:tcBorders>
            <w:shd w:val="clear" w:color="auto" w:fill="B8CCE4" w:themeFill="accent1" w:themeFillTint="66"/>
            <w:noWrap/>
            <w:vAlign w:val="center"/>
          </w:tcPr>
          <w:p w14:paraId="37F1F12D" w14:textId="77777777" w:rsidR="00C45D59" w:rsidRDefault="009B0962">
            <w:pPr>
              <w:pStyle w:val="P68B1DB1-Normal10"/>
              <w:spacing w:after="0" w:line="240" w:lineRule="auto"/>
              <w:jc w:val="center"/>
              <w:rPr>
                <w:rFonts w:eastAsia="Times New Roman" w:cs="Times New Roman"/>
                <w:bCs/>
                <w:noProof/>
                <w:szCs w:val="18"/>
              </w:rPr>
            </w:pPr>
            <w:r>
              <w:rPr>
                <w:noProof/>
              </w:rPr>
              <w:t>Unitatea de măsură</w:t>
            </w:r>
          </w:p>
        </w:tc>
        <w:tc>
          <w:tcPr>
            <w:tcW w:w="885" w:type="dxa"/>
            <w:tcBorders>
              <w:top w:val="single" w:sz="4" w:space="0" w:color="auto"/>
            </w:tcBorders>
            <w:shd w:val="clear" w:color="auto" w:fill="B8CCE4" w:themeFill="accent1" w:themeFillTint="66"/>
            <w:vAlign w:val="center"/>
          </w:tcPr>
          <w:p w14:paraId="57BE1C0B" w14:textId="77777777" w:rsidR="00C45D59" w:rsidRDefault="009B0962">
            <w:pPr>
              <w:pStyle w:val="P68B1DB1-Normal10"/>
              <w:spacing w:after="0" w:line="240" w:lineRule="auto"/>
              <w:jc w:val="center"/>
              <w:rPr>
                <w:rFonts w:eastAsia="Times New Roman" w:cs="Times New Roman"/>
                <w:bCs/>
                <w:noProof/>
                <w:szCs w:val="18"/>
              </w:rPr>
            </w:pPr>
            <w:r>
              <w:rPr>
                <w:noProof/>
              </w:rPr>
              <w:t>Situația de referință</w:t>
            </w:r>
          </w:p>
        </w:tc>
        <w:tc>
          <w:tcPr>
            <w:tcW w:w="1195" w:type="dxa"/>
            <w:tcBorders>
              <w:top w:val="single" w:sz="4" w:space="0" w:color="auto"/>
            </w:tcBorders>
            <w:shd w:val="clear" w:color="auto" w:fill="B8CCE4" w:themeFill="accent1" w:themeFillTint="66"/>
            <w:vAlign w:val="center"/>
          </w:tcPr>
          <w:p w14:paraId="3346C3E3" w14:textId="77777777" w:rsidR="00C45D59" w:rsidRDefault="009B0962">
            <w:pPr>
              <w:pStyle w:val="P68B1DB1-Normal10"/>
              <w:spacing w:after="0" w:line="240" w:lineRule="auto"/>
              <w:jc w:val="center"/>
              <w:rPr>
                <w:rFonts w:eastAsia="Times New Roman" w:cs="Times New Roman"/>
                <w:bCs/>
                <w:noProof/>
                <w:szCs w:val="18"/>
              </w:rPr>
            </w:pPr>
            <w:r>
              <w:rPr>
                <w:noProof/>
              </w:rPr>
              <w:t>Obiectiv</w:t>
            </w:r>
          </w:p>
        </w:tc>
        <w:tc>
          <w:tcPr>
            <w:tcW w:w="846" w:type="dxa"/>
            <w:tcBorders>
              <w:top w:val="single" w:sz="4" w:space="0" w:color="auto"/>
            </w:tcBorders>
            <w:shd w:val="clear" w:color="auto" w:fill="B8CCE4" w:themeFill="accent1" w:themeFillTint="66"/>
            <w:noWrap/>
            <w:vAlign w:val="center"/>
          </w:tcPr>
          <w:p w14:paraId="3CD5B8E7" w14:textId="77777777" w:rsidR="00C45D59" w:rsidRDefault="009B0962">
            <w:pPr>
              <w:pStyle w:val="P68B1DB1-Normal10"/>
              <w:spacing w:after="0" w:line="240" w:lineRule="auto"/>
              <w:jc w:val="center"/>
              <w:rPr>
                <w:rFonts w:eastAsia="Times New Roman" w:cs="Times New Roman"/>
                <w:bCs/>
                <w:noProof/>
                <w:szCs w:val="18"/>
              </w:rPr>
            </w:pPr>
            <w:r>
              <w:rPr>
                <w:noProof/>
              </w:rPr>
              <w:t>Trimestru</w:t>
            </w:r>
          </w:p>
        </w:tc>
        <w:tc>
          <w:tcPr>
            <w:tcW w:w="956" w:type="dxa"/>
            <w:tcBorders>
              <w:top w:val="single" w:sz="4" w:space="0" w:color="auto"/>
            </w:tcBorders>
            <w:shd w:val="clear" w:color="auto" w:fill="B8CCE4" w:themeFill="accent1" w:themeFillTint="66"/>
            <w:vAlign w:val="center"/>
          </w:tcPr>
          <w:p w14:paraId="6E233CCC" w14:textId="77777777" w:rsidR="00C45D59" w:rsidRDefault="009B0962">
            <w:pPr>
              <w:pStyle w:val="P68B1DB1-Normal10"/>
              <w:spacing w:after="0" w:line="240" w:lineRule="auto"/>
              <w:jc w:val="center"/>
              <w:rPr>
                <w:rFonts w:eastAsia="Times New Roman" w:cs="Times New Roman"/>
                <w:bCs/>
                <w:noProof/>
                <w:szCs w:val="18"/>
              </w:rPr>
            </w:pPr>
            <w:r>
              <w:rPr>
                <w:noProof/>
              </w:rPr>
              <w:t>Anul</w:t>
            </w:r>
          </w:p>
        </w:tc>
        <w:tc>
          <w:tcPr>
            <w:tcW w:w="2698" w:type="dxa"/>
            <w:vMerge/>
            <w:noWrap/>
          </w:tcPr>
          <w:p w14:paraId="58E057DE" w14:textId="77777777" w:rsidR="00C45D59" w:rsidRDefault="00C45D59">
            <w:pPr>
              <w:spacing w:after="0" w:line="240" w:lineRule="auto"/>
              <w:rPr>
                <w:rFonts w:ascii="Times New Roman" w:eastAsia="Times New Roman" w:hAnsi="Times New Roman" w:cs="Times New Roman"/>
                <w:b/>
                <w:bCs/>
                <w:noProof/>
                <w:sz w:val="18"/>
                <w:szCs w:val="18"/>
              </w:rPr>
            </w:pPr>
          </w:p>
        </w:tc>
      </w:tr>
      <w:tr w:rsidR="00C45D59" w14:paraId="7004D8C7" w14:textId="77777777">
        <w:trPr>
          <w:trHeight w:val="300"/>
        </w:trPr>
        <w:tc>
          <w:tcPr>
            <w:tcW w:w="534" w:type="dxa"/>
            <w:tcBorders>
              <w:left w:val="single" w:sz="4" w:space="0" w:color="auto"/>
            </w:tcBorders>
            <w:shd w:val="clear" w:color="auto" w:fill="C6EFCE"/>
            <w:noWrap/>
          </w:tcPr>
          <w:p w14:paraId="25AAF6F6" w14:textId="77777777" w:rsidR="00C45D59" w:rsidRDefault="009B0962">
            <w:pPr>
              <w:pStyle w:val="P68B1DB1-Normal12"/>
              <w:spacing w:after="0" w:line="240" w:lineRule="auto"/>
              <w:rPr>
                <w:rFonts w:eastAsia="Times New Roman"/>
                <w:noProof/>
              </w:rPr>
            </w:pPr>
            <w:r>
              <w:rPr>
                <w:noProof/>
              </w:rPr>
              <w:t>367</w:t>
            </w:r>
          </w:p>
        </w:tc>
        <w:tc>
          <w:tcPr>
            <w:tcW w:w="2461" w:type="dxa"/>
            <w:shd w:val="clear" w:color="auto" w:fill="C6EFCE"/>
            <w:noWrap/>
          </w:tcPr>
          <w:p w14:paraId="2AD10B9E" w14:textId="77777777" w:rsidR="00C45D59" w:rsidRDefault="009B0962">
            <w:pPr>
              <w:pStyle w:val="P68B1DB1-Normal12"/>
              <w:spacing w:after="0" w:line="240" w:lineRule="auto"/>
              <w:rPr>
                <w:rFonts w:eastAsia="Times New Roman"/>
                <w:noProof/>
              </w:rPr>
            </w:pPr>
            <w:r>
              <w:rPr>
                <w:noProof/>
              </w:rPr>
              <w:t xml:space="preserve">21-5.2 investiții REPowerEU – 16994_Eficiența energetică și promovarea surselor regenerabile de energie pentru autoconsum </w:t>
            </w:r>
          </w:p>
        </w:tc>
        <w:tc>
          <w:tcPr>
            <w:tcW w:w="1142" w:type="dxa"/>
            <w:shd w:val="clear" w:color="auto" w:fill="C6EFCE"/>
            <w:noWrap/>
          </w:tcPr>
          <w:p w14:paraId="30B7747B" w14:textId="77777777" w:rsidR="00C45D59" w:rsidRDefault="009B0962">
            <w:pPr>
              <w:pStyle w:val="P68B1DB1-Normal12"/>
              <w:spacing w:after="0" w:line="240" w:lineRule="auto"/>
              <w:rPr>
                <w:rFonts w:eastAsia="Times New Roman"/>
                <w:noProof/>
              </w:rPr>
            </w:pPr>
            <w:r>
              <w:rPr>
                <w:noProof/>
              </w:rPr>
              <w:t>Etapă</w:t>
            </w:r>
          </w:p>
        </w:tc>
        <w:tc>
          <w:tcPr>
            <w:tcW w:w="1234" w:type="dxa"/>
            <w:shd w:val="clear" w:color="auto" w:fill="C6EFCE"/>
            <w:noWrap/>
          </w:tcPr>
          <w:p w14:paraId="08FC627C" w14:textId="77777777" w:rsidR="00C45D59" w:rsidRDefault="009B0962">
            <w:pPr>
              <w:pStyle w:val="P68B1DB1-Normal12"/>
              <w:spacing w:after="0" w:line="240" w:lineRule="auto"/>
              <w:rPr>
                <w:rFonts w:eastAsia="Times New Roman"/>
                <w:noProof/>
              </w:rPr>
            </w:pPr>
            <w:r>
              <w:rPr>
                <w:noProof/>
              </w:rPr>
              <w:t>Lansarea programelor de sprijin</w:t>
            </w:r>
          </w:p>
        </w:tc>
        <w:tc>
          <w:tcPr>
            <w:tcW w:w="1286" w:type="dxa"/>
            <w:shd w:val="clear" w:color="auto" w:fill="C6EFCE"/>
            <w:noWrap/>
          </w:tcPr>
          <w:p w14:paraId="555AF3AE"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152" w:type="dxa"/>
            <w:shd w:val="clear" w:color="auto" w:fill="C6EFCE"/>
            <w:noWrap/>
          </w:tcPr>
          <w:p w14:paraId="1D4342BD"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85" w:type="dxa"/>
            <w:shd w:val="clear" w:color="auto" w:fill="C6EFCE"/>
            <w:noWrap/>
          </w:tcPr>
          <w:p w14:paraId="38640F0C"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195" w:type="dxa"/>
            <w:shd w:val="clear" w:color="auto" w:fill="C6EFCE"/>
            <w:noWrap/>
          </w:tcPr>
          <w:p w14:paraId="71A216A6"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46" w:type="dxa"/>
            <w:shd w:val="clear" w:color="auto" w:fill="C6EFCE"/>
            <w:noWrap/>
          </w:tcPr>
          <w:p w14:paraId="724BCF98" w14:textId="77777777" w:rsidR="00C45D59" w:rsidRDefault="009B0962">
            <w:pPr>
              <w:pStyle w:val="P68B1DB1-Normal12"/>
              <w:spacing w:after="0" w:line="240" w:lineRule="auto"/>
              <w:rPr>
                <w:rFonts w:eastAsia="Times New Roman"/>
                <w:noProof/>
              </w:rPr>
            </w:pPr>
            <w:r>
              <w:rPr>
                <w:noProof/>
              </w:rPr>
              <w:t>Î4</w:t>
            </w:r>
          </w:p>
        </w:tc>
        <w:tc>
          <w:tcPr>
            <w:tcW w:w="956" w:type="dxa"/>
            <w:shd w:val="clear" w:color="auto" w:fill="C6EFCE"/>
            <w:noWrap/>
          </w:tcPr>
          <w:p w14:paraId="6167ECA2" w14:textId="77777777" w:rsidR="00C45D59" w:rsidRDefault="009B0962">
            <w:pPr>
              <w:pStyle w:val="P68B1DB1-Normal12"/>
              <w:spacing w:after="0" w:line="240" w:lineRule="auto"/>
              <w:rPr>
                <w:rFonts w:eastAsia="Times New Roman"/>
                <w:noProof/>
              </w:rPr>
            </w:pPr>
            <w:r>
              <w:rPr>
                <w:noProof/>
              </w:rPr>
              <w:t>2023</w:t>
            </w:r>
          </w:p>
        </w:tc>
        <w:tc>
          <w:tcPr>
            <w:tcW w:w="2698" w:type="dxa"/>
            <w:tcBorders>
              <w:bottom w:val="single" w:sz="4" w:space="0" w:color="auto"/>
              <w:right w:val="single" w:sz="4" w:space="0" w:color="auto"/>
            </w:tcBorders>
            <w:shd w:val="clear" w:color="auto" w:fill="C6EFCE"/>
            <w:noWrap/>
          </w:tcPr>
          <w:p w14:paraId="6AEDEAC6" w14:textId="77777777" w:rsidR="00C45D59" w:rsidRDefault="009B0962">
            <w:pPr>
              <w:pStyle w:val="P68B1DB1-Normal12"/>
              <w:spacing w:after="0" w:line="240" w:lineRule="auto"/>
              <w:rPr>
                <w:rFonts w:eastAsia="Times New Roman"/>
                <w:noProof/>
              </w:rPr>
            </w:pPr>
            <w:r>
              <w:rPr>
                <w:noProof/>
              </w:rPr>
              <w:t xml:space="preserve">Intrarea în vigoare a unei decizii ministeriale de lansare a următoarelor programe de sprijin: </w:t>
            </w:r>
          </w:p>
          <w:p w14:paraId="4454ABA9" w14:textId="77777777" w:rsidR="00C45D59" w:rsidRDefault="00C45D59">
            <w:pPr>
              <w:spacing w:after="0" w:line="240" w:lineRule="auto"/>
              <w:rPr>
                <w:rFonts w:ascii="Times New Roman" w:eastAsia="Times New Roman" w:hAnsi="Times New Roman" w:cs="Times New Roman"/>
                <w:noProof/>
                <w:color w:val="006100"/>
                <w:sz w:val="18"/>
                <w:szCs w:val="18"/>
              </w:rPr>
            </w:pPr>
          </w:p>
          <w:p w14:paraId="7F4A4470" w14:textId="77777777" w:rsidR="00C45D59" w:rsidRDefault="009B0962">
            <w:pPr>
              <w:pStyle w:val="P68B1DB1-ListParagraph34"/>
              <w:numPr>
                <w:ilvl w:val="0"/>
                <w:numId w:val="90"/>
              </w:numPr>
              <w:spacing w:after="0" w:line="240" w:lineRule="auto"/>
              <w:rPr>
                <w:rFonts w:eastAsia="Times New Roman"/>
                <w:noProof/>
              </w:rPr>
            </w:pPr>
            <w:r>
              <w:rPr>
                <w:noProof/>
              </w:rPr>
              <w:t>Renovarea energetică a clădirilor rezidențiale, inclusiv instituirea unui proces de selecție pentru a se asigura că consumul de energie primară al locuințelor este redus cu cel puțin 30 % în comparație cu performanța inițială a reședinței, calculată în kWh/m</w:t>
            </w:r>
            <w:r>
              <w:rPr>
                <w:noProof/>
                <w:vertAlign w:val="superscript"/>
              </w:rPr>
              <w:t xml:space="preserve"> 2</w:t>
            </w:r>
            <w:r>
              <w:rPr>
                <w:noProof/>
              </w:rPr>
              <w:t>, iar gospodăriile sărace din punct de vedere energetic sunt sprijinite sub forma unui procent majorat al granturilor.</w:t>
            </w:r>
          </w:p>
          <w:p w14:paraId="5F3078EB" w14:textId="77777777" w:rsidR="00C45D59" w:rsidRDefault="009B0962">
            <w:pPr>
              <w:pStyle w:val="P68B1DB1-ListParagraph34"/>
              <w:numPr>
                <w:ilvl w:val="0"/>
                <w:numId w:val="90"/>
              </w:numPr>
              <w:spacing w:after="0" w:line="240" w:lineRule="auto"/>
              <w:rPr>
                <w:rFonts w:eastAsia="Times New Roman"/>
                <w:noProof/>
              </w:rPr>
            </w:pPr>
            <w:r>
              <w:rPr>
                <w:noProof/>
              </w:rPr>
              <w:t>Eficiența energetică a clădirilor din sectorul public și din sectorul privat (clădiri nerezidențiale), inclusiv instituirea unui proces de selecție pentru a se asigura că consumul de energie primară al beneficiarilor este redus cu cel puțin 30 % în comparație cu performanța inițială a reședinței, calculată în kWh/m</w:t>
            </w:r>
            <w:r>
              <w:rPr>
                <w:noProof/>
                <w:vertAlign w:val="superscript"/>
              </w:rPr>
              <w:t xml:space="preserve"> 2</w:t>
            </w:r>
            <w:r>
              <w:rPr>
                <w:noProof/>
              </w:rPr>
              <w:t xml:space="preserve">. </w:t>
            </w:r>
          </w:p>
          <w:p w14:paraId="619BAF81" w14:textId="77777777" w:rsidR="00C45D59" w:rsidRDefault="009B0962">
            <w:pPr>
              <w:pStyle w:val="P68B1DB1-ListParagraph34"/>
              <w:numPr>
                <w:ilvl w:val="0"/>
                <w:numId w:val="90"/>
              </w:numPr>
              <w:spacing w:after="0" w:line="240" w:lineRule="auto"/>
              <w:rPr>
                <w:rFonts w:eastAsia="Times New Roman"/>
                <w:noProof/>
              </w:rPr>
            </w:pPr>
            <w:r>
              <w:rPr>
                <w:noProof/>
              </w:rPr>
              <w:t xml:space="preserve"> Sisteme fotovoltaice pentru autoconsum în clădirile rezidențiale și în sectorul agricol.</w:t>
            </w:r>
          </w:p>
          <w:p w14:paraId="2CA8C36D" w14:textId="77777777" w:rsidR="00C45D59" w:rsidRDefault="009B0962">
            <w:pPr>
              <w:pStyle w:val="P68B1DB1-ListParagraph42"/>
              <w:numPr>
                <w:ilvl w:val="0"/>
                <w:numId w:val="90"/>
              </w:numPr>
              <w:spacing w:after="0" w:line="240" w:lineRule="auto"/>
              <w:rPr>
                <w:rFonts w:eastAsia="Times New Roman"/>
                <w:noProof/>
                <w:color w:val="006100"/>
              </w:rPr>
            </w:pPr>
            <w:r>
              <w:rPr>
                <w:noProof/>
                <w:color w:val="006100"/>
              </w:rPr>
              <w:t>Sisteme de încălzire a apei din surse regenerabile pentru gospodării, pentru a sprijini utilizarea surselor regenerabile de energie (SRE) în clădirile rezidențiale prin instalarea de noi instalații solare pentru încălzirea apei, pompe de căldură și sisteme SRE care utilizează o nouă tehnologie modernă sau prin înlocuirea instalațiilor electrice pentru încălzirea apei consumatoare de energie care utilizează o tehnologie veche cu instalații solare pentru încălzirea apei, pompe de căldură și sisteme SRE noi care utilizează o nouă tehnologie modernă. Gospodăriile sărace din punct de vedere energetic sunt sprijinite sub forma unui procent majorat al granturilor (aplicabil numai instalațiilor solare pentru încălzirea apei).</w:t>
            </w:r>
          </w:p>
          <w:p w14:paraId="615E0516" w14:textId="77777777" w:rsidR="00C45D59" w:rsidRDefault="009B0962">
            <w:pPr>
              <w:pStyle w:val="P68B1DB1-ListParagraph34"/>
              <w:numPr>
                <w:ilvl w:val="0"/>
                <w:numId w:val="90"/>
              </w:numPr>
              <w:spacing w:after="0" w:line="240" w:lineRule="auto"/>
              <w:rPr>
                <w:rFonts w:eastAsia="Times New Roman"/>
                <w:noProof/>
              </w:rPr>
            </w:pPr>
            <w:r>
              <w:rPr>
                <w:noProof/>
              </w:rPr>
              <w:t>Promovarea măsurilor de eficiență energetică în întreprinderile municipale de apă și canalizare prin (i) reducerea consumului de energie al stațiilor de pompare și al motoarelor de pompare; și (ii) să efectueze studii pentru punerea în aplicare optimă a acțiunilor de îmbunătățire în continuare a eficienței energetice a acestor întreprinderi.</w:t>
            </w:r>
          </w:p>
          <w:p w14:paraId="6EF60AAF" w14:textId="77777777" w:rsidR="00C45D59" w:rsidRDefault="009B0962">
            <w:pPr>
              <w:pStyle w:val="P68B1DB1-ListParagraph54"/>
              <w:numPr>
                <w:ilvl w:val="0"/>
                <w:numId w:val="90"/>
              </w:numPr>
              <w:spacing w:after="0" w:line="240" w:lineRule="auto"/>
              <w:rPr>
                <w:noProof/>
              </w:rPr>
            </w:pPr>
            <w:r>
              <w:rPr>
                <w:noProof/>
              </w:rPr>
              <w:t>Sprijin pentru instalarea de sisteme de stocare în baterii pentru întreprinderi.</w:t>
            </w:r>
          </w:p>
        </w:tc>
      </w:tr>
      <w:tr w:rsidR="00C45D59" w14:paraId="3D05CC47" w14:textId="77777777">
        <w:trPr>
          <w:trHeight w:val="300"/>
        </w:trPr>
        <w:tc>
          <w:tcPr>
            <w:tcW w:w="534" w:type="dxa"/>
            <w:tcBorders>
              <w:left w:val="single" w:sz="4" w:space="0" w:color="auto"/>
              <w:bottom w:val="single" w:sz="4" w:space="0" w:color="auto"/>
            </w:tcBorders>
            <w:shd w:val="clear" w:color="auto" w:fill="C6EFCE"/>
            <w:noWrap/>
          </w:tcPr>
          <w:p w14:paraId="04FD3837" w14:textId="77777777" w:rsidR="00C45D59" w:rsidRDefault="009B0962">
            <w:pPr>
              <w:pStyle w:val="P68B1DB1-Normal12"/>
              <w:spacing w:after="0" w:line="240" w:lineRule="auto"/>
              <w:rPr>
                <w:rFonts w:eastAsia="Times New Roman"/>
                <w:noProof/>
              </w:rPr>
            </w:pPr>
            <w:r>
              <w:rPr>
                <w:noProof/>
              </w:rPr>
              <w:t>368</w:t>
            </w:r>
          </w:p>
        </w:tc>
        <w:tc>
          <w:tcPr>
            <w:tcW w:w="2461" w:type="dxa"/>
            <w:tcBorders>
              <w:bottom w:val="single" w:sz="4" w:space="0" w:color="auto"/>
            </w:tcBorders>
            <w:shd w:val="clear" w:color="auto" w:fill="C6EFCE"/>
            <w:noWrap/>
          </w:tcPr>
          <w:p w14:paraId="01625B71" w14:textId="77777777" w:rsidR="00C45D59" w:rsidRDefault="009B0962">
            <w:pPr>
              <w:pStyle w:val="P68B1DB1-Normal12"/>
              <w:spacing w:after="0" w:line="240" w:lineRule="auto"/>
              <w:rPr>
                <w:rFonts w:eastAsia="Times New Roman"/>
                <w:noProof/>
              </w:rPr>
            </w:pPr>
            <w:r>
              <w:rPr>
                <w:noProof/>
              </w:rPr>
              <w:t>21-5.2 investiții REPowerEU – 16994_Eficiența energetică și promovarea surselor regenerabile de energie pentru autoconsum</w:t>
            </w:r>
          </w:p>
        </w:tc>
        <w:tc>
          <w:tcPr>
            <w:tcW w:w="1142" w:type="dxa"/>
            <w:tcBorders>
              <w:bottom w:val="single" w:sz="4" w:space="0" w:color="auto"/>
            </w:tcBorders>
            <w:shd w:val="clear" w:color="auto" w:fill="C6EFCE"/>
            <w:noWrap/>
          </w:tcPr>
          <w:p w14:paraId="355AC023" w14:textId="77777777" w:rsidR="00C45D59" w:rsidRDefault="009B0962">
            <w:pPr>
              <w:pStyle w:val="P68B1DB1-Normal12"/>
              <w:spacing w:after="0" w:line="240" w:lineRule="auto"/>
              <w:rPr>
                <w:rFonts w:eastAsia="Times New Roman"/>
                <w:noProof/>
                <w:highlight w:val="yellow"/>
              </w:rPr>
            </w:pPr>
            <w:r>
              <w:rPr>
                <w:noProof/>
              </w:rPr>
              <w:t xml:space="preserve"> Țintă</w:t>
            </w:r>
          </w:p>
        </w:tc>
        <w:tc>
          <w:tcPr>
            <w:tcW w:w="1234" w:type="dxa"/>
            <w:tcBorders>
              <w:bottom w:val="single" w:sz="4" w:space="0" w:color="auto"/>
            </w:tcBorders>
            <w:shd w:val="clear" w:color="auto" w:fill="C6EFCE"/>
            <w:noWrap/>
          </w:tcPr>
          <w:p w14:paraId="7589E07F" w14:textId="77777777" w:rsidR="00C45D59" w:rsidRDefault="009B0962">
            <w:pPr>
              <w:pStyle w:val="P68B1DB1-Normal12"/>
              <w:spacing w:after="0" w:line="240" w:lineRule="auto"/>
              <w:rPr>
                <w:rFonts w:eastAsia="Times New Roman"/>
                <w:noProof/>
              </w:rPr>
            </w:pPr>
            <w:r>
              <w:rPr>
                <w:noProof/>
              </w:rPr>
              <w:t>Instalare de sisteme fotovoltaice pentru autoconsum</w:t>
            </w:r>
          </w:p>
        </w:tc>
        <w:tc>
          <w:tcPr>
            <w:tcW w:w="1286" w:type="dxa"/>
            <w:tcBorders>
              <w:bottom w:val="single" w:sz="4" w:space="0" w:color="auto"/>
            </w:tcBorders>
            <w:shd w:val="clear" w:color="auto" w:fill="C6EFCE"/>
            <w:noWrap/>
          </w:tcPr>
          <w:p w14:paraId="45764F0D"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152" w:type="dxa"/>
            <w:tcBorders>
              <w:bottom w:val="single" w:sz="4" w:space="0" w:color="auto"/>
            </w:tcBorders>
            <w:shd w:val="clear" w:color="auto" w:fill="C6EFCE"/>
            <w:noWrap/>
          </w:tcPr>
          <w:p w14:paraId="66C37EF6" w14:textId="77777777" w:rsidR="00C45D59" w:rsidRDefault="009B0962">
            <w:pPr>
              <w:pStyle w:val="P68B1DB1-Normal12"/>
              <w:spacing w:after="0" w:line="240" w:lineRule="auto"/>
              <w:rPr>
                <w:rFonts w:eastAsia="Times New Roman"/>
                <w:noProof/>
              </w:rPr>
            </w:pPr>
            <w:r>
              <w:rPr>
                <w:noProof/>
              </w:rPr>
              <w:t>Numărul de sisteme fotovoltaice instalate</w:t>
            </w:r>
          </w:p>
        </w:tc>
        <w:tc>
          <w:tcPr>
            <w:tcW w:w="885" w:type="dxa"/>
            <w:tcBorders>
              <w:bottom w:val="single" w:sz="4" w:space="0" w:color="auto"/>
            </w:tcBorders>
            <w:shd w:val="clear" w:color="auto" w:fill="C6EFCE"/>
            <w:noWrap/>
          </w:tcPr>
          <w:p w14:paraId="74EA8A04" w14:textId="77777777" w:rsidR="00C45D59" w:rsidRDefault="009B0962">
            <w:pPr>
              <w:pStyle w:val="P68B1DB1-Normal12"/>
              <w:spacing w:after="0" w:line="240" w:lineRule="auto"/>
              <w:rPr>
                <w:rFonts w:eastAsia="Times New Roman"/>
                <w:noProof/>
              </w:rPr>
            </w:pPr>
            <w:r>
              <w:rPr>
                <w:noProof/>
              </w:rPr>
              <w:t>0</w:t>
            </w:r>
          </w:p>
        </w:tc>
        <w:tc>
          <w:tcPr>
            <w:tcW w:w="1195" w:type="dxa"/>
            <w:tcBorders>
              <w:bottom w:val="single" w:sz="4" w:space="0" w:color="auto"/>
            </w:tcBorders>
            <w:shd w:val="clear" w:color="auto" w:fill="C6EFCE"/>
            <w:noWrap/>
          </w:tcPr>
          <w:p w14:paraId="64BDB5CF" w14:textId="77777777" w:rsidR="00C45D59" w:rsidRDefault="009B0962">
            <w:pPr>
              <w:pStyle w:val="P68B1DB1-Normal12"/>
              <w:spacing w:after="0" w:line="240" w:lineRule="auto"/>
              <w:rPr>
                <w:rFonts w:eastAsia="Times New Roman"/>
                <w:noProof/>
              </w:rPr>
            </w:pPr>
            <w:r>
              <w:rPr>
                <w:noProof/>
              </w:rPr>
              <w:t>11 580</w:t>
            </w:r>
          </w:p>
        </w:tc>
        <w:tc>
          <w:tcPr>
            <w:tcW w:w="846" w:type="dxa"/>
            <w:tcBorders>
              <w:bottom w:val="single" w:sz="4" w:space="0" w:color="auto"/>
            </w:tcBorders>
            <w:shd w:val="clear" w:color="auto" w:fill="C6EFCE"/>
            <w:noWrap/>
          </w:tcPr>
          <w:p w14:paraId="5CF4B7DD" w14:textId="77777777" w:rsidR="00C45D59" w:rsidRDefault="009B0962">
            <w:pPr>
              <w:pStyle w:val="P68B1DB1-Normal12"/>
              <w:spacing w:after="0" w:line="240" w:lineRule="auto"/>
              <w:rPr>
                <w:rFonts w:eastAsia="Times New Roman"/>
                <w:noProof/>
              </w:rPr>
            </w:pPr>
            <w:r>
              <w:rPr>
                <w:noProof/>
              </w:rPr>
              <w:t>Î2</w:t>
            </w:r>
          </w:p>
        </w:tc>
        <w:tc>
          <w:tcPr>
            <w:tcW w:w="956" w:type="dxa"/>
            <w:tcBorders>
              <w:bottom w:val="single" w:sz="4" w:space="0" w:color="auto"/>
            </w:tcBorders>
            <w:shd w:val="clear" w:color="auto" w:fill="C6EFCE"/>
            <w:noWrap/>
          </w:tcPr>
          <w:p w14:paraId="333E882E" w14:textId="77777777" w:rsidR="00C45D59" w:rsidRDefault="009B0962">
            <w:pPr>
              <w:pStyle w:val="P68B1DB1-Normal12"/>
              <w:spacing w:after="0" w:line="240" w:lineRule="auto"/>
              <w:rPr>
                <w:rFonts w:eastAsia="Times New Roman"/>
                <w:noProof/>
              </w:rPr>
            </w:pPr>
            <w:r>
              <w:rPr>
                <w:noProof/>
              </w:rPr>
              <w:t>2024</w:t>
            </w:r>
          </w:p>
        </w:tc>
        <w:tc>
          <w:tcPr>
            <w:tcW w:w="2698" w:type="dxa"/>
            <w:tcBorders>
              <w:bottom w:val="single" w:sz="4" w:space="0" w:color="auto"/>
              <w:right w:val="single" w:sz="4" w:space="0" w:color="auto"/>
            </w:tcBorders>
            <w:shd w:val="clear" w:color="auto" w:fill="C6EFCE"/>
            <w:noWrap/>
          </w:tcPr>
          <w:p w14:paraId="00FB1FF6" w14:textId="77777777" w:rsidR="00C45D59" w:rsidRDefault="009B0962">
            <w:pPr>
              <w:pStyle w:val="P68B1DB1-Normal12"/>
              <w:spacing w:after="0" w:line="240" w:lineRule="auto"/>
              <w:rPr>
                <w:rFonts w:eastAsia="Times New Roman"/>
                <w:noProof/>
                <w:highlight w:val="yellow"/>
              </w:rPr>
            </w:pPr>
            <w:r>
              <w:rPr>
                <w:noProof/>
              </w:rPr>
              <w:t>Sisteme fotovoltaice (PV) pentru autoconsum în clădirile rezidențiale și în sectorul agricol: 11 580 de sisteme fotovoltaice instalate, dintre care 900 sunt destinate gospodăriilor sărace din punct de vedere energetic și 360 fermierilor.</w:t>
            </w:r>
          </w:p>
        </w:tc>
      </w:tr>
      <w:tr w:rsidR="00C45D59" w14:paraId="37BB2A3F" w14:textId="77777777">
        <w:trPr>
          <w:trHeight w:val="300"/>
        </w:trPr>
        <w:tc>
          <w:tcPr>
            <w:tcW w:w="534" w:type="dxa"/>
            <w:tcBorders>
              <w:left w:val="single" w:sz="4" w:space="0" w:color="auto"/>
              <w:bottom w:val="single" w:sz="4" w:space="0" w:color="auto"/>
            </w:tcBorders>
            <w:shd w:val="clear" w:color="auto" w:fill="C6EFCE"/>
            <w:noWrap/>
          </w:tcPr>
          <w:p w14:paraId="227A8435" w14:textId="77777777" w:rsidR="00C45D59" w:rsidRDefault="009B0962">
            <w:pPr>
              <w:pStyle w:val="P68B1DB1-Normal12"/>
              <w:spacing w:after="0" w:line="240" w:lineRule="auto"/>
              <w:rPr>
                <w:rFonts w:eastAsia="Times New Roman"/>
                <w:noProof/>
              </w:rPr>
            </w:pPr>
            <w:r>
              <w:rPr>
                <w:noProof/>
              </w:rPr>
              <w:t>369</w:t>
            </w:r>
          </w:p>
        </w:tc>
        <w:tc>
          <w:tcPr>
            <w:tcW w:w="2461" w:type="dxa"/>
            <w:tcBorders>
              <w:bottom w:val="single" w:sz="4" w:space="0" w:color="auto"/>
            </w:tcBorders>
            <w:shd w:val="clear" w:color="auto" w:fill="C6EFCE"/>
            <w:noWrap/>
          </w:tcPr>
          <w:p w14:paraId="512E9DF9" w14:textId="77777777" w:rsidR="00C45D59" w:rsidRDefault="009B0962">
            <w:pPr>
              <w:pStyle w:val="P68B1DB1-Normal12"/>
              <w:spacing w:after="0" w:line="240" w:lineRule="auto"/>
              <w:rPr>
                <w:rFonts w:eastAsia="Times New Roman"/>
                <w:noProof/>
              </w:rPr>
            </w:pPr>
            <w:r>
              <w:rPr>
                <w:noProof/>
              </w:rPr>
              <w:t>21-5.2 investiții REPowerEU – 16994_Eficiența energetică și promovarea surselor regenerabile de energie pentru autoconsum</w:t>
            </w:r>
          </w:p>
        </w:tc>
        <w:tc>
          <w:tcPr>
            <w:tcW w:w="1142" w:type="dxa"/>
            <w:tcBorders>
              <w:bottom w:val="single" w:sz="4" w:space="0" w:color="auto"/>
            </w:tcBorders>
            <w:shd w:val="clear" w:color="auto" w:fill="C6EFCE"/>
            <w:noWrap/>
          </w:tcPr>
          <w:p w14:paraId="046F468E" w14:textId="77777777" w:rsidR="00C45D59" w:rsidRDefault="009B0962">
            <w:pPr>
              <w:pStyle w:val="P68B1DB1-Normal12"/>
              <w:spacing w:after="0" w:line="240" w:lineRule="auto"/>
              <w:rPr>
                <w:rFonts w:eastAsia="Times New Roman"/>
                <w:noProof/>
              </w:rPr>
            </w:pPr>
            <w:r>
              <w:rPr>
                <w:noProof/>
              </w:rPr>
              <w:t>Țintă</w:t>
            </w:r>
          </w:p>
        </w:tc>
        <w:tc>
          <w:tcPr>
            <w:tcW w:w="1234" w:type="dxa"/>
            <w:tcBorders>
              <w:bottom w:val="single" w:sz="4" w:space="0" w:color="auto"/>
            </w:tcBorders>
            <w:shd w:val="clear" w:color="auto" w:fill="C6EFCE"/>
            <w:noWrap/>
          </w:tcPr>
          <w:p w14:paraId="3BF27B0C" w14:textId="50C33231" w:rsidR="00C45D59" w:rsidRDefault="009B0962">
            <w:pPr>
              <w:pStyle w:val="P68B1DB1-Normal12"/>
              <w:spacing w:after="0" w:line="240" w:lineRule="auto"/>
              <w:rPr>
                <w:rFonts w:eastAsia="Times New Roman"/>
                <w:noProof/>
              </w:rPr>
            </w:pPr>
            <w:r>
              <w:rPr>
                <w:noProof/>
              </w:rPr>
              <w:t>Subinvestiții în instalarea de sisteme fotovoltaice pentru consumul auto, renovări vizând eficiența energetică, instalații solare pentru încălzirea apei și pompe de căldură.</w:t>
            </w:r>
          </w:p>
        </w:tc>
        <w:tc>
          <w:tcPr>
            <w:tcW w:w="1286" w:type="dxa"/>
            <w:tcBorders>
              <w:bottom w:val="single" w:sz="4" w:space="0" w:color="auto"/>
            </w:tcBorders>
            <w:shd w:val="clear" w:color="auto" w:fill="C6EFCE"/>
            <w:noWrap/>
          </w:tcPr>
          <w:p w14:paraId="60673D72"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152" w:type="dxa"/>
            <w:tcBorders>
              <w:bottom w:val="single" w:sz="4" w:space="0" w:color="auto"/>
            </w:tcBorders>
            <w:shd w:val="clear" w:color="auto" w:fill="C6EFCE"/>
            <w:noWrap/>
          </w:tcPr>
          <w:p w14:paraId="53B8F993" w14:textId="3A1388C6" w:rsidR="00C45D59" w:rsidRDefault="009B0962">
            <w:pPr>
              <w:pStyle w:val="P68B1DB1-Normal12"/>
              <w:spacing w:after="0" w:line="240" w:lineRule="auto"/>
              <w:rPr>
                <w:noProof/>
              </w:rPr>
            </w:pPr>
            <w:r>
              <w:rPr>
                <w:noProof/>
              </w:rPr>
              <w:t>Numărul de sisteme fotovoltaice instalate</w:t>
            </w:r>
          </w:p>
        </w:tc>
        <w:tc>
          <w:tcPr>
            <w:tcW w:w="885" w:type="dxa"/>
            <w:tcBorders>
              <w:bottom w:val="single" w:sz="4" w:space="0" w:color="auto"/>
            </w:tcBorders>
            <w:shd w:val="clear" w:color="auto" w:fill="C6EFCE"/>
            <w:noWrap/>
          </w:tcPr>
          <w:p w14:paraId="7A4B6D51" w14:textId="147A7F3C" w:rsidR="00C45D59" w:rsidRDefault="009B0962">
            <w:pPr>
              <w:pStyle w:val="P68B1DB1-Normal12"/>
              <w:spacing w:after="0" w:line="240" w:lineRule="auto"/>
              <w:rPr>
                <w:rFonts w:eastAsia="Times New Roman"/>
                <w:noProof/>
              </w:rPr>
            </w:pPr>
            <w:r>
              <w:rPr>
                <w:noProof/>
              </w:rPr>
              <w:t>11 580</w:t>
            </w:r>
          </w:p>
        </w:tc>
        <w:tc>
          <w:tcPr>
            <w:tcW w:w="1195" w:type="dxa"/>
            <w:tcBorders>
              <w:bottom w:val="single" w:sz="4" w:space="0" w:color="auto"/>
            </w:tcBorders>
            <w:shd w:val="clear" w:color="auto" w:fill="C6EFCE"/>
            <w:noWrap/>
          </w:tcPr>
          <w:p w14:paraId="663573FE" w14:textId="054087A9" w:rsidR="00C45D59" w:rsidRDefault="009B0962">
            <w:pPr>
              <w:pStyle w:val="P68B1DB1-Normal12"/>
              <w:spacing w:after="0" w:line="240" w:lineRule="auto"/>
              <w:rPr>
                <w:rFonts w:eastAsia="Times New Roman"/>
                <w:noProof/>
              </w:rPr>
            </w:pPr>
            <w:r>
              <w:rPr>
                <w:noProof/>
              </w:rPr>
              <w:t>13 700</w:t>
            </w:r>
          </w:p>
        </w:tc>
        <w:tc>
          <w:tcPr>
            <w:tcW w:w="846" w:type="dxa"/>
            <w:tcBorders>
              <w:bottom w:val="single" w:sz="4" w:space="0" w:color="auto"/>
            </w:tcBorders>
            <w:shd w:val="clear" w:color="auto" w:fill="C6EFCE"/>
            <w:noWrap/>
          </w:tcPr>
          <w:p w14:paraId="2BAFB29D" w14:textId="77777777" w:rsidR="00C45D59" w:rsidRDefault="009B0962">
            <w:pPr>
              <w:pStyle w:val="P68B1DB1-Normal12"/>
              <w:spacing w:after="0" w:line="240" w:lineRule="auto"/>
              <w:rPr>
                <w:rFonts w:eastAsia="Times New Roman"/>
                <w:noProof/>
              </w:rPr>
            </w:pPr>
            <w:r>
              <w:rPr>
                <w:noProof/>
              </w:rPr>
              <w:t>Î4</w:t>
            </w:r>
          </w:p>
        </w:tc>
        <w:tc>
          <w:tcPr>
            <w:tcW w:w="956" w:type="dxa"/>
            <w:tcBorders>
              <w:bottom w:val="single" w:sz="4" w:space="0" w:color="auto"/>
            </w:tcBorders>
            <w:shd w:val="clear" w:color="auto" w:fill="C6EFCE"/>
            <w:noWrap/>
          </w:tcPr>
          <w:p w14:paraId="0E63F4A0" w14:textId="77777777" w:rsidR="00C45D59" w:rsidRDefault="009B0962">
            <w:pPr>
              <w:pStyle w:val="P68B1DB1-Normal12"/>
              <w:spacing w:after="0" w:line="240" w:lineRule="auto"/>
              <w:rPr>
                <w:rFonts w:eastAsia="Times New Roman"/>
                <w:noProof/>
              </w:rPr>
            </w:pPr>
            <w:r>
              <w:rPr>
                <w:noProof/>
              </w:rPr>
              <w:t>2025</w:t>
            </w:r>
          </w:p>
        </w:tc>
        <w:tc>
          <w:tcPr>
            <w:tcW w:w="2698" w:type="dxa"/>
            <w:tcBorders>
              <w:bottom w:val="single" w:sz="4" w:space="0" w:color="auto"/>
              <w:right w:val="single" w:sz="4" w:space="0" w:color="auto"/>
            </w:tcBorders>
            <w:shd w:val="clear" w:color="auto" w:fill="C6EFCE"/>
            <w:noWrap/>
          </w:tcPr>
          <w:p w14:paraId="0EF23E43" w14:textId="3DA74996" w:rsidR="00C45D59" w:rsidRDefault="009B0962">
            <w:pPr>
              <w:pStyle w:val="P68B1DB1-ListParagraph34"/>
              <w:numPr>
                <w:ilvl w:val="0"/>
                <w:numId w:val="91"/>
              </w:numPr>
              <w:spacing w:after="0" w:line="240" w:lineRule="auto"/>
              <w:rPr>
                <w:rFonts w:eastAsia="Times New Roman"/>
                <w:noProof/>
              </w:rPr>
            </w:pPr>
            <w:r>
              <w:rPr>
                <w:noProof/>
              </w:rPr>
              <w:t>Sisteme fotovoltaice (PV) pentru autoconsum în clădirile rezidențiale și în sectorul agricol: 13 700 de sisteme fotovoltaice instalate, dintre care 1 080 sunt destinate gospodăriilor sărace din punct de vedere energetic și 430 fermierilor.</w:t>
            </w:r>
          </w:p>
          <w:p w14:paraId="2BAC4B75" w14:textId="15B2C2E8" w:rsidR="00C45D59" w:rsidRDefault="009B0962">
            <w:pPr>
              <w:pStyle w:val="P68B1DB1-ListParagraph34"/>
              <w:numPr>
                <w:ilvl w:val="0"/>
                <w:numId w:val="91"/>
              </w:numPr>
              <w:spacing w:after="0" w:line="240" w:lineRule="auto"/>
              <w:rPr>
                <w:rFonts w:eastAsia="Times New Roman"/>
                <w:noProof/>
              </w:rPr>
            </w:pPr>
            <w:r>
              <w:rPr>
                <w:noProof/>
              </w:rPr>
              <w:t>Renovarea energetică a clădirilor rezidențiale: renovări vizând eficiența energetică certificate pentru 22 740 de clădiri, cu economii de energie primară, în medie, de cel puțin 30 %.</w:t>
            </w:r>
          </w:p>
          <w:p w14:paraId="0BD79D3A" w14:textId="74CCA1B1" w:rsidR="00C45D59" w:rsidRDefault="00C45D59">
            <w:pPr>
              <w:pStyle w:val="ListParagraph"/>
              <w:spacing w:after="0" w:line="240" w:lineRule="auto"/>
              <w:ind w:left="360"/>
              <w:rPr>
                <w:rFonts w:ascii="Times New Roman" w:eastAsia="Times New Roman" w:hAnsi="Times New Roman" w:cs="Times New Roman"/>
                <w:noProof/>
                <w:color w:val="006100"/>
                <w:sz w:val="18"/>
                <w:szCs w:val="18"/>
              </w:rPr>
            </w:pPr>
          </w:p>
          <w:p w14:paraId="69B765C0" w14:textId="44D32E32" w:rsidR="00C45D59" w:rsidRDefault="009B0962">
            <w:pPr>
              <w:pStyle w:val="P68B1DB1-ListParagraph34"/>
              <w:numPr>
                <w:ilvl w:val="0"/>
                <w:numId w:val="91"/>
              </w:numPr>
              <w:spacing w:after="0" w:line="240" w:lineRule="auto"/>
              <w:rPr>
                <w:rFonts w:eastAsia="Times New Roman"/>
                <w:noProof/>
              </w:rPr>
            </w:pPr>
            <w:r>
              <w:rPr>
                <w:noProof/>
              </w:rPr>
              <w:t xml:space="preserve">Sisteme de încălzire a apei din surse regenerabile: 117 455 de sisteme solare de încălzire a apei și 22 500 de pompe de căldură achiziționate pentru gospodării, dintre care 24 130 și, respectiv, 2 250 gospodării vulnerabile. </w:t>
            </w:r>
          </w:p>
          <w:p w14:paraId="6D92E72A" w14:textId="0EFD1904" w:rsidR="00C45D59" w:rsidRDefault="00C45D59">
            <w:pPr>
              <w:spacing w:after="0" w:line="240" w:lineRule="auto"/>
              <w:rPr>
                <w:rFonts w:ascii="Times New Roman" w:eastAsia="Times New Roman" w:hAnsi="Times New Roman" w:cs="Times New Roman"/>
                <w:noProof/>
                <w:color w:val="006100"/>
                <w:sz w:val="18"/>
                <w:szCs w:val="18"/>
              </w:rPr>
            </w:pPr>
          </w:p>
        </w:tc>
      </w:tr>
    </w:tbl>
    <w:p w14:paraId="7A476302" w14:textId="77777777" w:rsidR="00C45D59" w:rsidRDefault="00C45D59">
      <w:pPr>
        <w:keepNext/>
        <w:keepLines/>
        <w:spacing w:before="240" w:after="240" w:line="240" w:lineRule="auto"/>
        <w:jc w:val="both"/>
        <w:outlineLvl w:val="4"/>
        <w:rPr>
          <w:rFonts w:ascii="Cambria" w:hAnsi="Cambria"/>
          <w:noProof/>
          <w:color w:val="365F91" w:themeColor="accent1" w:themeShade="BF"/>
          <w:sz w:val="24"/>
        </w:rPr>
      </w:pPr>
    </w:p>
    <w:p w14:paraId="2250939F" w14:textId="1FAE486D" w:rsidR="00C45D59" w:rsidRDefault="009B0962">
      <w:pPr>
        <w:rPr>
          <w:rFonts w:eastAsia="Times New Roman"/>
          <w:noProof/>
          <w:color w:val="365F91"/>
          <w:szCs w:val="24"/>
        </w:rPr>
      </w:pPr>
      <w:r>
        <w:rPr>
          <w:noProof/>
        </w:rPr>
        <w:br w:type="page"/>
      </w:r>
      <w:r>
        <w:rPr>
          <w:rFonts w:ascii="Cambria" w:hAnsi="Cambria"/>
          <w:noProof/>
          <w:color w:val="365F91"/>
          <w:sz w:val="24"/>
        </w:rPr>
        <w:t>Investiția 3: Proiectul privind producția de hidrogen din surse regenerabile (măsura ID: 16995)</w:t>
      </w:r>
    </w:p>
    <w:tbl>
      <w:tblPr>
        <w:tblW w:w="14341" w:type="dxa"/>
        <w:tblInd w:w="11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4A0" w:firstRow="1" w:lastRow="0" w:firstColumn="1" w:lastColumn="0" w:noHBand="0" w:noVBand="1"/>
      </w:tblPr>
      <w:tblGrid>
        <w:gridCol w:w="704"/>
        <w:gridCol w:w="2165"/>
        <w:gridCol w:w="1094"/>
        <w:gridCol w:w="1205"/>
        <w:gridCol w:w="1553"/>
        <w:gridCol w:w="1205"/>
        <w:gridCol w:w="927"/>
        <w:gridCol w:w="866"/>
        <w:gridCol w:w="1006"/>
        <w:gridCol w:w="720"/>
        <w:gridCol w:w="3133"/>
      </w:tblGrid>
      <w:tr w:rsidR="00C45D59" w14:paraId="1D9DAEB1" w14:textId="77777777">
        <w:trPr>
          <w:trHeight w:val="927"/>
          <w:tblHeader/>
        </w:trPr>
        <w:tc>
          <w:tcPr>
            <w:tcW w:w="704" w:type="dxa"/>
            <w:vMerge w:val="restart"/>
            <w:shd w:val="clear" w:color="auto" w:fill="BDD7EE"/>
            <w:vAlign w:val="center"/>
            <w:hideMark/>
          </w:tcPr>
          <w:p w14:paraId="083C0159" w14:textId="7397A7FD" w:rsidR="00C45D59" w:rsidRDefault="009B0962">
            <w:pPr>
              <w:pStyle w:val="P68B1DB1-Normal15"/>
              <w:spacing w:after="0" w:line="240" w:lineRule="auto"/>
              <w:jc w:val="center"/>
              <w:rPr>
                <w:noProof/>
              </w:rPr>
            </w:pPr>
            <w:r>
              <w:rPr>
                <w:noProof/>
              </w:rPr>
              <w:t>Nr</w:t>
            </w:r>
            <w:r w:rsidR="00E649D5">
              <w:rPr>
                <w:noProof/>
              </w:rPr>
              <w:t>.</w:t>
            </w:r>
            <w:r>
              <w:rPr>
                <w:noProof/>
              </w:rPr>
              <w:t xml:space="preserve"> </w:t>
            </w:r>
            <w:r>
              <w:rPr>
                <w:noProof/>
              </w:rPr>
              <w:br/>
            </w:r>
            <w:r w:rsidR="00E649D5">
              <w:rPr>
                <w:noProof/>
              </w:rPr>
              <w:t>crt</w:t>
            </w:r>
            <w:r>
              <w:rPr>
                <w:noProof/>
              </w:rPr>
              <w:t>.</w:t>
            </w:r>
          </w:p>
        </w:tc>
        <w:tc>
          <w:tcPr>
            <w:tcW w:w="2165" w:type="dxa"/>
            <w:vMerge w:val="restart"/>
            <w:shd w:val="clear" w:color="auto" w:fill="BDD7EE"/>
            <w:vAlign w:val="center"/>
            <w:hideMark/>
          </w:tcPr>
          <w:p w14:paraId="010C6ADC" w14:textId="77777777" w:rsidR="00C45D59" w:rsidRDefault="009B0962">
            <w:pPr>
              <w:pStyle w:val="P68B1DB1-Normal15"/>
              <w:spacing w:after="0" w:line="240" w:lineRule="auto"/>
              <w:jc w:val="center"/>
              <w:rPr>
                <w:rFonts w:ascii="Cambria" w:hAnsi="Cambria"/>
                <w:noProof/>
                <w:color w:val="365F91"/>
                <w:sz w:val="24"/>
              </w:rPr>
            </w:pPr>
            <w:r>
              <w:rPr>
                <w:noProof/>
              </w:rPr>
              <w:t>Măsură conexă (reformă sau investiții)</w:t>
            </w:r>
          </w:p>
        </w:tc>
        <w:tc>
          <w:tcPr>
            <w:tcW w:w="1094" w:type="dxa"/>
            <w:vMerge w:val="restart"/>
            <w:shd w:val="clear" w:color="auto" w:fill="BDD7EE"/>
            <w:vAlign w:val="center"/>
            <w:hideMark/>
          </w:tcPr>
          <w:p w14:paraId="546C1DE3" w14:textId="3B874A3F" w:rsidR="00C45D59" w:rsidRDefault="009B0962">
            <w:pPr>
              <w:pStyle w:val="P68B1DB1-Normal15"/>
              <w:spacing w:after="0" w:line="240" w:lineRule="auto"/>
              <w:jc w:val="center"/>
              <w:rPr>
                <w:rFonts w:eastAsia="Times New Roman"/>
                <w:bCs/>
                <w:noProof/>
              </w:rPr>
            </w:pPr>
            <w:r>
              <w:rPr>
                <w:noProof/>
              </w:rPr>
              <w:t>Etapă/</w:t>
            </w:r>
            <w:r w:rsidR="00E649D5">
              <w:rPr>
                <w:noProof/>
              </w:rPr>
              <w:t xml:space="preserve"> </w:t>
            </w:r>
            <w:r>
              <w:rPr>
                <w:noProof/>
              </w:rPr>
              <w:t>Obiectiv</w:t>
            </w:r>
          </w:p>
        </w:tc>
        <w:tc>
          <w:tcPr>
            <w:tcW w:w="1205" w:type="dxa"/>
            <w:vMerge w:val="restart"/>
            <w:shd w:val="clear" w:color="auto" w:fill="BDD7EE"/>
            <w:vAlign w:val="center"/>
            <w:hideMark/>
          </w:tcPr>
          <w:p w14:paraId="52C36E7F" w14:textId="591CF426" w:rsidR="00C45D59" w:rsidRDefault="00E649D5">
            <w:pPr>
              <w:pStyle w:val="P68B1DB1-Normal15"/>
              <w:spacing w:after="0" w:line="240" w:lineRule="auto"/>
              <w:jc w:val="center"/>
              <w:rPr>
                <w:rFonts w:eastAsia="Times New Roman"/>
                <w:bCs/>
                <w:noProof/>
              </w:rPr>
            </w:pPr>
            <w:r>
              <w:rPr>
                <w:noProof/>
              </w:rPr>
              <w:t>Denumire</w:t>
            </w:r>
          </w:p>
        </w:tc>
        <w:tc>
          <w:tcPr>
            <w:tcW w:w="1553" w:type="dxa"/>
            <w:vMerge w:val="restart"/>
            <w:shd w:val="clear" w:color="auto" w:fill="BDD7EE"/>
            <w:vAlign w:val="center"/>
            <w:hideMark/>
          </w:tcPr>
          <w:p w14:paraId="2E72EC0F" w14:textId="77777777" w:rsidR="00C45D59" w:rsidRDefault="009B0962">
            <w:pPr>
              <w:pStyle w:val="P68B1DB1-Normal15"/>
              <w:spacing w:after="0" w:line="240" w:lineRule="auto"/>
              <w:jc w:val="center"/>
              <w:rPr>
                <w:rFonts w:eastAsia="Times New Roman"/>
                <w:bCs/>
                <w:noProof/>
              </w:rPr>
            </w:pPr>
            <w:r>
              <w:rPr>
                <w:noProof/>
              </w:rPr>
              <w:t>Indicatori calitativi (pentru obiectivele de etapă)</w:t>
            </w:r>
          </w:p>
        </w:tc>
        <w:tc>
          <w:tcPr>
            <w:tcW w:w="2845" w:type="dxa"/>
            <w:gridSpan w:val="3"/>
            <w:shd w:val="clear" w:color="auto" w:fill="BDD7EE"/>
            <w:vAlign w:val="center"/>
            <w:hideMark/>
          </w:tcPr>
          <w:p w14:paraId="09D6C0D6" w14:textId="77777777" w:rsidR="00C45D59" w:rsidRDefault="009B0962">
            <w:pPr>
              <w:pStyle w:val="P68B1DB1-Normal15"/>
              <w:spacing w:after="0" w:line="240" w:lineRule="auto"/>
              <w:jc w:val="center"/>
              <w:rPr>
                <w:rFonts w:eastAsia="Times New Roman"/>
                <w:bCs/>
                <w:noProof/>
              </w:rPr>
            </w:pPr>
            <w:r>
              <w:rPr>
                <w:noProof/>
              </w:rPr>
              <w:t>Indicatori cantitativi (pentru ținte)</w:t>
            </w:r>
          </w:p>
        </w:tc>
        <w:tc>
          <w:tcPr>
            <w:tcW w:w="1642" w:type="dxa"/>
            <w:gridSpan w:val="2"/>
            <w:shd w:val="clear" w:color="auto" w:fill="BDD7EE"/>
            <w:vAlign w:val="center"/>
            <w:hideMark/>
          </w:tcPr>
          <w:p w14:paraId="0EB08CDD" w14:textId="77777777" w:rsidR="00C45D59" w:rsidRDefault="009B0962">
            <w:pPr>
              <w:pStyle w:val="P68B1DB1-Normal15"/>
              <w:spacing w:after="0" w:line="240" w:lineRule="auto"/>
              <w:jc w:val="center"/>
              <w:rPr>
                <w:rFonts w:eastAsia="Times New Roman"/>
                <w:bCs/>
                <w:noProof/>
              </w:rPr>
            </w:pPr>
            <w:r>
              <w:rPr>
                <w:noProof/>
              </w:rPr>
              <w:t xml:space="preserve">Calendar orientativ pentru finalizare </w:t>
            </w:r>
          </w:p>
        </w:tc>
        <w:tc>
          <w:tcPr>
            <w:tcW w:w="3133" w:type="dxa"/>
            <w:vMerge w:val="restart"/>
            <w:shd w:val="clear" w:color="auto" w:fill="BDD7EE"/>
            <w:vAlign w:val="center"/>
            <w:hideMark/>
          </w:tcPr>
          <w:p w14:paraId="2618B9D4" w14:textId="77777777" w:rsidR="00C45D59" w:rsidRDefault="009B0962">
            <w:pPr>
              <w:pStyle w:val="P68B1DB1-Normal15"/>
              <w:spacing w:after="0" w:line="240" w:lineRule="auto"/>
              <w:jc w:val="center"/>
              <w:rPr>
                <w:rFonts w:eastAsia="Times New Roman"/>
                <w:bCs/>
                <w:noProof/>
              </w:rPr>
            </w:pPr>
            <w:r>
              <w:rPr>
                <w:noProof/>
              </w:rPr>
              <w:t>Descrierea fiecărui jalon și a fiecărei ținte</w:t>
            </w:r>
          </w:p>
        </w:tc>
      </w:tr>
      <w:tr w:rsidR="00C45D59" w14:paraId="1627D3BF" w14:textId="77777777">
        <w:trPr>
          <w:trHeight w:val="1013"/>
        </w:trPr>
        <w:tc>
          <w:tcPr>
            <w:tcW w:w="704" w:type="dxa"/>
            <w:vMerge/>
            <w:vAlign w:val="center"/>
            <w:hideMark/>
          </w:tcPr>
          <w:p w14:paraId="45438A60" w14:textId="77777777" w:rsidR="00C45D59" w:rsidRDefault="00C45D59">
            <w:pPr>
              <w:spacing w:after="0" w:line="240" w:lineRule="auto"/>
              <w:rPr>
                <w:rFonts w:ascii="Times New Roman" w:eastAsia="Times New Roman" w:hAnsi="Times New Roman" w:cs="Times New Roman"/>
                <w:b/>
                <w:bCs/>
                <w:noProof/>
                <w:sz w:val="18"/>
                <w:szCs w:val="18"/>
              </w:rPr>
            </w:pPr>
          </w:p>
        </w:tc>
        <w:tc>
          <w:tcPr>
            <w:tcW w:w="2165" w:type="dxa"/>
            <w:vMerge/>
            <w:vAlign w:val="center"/>
            <w:hideMark/>
          </w:tcPr>
          <w:p w14:paraId="4B20690E" w14:textId="77777777" w:rsidR="00C45D59" w:rsidRDefault="00C45D59">
            <w:pPr>
              <w:spacing w:after="0" w:line="240" w:lineRule="auto"/>
              <w:rPr>
                <w:rFonts w:ascii="Times New Roman" w:eastAsia="Times New Roman" w:hAnsi="Times New Roman" w:cs="Times New Roman"/>
                <w:b/>
                <w:bCs/>
                <w:noProof/>
                <w:sz w:val="18"/>
                <w:szCs w:val="18"/>
              </w:rPr>
            </w:pPr>
          </w:p>
        </w:tc>
        <w:tc>
          <w:tcPr>
            <w:tcW w:w="1094" w:type="dxa"/>
            <w:vMerge/>
            <w:vAlign w:val="center"/>
            <w:hideMark/>
          </w:tcPr>
          <w:p w14:paraId="356B124E" w14:textId="77777777" w:rsidR="00C45D59" w:rsidRDefault="00C45D59">
            <w:pPr>
              <w:spacing w:after="0" w:line="240" w:lineRule="auto"/>
              <w:rPr>
                <w:rFonts w:ascii="Times New Roman" w:eastAsia="Times New Roman" w:hAnsi="Times New Roman" w:cs="Times New Roman"/>
                <w:b/>
                <w:bCs/>
                <w:noProof/>
                <w:sz w:val="18"/>
                <w:szCs w:val="18"/>
              </w:rPr>
            </w:pPr>
          </w:p>
        </w:tc>
        <w:tc>
          <w:tcPr>
            <w:tcW w:w="1205" w:type="dxa"/>
            <w:vMerge/>
            <w:vAlign w:val="center"/>
            <w:hideMark/>
          </w:tcPr>
          <w:p w14:paraId="67AA1A78" w14:textId="77777777" w:rsidR="00C45D59" w:rsidRDefault="00C45D59">
            <w:pPr>
              <w:spacing w:after="0" w:line="240" w:lineRule="auto"/>
              <w:rPr>
                <w:rFonts w:ascii="Times New Roman" w:eastAsia="Times New Roman" w:hAnsi="Times New Roman" w:cs="Times New Roman"/>
                <w:b/>
                <w:bCs/>
                <w:noProof/>
                <w:sz w:val="18"/>
                <w:szCs w:val="18"/>
              </w:rPr>
            </w:pPr>
          </w:p>
        </w:tc>
        <w:tc>
          <w:tcPr>
            <w:tcW w:w="1553" w:type="dxa"/>
            <w:vMerge/>
            <w:vAlign w:val="center"/>
            <w:hideMark/>
          </w:tcPr>
          <w:p w14:paraId="03C64929" w14:textId="77777777" w:rsidR="00C45D59" w:rsidRDefault="00C45D59">
            <w:pPr>
              <w:spacing w:after="0" w:line="240" w:lineRule="auto"/>
              <w:rPr>
                <w:rFonts w:ascii="Times New Roman" w:eastAsia="Times New Roman" w:hAnsi="Times New Roman" w:cs="Times New Roman"/>
                <w:b/>
                <w:bCs/>
                <w:noProof/>
                <w:sz w:val="18"/>
                <w:szCs w:val="18"/>
              </w:rPr>
            </w:pPr>
          </w:p>
        </w:tc>
        <w:tc>
          <w:tcPr>
            <w:tcW w:w="1205" w:type="dxa"/>
            <w:shd w:val="clear" w:color="auto" w:fill="BDD7EE"/>
            <w:vAlign w:val="center"/>
            <w:hideMark/>
          </w:tcPr>
          <w:p w14:paraId="68F15C05" w14:textId="77777777" w:rsidR="00C45D59" w:rsidRDefault="009B0962">
            <w:pPr>
              <w:pStyle w:val="P68B1DB1-Normal15"/>
              <w:spacing w:after="0" w:line="240" w:lineRule="auto"/>
              <w:jc w:val="center"/>
              <w:rPr>
                <w:rFonts w:eastAsia="Times New Roman"/>
                <w:bCs/>
                <w:noProof/>
              </w:rPr>
            </w:pPr>
            <w:r>
              <w:rPr>
                <w:noProof/>
              </w:rPr>
              <w:t>Unitatea de măsură</w:t>
            </w:r>
          </w:p>
        </w:tc>
        <w:tc>
          <w:tcPr>
            <w:tcW w:w="927" w:type="dxa"/>
            <w:shd w:val="clear" w:color="auto" w:fill="BDD7EE"/>
            <w:vAlign w:val="center"/>
            <w:hideMark/>
          </w:tcPr>
          <w:p w14:paraId="0E641984" w14:textId="77777777" w:rsidR="00C45D59" w:rsidRDefault="009B0962">
            <w:pPr>
              <w:pStyle w:val="P68B1DB1-Normal15"/>
              <w:spacing w:after="0" w:line="240" w:lineRule="auto"/>
              <w:jc w:val="center"/>
              <w:rPr>
                <w:rFonts w:eastAsia="Times New Roman"/>
                <w:bCs/>
                <w:noProof/>
              </w:rPr>
            </w:pPr>
            <w:r>
              <w:rPr>
                <w:noProof/>
              </w:rPr>
              <w:t xml:space="preserve">Situația de referință </w:t>
            </w:r>
          </w:p>
        </w:tc>
        <w:tc>
          <w:tcPr>
            <w:tcW w:w="713" w:type="dxa"/>
            <w:shd w:val="clear" w:color="auto" w:fill="BDD7EE"/>
            <w:vAlign w:val="center"/>
            <w:hideMark/>
          </w:tcPr>
          <w:p w14:paraId="31338D6F" w14:textId="77777777" w:rsidR="00C45D59" w:rsidRDefault="009B0962">
            <w:pPr>
              <w:pStyle w:val="P68B1DB1-Normal15"/>
              <w:spacing w:after="0" w:line="240" w:lineRule="auto"/>
              <w:jc w:val="center"/>
              <w:rPr>
                <w:rFonts w:eastAsia="Times New Roman"/>
                <w:bCs/>
                <w:noProof/>
              </w:rPr>
            </w:pPr>
            <w:r>
              <w:rPr>
                <w:noProof/>
              </w:rPr>
              <w:t xml:space="preserve">Obiectiv </w:t>
            </w:r>
          </w:p>
        </w:tc>
        <w:tc>
          <w:tcPr>
            <w:tcW w:w="922" w:type="dxa"/>
            <w:shd w:val="clear" w:color="auto" w:fill="BDD7EE"/>
            <w:vAlign w:val="center"/>
            <w:hideMark/>
          </w:tcPr>
          <w:p w14:paraId="21C5A2CF" w14:textId="77777777" w:rsidR="00C45D59" w:rsidRDefault="009B0962">
            <w:pPr>
              <w:pStyle w:val="P68B1DB1-Normal15"/>
              <w:spacing w:after="0" w:line="240" w:lineRule="auto"/>
              <w:jc w:val="center"/>
              <w:rPr>
                <w:rFonts w:eastAsia="Times New Roman"/>
                <w:bCs/>
                <w:noProof/>
              </w:rPr>
            </w:pPr>
            <w:r>
              <w:rPr>
                <w:noProof/>
              </w:rPr>
              <w:t>Trimestru</w:t>
            </w:r>
          </w:p>
        </w:tc>
        <w:tc>
          <w:tcPr>
            <w:tcW w:w="720" w:type="dxa"/>
            <w:shd w:val="clear" w:color="auto" w:fill="BDD7EE"/>
            <w:vAlign w:val="center"/>
            <w:hideMark/>
          </w:tcPr>
          <w:p w14:paraId="36039D9E" w14:textId="77777777" w:rsidR="00C45D59" w:rsidRDefault="009B0962">
            <w:pPr>
              <w:pStyle w:val="P68B1DB1-Normal15"/>
              <w:spacing w:after="0" w:line="240" w:lineRule="auto"/>
              <w:jc w:val="center"/>
              <w:rPr>
                <w:rFonts w:eastAsia="Times New Roman"/>
                <w:bCs/>
                <w:noProof/>
              </w:rPr>
            </w:pPr>
            <w:r>
              <w:rPr>
                <w:noProof/>
              </w:rPr>
              <w:t>Anul</w:t>
            </w:r>
          </w:p>
        </w:tc>
        <w:tc>
          <w:tcPr>
            <w:tcW w:w="3133" w:type="dxa"/>
            <w:vMerge/>
            <w:vAlign w:val="center"/>
            <w:hideMark/>
          </w:tcPr>
          <w:p w14:paraId="43C275A3" w14:textId="77777777" w:rsidR="00C45D59" w:rsidRDefault="00C45D59">
            <w:pPr>
              <w:spacing w:after="0" w:line="240" w:lineRule="auto"/>
              <w:rPr>
                <w:rFonts w:ascii="Times New Roman" w:eastAsia="Times New Roman" w:hAnsi="Times New Roman" w:cs="Times New Roman"/>
                <w:b/>
                <w:bCs/>
                <w:noProof/>
                <w:sz w:val="18"/>
                <w:szCs w:val="18"/>
              </w:rPr>
            </w:pPr>
          </w:p>
        </w:tc>
      </w:tr>
      <w:tr w:rsidR="00C45D59" w14:paraId="73039A7B" w14:textId="77777777">
        <w:tc>
          <w:tcPr>
            <w:tcW w:w="704" w:type="dxa"/>
            <w:shd w:val="clear" w:color="auto" w:fill="C6EFCE"/>
            <w:noWrap/>
          </w:tcPr>
          <w:p w14:paraId="10F2FE96" w14:textId="77777777" w:rsidR="00C45D59" w:rsidRDefault="009B0962">
            <w:pPr>
              <w:pStyle w:val="P68B1DB1-Normal12"/>
              <w:spacing w:after="0" w:line="240" w:lineRule="auto"/>
              <w:rPr>
                <w:rFonts w:eastAsia="Times New Roman"/>
                <w:noProof/>
              </w:rPr>
            </w:pPr>
            <w:r>
              <w:rPr>
                <w:noProof/>
              </w:rPr>
              <w:t>370</w:t>
            </w:r>
          </w:p>
        </w:tc>
        <w:tc>
          <w:tcPr>
            <w:tcW w:w="2165" w:type="dxa"/>
            <w:shd w:val="clear" w:color="auto" w:fill="C6EFCE"/>
            <w:noWrap/>
          </w:tcPr>
          <w:p w14:paraId="551D7CCF" w14:textId="77777777" w:rsidR="00C45D59" w:rsidRDefault="009B0962">
            <w:pPr>
              <w:pStyle w:val="P68B1DB1-Normal12"/>
              <w:spacing w:after="0" w:line="240" w:lineRule="auto"/>
              <w:rPr>
                <w:noProof/>
              </w:rPr>
            </w:pPr>
            <w:r>
              <w:rPr>
                <w:noProof/>
              </w:rPr>
              <w:t>21-5.2 investiții REPowerEU – 16995_Proiect privind producția de hidrogen din surse regenerabile</w:t>
            </w:r>
          </w:p>
        </w:tc>
        <w:tc>
          <w:tcPr>
            <w:tcW w:w="1094" w:type="dxa"/>
            <w:shd w:val="clear" w:color="auto" w:fill="C6EFCE"/>
            <w:noWrap/>
          </w:tcPr>
          <w:p w14:paraId="6749F381" w14:textId="77777777" w:rsidR="00C45D59" w:rsidRDefault="009B0962">
            <w:pPr>
              <w:pStyle w:val="P68B1DB1-Normal12"/>
              <w:spacing w:after="0" w:line="240" w:lineRule="auto"/>
              <w:rPr>
                <w:rFonts w:eastAsia="Times New Roman"/>
                <w:noProof/>
              </w:rPr>
            </w:pPr>
            <w:r>
              <w:rPr>
                <w:noProof/>
              </w:rPr>
              <w:t>Etapă</w:t>
            </w:r>
          </w:p>
        </w:tc>
        <w:tc>
          <w:tcPr>
            <w:tcW w:w="1205" w:type="dxa"/>
            <w:shd w:val="clear" w:color="auto" w:fill="C6EFCE"/>
            <w:noWrap/>
          </w:tcPr>
          <w:p w14:paraId="1B0F81B2" w14:textId="77777777" w:rsidR="00C45D59" w:rsidRDefault="009B0962">
            <w:pPr>
              <w:pStyle w:val="P68B1DB1-Normal12"/>
              <w:spacing w:after="0" w:line="240" w:lineRule="auto"/>
              <w:rPr>
                <w:rFonts w:eastAsia="Times New Roman"/>
                <w:noProof/>
              </w:rPr>
            </w:pPr>
            <w:r>
              <w:rPr>
                <w:noProof/>
              </w:rPr>
              <w:t>Emiterea deciziei ministeriale comune pentru acordarea grantului către beneficiar</w:t>
            </w:r>
          </w:p>
        </w:tc>
        <w:tc>
          <w:tcPr>
            <w:tcW w:w="1553" w:type="dxa"/>
            <w:shd w:val="clear" w:color="auto" w:fill="C6EFCE"/>
            <w:noWrap/>
          </w:tcPr>
          <w:p w14:paraId="3CEF375F" w14:textId="77777777" w:rsidR="00C45D59" w:rsidRDefault="009B0962">
            <w:pPr>
              <w:pStyle w:val="P68B1DB1-Normal12"/>
              <w:spacing w:after="0" w:line="240" w:lineRule="auto"/>
              <w:rPr>
                <w:rFonts w:eastAsia="Times New Roman"/>
                <w:noProof/>
              </w:rPr>
            </w:pPr>
            <w:r>
              <w:rPr>
                <w:noProof/>
              </w:rPr>
              <w:t>Emiterea deciziei ministeriale comune</w:t>
            </w:r>
          </w:p>
        </w:tc>
        <w:tc>
          <w:tcPr>
            <w:tcW w:w="1205" w:type="dxa"/>
            <w:shd w:val="clear" w:color="auto" w:fill="C6EFCE"/>
            <w:noWrap/>
          </w:tcPr>
          <w:p w14:paraId="402C09B5"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927" w:type="dxa"/>
            <w:shd w:val="clear" w:color="auto" w:fill="C6EFCE"/>
            <w:noWrap/>
          </w:tcPr>
          <w:p w14:paraId="747D488E"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713" w:type="dxa"/>
            <w:shd w:val="clear" w:color="auto" w:fill="C6EFCE"/>
            <w:noWrap/>
          </w:tcPr>
          <w:p w14:paraId="05556DB2"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922" w:type="dxa"/>
            <w:shd w:val="clear" w:color="auto" w:fill="C6EFCE"/>
            <w:noWrap/>
          </w:tcPr>
          <w:p w14:paraId="395DEDC0" w14:textId="77777777" w:rsidR="00C45D59" w:rsidRDefault="009B0962">
            <w:pPr>
              <w:pStyle w:val="P68B1DB1-Normal12"/>
              <w:spacing w:after="0" w:line="240" w:lineRule="auto"/>
              <w:rPr>
                <w:rFonts w:eastAsia="Times New Roman"/>
                <w:noProof/>
              </w:rPr>
            </w:pPr>
            <w:r>
              <w:rPr>
                <w:noProof/>
              </w:rPr>
              <w:t>Î2</w:t>
            </w:r>
          </w:p>
        </w:tc>
        <w:tc>
          <w:tcPr>
            <w:tcW w:w="720" w:type="dxa"/>
            <w:shd w:val="clear" w:color="auto" w:fill="C6EFCE"/>
            <w:noWrap/>
          </w:tcPr>
          <w:p w14:paraId="6376BF68" w14:textId="77777777" w:rsidR="00C45D59" w:rsidRDefault="009B0962">
            <w:pPr>
              <w:pStyle w:val="P68B1DB1-Normal12"/>
              <w:spacing w:after="0" w:line="240" w:lineRule="auto"/>
              <w:rPr>
                <w:rFonts w:eastAsia="Times New Roman"/>
                <w:noProof/>
              </w:rPr>
            </w:pPr>
            <w:r>
              <w:rPr>
                <w:noProof/>
              </w:rPr>
              <w:t>2024</w:t>
            </w:r>
          </w:p>
        </w:tc>
        <w:tc>
          <w:tcPr>
            <w:tcW w:w="3133" w:type="dxa"/>
            <w:shd w:val="clear" w:color="auto" w:fill="C6EFCE"/>
            <w:noWrap/>
          </w:tcPr>
          <w:p w14:paraId="5D99DEC2" w14:textId="77777777" w:rsidR="00C45D59" w:rsidRDefault="009B0962">
            <w:pPr>
              <w:pStyle w:val="P68B1DB1-Normal12"/>
              <w:spacing w:after="0" w:line="240" w:lineRule="auto"/>
              <w:rPr>
                <w:rFonts w:eastAsia="Times New Roman"/>
                <w:noProof/>
              </w:rPr>
            </w:pPr>
            <w:r>
              <w:rPr>
                <w:noProof/>
              </w:rPr>
              <w:t>Emiterea unei decizii ministeriale comune pentru acordarea grantului beneficiarului pentru cel puțin 45 MW de hidrogen nou instalat din surse regenerabile.</w:t>
            </w:r>
          </w:p>
        </w:tc>
      </w:tr>
      <w:tr w:rsidR="00C45D59" w14:paraId="4E227898" w14:textId="77777777">
        <w:trPr>
          <w:trHeight w:val="2505"/>
        </w:trPr>
        <w:tc>
          <w:tcPr>
            <w:tcW w:w="704" w:type="dxa"/>
            <w:shd w:val="clear" w:color="auto" w:fill="C6EFCE"/>
            <w:noWrap/>
          </w:tcPr>
          <w:p w14:paraId="6C4A5100" w14:textId="77777777" w:rsidR="00C45D59" w:rsidRDefault="009B0962">
            <w:pPr>
              <w:pStyle w:val="P68B1DB1-Normal12"/>
              <w:spacing w:after="0" w:line="240" w:lineRule="auto"/>
              <w:rPr>
                <w:rFonts w:eastAsia="Times New Roman"/>
                <w:noProof/>
              </w:rPr>
            </w:pPr>
            <w:r>
              <w:rPr>
                <w:noProof/>
              </w:rPr>
              <w:t>371</w:t>
            </w:r>
          </w:p>
        </w:tc>
        <w:tc>
          <w:tcPr>
            <w:tcW w:w="2165" w:type="dxa"/>
            <w:shd w:val="clear" w:color="auto" w:fill="C6EFCE"/>
            <w:noWrap/>
          </w:tcPr>
          <w:p w14:paraId="7A1251A0" w14:textId="77777777" w:rsidR="00C45D59" w:rsidRDefault="009B0962">
            <w:pPr>
              <w:pStyle w:val="P68B1DB1-Normal12"/>
              <w:spacing w:after="0" w:line="240" w:lineRule="auto"/>
              <w:rPr>
                <w:rFonts w:eastAsia="Times New Roman"/>
                <w:noProof/>
              </w:rPr>
            </w:pPr>
            <w:r>
              <w:rPr>
                <w:noProof/>
              </w:rPr>
              <w:t>21-5.2 investiții REPowerEU – 16995_Proiect privind producția de hidrogen din surse regenerabile</w:t>
            </w:r>
          </w:p>
        </w:tc>
        <w:tc>
          <w:tcPr>
            <w:tcW w:w="1094" w:type="dxa"/>
            <w:shd w:val="clear" w:color="auto" w:fill="C6EFCE"/>
            <w:noWrap/>
          </w:tcPr>
          <w:p w14:paraId="2BD2653B" w14:textId="77777777" w:rsidR="00C45D59" w:rsidRDefault="009B0962">
            <w:pPr>
              <w:pStyle w:val="P68B1DB1-Normal12"/>
              <w:spacing w:after="0" w:line="240" w:lineRule="auto"/>
              <w:rPr>
                <w:rFonts w:eastAsia="Times New Roman"/>
                <w:noProof/>
              </w:rPr>
            </w:pPr>
            <w:r>
              <w:rPr>
                <w:noProof/>
              </w:rPr>
              <w:t>Etapă</w:t>
            </w:r>
          </w:p>
        </w:tc>
        <w:tc>
          <w:tcPr>
            <w:tcW w:w="1205" w:type="dxa"/>
            <w:shd w:val="clear" w:color="auto" w:fill="C6EFCE"/>
            <w:noWrap/>
          </w:tcPr>
          <w:p w14:paraId="418256E2" w14:textId="77777777" w:rsidR="00C45D59" w:rsidRDefault="009B0962">
            <w:pPr>
              <w:pStyle w:val="P68B1DB1-Normal12"/>
              <w:spacing w:after="0" w:line="240" w:lineRule="auto"/>
              <w:rPr>
                <w:rFonts w:eastAsia="Times New Roman"/>
                <w:noProof/>
              </w:rPr>
            </w:pPr>
            <w:r>
              <w:rPr>
                <w:noProof/>
              </w:rPr>
              <w:t>Capacitatea de producție a hidrogenului din surse regenerabile</w:t>
            </w:r>
          </w:p>
        </w:tc>
        <w:tc>
          <w:tcPr>
            <w:tcW w:w="1553" w:type="dxa"/>
            <w:shd w:val="clear" w:color="auto" w:fill="C6EFCE"/>
            <w:noWrap/>
          </w:tcPr>
          <w:p w14:paraId="404BFCC2" w14:textId="77777777" w:rsidR="00C45D59" w:rsidRDefault="009B0962">
            <w:pPr>
              <w:pStyle w:val="P68B1DB1-Normal23"/>
              <w:spacing w:after="0" w:line="240" w:lineRule="auto"/>
              <w:rPr>
                <w:noProof/>
              </w:rPr>
            </w:pPr>
            <w:r>
              <w:rPr>
                <w:noProof/>
              </w:rPr>
              <w:t xml:space="preserve">Raportul tehnic al organismului de certificare independent </w:t>
            </w:r>
          </w:p>
        </w:tc>
        <w:tc>
          <w:tcPr>
            <w:tcW w:w="1205" w:type="dxa"/>
            <w:shd w:val="clear" w:color="auto" w:fill="C6EFCE"/>
            <w:noWrap/>
          </w:tcPr>
          <w:p w14:paraId="3E2C8474"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927" w:type="dxa"/>
            <w:shd w:val="clear" w:color="auto" w:fill="C6EFCE"/>
            <w:noWrap/>
          </w:tcPr>
          <w:p w14:paraId="4CE23825"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713" w:type="dxa"/>
            <w:shd w:val="clear" w:color="auto" w:fill="C6EFCE"/>
            <w:noWrap/>
          </w:tcPr>
          <w:p w14:paraId="1D90D3C3"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922" w:type="dxa"/>
            <w:shd w:val="clear" w:color="auto" w:fill="C6EFCE"/>
            <w:noWrap/>
          </w:tcPr>
          <w:p w14:paraId="58189E07" w14:textId="77777777" w:rsidR="00C45D59" w:rsidRDefault="009B0962">
            <w:pPr>
              <w:pStyle w:val="P68B1DB1-Normal12"/>
              <w:spacing w:after="0" w:line="240" w:lineRule="auto"/>
              <w:rPr>
                <w:rFonts w:eastAsia="Times New Roman"/>
                <w:noProof/>
              </w:rPr>
            </w:pPr>
            <w:r>
              <w:rPr>
                <w:noProof/>
              </w:rPr>
              <w:t xml:space="preserve">Î4 </w:t>
            </w:r>
          </w:p>
        </w:tc>
        <w:tc>
          <w:tcPr>
            <w:tcW w:w="720" w:type="dxa"/>
            <w:shd w:val="clear" w:color="auto" w:fill="C6EFCE"/>
            <w:noWrap/>
          </w:tcPr>
          <w:p w14:paraId="4373699B" w14:textId="77777777" w:rsidR="00C45D59" w:rsidRDefault="009B0962">
            <w:pPr>
              <w:pStyle w:val="P68B1DB1-Normal12"/>
              <w:spacing w:after="0" w:line="240" w:lineRule="auto"/>
              <w:rPr>
                <w:rFonts w:eastAsia="Times New Roman"/>
                <w:noProof/>
              </w:rPr>
            </w:pPr>
            <w:r>
              <w:rPr>
                <w:noProof/>
              </w:rPr>
              <w:t>2025</w:t>
            </w:r>
          </w:p>
        </w:tc>
        <w:tc>
          <w:tcPr>
            <w:tcW w:w="3133" w:type="dxa"/>
            <w:shd w:val="clear" w:color="auto" w:fill="C6EFCE"/>
            <w:noWrap/>
          </w:tcPr>
          <w:p w14:paraId="5123312D" w14:textId="284E9977" w:rsidR="00C45D59" w:rsidRDefault="009B0962">
            <w:pPr>
              <w:pStyle w:val="P68B1DB1-Normal12"/>
              <w:spacing w:after="0" w:line="240" w:lineRule="auto"/>
              <w:rPr>
                <w:rFonts w:eastAsia="Times New Roman"/>
                <w:noProof/>
              </w:rPr>
            </w:pPr>
            <w:r>
              <w:rPr>
                <w:noProof/>
              </w:rPr>
              <w:t>Raport tehnic din partea organismului de certificare independent care certifică instalarea de echipamente pentru producția de hidrogen din surse regenerabile prin electroliză cu o capacitate de cel puțin 45 MW. Aceasta include instalarea de electrolizoare, echipamente auxiliare și o substație electrică, precum și instalarea unei rețele de hidrogen în rafinărie pentru compresia, condiționarea, contorizarea, purificarea și distribuția hidrogenului împreună cu instalația de injectare.</w:t>
            </w:r>
          </w:p>
        </w:tc>
      </w:tr>
    </w:tbl>
    <w:p w14:paraId="5F8C17A2" w14:textId="3EE11BF6" w:rsidR="00C45D59" w:rsidRDefault="00C45D59">
      <w:pPr>
        <w:keepNext/>
        <w:spacing w:before="40" w:after="0" w:line="259" w:lineRule="auto"/>
        <w:ind w:left="130" w:firstLine="720"/>
        <w:jc w:val="both"/>
        <w:outlineLvl w:val="1"/>
        <w:rPr>
          <w:rFonts w:ascii="Times New Roman" w:hAnsi="Times New Roman" w:cs="Times New Roman"/>
          <w:noProof/>
          <w:sz w:val="24"/>
          <w:szCs w:val="24"/>
        </w:rPr>
        <w:sectPr w:rsidR="00C45D59">
          <w:headerReference w:type="even" r:id="rId414"/>
          <w:headerReference w:type="default" r:id="rId415"/>
          <w:footerReference w:type="even" r:id="rId416"/>
          <w:footerReference w:type="default" r:id="rId417"/>
          <w:headerReference w:type="first" r:id="rId418"/>
          <w:footerReference w:type="first" r:id="rId419"/>
          <w:pgSz w:w="16839" w:h="11907" w:orient="landscape"/>
          <w:pgMar w:top="1134" w:right="1134" w:bottom="1134" w:left="1134" w:header="567" w:footer="567" w:gutter="0"/>
          <w:cols w:space="720"/>
          <w:docGrid w:linePitch="360"/>
        </w:sectPr>
      </w:pPr>
    </w:p>
    <w:p w14:paraId="1397913F" w14:textId="77777777" w:rsidR="00C45D59" w:rsidRDefault="009B0962">
      <w:pPr>
        <w:pStyle w:val="P68B1DB1-Normal17"/>
        <w:spacing w:before="120" w:after="120" w:line="240" w:lineRule="auto"/>
        <w:ind w:firstLine="6"/>
        <w:jc w:val="both"/>
        <w:outlineLvl w:val="3"/>
        <w:rPr>
          <w:rFonts w:cs="Times New Roman"/>
          <w:bCs/>
          <w:noProof/>
        </w:rPr>
      </w:pPr>
      <w:r>
        <w:rPr>
          <w:noProof/>
        </w:rPr>
        <w:t>S. ASISTENȚĂ TEHNICĂ</w:t>
      </w:r>
    </w:p>
    <w:p w14:paraId="38ABDA0E" w14:textId="77777777" w:rsidR="00C45D59" w:rsidRDefault="009B0962">
      <w:pPr>
        <w:pStyle w:val="P68B1DB1-Normal5"/>
        <w:spacing w:before="120" w:after="120" w:line="240" w:lineRule="auto"/>
        <w:jc w:val="both"/>
        <w:rPr>
          <w:rFonts w:cs="Times New Roman"/>
          <w:noProof/>
        </w:rPr>
      </w:pPr>
      <w:r>
        <w:rPr>
          <w:noProof/>
        </w:rPr>
        <w:t>Această componentă a planului de redresare și reziliență al Greciei constă în măsuri de consolidare a capacității administrative a Agenției Mecanismului de redresare și reziliență, care este structura nou înființată dedicată exclusiv coordonării și punerii în aplicare a planului de redresare și reziliență al Greciei. Măsura vizează furnizarea asistenței necesare administrației elene pentru a orienta cu succes punerea în aplicare a planului de redresare și reziliență. Prin urmare, se preconizează că acesta va contribui indirect la obiectivele planului de redresare și reziliență, astfel cum sunt susținute de măsurile incluse în cadrul celor patru piloni, și va sprijini abordarea recomandărilor relevante specifice fiecărei țări pentru Grecia, și anume investițiile publice și private (Recomandarea specifică fiecărei țări 2 2019 și Recomandarea specifică fiecărei țări 3 2020), finanțele publice și asistența medicală (Recomandarea specifică fiecărei țări 1 2020) și piața forței de muncă și politica socială (Recomandarea specifică fiecărei țări 2 2020).</w:t>
      </w:r>
    </w:p>
    <w:p w14:paraId="33D91F75" w14:textId="77777777" w:rsidR="00C45D59" w:rsidRDefault="009B0962">
      <w:pPr>
        <w:pStyle w:val="P68B1DB1-Normal6"/>
        <w:spacing w:before="120" w:after="120" w:line="240" w:lineRule="auto"/>
        <w:jc w:val="both"/>
        <w:rPr>
          <w:rFonts w:cs="Times New Roman"/>
          <w:i/>
          <w:noProof/>
          <w:color w:val="4F81BD"/>
        </w:rPr>
      </w:pPr>
      <w:r>
        <w:rPr>
          <w:noProof/>
        </w:rPr>
        <w:t>S.1. Descrierea reformelor și a investițiilor pentru sprijinul financiar nerambursabil</w:t>
      </w:r>
    </w:p>
    <w:p w14:paraId="2B989336" w14:textId="77777777" w:rsidR="00C45D59" w:rsidRDefault="009B0962">
      <w:pPr>
        <w:pStyle w:val="P68B1DB1-Normal7"/>
        <w:spacing w:before="120" w:after="120" w:line="240" w:lineRule="auto"/>
        <w:jc w:val="both"/>
        <w:rPr>
          <w:rFonts w:cs="Times New Roman"/>
          <w:noProof/>
        </w:rPr>
      </w:pPr>
      <w:r>
        <w:rPr>
          <w:b/>
          <w:noProof/>
        </w:rPr>
        <w:t>Investiții:</w:t>
      </w:r>
      <w:r>
        <w:rPr>
          <w:noProof/>
        </w:rPr>
        <w:t xml:space="preserve"> Asistență tehnică (măsura ID 16968)</w:t>
      </w:r>
    </w:p>
    <w:p w14:paraId="175451F1" w14:textId="77777777" w:rsidR="00C45D59" w:rsidRDefault="009B0962">
      <w:pPr>
        <w:pStyle w:val="P68B1DB1-Normal7"/>
        <w:spacing w:before="120" w:after="120" w:line="240" w:lineRule="auto"/>
        <w:jc w:val="both"/>
        <w:rPr>
          <w:rFonts w:cs="Times New Roman"/>
          <w:i/>
          <w:iCs/>
          <w:noProof/>
          <w:color w:val="4F81BD"/>
        </w:rPr>
      </w:pPr>
      <w:r>
        <w:rPr>
          <w:noProof/>
        </w:rPr>
        <w:t xml:space="preserve">Investiția constă în șase subproiecte, și anume: 1) dezvoltarea de sisteme și instrumente pentru organizarea activității, 2) achiziționarea de servicii de la auditori externi pentru a efectua audituri, inspecții și certificări în cazuri de expertiză specifică necesară și dezvoltarea unui cadru metodologic general pentru audituri, inspecții și certificări pentru a sprijini funcția de supraveghere a Agenției Mecanismului de redresare și reziliență în ceea ce privește punerea în aplicare a măsurilor planului, 3) acțiuni de informare și publicitate cu privire la investițiile-cheie și reformele din cadrul planului, 4) efectuarea de studii și achiziționarea de expertiză externă și de sprijin tehnic în proiecte specializate, 5) finanțarea cheltuielilor pentru funcționarea zilnică a agenției (chiria pentru birouri, achiziționarea de echipamente de birou, acoperirea facturilor la utilități) și 6) achiziționarea de servicii de control al calității pentru proiectele de construcții publice pentru a evalua conformitatea cu termenii contractelor de construcție, cu reglementările, precum și cu standardele tehnice. Punerea în aplicare a subproiectului 3 are loc în contextul stabilirii unor practici de bună guvernanță. Acțiunile relevante devin o caracteristică integrantă și permanentă a procedurii de consultare publică și sunt utilizate ca instrument de facilitare a adeziunii părților interesate și de asigurare a punerii în aplicare durabile a reformelor și investițiilor specifice din cadrul planului. Finanțarea subproiectului 5 are un caracter temporar, și anume în măsura în care devine necesară pentru a sprijini Agenția Mecanismului de redresare și reziliență să își îndeplinească mandatul în mod eficace. Măsura se referă, de asemenea, la instituirea sistemelor de gestiune, audit și control. Punerea în aplicare a investiției se finalizează până la 30 iunie 2026. </w:t>
      </w:r>
    </w:p>
    <w:p w14:paraId="18D83D6E" w14:textId="77777777" w:rsidR="00C45D59" w:rsidRDefault="00C45D59">
      <w:pPr>
        <w:rPr>
          <w:rFonts w:ascii="Times New Roman" w:hAnsi="Times New Roman"/>
          <w:b/>
          <w:noProof/>
          <w:sz w:val="24"/>
          <w:u w:val="single"/>
        </w:rPr>
        <w:sectPr w:rsidR="00C45D59">
          <w:headerReference w:type="even" r:id="rId420"/>
          <w:headerReference w:type="default" r:id="rId421"/>
          <w:footerReference w:type="even" r:id="rId422"/>
          <w:footerReference w:type="default" r:id="rId423"/>
          <w:headerReference w:type="first" r:id="rId424"/>
          <w:footerReference w:type="first" r:id="rId425"/>
          <w:pgSz w:w="11906" w:h="16838"/>
          <w:pgMar w:top="1134" w:right="1134" w:bottom="1134" w:left="1134" w:header="567" w:footer="567" w:gutter="0"/>
          <w:cols w:space="708"/>
          <w:docGrid w:linePitch="360"/>
        </w:sectPr>
      </w:pPr>
    </w:p>
    <w:p w14:paraId="3AB96540" w14:textId="77777777" w:rsidR="00C45D59" w:rsidRDefault="009B0962">
      <w:pPr>
        <w:pStyle w:val="P68B1DB1-Normal6"/>
        <w:spacing w:before="120" w:after="120" w:line="240" w:lineRule="auto"/>
        <w:jc w:val="both"/>
        <w:rPr>
          <w:rFonts w:cs="Times New Roman"/>
          <w:bCs/>
          <w:noProof/>
        </w:rPr>
      </w:pPr>
      <w:r>
        <w:rPr>
          <w:noProof/>
        </w:rPr>
        <w:t>S.2. Jaloane, ținte, indicatori și calendarul de monitorizare și implementare aplicabile sprijinului financiar nerambursabil</w:t>
      </w:r>
    </w:p>
    <w:p w14:paraId="756E1C3E" w14:textId="77777777" w:rsidR="00C45D59" w:rsidRDefault="009B0962">
      <w:pPr>
        <w:pStyle w:val="P68B1DB1-Normal9"/>
        <w:keepNext/>
        <w:keepLines/>
        <w:spacing w:before="40" w:after="0" w:line="240" w:lineRule="auto"/>
        <w:jc w:val="both"/>
        <w:outlineLvl w:val="4"/>
        <w:rPr>
          <w:rFonts w:eastAsia="Times New Roman"/>
          <w:noProof/>
        </w:rPr>
      </w:pPr>
      <w:r>
        <w:rPr>
          <w:noProof/>
        </w:rPr>
        <w:t>Asistență tehnică</w:t>
      </w:r>
    </w:p>
    <w:tbl>
      <w:tblPr>
        <w:tblW w:w="1579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2375"/>
        <w:gridCol w:w="1376"/>
        <w:gridCol w:w="1648"/>
        <w:gridCol w:w="1620"/>
        <w:gridCol w:w="876"/>
        <w:gridCol w:w="1035"/>
        <w:gridCol w:w="866"/>
        <w:gridCol w:w="1006"/>
        <w:gridCol w:w="764"/>
        <w:gridCol w:w="4263"/>
      </w:tblGrid>
      <w:tr w:rsidR="00C45D59" w14:paraId="236754D4" w14:textId="77777777">
        <w:trPr>
          <w:trHeight w:val="706"/>
          <w:tblHeader/>
        </w:trPr>
        <w:tc>
          <w:tcPr>
            <w:tcW w:w="56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C3E681E" w14:textId="49DF5816" w:rsidR="00C45D59" w:rsidRDefault="009B0962">
            <w:pPr>
              <w:pStyle w:val="P68B1DB1-Normal15"/>
              <w:spacing w:after="0" w:line="240" w:lineRule="auto"/>
              <w:jc w:val="center"/>
              <w:rPr>
                <w:rFonts w:eastAsia="Times New Roman"/>
                <w:noProof/>
              </w:rPr>
            </w:pPr>
            <w:r>
              <w:rPr>
                <w:noProof/>
              </w:rPr>
              <w:t>Nr</w:t>
            </w:r>
            <w:r w:rsidR="00E649D5">
              <w:rPr>
                <w:noProof/>
              </w:rPr>
              <w:t>.</w:t>
            </w:r>
            <w:r>
              <w:rPr>
                <w:noProof/>
              </w:rPr>
              <w:t xml:space="preserve"> </w:t>
            </w:r>
            <w:r>
              <w:rPr>
                <w:noProof/>
              </w:rPr>
              <w:br/>
            </w:r>
            <w:r w:rsidR="00E649D5">
              <w:rPr>
                <w:noProof/>
              </w:rPr>
              <w:t>crt</w:t>
            </w:r>
            <w:r>
              <w:rPr>
                <w:noProof/>
              </w:rPr>
              <w:t>.</w:t>
            </w:r>
          </w:p>
        </w:tc>
        <w:tc>
          <w:tcPr>
            <w:tcW w:w="237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12D0877" w14:textId="77777777" w:rsidR="00C45D59" w:rsidRDefault="009B0962">
            <w:pPr>
              <w:pStyle w:val="P68B1DB1-Normal10"/>
              <w:spacing w:after="0" w:line="240" w:lineRule="auto"/>
              <w:jc w:val="center"/>
              <w:rPr>
                <w:rFonts w:eastAsia="Times New Roman" w:cs="Times New Roman"/>
                <w:noProof/>
                <w:szCs w:val="18"/>
              </w:rPr>
            </w:pPr>
            <w:r>
              <w:rPr>
                <w:noProof/>
              </w:rPr>
              <w:t>Măsură conexă (reformă sau investiții)</w:t>
            </w:r>
          </w:p>
        </w:tc>
        <w:tc>
          <w:tcPr>
            <w:tcW w:w="96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7AA6E3C" w14:textId="77777777" w:rsidR="00C45D59" w:rsidRDefault="009B0962">
            <w:pPr>
              <w:pStyle w:val="P68B1DB1-Normal10"/>
              <w:spacing w:after="0" w:line="240" w:lineRule="auto"/>
              <w:jc w:val="center"/>
              <w:rPr>
                <w:rFonts w:eastAsia="Times New Roman" w:cs="Times New Roman"/>
                <w:noProof/>
                <w:szCs w:val="18"/>
              </w:rPr>
            </w:pPr>
            <w:r>
              <w:rPr>
                <w:noProof/>
              </w:rPr>
              <w:t>Etapă/Obiectiv</w:t>
            </w:r>
          </w:p>
        </w:tc>
        <w:tc>
          <w:tcPr>
            <w:tcW w:w="164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053C5B2" w14:textId="64184C50" w:rsidR="00C45D59" w:rsidRDefault="00E649D5">
            <w:pPr>
              <w:pStyle w:val="P68B1DB1-Normal10"/>
              <w:spacing w:after="0" w:line="240" w:lineRule="auto"/>
              <w:jc w:val="center"/>
              <w:rPr>
                <w:rFonts w:eastAsia="Times New Roman" w:cs="Times New Roman"/>
                <w:noProof/>
                <w:szCs w:val="18"/>
              </w:rPr>
            </w:pPr>
            <w:r>
              <w:rPr>
                <w:noProof/>
              </w:rPr>
              <w:t>Denumire</w:t>
            </w:r>
          </w:p>
        </w:tc>
        <w:tc>
          <w:tcPr>
            <w:tcW w:w="162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8D40598" w14:textId="77777777" w:rsidR="00C45D59" w:rsidRDefault="009B0962">
            <w:pPr>
              <w:pStyle w:val="P68B1DB1-Normal10"/>
              <w:spacing w:after="0" w:line="240" w:lineRule="auto"/>
              <w:jc w:val="center"/>
              <w:rPr>
                <w:rFonts w:eastAsia="Times New Roman" w:cs="Times New Roman"/>
                <w:noProof/>
                <w:szCs w:val="18"/>
              </w:rPr>
            </w:pPr>
            <w:r>
              <w:rPr>
                <w:noProof/>
              </w:rPr>
              <w:t>Indicatori calitativi (pentru obiectivele de etapă)</w:t>
            </w:r>
          </w:p>
        </w:tc>
        <w:tc>
          <w:tcPr>
            <w:tcW w:w="2740"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28E78072" w14:textId="77777777" w:rsidR="00C45D59" w:rsidRDefault="009B0962">
            <w:pPr>
              <w:pStyle w:val="P68B1DB1-Normal10"/>
              <w:spacing w:after="0" w:line="240" w:lineRule="auto"/>
              <w:jc w:val="center"/>
              <w:rPr>
                <w:rFonts w:eastAsia="Times New Roman" w:cs="Times New Roman"/>
                <w:noProof/>
                <w:szCs w:val="18"/>
              </w:rPr>
            </w:pPr>
            <w:r>
              <w:rPr>
                <w:noProof/>
              </w:rPr>
              <w:t>Indicatori cantitativi (pentru ținte)</w:t>
            </w:r>
          </w:p>
        </w:tc>
        <w:tc>
          <w:tcPr>
            <w:tcW w:w="1610"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5437624A" w14:textId="77777777" w:rsidR="00C45D59" w:rsidRDefault="009B0962">
            <w:pPr>
              <w:pStyle w:val="P68B1DB1-Normal10"/>
              <w:spacing w:after="0" w:line="240" w:lineRule="auto"/>
              <w:jc w:val="center"/>
              <w:rPr>
                <w:rFonts w:eastAsia="Times New Roman" w:cs="Times New Roman"/>
                <w:noProof/>
                <w:szCs w:val="18"/>
              </w:rPr>
            </w:pPr>
            <w:r>
              <w:rPr>
                <w:noProof/>
              </w:rPr>
              <w:t xml:space="preserve">Calendar orientativ pentru finalizare </w:t>
            </w:r>
          </w:p>
        </w:tc>
        <w:tc>
          <w:tcPr>
            <w:tcW w:w="426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BC298A8" w14:textId="77777777" w:rsidR="00C45D59" w:rsidRDefault="009B0962">
            <w:pPr>
              <w:pStyle w:val="P68B1DB1-Normal10"/>
              <w:spacing w:after="0" w:line="240" w:lineRule="auto"/>
              <w:jc w:val="center"/>
              <w:rPr>
                <w:rFonts w:eastAsia="Times New Roman" w:cs="Times New Roman"/>
                <w:noProof/>
                <w:szCs w:val="18"/>
              </w:rPr>
            </w:pPr>
            <w:r>
              <w:rPr>
                <w:noProof/>
              </w:rPr>
              <w:t>Descrierea fiecărui jalon și a fiecărei ținte</w:t>
            </w:r>
          </w:p>
        </w:tc>
      </w:tr>
      <w:tr w:rsidR="00C45D59" w14:paraId="0D2810E9" w14:textId="77777777">
        <w:trPr>
          <w:trHeight w:val="620"/>
        </w:trPr>
        <w:tc>
          <w:tcPr>
            <w:tcW w:w="568" w:type="dxa"/>
            <w:vMerge/>
            <w:tcBorders>
              <w:top w:val="single" w:sz="4" w:space="0" w:color="auto"/>
            </w:tcBorders>
            <w:vAlign w:val="center"/>
            <w:hideMark/>
          </w:tcPr>
          <w:p w14:paraId="4E2DFCCA" w14:textId="77777777" w:rsidR="00C45D59" w:rsidRDefault="00C45D59">
            <w:pPr>
              <w:spacing w:after="0" w:line="240" w:lineRule="auto"/>
              <w:rPr>
                <w:rFonts w:ascii="Times New Roman" w:eastAsia="Times New Roman" w:hAnsi="Times New Roman" w:cs="Times New Roman"/>
                <w:b/>
                <w:bCs/>
                <w:noProof/>
                <w:sz w:val="18"/>
                <w:szCs w:val="18"/>
              </w:rPr>
            </w:pPr>
          </w:p>
        </w:tc>
        <w:tc>
          <w:tcPr>
            <w:tcW w:w="2375" w:type="dxa"/>
            <w:vMerge/>
            <w:tcBorders>
              <w:top w:val="single" w:sz="4" w:space="0" w:color="auto"/>
            </w:tcBorders>
            <w:vAlign w:val="center"/>
            <w:hideMark/>
          </w:tcPr>
          <w:p w14:paraId="5547BEED" w14:textId="77777777" w:rsidR="00C45D59" w:rsidRDefault="00C45D59">
            <w:pPr>
              <w:spacing w:after="0" w:line="240" w:lineRule="auto"/>
              <w:rPr>
                <w:rFonts w:ascii="Times New Roman" w:eastAsia="Times New Roman" w:hAnsi="Times New Roman" w:cs="Times New Roman"/>
                <w:b/>
                <w:bCs/>
                <w:noProof/>
                <w:sz w:val="18"/>
                <w:szCs w:val="18"/>
              </w:rPr>
            </w:pPr>
          </w:p>
        </w:tc>
        <w:tc>
          <w:tcPr>
            <w:tcW w:w="967" w:type="dxa"/>
            <w:vMerge/>
            <w:tcBorders>
              <w:top w:val="single" w:sz="4" w:space="0" w:color="auto"/>
            </w:tcBorders>
            <w:vAlign w:val="center"/>
            <w:hideMark/>
          </w:tcPr>
          <w:p w14:paraId="3C74795E" w14:textId="77777777" w:rsidR="00C45D59" w:rsidRDefault="00C45D59">
            <w:pPr>
              <w:spacing w:after="0" w:line="240" w:lineRule="auto"/>
              <w:rPr>
                <w:rFonts w:ascii="Times New Roman" w:eastAsia="Times New Roman" w:hAnsi="Times New Roman" w:cs="Times New Roman"/>
                <w:b/>
                <w:bCs/>
                <w:noProof/>
                <w:sz w:val="18"/>
                <w:szCs w:val="18"/>
              </w:rPr>
            </w:pPr>
          </w:p>
        </w:tc>
        <w:tc>
          <w:tcPr>
            <w:tcW w:w="1648" w:type="dxa"/>
            <w:vMerge/>
            <w:tcBorders>
              <w:top w:val="single" w:sz="4" w:space="0" w:color="auto"/>
            </w:tcBorders>
            <w:vAlign w:val="center"/>
            <w:hideMark/>
          </w:tcPr>
          <w:p w14:paraId="5B60DADF" w14:textId="77777777" w:rsidR="00C45D59" w:rsidRDefault="00C45D59">
            <w:pPr>
              <w:spacing w:after="0" w:line="240" w:lineRule="auto"/>
              <w:rPr>
                <w:rFonts w:ascii="Times New Roman" w:eastAsia="Times New Roman" w:hAnsi="Times New Roman" w:cs="Times New Roman"/>
                <w:b/>
                <w:bCs/>
                <w:noProof/>
                <w:sz w:val="18"/>
                <w:szCs w:val="18"/>
              </w:rPr>
            </w:pPr>
          </w:p>
        </w:tc>
        <w:tc>
          <w:tcPr>
            <w:tcW w:w="1620" w:type="dxa"/>
            <w:vMerge/>
            <w:tcBorders>
              <w:top w:val="single" w:sz="4" w:space="0" w:color="auto"/>
            </w:tcBorders>
            <w:vAlign w:val="center"/>
            <w:hideMark/>
          </w:tcPr>
          <w:p w14:paraId="2DB9810B" w14:textId="77777777" w:rsidR="00C45D59" w:rsidRDefault="00C45D59">
            <w:pPr>
              <w:spacing w:after="0" w:line="240" w:lineRule="auto"/>
              <w:rPr>
                <w:rFonts w:ascii="Times New Roman" w:eastAsia="Times New Roman" w:hAnsi="Times New Roman" w:cs="Times New Roman"/>
                <w:b/>
                <w:bCs/>
                <w:noProof/>
                <w:sz w:val="18"/>
                <w:szCs w:val="18"/>
              </w:rPr>
            </w:pPr>
          </w:p>
        </w:tc>
        <w:tc>
          <w:tcPr>
            <w:tcW w:w="866" w:type="dxa"/>
            <w:tcBorders>
              <w:top w:val="single" w:sz="4" w:space="0" w:color="auto"/>
            </w:tcBorders>
            <w:shd w:val="clear" w:color="auto" w:fill="BDD7EE"/>
            <w:vAlign w:val="center"/>
            <w:hideMark/>
          </w:tcPr>
          <w:p w14:paraId="40984947" w14:textId="77777777" w:rsidR="00C45D59" w:rsidRDefault="009B0962">
            <w:pPr>
              <w:pStyle w:val="P68B1DB1-Normal10"/>
              <w:spacing w:after="0" w:line="240" w:lineRule="auto"/>
              <w:jc w:val="center"/>
              <w:rPr>
                <w:rFonts w:eastAsia="Times New Roman" w:cs="Times New Roman"/>
                <w:noProof/>
                <w:szCs w:val="18"/>
              </w:rPr>
            </w:pPr>
            <w:r>
              <w:rPr>
                <w:noProof/>
              </w:rPr>
              <w:t>Unitatea de măsură</w:t>
            </w:r>
          </w:p>
        </w:tc>
        <w:tc>
          <w:tcPr>
            <w:tcW w:w="1035" w:type="dxa"/>
            <w:tcBorders>
              <w:top w:val="single" w:sz="4" w:space="0" w:color="auto"/>
            </w:tcBorders>
            <w:shd w:val="clear" w:color="auto" w:fill="BDD7EE"/>
            <w:vAlign w:val="center"/>
            <w:hideMark/>
          </w:tcPr>
          <w:p w14:paraId="2D40112B" w14:textId="77777777" w:rsidR="00C45D59" w:rsidRDefault="009B0962">
            <w:pPr>
              <w:pStyle w:val="P68B1DB1-Normal10"/>
              <w:spacing w:after="0" w:line="240" w:lineRule="auto"/>
              <w:jc w:val="center"/>
              <w:rPr>
                <w:rFonts w:eastAsia="Times New Roman" w:cs="Times New Roman"/>
                <w:noProof/>
                <w:szCs w:val="18"/>
              </w:rPr>
            </w:pPr>
            <w:r>
              <w:rPr>
                <w:noProof/>
              </w:rPr>
              <w:t xml:space="preserve">Situația de referință </w:t>
            </w:r>
          </w:p>
        </w:tc>
        <w:tc>
          <w:tcPr>
            <w:tcW w:w="839" w:type="dxa"/>
            <w:tcBorders>
              <w:top w:val="single" w:sz="4" w:space="0" w:color="auto"/>
            </w:tcBorders>
            <w:shd w:val="clear" w:color="auto" w:fill="BDD7EE"/>
            <w:vAlign w:val="center"/>
            <w:hideMark/>
          </w:tcPr>
          <w:p w14:paraId="0DDF7970" w14:textId="77777777" w:rsidR="00C45D59" w:rsidRDefault="009B0962">
            <w:pPr>
              <w:pStyle w:val="P68B1DB1-Normal10"/>
              <w:spacing w:after="0" w:line="240" w:lineRule="auto"/>
              <w:jc w:val="center"/>
              <w:rPr>
                <w:rFonts w:eastAsia="Times New Roman" w:cs="Times New Roman"/>
                <w:noProof/>
                <w:szCs w:val="18"/>
              </w:rPr>
            </w:pPr>
            <w:r>
              <w:rPr>
                <w:noProof/>
              </w:rPr>
              <w:t xml:space="preserve">Obiectiv </w:t>
            </w:r>
          </w:p>
        </w:tc>
        <w:tc>
          <w:tcPr>
            <w:tcW w:w="846" w:type="dxa"/>
            <w:tcBorders>
              <w:top w:val="single" w:sz="4" w:space="0" w:color="auto"/>
            </w:tcBorders>
            <w:shd w:val="clear" w:color="auto" w:fill="BDD7EE"/>
            <w:vAlign w:val="center"/>
            <w:hideMark/>
          </w:tcPr>
          <w:p w14:paraId="514276DB" w14:textId="77777777" w:rsidR="00C45D59" w:rsidRDefault="009B0962">
            <w:pPr>
              <w:pStyle w:val="P68B1DB1-Normal10"/>
              <w:spacing w:after="0" w:line="240" w:lineRule="auto"/>
              <w:jc w:val="center"/>
              <w:rPr>
                <w:rFonts w:eastAsia="Times New Roman" w:cs="Times New Roman"/>
                <w:noProof/>
                <w:szCs w:val="18"/>
              </w:rPr>
            </w:pPr>
            <w:r>
              <w:rPr>
                <w:noProof/>
              </w:rPr>
              <w:t>Trimestru</w:t>
            </w:r>
          </w:p>
        </w:tc>
        <w:tc>
          <w:tcPr>
            <w:tcW w:w="764" w:type="dxa"/>
            <w:tcBorders>
              <w:top w:val="single" w:sz="4" w:space="0" w:color="auto"/>
            </w:tcBorders>
            <w:shd w:val="clear" w:color="auto" w:fill="BDD7EE"/>
            <w:vAlign w:val="center"/>
            <w:hideMark/>
          </w:tcPr>
          <w:p w14:paraId="7DD6A019" w14:textId="77777777" w:rsidR="00C45D59" w:rsidRDefault="009B0962">
            <w:pPr>
              <w:pStyle w:val="P68B1DB1-Normal10"/>
              <w:spacing w:after="0" w:line="240" w:lineRule="auto"/>
              <w:jc w:val="center"/>
              <w:rPr>
                <w:rFonts w:eastAsia="Times New Roman" w:cs="Times New Roman"/>
                <w:noProof/>
                <w:szCs w:val="18"/>
              </w:rPr>
            </w:pPr>
            <w:r>
              <w:rPr>
                <w:noProof/>
              </w:rPr>
              <w:t>Anul</w:t>
            </w:r>
          </w:p>
        </w:tc>
        <w:tc>
          <w:tcPr>
            <w:tcW w:w="4263" w:type="dxa"/>
            <w:vMerge/>
            <w:tcBorders>
              <w:top w:val="single" w:sz="4" w:space="0" w:color="auto"/>
            </w:tcBorders>
            <w:vAlign w:val="center"/>
            <w:hideMark/>
          </w:tcPr>
          <w:p w14:paraId="2DC8D88B" w14:textId="77777777" w:rsidR="00C45D59" w:rsidRDefault="00C45D59">
            <w:pPr>
              <w:spacing w:after="0" w:line="240" w:lineRule="auto"/>
              <w:rPr>
                <w:rFonts w:ascii="Times New Roman" w:eastAsia="Times New Roman" w:hAnsi="Times New Roman" w:cs="Times New Roman"/>
                <w:b/>
                <w:bCs/>
                <w:noProof/>
                <w:sz w:val="18"/>
                <w:szCs w:val="18"/>
              </w:rPr>
            </w:pPr>
          </w:p>
        </w:tc>
      </w:tr>
      <w:tr w:rsidR="00C45D59" w14:paraId="74C0DD5E" w14:textId="77777777">
        <w:trPr>
          <w:trHeight w:val="309"/>
        </w:trPr>
        <w:tc>
          <w:tcPr>
            <w:tcW w:w="568" w:type="dxa"/>
            <w:shd w:val="clear" w:color="auto" w:fill="C6EFCE"/>
            <w:noWrap/>
          </w:tcPr>
          <w:p w14:paraId="551D67E6" w14:textId="77777777" w:rsidR="00C45D59" w:rsidRDefault="009B0962">
            <w:pPr>
              <w:pStyle w:val="P68B1DB1-Normal12"/>
              <w:spacing w:after="0" w:line="240" w:lineRule="auto"/>
              <w:rPr>
                <w:rFonts w:eastAsia="Times New Roman"/>
                <w:noProof/>
              </w:rPr>
            </w:pPr>
            <w:r>
              <w:rPr>
                <w:noProof/>
              </w:rPr>
              <w:t>331</w:t>
            </w:r>
          </w:p>
        </w:tc>
        <w:tc>
          <w:tcPr>
            <w:tcW w:w="2375" w:type="dxa"/>
            <w:shd w:val="clear" w:color="auto" w:fill="C6EFCE"/>
            <w:noWrap/>
          </w:tcPr>
          <w:p w14:paraId="6427D7AA" w14:textId="77777777" w:rsidR="00C45D59" w:rsidRDefault="009B0962">
            <w:pPr>
              <w:pStyle w:val="P68B1DB1-Normal12"/>
              <w:spacing w:after="0" w:line="240" w:lineRule="auto"/>
              <w:rPr>
                <w:rFonts w:eastAsia="Times New Roman"/>
                <w:noProof/>
              </w:rPr>
            </w:pPr>
            <w:r>
              <w:rPr>
                <w:noProof/>
              </w:rPr>
              <w:t>19-16968_Asistență tehnică</w:t>
            </w:r>
          </w:p>
        </w:tc>
        <w:tc>
          <w:tcPr>
            <w:tcW w:w="967" w:type="dxa"/>
            <w:shd w:val="clear" w:color="auto" w:fill="C6EFCE"/>
            <w:noWrap/>
          </w:tcPr>
          <w:p w14:paraId="67899149" w14:textId="77777777" w:rsidR="00C45D59" w:rsidRDefault="009B0962">
            <w:pPr>
              <w:pStyle w:val="P68B1DB1-Normal12"/>
              <w:spacing w:after="0" w:line="240" w:lineRule="auto"/>
              <w:rPr>
                <w:rFonts w:eastAsia="Times New Roman"/>
                <w:noProof/>
              </w:rPr>
            </w:pPr>
            <w:r>
              <w:rPr>
                <w:noProof/>
              </w:rPr>
              <w:t>Etapă</w:t>
            </w:r>
          </w:p>
        </w:tc>
        <w:tc>
          <w:tcPr>
            <w:tcW w:w="1648" w:type="dxa"/>
            <w:shd w:val="clear" w:color="auto" w:fill="C6EFCE"/>
            <w:noWrap/>
          </w:tcPr>
          <w:p w14:paraId="23979961" w14:textId="77777777" w:rsidR="00C45D59" w:rsidRDefault="009B0962">
            <w:pPr>
              <w:pStyle w:val="P68B1DB1-Normal12"/>
              <w:spacing w:after="0" w:line="240" w:lineRule="auto"/>
              <w:rPr>
                <w:rFonts w:eastAsia="Times New Roman"/>
                <w:noProof/>
              </w:rPr>
            </w:pPr>
            <w:r>
              <w:rPr>
                <w:noProof/>
              </w:rPr>
              <w:t xml:space="preserve">Mandatul legal al EDEL și instituirea sistemelor de gestiune, control și audit </w:t>
            </w:r>
          </w:p>
        </w:tc>
        <w:tc>
          <w:tcPr>
            <w:tcW w:w="1620" w:type="dxa"/>
            <w:shd w:val="clear" w:color="auto" w:fill="C6EFCE"/>
            <w:noWrap/>
          </w:tcPr>
          <w:p w14:paraId="09E3DB62" w14:textId="77777777" w:rsidR="00C45D59" w:rsidRDefault="009B0962">
            <w:pPr>
              <w:pStyle w:val="P68B1DB1-Normal12"/>
              <w:spacing w:after="0" w:line="240" w:lineRule="auto"/>
              <w:rPr>
                <w:rFonts w:eastAsia="Times New Roman"/>
                <w:noProof/>
              </w:rPr>
            </w:pPr>
            <w:r>
              <w:rPr>
                <w:noProof/>
              </w:rPr>
              <w:t xml:space="preserve">Mandatul legal al EDEL în vigoare și sistemele de gestionare, control și audit instituite </w:t>
            </w:r>
          </w:p>
        </w:tc>
        <w:tc>
          <w:tcPr>
            <w:tcW w:w="866" w:type="dxa"/>
            <w:shd w:val="clear" w:color="auto" w:fill="C6EFCE"/>
            <w:noWrap/>
          </w:tcPr>
          <w:p w14:paraId="0563FA79"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1035" w:type="dxa"/>
            <w:shd w:val="clear" w:color="auto" w:fill="C6EFCE"/>
            <w:noWrap/>
          </w:tcPr>
          <w:p w14:paraId="678CAC73"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39" w:type="dxa"/>
            <w:shd w:val="clear" w:color="auto" w:fill="C6EFCE"/>
            <w:noWrap/>
          </w:tcPr>
          <w:p w14:paraId="1AC0B655" w14:textId="77777777" w:rsidR="00C45D59" w:rsidRDefault="00C45D59">
            <w:pPr>
              <w:spacing w:after="0" w:line="240" w:lineRule="auto"/>
              <w:rPr>
                <w:rFonts w:ascii="Times New Roman" w:eastAsia="Times New Roman" w:hAnsi="Times New Roman" w:cs="Times New Roman"/>
                <w:noProof/>
                <w:color w:val="006100"/>
                <w:sz w:val="18"/>
                <w:szCs w:val="18"/>
              </w:rPr>
            </w:pPr>
          </w:p>
        </w:tc>
        <w:tc>
          <w:tcPr>
            <w:tcW w:w="846" w:type="dxa"/>
            <w:shd w:val="clear" w:color="auto" w:fill="C6EFCE"/>
            <w:noWrap/>
          </w:tcPr>
          <w:p w14:paraId="6E1FACB3" w14:textId="77777777" w:rsidR="00C45D59" w:rsidRDefault="009B0962">
            <w:pPr>
              <w:pStyle w:val="P68B1DB1-Normal12"/>
              <w:spacing w:after="0" w:line="240" w:lineRule="auto"/>
              <w:rPr>
                <w:rFonts w:eastAsia="Times New Roman"/>
                <w:noProof/>
              </w:rPr>
            </w:pPr>
            <w:r>
              <w:rPr>
                <w:noProof/>
              </w:rPr>
              <w:t>Î3</w:t>
            </w:r>
          </w:p>
        </w:tc>
        <w:tc>
          <w:tcPr>
            <w:tcW w:w="764" w:type="dxa"/>
            <w:shd w:val="clear" w:color="auto" w:fill="C6EFCE"/>
            <w:noWrap/>
          </w:tcPr>
          <w:p w14:paraId="5031365A" w14:textId="77777777" w:rsidR="00C45D59" w:rsidRDefault="009B0962">
            <w:pPr>
              <w:pStyle w:val="P68B1DB1-Normal12"/>
              <w:spacing w:after="0" w:line="240" w:lineRule="auto"/>
              <w:rPr>
                <w:rFonts w:eastAsia="Times New Roman"/>
                <w:noProof/>
              </w:rPr>
            </w:pPr>
            <w:r>
              <w:rPr>
                <w:noProof/>
              </w:rPr>
              <w:t>2021</w:t>
            </w:r>
          </w:p>
        </w:tc>
        <w:tc>
          <w:tcPr>
            <w:tcW w:w="4263" w:type="dxa"/>
            <w:shd w:val="clear" w:color="auto" w:fill="C6EFCE"/>
            <w:noWrap/>
          </w:tcPr>
          <w:p w14:paraId="0AFF071F" w14:textId="77777777" w:rsidR="00C45D59" w:rsidRDefault="009B0962">
            <w:pPr>
              <w:pStyle w:val="P68B1DB1-Normal12"/>
              <w:spacing w:after="0" w:line="240" w:lineRule="auto"/>
              <w:rPr>
                <w:rFonts w:eastAsia="Times New Roman"/>
                <w:noProof/>
              </w:rPr>
            </w:pPr>
            <w:r>
              <w:rPr>
                <w:noProof/>
              </w:rPr>
              <w:t>Intrarea în vigoare a mandatului legal al EDEL și instituirea sistemului de audit și control care (a) asigură colectarea datelor și monitorizarea atingerii jaloanelor și a țintelor; (b) permit pregătirea declarațiilor de gestiune și a rezumatului auditului, precum și a cererilor de plată și (c) stabilesc procedurile necesare pentru colectarea și stocarea datelor privind beneficiarii, contractanții, subcontractanții și beneficiarii reali în conformitate cu articolul 22 din Regulamentul (UE) 2021/241, înainte de depunerea primei cereri de plată. Trebuie elaborat un raport de audit specific privind instituirea sistemului. Dacă raportul identifică eventuale deficiențe, raportul de audit recomandă acțiuni corective.</w:t>
            </w:r>
          </w:p>
        </w:tc>
      </w:tr>
    </w:tbl>
    <w:p w14:paraId="25F94654" w14:textId="77777777" w:rsidR="00C45D59" w:rsidRDefault="00C45D59">
      <w:pPr>
        <w:spacing w:before="120" w:after="120" w:line="240" w:lineRule="auto"/>
        <w:ind w:left="709"/>
        <w:jc w:val="both"/>
        <w:rPr>
          <w:rFonts w:ascii="Times New Roman" w:hAnsi="Times New Roman" w:cs="Times New Roman"/>
          <w:noProof/>
          <w:sz w:val="24"/>
          <w:szCs w:val="24"/>
        </w:rPr>
      </w:pPr>
    </w:p>
    <w:p w14:paraId="670BBCA3" w14:textId="77777777" w:rsidR="00C45D59" w:rsidRDefault="00C45D59">
      <w:pPr>
        <w:spacing w:before="120" w:after="120" w:line="240" w:lineRule="auto"/>
        <w:jc w:val="both"/>
        <w:rPr>
          <w:rFonts w:ascii="Times New Roman" w:hAnsi="Times New Roman" w:cs="Times New Roman"/>
          <w:noProof/>
          <w:sz w:val="24"/>
        </w:rPr>
        <w:sectPr w:rsidR="00C45D59">
          <w:headerReference w:type="even" r:id="rId426"/>
          <w:headerReference w:type="default" r:id="rId427"/>
          <w:footerReference w:type="even" r:id="rId428"/>
          <w:footerReference w:type="default" r:id="rId429"/>
          <w:headerReference w:type="first" r:id="rId430"/>
          <w:footerReference w:type="first" r:id="rId431"/>
          <w:pgSz w:w="16839" w:h="11907" w:orient="landscape"/>
          <w:pgMar w:top="1134" w:right="1134" w:bottom="1134" w:left="1134" w:header="567" w:footer="567" w:gutter="0"/>
          <w:cols w:space="720"/>
          <w:docGrid w:linePitch="360"/>
        </w:sectPr>
      </w:pPr>
    </w:p>
    <w:p w14:paraId="485094ED" w14:textId="77777777" w:rsidR="00C45D59" w:rsidRDefault="009B0962">
      <w:pPr>
        <w:pStyle w:val="P68B1DB1-Normal6"/>
        <w:keepNext/>
        <w:spacing w:before="40" w:after="0" w:line="259" w:lineRule="auto"/>
        <w:jc w:val="both"/>
        <w:outlineLvl w:val="1"/>
        <w:rPr>
          <w:rFonts w:eastAsia="Times New Roman" w:cs="Times New Roman"/>
          <w:noProof/>
        </w:rPr>
      </w:pPr>
      <w:r>
        <w:rPr>
          <w:noProof/>
        </w:rPr>
        <w:t>2. Costul total estimat al planului de redresare și reziliență</w:t>
      </w:r>
    </w:p>
    <w:p w14:paraId="566E2E86" w14:textId="270B430F" w:rsidR="00C45D59" w:rsidRDefault="009B0962">
      <w:pPr>
        <w:pStyle w:val="P68B1DB1-Normal8"/>
        <w:keepNext/>
        <w:spacing w:before="40" w:after="0" w:line="259" w:lineRule="auto"/>
        <w:jc w:val="both"/>
        <w:rPr>
          <w:rFonts w:ascii="Times New Roman" w:hAnsi="Times New Roman"/>
          <w:noProof/>
        </w:rPr>
      </w:pPr>
      <w:r>
        <w:rPr>
          <w:rFonts w:ascii="Times New Roman" w:hAnsi="Times New Roman"/>
          <w:noProof/>
        </w:rPr>
        <w:t>Costurile totale estimate ale planului de redresare și reziliență al Greciei, inclusiv ale capitolului privind REPowerEU, sunt de 36</w:t>
      </w:r>
      <w:r>
        <w:rPr>
          <w:rFonts w:ascii="Times New Roman" w:hAnsi="Times New Roman" w:cs="Times New Roman"/>
          <w:noProof/>
          <w:color w:val="006100"/>
        </w:rPr>
        <w:t xml:space="preserve"> </w:t>
      </w:r>
      <w:r>
        <w:rPr>
          <w:rFonts w:ascii="Times New Roman" w:hAnsi="Times New Roman"/>
          <w:noProof/>
        </w:rPr>
        <w:t>113 375 270 EUR. Costul total estimat al capitolului REPowerEU este de 794</w:t>
      </w:r>
      <w:r>
        <w:rPr>
          <w:rFonts w:ascii="Times New Roman" w:hAnsi="Times New Roman" w:cs="Times New Roman"/>
          <w:noProof/>
          <w:color w:val="006100"/>
        </w:rPr>
        <w:t xml:space="preserve"> </w:t>
      </w:r>
      <w:r>
        <w:rPr>
          <w:rFonts w:ascii="Times New Roman" w:hAnsi="Times New Roman"/>
          <w:noProof/>
        </w:rPr>
        <w:t>921 705 EUR. În special, costurile estimate totale ale măsurilor menționate la articolul 21c alineatul (3), litera (a) din Regulamentul (UE) 2023/435 sunt 0 EUR, în timp ce costurile celorlalte măsuri din capitolul REPowerEU sunt de 794 921</w:t>
      </w:r>
      <w:r>
        <w:rPr>
          <w:rFonts w:ascii="Times New Roman" w:hAnsi="Times New Roman" w:cs="Times New Roman"/>
          <w:noProof/>
          <w:color w:val="006100"/>
        </w:rPr>
        <w:t xml:space="preserve"> </w:t>
      </w:r>
      <w:r>
        <w:rPr>
          <w:rFonts w:ascii="Times New Roman" w:hAnsi="Times New Roman"/>
          <w:noProof/>
        </w:rPr>
        <w:t>705 EUR.</w:t>
      </w:r>
    </w:p>
    <w:p w14:paraId="5BFBB022" w14:textId="77777777" w:rsidR="00C45D59" w:rsidRDefault="009B0962">
      <w:pPr>
        <w:pStyle w:val="P68B1DB1-Normal2"/>
        <w:keepNext/>
        <w:tabs>
          <w:tab w:val="num" w:pos="850"/>
        </w:tabs>
        <w:spacing w:before="360" w:after="0" w:line="259" w:lineRule="auto"/>
        <w:jc w:val="both"/>
        <w:outlineLvl w:val="0"/>
        <w:rPr>
          <w:noProof/>
        </w:rPr>
      </w:pPr>
      <w:r>
        <w:rPr>
          <w:noProof/>
        </w:rPr>
        <w:t xml:space="preserve">SECȚIUNEA 2: SPRIJIN FINANCIAR </w:t>
      </w:r>
    </w:p>
    <w:p w14:paraId="1E208C07" w14:textId="77777777" w:rsidR="00C45D59" w:rsidRDefault="00C45D59">
      <w:pPr>
        <w:keepNext/>
        <w:tabs>
          <w:tab w:val="num" w:pos="850"/>
        </w:tabs>
        <w:spacing w:before="360" w:after="0" w:line="259" w:lineRule="auto"/>
        <w:jc w:val="both"/>
        <w:outlineLvl w:val="0"/>
        <w:rPr>
          <w:rFonts w:ascii="Times New Roman" w:eastAsia="Times New Roman" w:hAnsi="Times New Roman" w:cs="Times New Roman"/>
          <w:b/>
          <w:smallCaps/>
          <w:noProof/>
          <w:sz w:val="24"/>
        </w:rPr>
      </w:pPr>
    </w:p>
    <w:p w14:paraId="61A0DFF1" w14:textId="77777777" w:rsidR="00C45D59" w:rsidRDefault="009B0962">
      <w:pPr>
        <w:pStyle w:val="P68B1DB1-Normal6"/>
        <w:keepNext/>
        <w:numPr>
          <w:ilvl w:val="1"/>
          <w:numId w:val="92"/>
        </w:numPr>
        <w:spacing w:before="40" w:after="0" w:line="259" w:lineRule="auto"/>
        <w:ind w:left="0"/>
        <w:jc w:val="both"/>
        <w:outlineLvl w:val="1"/>
        <w:rPr>
          <w:rFonts w:eastAsia="Times New Roman" w:cs="Times New Roman"/>
          <w:noProof/>
        </w:rPr>
      </w:pPr>
      <w:r>
        <w:rPr>
          <w:noProof/>
        </w:rPr>
        <w:t xml:space="preserve">Financiară adecvată </w:t>
      </w:r>
    </w:p>
    <w:p w14:paraId="73BC0759" w14:textId="77777777" w:rsidR="00C45D59" w:rsidRDefault="009B0962">
      <w:pPr>
        <w:pStyle w:val="P68B1DB1-Normal5"/>
        <w:keepNext/>
        <w:spacing w:before="40" w:after="0" w:line="259" w:lineRule="auto"/>
        <w:jc w:val="both"/>
        <w:rPr>
          <w:noProof/>
        </w:rPr>
      </w:pPr>
      <w:r>
        <w:rPr>
          <w:noProof/>
        </w:rPr>
        <w:t>Tranșele menționate la articolul 2 alineatul (2) se organizează după cum urmează:</w:t>
      </w:r>
    </w:p>
    <w:p w14:paraId="0F72E9A1" w14:textId="77777777" w:rsidR="00C45D59" w:rsidRDefault="00C45D59">
      <w:pPr>
        <w:keepNext/>
        <w:spacing w:before="40" w:after="0" w:line="259" w:lineRule="auto"/>
        <w:jc w:val="both"/>
        <w:rPr>
          <w:rFonts w:ascii="Times New Roman" w:hAnsi="Times New Roman"/>
          <w:noProof/>
          <w:sz w:val="24"/>
        </w:rPr>
      </w:pPr>
    </w:p>
    <w:p w14:paraId="4679888D" w14:textId="77777777" w:rsidR="00C45D59" w:rsidRDefault="009B0962">
      <w:pPr>
        <w:pStyle w:val="P68B1DB1-Normal5"/>
        <w:keepNext/>
        <w:numPr>
          <w:ilvl w:val="1"/>
          <w:numId w:val="93"/>
        </w:numPr>
        <w:spacing w:before="40" w:after="160" w:line="259" w:lineRule="auto"/>
        <w:ind w:left="0"/>
        <w:contextualSpacing/>
        <w:jc w:val="both"/>
        <w:rPr>
          <w:rFonts w:eastAsia="Times New Roman" w:cs="Times New Roman"/>
          <w:noProof/>
        </w:rPr>
      </w:pPr>
      <w:r>
        <w:rPr>
          <w:noProof/>
        </w:rPr>
        <w:t>Prima cerere de plată (sprijin nerambursabil):</w:t>
      </w:r>
    </w:p>
    <w:tbl>
      <w:tblPr>
        <w:tblW w:w="9941" w:type="dxa"/>
        <w:jc w:val="center"/>
        <w:tblLook w:val="04A0" w:firstRow="1" w:lastRow="0" w:firstColumn="1" w:lastColumn="0" w:noHBand="0" w:noVBand="1"/>
      </w:tblPr>
      <w:tblGrid>
        <w:gridCol w:w="817"/>
        <w:gridCol w:w="5270"/>
        <w:gridCol w:w="1376"/>
        <w:gridCol w:w="2985"/>
      </w:tblGrid>
      <w:tr w:rsidR="00C45D59" w14:paraId="129EB237" w14:textId="77777777">
        <w:trPr>
          <w:trHeight w:val="509"/>
          <w:tblHeader/>
          <w:jc w:val="center"/>
        </w:trPr>
        <w:tc>
          <w:tcPr>
            <w:tcW w:w="81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F785281" w14:textId="342D84A8" w:rsidR="00C45D59" w:rsidRDefault="00097639">
            <w:pPr>
              <w:pStyle w:val="P68B1DB1-Normal15"/>
              <w:keepNext/>
              <w:spacing w:before="40" w:after="0" w:line="259" w:lineRule="auto"/>
              <w:jc w:val="center"/>
              <w:rPr>
                <w:rFonts w:eastAsia="Times New Roman"/>
                <w:bCs/>
                <w:noProof/>
              </w:rPr>
            </w:pPr>
            <w:r>
              <w:rPr>
                <w:noProof/>
              </w:rPr>
              <w:t>Nr. crt.</w:t>
            </w:r>
          </w:p>
        </w:tc>
        <w:tc>
          <w:tcPr>
            <w:tcW w:w="527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601EB12" w14:textId="77777777" w:rsidR="00C45D59" w:rsidRDefault="009B0962">
            <w:pPr>
              <w:pStyle w:val="P68B1DB1-Normal10"/>
              <w:keepNext/>
              <w:spacing w:before="40" w:after="0" w:line="259" w:lineRule="auto"/>
              <w:jc w:val="center"/>
              <w:rPr>
                <w:rFonts w:eastAsia="Times New Roman" w:cs="Times New Roman"/>
                <w:bCs/>
                <w:noProof/>
                <w:szCs w:val="18"/>
              </w:rPr>
            </w:pPr>
            <w:r>
              <w:rPr>
                <w:noProof/>
              </w:rPr>
              <w:t>Măsură conexă (reformă sau investiții)</w:t>
            </w:r>
          </w:p>
        </w:tc>
        <w:tc>
          <w:tcPr>
            <w:tcW w:w="86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2A3BA9A" w14:textId="77777777" w:rsidR="00C45D59" w:rsidRDefault="009B0962">
            <w:pPr>
              <w:pStyle w:val="P68B1DB1-Normal10"/>
              <w:keepNext/>
              <w:spacing w:before="40" w:after="0" w:line="259" w:lineRule="auto"/>
              <w:jc w:val="center"/>
              <w:rPr>
                <w:rFonts w:eastAsia="Times New Roman" w:cs="Times New Roman"/>
                <w:bCs/>
                <w:noProof/>
                <w:szCs w:val="18"/>
              </w:rPr>
            </w:pPr>
            <w:r>
              <w:rPr>
                <w:noProof/>
              </w:rPr>
              <w:t>Etapă/Obiectiv</w:t>
            </w:r>
          </w:p>
        </w:tc>
        <w:tc>
          <w:tcPr>
            <w:tcW w:w="298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E3A6E1A" w14:textId="6BE55C64" w:rsidR="00C45D59" w:rsidRDefault="00E649D5">
            <w:pPr>
              <w:pStyle w:val="P68B1DB1-Normal10"/>
              <w:keepNext/>
              <w:spacing w:before="40" w:after="0" w:line="259" w:lineRule="auto"/>
              <w:jc w:val="center"/>
              <w:rPr>
                <w:rFonts w:eastAsia="Times New Roman" w:cs="Times New Roman"/>
                <w:bCs/>
                <w:noProof/>
                <w:szCs w:val="18"/>
              </w:rPr>
            </w:pPr>
            <w:r>
              <w:rPr>
                <w:noProof/>
              </w:rPr>
              <w:t>Denumire</w:t>
            </w:r>
          </w:p>
        </w:tc>
      </w:tr>
      <w:tr w:rsidR="00C45D59" w14:paraId="4FA8AE6C" w14:textId="77777777">
        <w:trPr>
          <w:trHeight w:val="509"/>
          <w:jc w:val="center"/>
        </w:trPr>
        <w:tc>
          <w:tcPr>
            <w:tcW w:w="817" w:type="dxa"/>
            <w:vMerge/>
            <w:tcBorders>
              <w:top w:val="single" w:sz="4" w:space="0" w:color="auto"/>
              <w:left w:val="single" w:sz="4" w:space="0" w:color="auto"/>
              <w:bottom w:val="single" w:sz="4" w:space="0" w:color="auto"/>
              <w:right w:val="single" w:sz="4" w:space="0" w:color="auto"/>
            </w:tcBorders>
            <w:vAlign w:val="center"/>
            <w:hideMark/>
          </w:tcPr>
          <w:p w14:paraId="6D27A87E" w14:textId="77777777" w:rsidR="00C45D59" w:rsidRDefault="00C45D59">
            <w:pPr>
              <w:keepNext/>
              <w:spacing w:before="40" w:after="0" w:line="259" w:lineRule="auto"/>
              <w:jc w:val="both"/>
              <w:rPr>
                <w:rFonts w:ascii="Times New Roman" w:eastAsia="Times New Roman" w:hAnsi="Times New Roman" w:cs="Times New Roman"/>
                <w:bCs/>
                <w:noProof/>
                <w:sz w:val="18"/>
                <w:szCs w:val="18"/>
              </w:rPr>
            </w:pPr>
          </w:p>
        </w:tc>
        <w:tc>
          <w:tcPr>
            <w:tcW w:w="5270" w:type="dxa"/>
            <w:vMerge/>
            <w:tcBorders>
              <w:top w:val="single" w:sz="4" w:space="0" w:color="auto"/>
              <w:left w:val="single" w:sz="4" w:space="0" w:color="auto"/>
              <w:bottom w:val="single" w:sz="4" w:space="0" w:color="auto"/>
              <w:right w:val="single" w:sz="4" w:space="0" w:color="auto"/>
            </w:tcBorders>
            <w:vAlign w:val="center"/>
            <w:hideMark/>
          </w:tcPr>
          <w:p w14:paraId="2577D2AD" w14:textId="77777777" w:rsidR="00C45D59" w:rsidRDefault="00C45D59">
            <w:pPr>
              <w:keepNext/>
              <w:spacing w:before="40" w:after="0" w:line="259" w:lineRule="auto"/>
              <w:jc w:val="both"/>
              <w:rPr>
                <w:rFonts w:ascii="Times New Roman" w:eastAsia="Times New Roman" w:hAnsi="Times New Roman" w:cs="Times New Roman"/>
                <w:bCs/>
                <w:noProof/>
                <w:sz w:val="18"/>
                <w:szCs w:val="18"/>
              </w:rPr>
            </w:pPr>
          </w:p>
        </w:tc>
        <w:tc>
          <w:tcPr>
            <w:tcW w:w="869" w:type="dxa"/>
            <w:vMerge/>
            <w:tcBorders>
              <w:top w:val="single" w:sz="4" w:space="0" w:color="auto"/>
              <w:left w:val="single" w:sz="4" w:space="0" w:color="auto"/>
              <w:bottom w:val="single" w:sz="4" w:space="0" w:color="auto"/>
              <w:right w:val="single" w:sz="4" w:space="0" w:color="auto"/>
            </w:tcBorders>
            <w:vAlign w:val="center"/>
            <w:hideMark/>
          </w:tcPr>
          <w:p w14:paraId="00D9F5B7" w14:textId="77777777" w:rsidR="00C45D59" w:rsidRDefault="00C45D59">
            <w:pPr>
              <w:keepNext/>
              <w:spacing w:before="40" w:after="0" w:line="259" w:lineRule="auto"/>
              <w:jc w:val="both"/>
              <w:rPr>
                <w:rFonts w:ascii="Times New Roman" w:eastAsia="Times New Roman" w:hAnsi="Times New Roman" w:cs="Times New Roman"/>
                <w:bCs/>
                <w:noProof/>
                <w:sz w:val="18"/>
                <w:szCs w:val="18"/>
              </w:rPr>
            </w:pPr>
          </w:p>
        </w:tc>
        <w:tc>
          <w:tcPr>
            <w:tcW w:w="2985" w:type="dxa"/>
            <w:vMerge/>
            <w:tcBorders>
              <w:top w:val="single" w:sz="4" w:space="0" w:color="auto"/>
              <w:left w:val="single" w:sz="4" w:space="0" w:color="auto"/>
              <w:bottom w:val="single" w:sz="4" w:space="0" w:color="auto"/>
              <w:right w:val="single" w:sz="4" w:space="0" w:color="auto"/>
            </w:tcBorders>
            <w:vAlign w:val="center"/>
            <w:hideMark/>
          </w:tcPr>
          <w:p w14:paraId="44B4302B" w14:textId="77777777" w:rsidR="00C45D59" w:rsidRDefault="00C45D59">
            <w:pPr>
              <w:keepNext/>
              <w:spacing w:before="40" w:after="0" w:line="259" w:lineRule="auto"/>
              <w:jc w:val="both"/>
              <w:rPr>
                <w:rFonts w:ascii="Times New Roman" w:eastAsia="Times New Roman" w:hAnsi="Times New Roman" w:cs="Times New Roman"/>
                <w:bCs/>
                <w:noProof/>
                <w:sz w:val="18"/>
                <w:szCs w:val="18"/>
              </w:rPr>
            </w:pPr>
          </w:p>
        </w:tc>
      </w:tr>
      <w:tr w:rsidR="00C45D59" w14:paraId="270F6722"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000000" w:fill="C6EFCE"/>
            <w:noWrap/>
            <w:vAlign w:val="center"/>
          </w:tcPr>
          <w:p w14:paraId="15385182" w14:textId="77777777" w:rsidR="00C45D59" w:rsidRDefault="009B0962">
            <w:pPr>
              <w:pStyle w:val="P68B1DB1-Normal55"/>
              <w:keepNext/>
              <w:spacing w:before="40" w:after="0" w:line="240" w:lineRule="auto"/>
              <w:jc w:val="both"/>
              <w:rPr>
                <w:rFonts w:eastAsia="Times New Roman" w:cs="Times New Roman"/>
                <w:noProof/>
                <w:szCs w:val="18"/>
              </w:rPr>
            </w:pPr>
            <w:r>
              <w:rPr>
                <w:noProof/>
              </w:rPr>
              <w:t>20</w:t>
            </w:r>
          </w:p>
        </w:tc>
        <w:tc>
          <w:tcPr>
            <w:tcW w:w="5270" w:type="dxa"/>
            <w:tcBorders>
              <w:top w:val="single" w:sz="4" w:space="0" w:color="auto"/>
              <w:left w:val="nil"/>
              <w:bottom w:val="single" w:sz="4" w:space="0" w:color="auto"/>
              <w:right w:val="single" w:sz="4" w:space="0" w:color="auto"/>
            </w:tcBorders>
            <w:shd w:val="clear" w:color="000000" w:fill="C6EFCE"/>
            <w:noWrap/>
            <w:vAlign w:val="center"/>
          </w:tcPr>
          <w:p w14:paraId="2C9BADC3" w14:textId="77777777" w:rsidR="00C45D59" w:rsidRDefault="009B0962">
            <w:pPr>
              <w:pStyle w:val="P68B1DB1-Normal55"/>
              <w:keepNext/>
              <w:spacing w:before="40" w:after="0" w:line="240" w:lineRule="auto"/>
              <w:rPr>
                <w:rFonts w:eastAsia="Times New Roman" w:cs="Times New Roman"/>
                <w:bCs/>
                <w:noProof/>
                <w:szCs w:val="18"/>
              </w:rPr>
            </w:pPr>
            <w:r>
              <w:rPr>
                <w:noProof/>
              </w:rPr>
              <w:t>2-1.2. Renovare – 16872_Renovarea energetică a clădirilor rezidențiale</w:t>
            </w:r>
          </w:p>
        </w:tc>
        <w:tc>
          <w:tcPr>
            <w:tcW w:w="869" w:type="dxa"/>
            <w:tcBorders>
              <w:top w:val="single" w:sz="4" w:space="0" w:color="auto"/>
              <w:left w:val="nil"/>
              <w:bottom w:val="single" w:sz="4" w:space="0" w:color="auto"/>
              <w:right w:val="single" w:sz="4" w:space="0" w:color="auto"/>
            </w:tcBorders>
            <w:shd w:val="clear" w:color="000000" w:fill="C6EFCE"/>
            <w:noWrap/>
            <w:vAlign w:val="center"/>
          </w:tcPr>
          <w:p w14:paraId="6B65DAE5" w14:textId="77777777" w:rsidR="00C45D59" w:rsidRDefault="009B0962">
            <w:pPr>
              <w:pStyle w:val="P68B1DB1-Normal55"/>
              <w:keepNext/>
              <w:spacing w:before="40" w:after="0" w:line="240" w:lineRule="auto"/>
              <w:rPr>
                <w:rFonts w:eastAsia="Times New Roman" w:cs="Times New Roman"/>
                <w:bCs/>
                <w:noProof/>
                <w:szCs w:val="18"/>
              </w:rPr>
            </w:pPr>
            <w:r>
              <w:rPr>
                <w:noProof/>
              </w:rPr>
              <w:t>Etapă</w:t>
            </w:r>
          </w:p>
        </w:tc>
        <w:tc>
          <w:tcPr>
            <w:tcW w:w="2985" w:type="dxa"/>
            <w:tcBorders>
              <w:top w:val="single" w:sz="4" w:space="0" w:color="auto"/>
              <w:left w:val="nil"/>
              <w:bottom w:val="single" w:sz="4" w:space="0" w:color="auto"/>
              <w:right w:val="single" w:sz="4" w:space="0" w:color="auto"/>
            </w:tcBorders>
            <w:shd w:val="clear" w:color="000000" w:fill="C6EFCE"/>
            <w:noWrap/>
            <w:vAlign w:val="center"/>
          </w:tcPr>
          <w:p w14:paraId="3D8B60DA" w14:textId="77777777" w:rsidR="00C45D59" w:rsidRDefault="009B0962">
            <w:pPr>
              <w:pStyle w:val="P68B1DB1-Normal55"/>
              <w:keepNext/>
              <w:spacing w:before="40" w:after="0" w:line="240" w:lineRule="auto"/>
              <w:rPr>
                <w:rFonts w:eastAsia="Times New Roman" w:cs="Times New Roman"/>
                <w:bCs/>
                <w:noProof/>
                <w:szCs w:val="18"/>
              </w:rPr>
            </w:pPr>
            <w:r>
              <w:rPr>
                <w:noProof/>
              </w:rPr>
              <w:t>Renovarea locuințelor – lansarea celei de a 1-a runde</w:t>
            </w:r>
          </w:p>
        </w:tc>
      </w:tr>
      <w:tr w:rsidR="00C45D59" w14:paraId="351C6BB8" w14:textId="77777777">
        <w:trPr>
          <w:trHeight w:val="302"/>
          <w:jc w:val="center"/>
        </w:trPr>
        <w:tc>
          <w:tcPr>
            <w:tcW w:w="817" w:type="dxa"/>
            <w:tcBorders>
              <w:top w:val="nil"/>
              <w:left w:val="single" w:sz="4" w:space="0" w:color="auto"/>
              <w:bottom w:val="single" w:sz="4" w:space="0" w:color="auto"/>
              <w:right w:val="single" w:sz="4" w:space="0" w:color="auto"/>
            </w:tcBorders>
            <w:shd w:val="clear" w:color="000000" w:fill="C6EFCE"/>
            <w:noWrap/>
            <w:vAlign w:val="center"/>
            <w:hideMark/>
          </w:tcPr>
          <w:p w14:paraId="14F45853" w14:textId="77777777" w:rsidR="00C45D59" w:rsidRDefault="009B0962">
            <w:pPr>
              <w:pStyle w:val="P68B1DB1-Normal55"/>
              <w:keepNext/>
              <w:spacing w:before="40" w:after="0" w:line="240" w:lineRule="auto"/>
              <w:jc w:val="both"/>
              <w:rPr>
                <w:rFonts w:eastAsia="Times New Roman" w:cs="Times New Roman"/>
                <w:noProof/>
                <w:szCs w:val="18"/>
              </w:rPr>
            </w:pPr>
            <w:r>
              <w:rPr>
                <w:noProof/>
              </w:rPr>
              <w:t>32</w:t>
            </w:r>
          </w:p>
        </w:tc>
        <w:tc>
          <w:tcPr>
            <w:tcW w:w="5270" w:type="dxa"/>
            <w:tcBorders>
              <w:top w:val="nil"/>
              <w:left w:val="nil"/>
              <w:bottom w:val="single" w:sz="4" w:space="0" w:color="auto"/>
              <w:right w:val="single" w:sz="4" w:space="0" w:color="auto"/>
            </w:tcBorders>
            <w:shd w:val="clear" w:color="000000" w:fill="C6EFCE"/>
            <w:noWrap/>
            <w:vAlign w:val="center"/>
          </w:tcPr>
          <w:p w14:paraId="7CED1AE0" w14:textId="77777777" w:rsidR="00C45D59" w:rsidRDefault="009B0962">
            <w:pPr>
              <w:pStyle w:val="P68B1DB1-Normal55"/>
              <w:keepNext/>
              <w:spacing w:before="40" w:after="0" w:line="240" w:lineRule="auto"/>
              <w:rPr>
                <w:rFonts w:eastAsia="Times New Roman" w:cs="Times New Roman"/>
                <w:bCs/>
                <w:noProof/>
                <w:szCs w:val="18"/>
              </w:rPr>
            </w:pPr>
            <w:r>
              <w:rPr>
                <w:noProof/>
              </w:rPr>
              <w:t>2-1.2. Renovare – 16920_Planul de acțiune privind sărăcia energetică</w:t>
            </w:r>
          </w:p>
        </w:tc>
        <w:tc>
          <w:tcPr>
            <w:tcW w:w="869" w:type="dxa"/>
            <w:tcBorders>
              <w:top w:val="nil"/>
              <w:left w:val="nil"/>
              <w:bottom w:val="single" w:sz="4" w:space="0" w:color="auto"/>
              <w:right w:val="single" w:sz="4" w:space="0" w:color="auto"/>
            </w:tcBorders>
            <w:shd w:val="clear" w:color="000000" w:fill="C6EFCE"/>
            <w:noWrap/>
            <w:vAlign w:val="center"/>
          </w:tcPr>
          <w:p w14:paraId="2F2D0274" w14:textId="77777777" w:rsidR="00C45D59" w:rsidRDefault="009B0962">
            <w:pPr>
              <w:pStyle w:val="P68B1DB1-Normal55"/>
              <w:keepNext/>
              <w:spacing w:before="40" w:after="0" w:line="240" w:lineRule="auto"/>
              <w:rPr>
                <w:rFonts w:eastAsia="Times New Roman" w:cs="Times New Roman"/>
                <w:bCs/>
                <w:noProof/>
                <w:szCs w:val="18"/>
              </w:rPr>
            </w:pPr>
            <w:r>
              <w:rPr>
                <w:noProof/>
              </w:rPr>
              <w:t>Etapă</w:t>
            </w:r>
          </w:p>
        </w:tc>
        <w:tc>
          <w:tcPr>
            <w:tcW w:w="2985" w:type="dxa"/>
            <w:tcBorders>
              <w:top w:val="nil"/>
              <w:left w:val="nil"/>
              <w:bottom w:val="single" w:sz="4" w:space="0" w:color="auto"/>
              <w:right w:val="single" w:sz="4" w:space="0" w:color="auto"/>
            </w:tcBorders>
            <w:shd w:val="clear" w:color="000000" w:fill="C6EFCE"/>
            <w:noWrap/>
            <w:vAlign w:val="center"/>
          </w:tcPr>
          <w:p w14:paraId="6CC3F860" w14:textId="77777777" w:rsidR="00C45D59" w:rsidRDefault="009B0962">
            <w:pPr>
              <w:pStyle w:val="P68B1DB1-Normal55"/>
              <w:keepNext/>
              <w:spacing w:before="40" w:after="0" w:line="240" w:lineRule="auto"/>
              <w:rPr>
                <w:rFonts w:eastAsia="Times New Roman" w:cs="Times New Roman"/>
                <w:bCs/>
                <w:noProof/>
                <w:szCs w:val="18"/>
              </w:rPr>
            </w:pPr>
            <w:r>
              <w:rPr>
                <w:noProof/>
              </w:rPr>
              <w:t>Sărăcia energetică – adoptarea unui plan de acțiune</w:t>
            </w:r>
          </w:p>
        </w:tc>
      </w:tr>
      <w:tr w:rsidR="00C45D59" w14:paraId="4215914F" w14:textId="77777777">
        <w:trPr>
          <w:trHeight w:val="302"/>
          <w:jc w:val="center"/>
        </w:trPr>
        <w:tc>
          <w:tcPr>
            <w:tcW w:w="817" w:type="dxa"/>
            <w:tcBorders>
              <w:top w:val="nil"/>
              <w:left w:val="single" w:sz="4" w:space="0" w:color="auto"/>
              <w:bottom w:val="single" w:sz="4" w:space="0" w:color="auto"/>
              <w:right w:val="single" w:sz="4" w:space="0" w:color="auto"/>
            </w:tcBorders>
            <w:shd w:val="clear" w:color="000000" w:fill="C6EFCE"/>
            <w:noWrap/>
            <w:vAlign w:val="center"/>
            <w:hideMark/>
          </w:tcPr>
          <w:p w14:paraId="1E5D3A9A" w14:textId="77777777" w:rsidR="00C45D59" w:rsidRDefault="009B0962">
            <w:pPr>
              <w:pStyle w:val="P68B1DB1-Normal55"/>
              <w:keepNext/>
              <w:spacing w:before="40" w:after="0" w:line="240" w:lineRule="auto"/>
              <w:jc w:val="both"/>
              <w:rPr>
                <w:rFonts w:eastAsia="Times New Roman" w:cs="Times New Roman"/>
                <w:noProof/>
                <w:szCs w:val="18"/>
              </w:rPr>
            </w:pPr>
            <w:r>
              <w:rPr>
                <w:noProof/>
              </w:rPr>
              <w:t>42</w:t>
            </w:r>
          </w:p>
        </w:tc>
        <w:tc>
          <w:tcPr>
            <w:tcW w:w="5270" w:type="dxa"/>
            <w:tcBorders>
              <w:top w:val="nil"/>
              <w:left w:val="nil"/>
              <w:bottom w:val="single" w:sz="4" w:space="0" w:color="auto"/>
              <w:right w:val="single" w:sz="4" w:space="0" w:color="auto"/>
            </w:tcBorders>
            <w:shd w:val="clear" w:color="000000" w:fill="C6EFCE"/>
            <w:noWrap/>
            <w:vAlign w:val="center"/>
          </w:tcPr>
          <w:p w14:paraId="799DE7BB" w14:textId="77777777" w:rsidR="00C45D59" w:rsidRDefault="009B0962">
            <w:pPr>
              <w:pStyle w:val="P68B1DB1-Normal55"/>
              <w:keepNext/>
              <w:spacing w:before="40" w:after="0" w:line="240" w:lineRule="auto"/>
              <w:rPr>
                <w:rFonts w:eastAsia="Times New Roman" w:cs="Times New Roman"/>
                <w:bCs/>
                <w:noProof/>
                <w:szCs w:val="18"/>
              </w:rPr>
            </w:pPr>
            <w:r>
              <w:rPr>
                <w:noProof/>
              </w:rPr>
              <w:t>3-1.3. Reîncărcarea și realimentarea – 16281_Cadru pentru instalarea și exploatarea infrastructurii de încărcare a vehiculelor electrice</w:t>
            </w:r>
          </w:p>
        </w:tc>
        <w:tc>
          <w:tcPr>
            <w:tcW w:w="869" w:type="dxa"/>
            <w:tcBorders>
              <w:top w:val="nil"/>
              <w:left w:val="nil"/>
              <w:bottom w:val="single" w:sz="4" w:space="0" w:color="auto"/>
              <w:right w:val="single" w:sz="4" w:space="0" w:color="auto"/>
            </w:tcBorders>
            <w:shd w:val="clear" w:color="000000" w:fill="C6EFCE"/>
            <w:noWrap/>
            <w:vAlign w:val="center"/>
          </w:tcPr>
          <w:p w14:paraId="39CFDD35" w14:textId="77777777" w:rsidR="00C45D59" w:rsidRDefault="009B0962">
            <w:pPr>
              <w:pStyle w:val="P68B1DB1-Normal55"/>
              <w:keepNext/>
              <w:spacing w:before="40" w:after="0" w:line="240" w:lineRule="auto"/>
              <w:rPr>
                <w:rFonts w:eastAsia="Times New Roman" w:cs="Times New Roman"/>
                <w:bCs/>
                <w:noProof/>
                <w:szCs w:val="18"/>
              </w:rPr>
            </w:pPr>
            <w:r>
              <w:rPr>
                <w:noProof/>
              </w:rPr>
              <w:t>Etapă</w:t>
            </w:r>
          </w:p>
        </w:tc>
        <w:tc>
          <w:tcPr>
            <w:tcW w:w="2985" w:type="dxa"/>
            <w:tcBorders>
              <w:top w:val="nil"/>
              <w:left w:val="nil"/>
              <w:bottom w:val="single" w:sz="4" w:space="0" w:color="auto"/>
              <w:right w:val="single" w:sz="4" w:space="0" w:color="auto"/>
            </w:tcBorders>
            <w:shd w:val="clear" w:color="000000" w:fill="C6EFCE"/>
            <w:noWrap/>
            <w:vAlign w:val="center"/>
          </w:tcPr>
          <w:p w14:paraId="7665FFDC" w14:textId="77777777" w:rsidR="00C45D59" w:rsidRDefault="009B0962">
            <w:pPr>
              <w:pStyle w:val="P68B1DB1-Normal55"/>
              <w:keepNext/>
              <w:spacing w:before="40" w:after="0" w:line="240" w:lineRule="auto"/>
              <w:rPr>
                <w:rFonts w:eastAsia="Times New Roman" w:cs="Times New Roman"/>
                <w:bCs/>
                <w:noProof/>
                <w:szCs w:val="18"/>
              </w:rPr>
            </w:pPr>
            <w:r>
              <w:rPr>
                <w:noProof/>
              </w:rPr>
              <w:t>Punctele de încărcare pentru vehiculele electrice – Intrarea în vigoare a cadrului juridic</w:t>
            </w:r>
          </w:p>
        </w:tc>
      </w:tr>
      <w:tr w:rsidR="00C45D59" w14:paraId="6CB3D4E2" w14:textId="77777777">
        <w:trPr>
          <w:trHeight w:val="302"/>
          <w:jc w:val="center"/>
        </w:trPr>
        <w:tc>
          <w:tcPr>
            <w:tcW w:w="817" w:type="dxa"/>
            <w:tcBorders>
              <w:top w:val="nil"/>
              <w:left w:val="single" w:sz="4" w:space="0" w:color="auto"/>
              <w:bottom w:val="single" w:sz="4" w:space="0" w:color="auto"/>
              <w:right w:val="single" w:sz="4" w:space="0" w:color="auto"/>
            </w:tcBorders>
            <w:shd w:val="clear" w:color="000000" w:fill="C6EFCE"/>
            <w:noWrap/>
            <w:vAlign w:val="center"/>
          </w:tcPr>
          <w:p w14:paraId="50745D3D" w14:textId="77777777" w:rsidR="00C45D59" w:rsidRDefault="009B0962">
            <w:pPr>
              <w:pStyle w:val="P68B1DB1-Normal55"/>
              <w:keepNext/>
              <w:spacing w:before="40" w:after="0" w:line="240" w:lineRule="auto"/>
              <w:jc w:val="both"/>
              <w:rPr>
                <w:rFonts w:eastAsia="Times New Roman" w:cs="Times New Roman"/>
                <w:noProof/>
                <w:szCs w:val="18"/>
              </w:rPr>
            </w:pPr>
            <w:r>
              <w:rPr>
                <w:noProof/>
              </w:rPr>
              <w:t>56</w:t>
            </w:r>
          </w:p>
        </w:tc>
        <w:tc>
          <w:tcPr>
            <w:tcW w:w="5270" w:type="dxa"/>
            <w:tcBorders>
              <w:top w:val="nil"/>
              <w:left w:val="nil"/>
              <w:bottom w:val="single" w:sz="4" w:space="0" w:color="auto"/>
              <w:right w:val="single" w:sz="4" w:space="0" w:color="auto"/>
            </w:tcBorders>
            <w:shd w:val="clear" w:color="000000" w:fill="C6EFCE"/>
            <w:noWrap/>
            <w:vAlign w:val="center"/>
          </w:tcPr>
          <w:p w14:paraId="1B29C953" w14:textId="77777777" w:rsidR="00C45D59" w:rsidRDefault="009B0962">
            <w:pPr>
              <w:pStyle w:val="P68B1DB1-Normal55"/>
              <w:keepNext/>
              <w:spacing w:before="40" w:after="0" w:line="240" w:lineRule="auto"/>
              <w:rPr>
                <w:rFonts w:eastAsia="Times New Roman" w:cs="Times New Roman"/>
                <w:bCs/>
                <w:noProof/>
                <w:szCs w:val="18"/>
              </w:rPr>
            </w:pPr>
            <w:r>
              <w:rPr>
                <w:noProof/>
              </w:rPr>
              <w:t>4-1.4. Utilizarea durabilă a resurselor, reziliența la schimbările climatice și protecția mediului – 16772_Legea privind gestionarea deșeurilor pentru punerea în aplicare a depozitării și reciclării durabile a deșeurilor</w:t>
            </w:r>
          </w:p>
        </w:tc>
        <w:tc>
          <w:tcPr>
            <w:tcW w:w="869" w:type="dxa"/>
            <w:tcBorders>
              <w:top w:val="nil"/>
              <w:left w:val="nil"/>
              <w:bottom w:val="single" w:sz="4" w:space="0" w:color="auto"/>
              <w:right w:val="single" w:sz="4" w:space="0" w:color="auto"/>
            </w:tcBorders>
            <w:shd w:val="clear" w:color="000000" w:fill="C6EFCE"/>
            <w:noWrap/>
            <w:vAlign w:val="center"/>
          </w:tcPr>
          <w:p w14:paraId="2D1D38AA" w14:textId="77777777" w:rsidR="00C45D59" w:rsidRDefault="009B0962">
            <w:pPr>
              <w:pStyle w:val="P68B1DB1-Normal55"/>
              <w:keepNext/>
              <w:spacing w:before="40" w:after="0" w:line="240" w:lineRule="auto"/>
              <w:rPr>
                <w:rFonts w:eastAsia="Times New Roman" w:cs="Times New Roman"/>
                <w:bCs/>
                <w:noProof/>
                <w:szCs w:val="18"/>
              </w:rPr>
            </w:pPr>
            <w:r>
              <w:rPr>
                <w:noProof/>
              </w:rPr>
              <w:t>Etapă</w:t>
            </w:r>
          </w:p>
        </w:tc>
        <w:tc>
          <w:tcPr>
            <w:tcW w:w="2985" w:type="dxa"/>
            <w:tcBorders>
              <w:top w:val="nil"/>
              <w:left w:val="nil"/>
              <w:bottom w:val="single" w:sz="4" w:space="0" w:color="auto"/>
              <w:right w:val="single" w:sz="4" w:space="0" w:color="auto"/>
            </w:tcBorders>
            <w:shd w:val="clear" w:color="000000" w:fill="C6EFCE"/>
            <w:noWrap/>
            <w:vAlign w:val="center"/>
          </w:tcPr>
          <w:p w14:paraId="55139E7C" w14:textId="77777777" w:rsidR="00C45D59" w:rsidRDefault="009B0962">
            <w:pPr>
              <w:pStyle w:val="P68B1DB1-Normal55"/>
              <w:keepNext/>
              <w:spacing w:before="40" w:after="0" w:line="240" w:lineRule="auto"/>
              <w:rPr>
                <w:rFonts w:eastAsia="Times New Roman" w:cs="Times New Roman"/>
                <w:bCs/>
                <w:noProof/>
                <w:szCs w:val="18"/>
              </w:rPr>
            </w:pPr>
            <w:r>
              <w:rPr>
                <w:noProof/>
              </w:rPr>
              <w:t>Intrarea în vigoare a legislației privind gestionarea deșeurilor</w:t>
            </w:r>
          </w:p>
        </w:tc>
      </w:tr>
      <w:tr w:rsidR="00C45D59" w14:paraId="6C115F8F" w14:textId="77777777">
        <w:trPr>
          <w:trHeight w:val="302"/>
          <w:jc w:val="center"/>
        </w:trPr>
        <w:tc>
          <w:tcPr>
            <w:tcW w:w="817" w:type="dxa"/>
            <w:tcBorders>
              <w:top w:val="nil"/>
              <w:left w:val="single" w:sz="4" w:space="0" w:color="auto"/>
              <w:bottom w:val="single" w:sz="4" w:space="0" w:color="auto"/>
              <w:right w:val="single" w:sz="4" w:space="0" w:color="auto"/>
            </w:tcBorders>
            <w:shd w:val="clear" w:color="000000" w:fill="C6EFCE"/>
            <w:noWrap/>
            <w:vAlign w:val="center"/>
          </w:tcPr>
          <w:p w14:paraId="49FADA23" w14:textId="77777777" w:rsidR="00C45D59" w:rsidRDefault="009B0962">
            <w:pPr>
              <w:pStyle w:val="P68B1DB1-Normal55"/>
              <w:keepNext/>
              <w:spacing w:before="40" w:after="0" w:line="240" w:lineRule="auto"/>
              <w:jc w:val="both"/>
              <w:rPr>
                <w:rFonts w:eastAsia="Times New Roman" w:cs="Times New Roman"/>
                <w:noProof/>
                <w:szCs w:val="18"/>
              </w:rPr>
            </w:pPr>
            <w:r>
              <w:rPr>
                <w:noProof/>
              </w:rPr>
              <w:t>77</w:t>
            </w:r>
          </w:p>
        </w:tc>
        <w:tc>
          <w:tcPr>
            <w:tcW w:w="5270" w:type="dxa"/>
            <w:tcBorders>
              <w:top w:val="nil"/>
              <w:left w:val="nil"/>
              <w:bottom w:val="single" w:sz="4" w:space="0" w:color="auto"/>
              <w:right w:val="single" w:sz="4" w:space="0" w:color="auto"/>
            </w:tcBorders>
            <w:shd w:val="clear" w:color="000000" w:fill="C6EFCE"/>
            <w:noWrap/>
            <w:vAlign w:val="center"/>
          </w:tcPr>
          <w:p w14:paraId="378F4A41" w14:textId="77777777" w:rsidR="00C45D59" w:rsidRDefault="009B0962">
            <w:pPr>
              <w:pStyle w:val="P68B1DB1-Normal55"/>
              <w:keepNext/>
              <w:spacing w:before="40" w:after="0" w:line="240" w:lineRule="auto"/>
              <w:rPr>
                <w:rFonts w:eastAsia="Times New Roman" w:cs="Times New Roman"/>
                <w:bCs/>
                <w:noProof/>
                <w:szCs w:val="18"/>
              </w:rPr>
            </w:pPr>
            <w:r>
              <w:rPr>
                <w:noProof/>
              </w:rPr>
              <w:t>4-1.4. Utilizarea durabilă a resurselor, reziliența la schimbările climatice și protecția mediului – 16283_Punerea în aplicare a centrelor regionale de protecție civilă (PEKEPP) prin intermediul programelor PPP</w:t>
            </w:r>
          </w:p>
        </w:tc>
        <w:tc>
          <w:tcPr>
            <w:tcW w:w="869" w:type="dxa"/>
            <w:tcBorders>
              <w:top w:val="nil"/>
              <w:left w:val="nil"/>
              <w:bottom w:val="single" w:sz="4" w:space="0" w:color="auto"/>
              <w:right w:val="single" w:sz="4" w:space="0" w:color="auto"/>
            </w:tcBorders>
            <w:shd w:val="clear" w:color="000000" w:fill="C6EFCE"/>
            <w:noWrap/>
            <w:vAlign w:val="center"/>
          </w:tcPr>
          <w:p w14:paraId="0F207BC7" w14:textId="77777777" w:rsidR="00C45D59" w:rsidRDefault="009B0962">
            <w:pPr>
              <w:pStyle w:val="P68B1DB1-Normal55"/>
              <w:keepNext/>
              <w:spacing w:before="40" w:after="0" w:line="240" w:lineRule="auto"/>
              <w:rPr>
                <w:rFonts w:eastAsia="Times New Roman" w:cs="Times New Roman"/>
                <w:bCs/>
                <w:noProof/>
                <w:szCs w:val="18"/>
              </w:rPr>
            </w:pPr>
            <w:r>
              <w:rPr>
                <w:noProof/>
              </w:rPr>
              <w:t>Etapă</w:t>
            </w:r>
          </w:p>
        </w:tc>
        <w:tc>
          <w:tcPr>
            <w:tcW w:w="2985" w:type="dxa"/>
            <w:tcBorders>
              <w:top w:val="nil"/>
              <w:left w:val="nil"/>
              <w:bottom w:val="single" w:sz="4" w:space="0" w:color="auto"/>
              <w:right w:val="single" w:sz="4" w:space="0" w:color="auto"/>
            </w:tcBorders>
            <w:shd w:val="clear" w:color="000000" w:fill="C6EFCE"/>
            <w:noWrap/>
            <w:vAlign w:val="center"/>
          </w:tcPr>
          <w:p w14:paraId="6C3944CD" w14:textId="77777777" w:rsidR="00C45D59" w:rsidRDefault="009B0962">
            <w:pPr>
              <w:pStyle w:val="P68B1DB1-Normal55"/>
              <w:keepNext/>
              <w:spacing w:before="40" w:after="0" w:line="240" w:lineRule="auto"/>
              <w:rPr>
                <w:rFonts w:eastAsia="Times New Roman" w:cs="Times New Roman"/>
                <w:bCs/>
                <w:noProof/>
                <w:szCs w:val="18"/>
              </w:rPr>
            </w:pPr>
            <w:r>
              <w:rPr>
                <w:noProof/>
              </w:rPr>
              <w:t>Licitație pentru 13 centre regionale</w:t>
            </w:r>
          </w:p>
        </w:tc>
      </w:tr>
      <w:tr w:rsidR="00C45D59" w14:paraId="738D9AC7" w14:textId="77777777">
        <w:trPr>
          <w:trHeight w:val="302"/>
          <w:jc w:val="center"/>
        </w:trPr>
        <w:tc>
          <w:tcPr>
            <w:tcW w:w="817" w:type="dxa"/>
            <w:tcBorders>
              <w:top w:val="nil"/>
              <w:left w:val="single" w:sz="4" w:space="0" w:color="auto"/>
              <w:bottom w:val="single" w:sz="4" w:space="0" w:color="auto"/>
              <w:right w:val="single" w:sz="4" w:space="0" w:color="auto"/>
            </w:tcBorders>
            <w:shd w:val="clear" w:color="000000" w:fill="C6EFCE"/>
            <w:noWrap/>
            <w:vAlign w:val="center"/>
          </w:tcPr>
          <w:p w14:paraId="718BF126" w14:textId="77777777" w:rsidR="00C45D59" w:rsidRDefault="009B0962">
            <w:pPr>
              <w:pStyle w:val="P68B1DB1-Normal55"/>
              <w:keepNext/>
              <w:spacing w:before="40" w:after="0" w:line="240" w:lineRule="auto"/>
              <w:jc w:val="both"/>
              <w:rPr>
                <w:rFonts w:eastAsia="Times New Roman" w:cs="Times New Roman"/>
                <w:noProof/>
                <w:szCs w:val="18"/>
              </w:rPr>
            </w:pPr>
            <w:r>
              <w:rPr>
                <w:noProof/>
              </w:rPr>
              <w:t>133</w:t>
            </w:r>
          </w:p>
        </w:tc>
        <w:tc>
          <w:tcPr>
            <w:tcW w:w="5270" w:type="dxa"/>
            <w:tcBorders>
              <w:top w:val="nil"/>
              <w:left w:val="nil"/>
              <w:bottom w:val="single" w:sz="4" w:space="0" w:color="auto"/>
              <w:right w:val="single" w:sz="4" w:space="0" w:color="auto"/>
            </w:tcBorders>
            <w:shd w:val="clear" w:color="000000" w:fill="C6EFCE"/>
            <w:noWrap/>
            <w:vAlign w:val="center"/>
          </w:tcPr>
          <w:p w14:paraId="20AF36EB" w14:textId="77777777" w:rsidR="00C45D59" w:rsidRDefault="009B0962">
            <w:pPr>
              <w:pStyle w:val="P68B1DB1-Normal55"/>
              <w:keepNext/>
              <w:spacing w:before="40" w:after="0" w:line="240" w:lineRule="auto"/>
              <w:rPr>
                <w:rFonts w:eastAsia="Times New Roman" w:cs="Times New Roman"/>
                <w:bCs/>
                <w:noProof/>
                <w:szCs w:val="18"/>
              </w:rPr>
            </w:pPr>
            <w:r>
              <w:rPr>
                <w:noProof/>
              </w:rPr>
              <w:t>8-3.1. Promovarea creării de locuri de muncă și a participării pe piața forței de muncă – 16744_Modernizarea și simplificarea dreptului muncii</w:t>
            </w:r>
          </w:p>
        </w:tc>
        <w:tc>
          <w:tcPr>
            <w:tcW w:w="869" w:type="dxa"/>
            <w:tcBorders>
              <w:top w:val="nil"/>
              <w:left w:val="nil"/>
              <w:bottom w:val="single" w:sz="4" w:space="0" w:color="auto"/>
              <w:right w:val="single" w:sz="4" w:space="0" w:color="auto"/>
            </w:tcBorders>
            <w:shd w:val="clear" w:color="000000" w:fill="C6EFCE"/>
            <w:noWrap/>
            <w:vAlign w:val="center"/>
          </w:tcPr>
          <w:p w14:paraId="7CDA8F70" w14:textId="77777777" w:rsidR="00C45D59" w:rsidRDefault="009B0962">
            <w:pPr>
              <w:pStyle w:val="P68B1DB1-Normal55"/>
              <w:keepNext/>
              <w:spacing w:before="40" w:after="0" w:line="240" w:lineRule="auto"/>
              <w:rPr>
                <w:rFonts w:eastAsia="Times New Roman" w:cs="Times New Roman"/>
                <w:bCs/>
                <w:noProof/>
                <w:szCs w:val="18"/>
              </w:rPr>
            </w:pPr>
            <w:r>
              <w:rPr>
                <w:noProof/>
              </w:rPr>
              <w:t>Etapă</w:t>
            </w:r>
          </w:p>
        </w:tc>
        <w:tc>
          <w:tcPr>
            <w:tcW w:w="2985" w:type="dxa"/>
            <w:tcBorders>
              <w:top w:val="nil"/>
              <w:left w:val="nil"/>
              <w:bottom w:val="single" w:sz="4" w:space="0" w:color="auto"/>
              <w:right w:val="single" w:sz="4" w:space="0" w:color="auto"/>
            </w:tcBorders>
            <w:shd w:val="clear" w:color="000000" w:fill="C6EFCE"/>
            <w:noWrap/>
            <w:vAlign w:val="center"/>
          </w:tcPr>
          <w:p w14:paraId="67BDB31F" w14:textId="77777777" w:rsidR="00C45D59" w:rsidRDefault="009B0962">
            <w:pPr>
              <w:pStyle w:val="P68B1DB1-Normal55"/>
              <w:keepNext/>
              <w:spacing w:before="40" w:after="0" w:line="240" w:lineRule="auto"/>
              <w:rPr>
                <w:rFonts w:eastAsia="Times New Roman" w:cs="Times New Roman"/>
                <w:bCs/>
                <w:noProof/>
                <w:szCs w:val="18"/>
              </w:rPr>
            </w:pPr>
            <w:r>
              <w:rPr>
                <w:noProof/>
              </w:rPr>
              <w:t>Intrarea în vigoare a legislației muncii</w:t>
            </w:r>
          </w:p>
        </w:tc>
      </w:tr>
      <w:tr w:rsidR="00C45D59" w14:paraId="1A66B57A" w14:textId="77777777">
        <w:trPr>
          <w:trHeight w:val="302"/>
          <w:jc w:val="center"/>
        </w:trPr>
        <w:tc>
          <w:tcPr>
            <w:tcW w:w="817" w:type="dxa"/>
            <w:tcBorders>
              <w:top w:val="nil"/>
              <w:left w:val="single" w:sz="4" w:space="0" w:color="auto"/>
              <w:bottom w:val="single" w:sz="4" w:space="0" w:color="auto"/>
              <w:right w:val="single" w:sz="4" w:space="0" w:color="auto"/>
            </w:tcBorders>
            <w:shd w:val="clear" w:color="000000" w:fill="C6EFCE"/>
            <w:noWrap/>
            <w:vAlign w:val="center"/>
          </w:tcPr>
          <w:p w14:paraId="1A77C16D" w14:textId="77777777" w:rsidR="00C45D59" w:rsidRDefault="009B0962">
            <w:pPr>
              <w:pStyle w:val="P68B1DB1-Normal55"/>
              <w:keepNext/>
              <w:spacing w:before="40" w:after="0" w:line="240" w:lineRule="auto"/>
              <w:jc w:val="both"/>
              <w:rPr>
                <w:rFonts w:eastAsia="Times New Roman" w:cs="Times New Roman"/>
                <w:noProof/>
                <w:szCs w:val="18"/>
              </w:rPr>
            </w:pPr>
            <w:r>
              <w:rPr>
                <w:noProof/>
              </w:rPr>
              <w:t>141</w:t>
            </w:r>
          </w:p>
        </w:tc>
        <w:tc>
          <w:tcPr>
            <w:tcW w:w="5270" w:type="dxa"/>
            <w:tcBorders>
              <w:top w:val="nil"/>
              <w:left w:val="nil"/>
              <w:bottom w:val="single" w:sz="4" w:space="0" w:color="auto"/>
              <w:right w:val="single" w:sz="4" w:space="0" w:color="auto"/>
            </w:tcBorders>
            <w:shd w:val="clear" w:color="000000" w:fill="C6EFCE"/>
            <w:noWrap/>
            <w:vAlign w:val="center"/>
          </w:tcPr>
          <w:p w14:paraId="7F443342" w14:textId="77777777" w:rsidR="00C45D59" w:rsidRDefault="009B0962">
            <w:pPr>
              <w:pStyle w:val="P68B1DB1-Normal55"/>
              <w:keepNext/>
              <w:spacing w:before="40" w:after="0" w:line="240" w:lineRule="auto"/>
              <w:rPr>
                <w:rFonts w:eastAsia="Times New Roman" w:cs="Times New Roman"/>
                <w:bCs/>
                <w:noProof/>
                <w:szCs w:val="18"/>
              </w:rPr>
            </w:pPr>
            <w:r>
              <w:rPr>
                <w:noProof/>
              </w:rPr>
              <w:t>8-3.1. Promovarea creării de locuri de muncă și a participării pe piața forței de muncă – 16941_Restructurarea și redefinirea DYPA local PES (KPA2)</w:t>
            </w:r>
          </w:p>
        </w:tc>
        <w:tc>
          <w:tcPr>
            <w:tcW w:w="869" w:type="dxa"/>
            <w:tcBorders>
              <w:top w:val="nil"/>
              <w:left w:val="nil"/>
              <w:bottom w:val="single" w:sz="4" w:space="0" w:color="auto"/>
              <w:right w:val="single" w:sz="4" w:space="0" w:color="auto"/>
            </w:tcBorders>
            <w:shd w:val="clear" w:color="000000" w:fill="C6EFCE"/>
            <w:noWrap/>
            <w:vAlign w:val="center"/>
          </w:tcPr>
          <w:p w14:paraId="766F61CF" w14:textId="77777777" w:rsidR="00C45D59" w:rsidRDefault="009B0962">
            <w:pPr>
              <w:pStyle w:val="P68B1DB1-Normal55"/>
              <w:keepNext/>
              <w:spacing w:before="40" w:after="0" w:line="240" w:lineRule="auto"/>
              <w:rPr>
                <w:rFonts w:eastAsia="Times New Roman" w:cs="Times New Roman"/>
                <w:bCs/>
                <w:noProof/>
                <w:szCs w:val="18"/>
              </w:rPr>
            </w:pPr>
            <w:r>
              <w:rPr>
                <w:noProof/>
              </w:rPr>
              <w:t>Etapă</w:t>
            </w:r>
          </w:p>
        </w:tc>
        <w:tc>
          <w:tcPr>
            <w:tcW w:w="2985" w:type="dxa"/>
            <w:tcBorders>
              <w:top w:val="nil"/>
              <w:left w:val="nil"/>
              <w:bottom w:val="single" w:sz="4" w:space="0" w:color="auto"/>
              <w:right w:val="single" w:sz="4" w:space="0" w:color="auto"/>
            </w:tcBorders>
            <w:shd w:val="clear" w:color="000000" w:fill="C6EFCE"/>
            <w:noWrap/>
            <w:vAlign w:val="center"/>
          </w:tcPr>
          <w:p w14:paraId="2A0845B3" w14:textId="77777777" w:rsidR="00C45D59" w:rsidRDefault="009B0962">
            <w:pPr>
              <w:pStyle w:val="P68B1DB1-Normal55"/>
              <w:keepNext/>
              <w:spacing w:before="40" w:after="0" w:line="240" w:lineRule="auto"/>
              <w:rPr>
                <w:rFonts w:eastAsia="Times New Roman" w:cs="Times New Roman"/>
                <w:bCs/>
                <w:noProof/>
                <w:szCs w:val="18"/>
              </w:rPr>
            </w:pPr>
            <w:r>
              <w:rPr>
                <w:noProof/>
              </w:rPr>
              <w:t xml:space="preserve">DYPA Reforma organizațională – intrarea în vigoare a legislației </w:t>
            </w:r>
          </w:p>
        </w:tc>
      </w:tr>
      <w:tr w:rsidR="00C45D59" w14:paraId="6E55E7E5" w14:textId="77777777">
        <w:trPr>
          <w:trHeight w:val="302"/>
          <w:jc w:val="center"/>
        </w:trPr>
        <w:tc>
          <w:tcPr>
            <w:tcW w:w="817" w:type="dxa"/>
            <w:tcBorders>
              <w:top w:val="nil"/>
              <w:left w:val="single" w:sz="4" w:space="0" w:color="auto"/>
              <w:bottom w:val="single" w:sz="4" w:space="0" w:color="auto"/>
              <w:right w:val="single" w:sz="4" w:space="0" w:color="auto"/>
            </w:tcBorders>
            <w:shd w:val="clear" w:color="000000" w:fill="C6EFCE"/>
            <w:noWrap/>
            <w:vAlign w:val="center"/>
          </w:tcPr>
          <w:p w14:paraId="714CCDCD" w14:textId="77777777" w:rsidR="00C45D59" w:rsidRDefault="009B0962">
            <w:pPr>
              <w:pStyle w:val="P68B1DB1-Normal55"/>
              <w:keepNext/>
              <w:spacing w:before="40" w:after="0" w:line="240" w:lineRule="auto"/>
              <w:jc w:val="both"/>
              <w:rPr>
                <w:rFonts w:eastAsia="Times New Roman" w:cs="Times New Roman"/>
                <w:noProof/>
                <w:szCs w:val="18"/>
              </w:rPr>
            </w:pPr>
            <w:r>
              <w:rPr>
                <w:noProof/>
              </w:rPr>
              <w:t>153</w:t>
            </w:r>
          </w:p>
        </w:tc>
        <w:tc>
          <w:tcPr>
            <w:tcW w:w="5270" w:type="dxa"/>
            <w:tcBorders>
              <w:top w:val="nil"/>
              <w:left w:val="nil"/>
              <w:bottom w:val="single" w:sz="4" w:space="0" w:color="auto"/>
              <w:right w:val="single" w:sz="4" w:space="0" w:color="auto"/>
            </w:tcBorders>
            <w:shd w:val="clear" w:color="000000" w:fill="C6EFCE"/>
            <w:noWrap/>
            <w:vAlign w:val="center"/>
          </w:tcPr>
          <w:p w14:paraId="2A80326D" w14:textId="77777777" w:rsidR="00C45D59" w:rsidRDefault="009B0962">
            <w:pPr>
              <w:pStyle w:val="P68B1DB1-Normal55"/>
              <w:keepNext/>
              <w:spacing w:before="40" w:after="0" w:line="240" w:lineRule="auto"/>
              <w:rPr>
                <w:rFonts w:eastAsia="Times New Roman" w:cs="Times New Roman"/>
                <w:bCs/>
                <w:noProof/>
                <w:szCs w:val="18"/>
              </w:rPr>
            </w:pPr>
            <w:r>
              <w:rPr>
                <w:noProof/>
              </w:rPr>
              <w:t>10-3.3. Îmbunătățirea rezilienței, a accesibilității și a sustenabilității asistenței medicale – 16816_Reducerea și raționalizarea cheltuielilor cu asistența medicală</w:t>
            </w:r>
          </w:p>
        </w:tc>
        <w:tc>
          <w:tcPr>
            <w:tcW w:w="869" w:type="dxa"/>
            <w:tcBorders>
              <w:top w:val="nil"/>
              <w:left w:val="nil"/>
              <w:bottom w:val="single" w:sz="4" w:space="0" w:color="auto"/>
              <w:right w:val="single" w:sz="4" w:space="0" w:color="auto"/>
            </w:tcBorders>
            <w:shd w:val="clear" w:color="000000" w:fill="C6EFCE"/>
            <w:noWrap/>
            <w:vAlign w:val="center"/>
          </w:tcPr>
          <w:p w14:paraId="131B4A4E" w14:textId="77777777" w:rsidR="00C45D59" w:rsidRDefault="009B0962">
            <w:pPr>
              <w:pStyle w:val="P68B1DB1-Normal55"/>
              <w:keepNext/>
              <w:spacing w:before="40" w:after="0" w:line="240" w:lineRule="auto"/>
              <w:rPr>
                <w:rFonts w:eastAsia="Times New Roman" w:cs="Times New Roman"/>
                <w:bCs/>
                <w:noProof/>
                <w:szCs w:val="18"/>
              </w:rPr>
            </w:pPr>
            <w:r>
              <w:rPr>
                <w:noProof/>
              </w:rPr>
              <w:t>Etapă</w:t>
            </w:r>
          </w:p>
        </w:tc>
        <w:tc>
          <w:tcPr>
            <w:tcW w:w="2985" w:type="dxa"/>
            <w:tcBorders>
              <w:top w:val="nil"/>
              <w:left w:val="nil"/>
              <w:bottom w:val="single" w:sz="4" w:space="0" w:color="auto"/>
              <w:right w:val="single" w:sz="4" w:space="0" w:color="auto"/>
            </w:tcBorders>
            <w:shd w:val="clear" w:color="000000" w:fill="C6EFCE"/>
            <w:noWrap/>
            <w:vAlign w:val="center"/>
          </w:tcPr>
          <w:p w14:paraId="18FE497C" w14:textId="77777777" w:rsidR="00C45D59" w:rsidRDefault="009B0962">
            <w:pPr>
              <w:pStyle w:val="P68B1DB1-Normal55"/>
              <w:keepNext/>
              <w:spacing w:before="40" w:after="0" w:line="240" w:lineRule="auto"/>
              <w:rPr>
                <w:rFonts w:eastAsia="Times New Roman" w:cs="Times New Roman"/>
                <w:bCs/>
                <w:noProof/>
                <w:szCs w:val="18"/>
              </w:rPr>
            </w:pPr>
            <w:r>
              <w:rPr>
                <w:noProof/>
              </w:rPr>
              <w:t>Recuperare – intrarea în vigoare a legislației</w:t>
            </w:r>
          </w:p>
        </w:tc>
      </w:tr>
      <w:tr w:rsidR="00C45D59" w14:paraId="3E48AB6C" w14:textId="77777777">
        <w:trPr>
          <w:trHeight w:val="302"/>
          <w:jc w:val="center"/>
        </w:trPr>
        <w:tc>
          <w:tcPr>
            <w:tcW w:w="817" w:type="dxa"/>
            <w:tcBorders>
              <w:top w:val="nil"/>
              <w:left w:val="single" w:sz="4" w:space="0" w:color="auto"/>
              <w:bottom w:val="single" w:sz="4" w:space="0" w:color="auto"/>
              <w:right w:val="single" w:sz="4" w:space="0" w:color="auto"/>
            </w:tcBorders>
            <w:shd w:val="clear" w:color="000000" w:fill="C6EFCE"/>
            <w:noWrap/>
            <w:vAlign w:val="center"/>
          </w:tcPr>
          <w:p w14:paraId="70AE31D4" w14:textId="77777777" w:rsidR="00C45D59" w:rsidRDefault="009B0962">
            <w:pPr>
              <w:pStyle w:val="P68B1DB1-Normal55"/>
              <w:keepNext/>
              <w:spacing w:before="40" w:after="0" w:line="240" w:lineRule="auto"/>
              <w:jc w:val="both"/>
              <w:rPr>
                <w:rFonts w:eastAsia="Times New Roman" w:cs="Times New Roman"/>
                <w:noProof/>
                <w:szCs w:val="18"/>
              </w:rPr>
            </w:pPr>
            <w:r>
              <w:rPr>
                <w:noProof/>
              </w:rPr>
              <w:t>199</w:t>
            </w:r>
          </w:p>
        </w:tc>
        <w:tc>
          <w:tcPr>
            <w:tcW w:w="5270" w:type="dxa"/>
            <w:tcBorders>
              <w:top w:val="nil"/>
              <w:left w:val="nil"/>
              <w:bottom w:val="single" w:sz="4" w:space="0" w:color="auto"/>
              <w:right w:val="single" w:sz="4" w:space="0" w:color="auto"/>
            </w:tcBorders>
            <w:shd w:val="clear" w:color="000000" w:fill="C6EFCE"/>
            <w:noWrap/>
            <w:vAlign w:val="center"/>
          </w:tcPr>
          <w:p w14:paraId="65BA72BF" w14:textId="77777777" w:rsidR="00C45D59" w:rsidRDefault="009B0962">
            <w:pPr>
              <w:pStyle w:val="P68B1DB1-Normal55"/>
              <w:keepNext/>
              <w:spacing w:before="40" w:after="0" w:line="240" w:lineRule="auto"/>
              <w:rPr>
                <w:rFonts w:eastAsia="Times New Roman" w:cs="Times New Roman"/>
                <w:bCs/>
                <w:noProof/>
                <w:szCs w:val="18"/>
              </w:rPr>
            </w:pPr>
            <w:r>
              <w:rPr>
                <w:noProof/>
              </w:rPr>
              <w:t>12-4.1. O fiscalitate mai favorabilă creșterii economice și o mai bună administrare fiscală și colectare a impozitelor – 16643_Codificarea și simplificarea legislației fiscale</w:t>
            </w:r>
          </w:p>
        </w:tc>
        <w:tc>
          <w:tcPr>
            <w:tcW w:w="869" w:type="dxa"/>
            <w:tcBorders>
              <w:top w:val="nil"/>
              <w:left w:val="nil"/>
              <w:bottom w:val="single" w:sz="4" w:space="0" w:color="auto"/>
              <w:right w:val="single" w:sz="4" w:space="0" w:color="auto"/>
            </w:tcBorders>
            <w:shd w:val="clear" w:color="000000" w:fill="C6EFCE"/>
            <w:noWrap/>
            <w:vAlign w:val="center"/>
          </w:tcPr>
          <w:p w14:paraId="3CD0F668" w14:textId="77777777" w:rsidR="00C45D59" w:rsidRDefault="009B0962">
            <w:pPr>
              <w:pStyle w:val="P68B1DB1-Normal55"/>
              <w:keepNext/>
              <w:spacing w:before="40" w:after="0" w:line="240" w:lineRule="auto"/>
              <w:rPr>
                <w:rFonts w:eastAsia="Times New Roman" w:cs="Times New Roman"/>
                <w:bCs/>
                <w:noProof/>
                <w:szCs w:val="18"/>
              </w:rPr>
            </w:pPr>
            <w:r>
              <w:rPr>
                <w:noProof/>
              </w:rPr>
              <w:t>Etapă</w:t>
            </w:r>
          </w:p>
        </w:tc>
        <w:tc>
          <w:tcPr>
            <w:tcW w:w="2985" w:type="dxa"/>
            <w:tcBorders>
              <w:top w:val="nil"/>
              <w:left w:val="nil"/>
              <w:bottom w:val="single" w:sz="4" w:space="0" w:color="auto"/>
              <w:right w:val="single" w:sz="4" w:space="0" w:color="auto"/>
            </w:tcBorders>
            <w:shd w:val="clear" w:color="000000" w:fill="C6EFCE"/>
            <w:noWrap/>
            <w:vAlign w:val="center"/>
          </w:tcPr>
          <w:p w14:paraId="3789D8A3" w14:textId="77777777" w:rsidR="00C45D59" w:rsidRDefault="009B0962">
            <w:pPr>
              <w:pStyle w:val="P68B1DB1-Normal55"/>
              <w:keepNext/>
              <w:spacing w:before="40" w:after="0" w:line="240" w:lineRule="auto"/>
              <w:rPr>
                <w:rFonts w:eastAsia="Times New Roman" w:cs="Times New Roman"/>
                <w:bCs/>
                <w:noProof/>
                <w:szCs w:val="18"/>
              </w:rPr>
            </w:pPr>
            <w:r>
              <w:rPr>
                <w:noProof/>
              </w:rPr>
              <w:t>Calendarul pentru codificarea fiscală</w:t>
            </w:r>
          </w:p>
        </w:tc>
      </w:tr>
      <w:tr w:rsidR="00C45D59" w14:paraId="43DEA37A" w14:textId="77777777">
        <w:trPr>
          <w:trHeight w:val="302"/>
          <w:jc w:val="center"/>
        </w:trPr>
        <w:tc>
          <w:tcPr>
            <w:tcW w:w="817" w:type="dxa"/>
            <w:tcBorders>
              <w:top w:val="nil"/>
              <w:left w:val="single" w:sz="4" w:space="0" w:color="auto"/>
              <w:bottom w:val="single" w:sz="4" w:space="0" w:color="auto"/>
              <w:right w:val="single" w:sz="4" w:space="0" w:color="auto"/>
            </w:tcBorders>
            <w:shd w:val="clear" w:color="000000" w:fill="C6EFCE"/>
            <w:noWrap/>
            <w:vAlign w:val="center"/>
          </w:tcPr>
          <w:p w14:paraId="04E52FA5" w14:textId="77777777" w:rsidR="00C45D59" w:rsidRDefault="009B0962">
            <w:pPr>
              <w:pStyle w:val="P68B1DB1-Normal55"/>
              <w:keepNext/>
              <w:spacing w:before="40" w:after="0" w:line="240" w:lineRule="auto"/>
              <w:jc w:val="both"/>
              <w:rPr>
                <w:rFonts w:eastAsia="Times New Roman" w:cs="Times New Roman"/>
                <w:noProof/>
                <w:szCs w:val="18"/>
              </w:rPr>
            </w:pPr>
            <w:r>
              <w:rPr>
                <w:noProof/>
              </w:rPr>
              <w:t>200</w:t>
            </w:r>
          </w:p>
        </w:tc>
        <w:tc>
          <w:tcPr>
            <w:tcW w:w="5270" w:type="dxa"/>
            <w:tcBorders>
              <w:top w:val="nil"/>
              <w:left w:val="nil"/>
              <w:bottom w:val="single" w:sz="4" w:space="0" w:color="auto"/>
              <w:right w:val="single" w:sz="4" w:space="0" w:color="auto"/>
            </w:tcBorders>
            <w:shd w:val="clear" w:color="000000" w:fill="C6EFCE"/>
            <w:noWrap/>
            <w:vAlign w:val="center"/>
          </w:tcPr>
          <w:p w14:paraId="67618583" w14:textId="77777777" w:rsidR="00C45D59" w:rsidRDefault="009B0962">
            <w:pPr>
              <w:pStyle w:val="P68B1DB1-Normal55"/>
              <w:keepNext/>
              <w:spacing w:before="40" w:after="0" w:line="240" w:lineRule="auto"/>
              <w:rPr>
                <w:rFonts w:eastAsia="Times New Roman" w:cs="Times New Roman"/>
                <w:bCs/>
                <w:noProof/>
                <w:szCs w:val="18"/>
              </w:rPr>
            </w:pPr>
            <w:r>
              <w:rPr>
                <w:noProof/>
              </w:rPr>
              <w:t>18-4.7. Îmbunătățirea competitivității și promovarea investițiilor private și a comerțului – 16598_Regimul de stimulare a productivității și a extinderii întreprinderilor (creșterea dimensiunii întreprinderilor)</w:t>
            </w:r>
          </w:p>
        </w:tc>
        <w:tc>
          <w:tcPr>
            <w:tcW w:w="869" w:type="dxa"/>
            <w:tcBorders>
              <w:top w:val="nil"/>
              <w:left w:val="nil"/>
              <w:bottom w:val="single" w:sz="4" w:space="0" w:color="auto"/>
              <w:right w:val="single" w:sz="4" w:space="0" w:color="auto"/>
            </w:tcBorders>
            <w:shd w:val="clear" w:color="000000" w:fill="C6EFCE"/>
            <w:noWrap/>
            <w:vAlign w:val="center"/>
          </w:tcPr>
          <w:p w14:paraId="234BD1C0" w14:textId="77777777" w:rsidR="00C45D59" w:rsidRDefault="009B0962">
            <w:pPr>
              <w:pStyle w:val="P68B1DB1-Normal55"/>
              <w:keepNext/>
              <w:spacing w:before="40" w:after="0" w:line="240" w:lineRule="auto"/>
              <w:rPr>
                <w:rFonts w:eastAsia="Times New Roman" w:cs="Times New Roman"/>
                <w:bCs/>
                <w:noProof/>
                <w:szCs w:val="18"/>
              </w:rPr>
            </w:pPr>
            <w:r>
              <w:rPr>
                <w:noProof/>
              </w:rPr>
              <w:t>Etapă</w:t>
            </w:r>
          </w:p>
        </w:tc>
        <w:tc>
          <w:tcPr>
            <w:tcW w:w="2985" w:type="dxa"/>
            <w:tcBorders>
              <w:top w:val="nil"/>
              <w:left w:val="nil"/>
              <w:bottom w:val="single" w:sz="4" w:space="0" w:color="auto"/>
              <w:right w:val="single" w:sz="4" w:space="0" w:color="auto"/>
            </w:tcBorders>
            <w:shd w:val="clear" w:color="000000" w:fill="C6EFCE"/>
            <w:noWrap/>
            <w:vAlign w:val="center"/>
          </w:tcPr>
          <w:p w14:paraId="2EBA8074" w14:textId="77777777" w:rsidR="00C45D59" w:rsidRDefault="009B0962">
            <w:pPr>
              <w:pStyle w:val="P68B1DB1-Normal55"/>
              <w:keepNext/>
              <w:spacing w:before="40" w:after="0" w:line="240" w:lineRule="auto"/>
              <w:rPr>
                <w:rFonts w:eastAsia="Times New Roman" w:cs="Times New Roman"/>
                <w:bCs/>
                <w:noProof/>
                <w:szCs w:val="18"/>
              </w:rPr>
            </w:pPr>
            <w:r>
              <w:rPr>
                <w:noProof/>
              </w:rPr>
              <w:t>Proiect de legislație pentru încurajarea extroversiunii mediului de afaceri</w:t>
            </w:r>
          </w:p>
        </w:tc>
      </w:tr>
      <w:tr w:rsidR="00C45D59" w14:paraId="4996D9F8" w14:textId="77777777">
        <w:trPr>
          <w:trHeight w:val="302"/>
          <w:jc w:val="center"/>
        </w:trPr>
        <w:tc>
          <w:tcPr>
            <w:tcW w:w="817" w:type="dxa"/>
            <w:tcBorders>
              <w:top w:val="nil"/>
              <w:left w:val="single" w:sz="4" w:space="0" w:color="auto"/>
              <w:bottom w:val="single" w:sz="4" w:space="0" w:color="auto"/>
              <w:right w:val="single" w:sz="4" w:space="0" w:color="auto"/>
            </w:tcBorders>
            <w:shd w:val="clear" w:color="000000" w:fill="C6EFCE"/>
            <w:noWrap/>
            <w:vAlign w:val="center"/>
          </w:tcPr>
          <w:p w14:paraId="4F326825" w14:textId="77777777" w:rsidR="00C45D59" w:rsidRDefault="009B0962">
            <w:pPr>
              <w:pStyle w:val="P68B1DB1-Normal55"/>
              <w:keepNext/>
              <w:spacing w:before="40" w:after="0" w:line="240" w:lineRule="auto"/>
              <w:jc w:val="both"/>
              <w:rPr>
                <w:rFonts w:eastAsia="Times New Roman" w:cs="Times New Roman"/>
                <w:noProof/>
                <w:szCs w:val="18"/>
              </w:rPr>
            </w:pPr>
            <w:r>
              <w:rPr>
                <w:noProof/>
              </w:rPr>
              <w:t>222</w:t>
            </w:r>
          </w:p>
        </w:tc>
        <w:tc>
          <w:tcPr>
            <w:tcW w:w="5270" w:type="dxa"/>
            <w:tcBorders>
              <w:top w:val="nil"/>
              <w:left w:val="nil"/>
              <w:bottom w:val="single" w:sz="4" w:space="0" w:color="auto"/>
              <w:right w:val="single" w:sz="4" w:space="0" w:color="auto"/>
            </w:tcBorders>
            <w:shd w:val="clear" w:color="000000" w:fill="C6EFCE"/>
            <w:noWrap/>
            <w:vAlign w:val="center"/>
          </w:tcPr>
          <w:p w14:paraId="5BD231B3" w14:textId="77777777" w:rsidR="00C45D59" w:rsidRDefault="009B0962">
            <w:pPr>
              <w:pStyle w:val="P68B1DB1-Normal55"/>
              <w:keepNext/>
              <w:spacing w:before="40" w:after="0" w:line="240" w:lineRule="auto"/>
              <w:rPr>
                <w:rFonts w:eastAsia="Times New Roman" w:cs="Times New Roman"/>
                <w:bCs/>
                <w:noProof/>
                <w:szCs w:val="18"/>
              </w:rPr>
            </w:pPr>
            <w:r>
              <w:rPr>
                <w:noProof/>
              </w:rPr>
              <w:t>14-4.3. Îmbunătățirea eficienței sistemului de justiție – 16292_Noi clădiri judiciare</w:t>
            </w:r>
          </w:p>
        </w:tc>
        <w:tc>
          <w:tcPr>
            <w:tcW w:w="869" w:type="dxa"/>
            <w:tcBorders>
              <w:top w:val="nil"/>
              <w:left w:val="nil"/>
              <w:bottom w:val="single" w:sz="4" w:space="0" w:color="auto"/>
              <w:right w:val="single" w:sz="4" w:space="0" w:color="auto"/>
            </w:tcBorders>
            <w:shd w:val="clear" w:color="000000" w:fill="C6EFCE"/>
            <w:noWrap/>
            <w:vAlign w:val="center"/>
          </w:tcPr>
          <w:p w14:paraId="29C98D33" w14:textId="77777777" w:rsidR="00C45D59" w:rsidRDefault="009B0962">
            <w:pPr>
              <w:pStyle w:val="P68B1DB1-Normal55"/>
              <w:keepNext/>
              <w:spacing w:before="40" w:after="0" w:line="240" w:lineRule="auto"/>
              <w:rPr>
                <w:rFonts w:eastAsia="Times New Roman" w:cs="Times New Roman"/>
                <w:bCs/>
                <w:noProof/>
                <w:szCs w:val="18"/>
              </w:rPr>
            </w:pPr>
            <w:r>
              <w:rPr>
                <w:noProof/>
              </w:rPr>
              <w:t>Etapă</w:t>
            </w:r>
          </w:p>
        </w:tc>
        <w:tc>
          <w:tcPr>
            <w:tcW w:w="2985" w:type="dxa"/>
            <w:tcBorders>
              <w:top w:val="nil"/>
              <w:left w:val="nil"/>
              <w:bottom w:val="single" w:sz="4" w:space="0" w:color="auto"/>
              <w:right w:val="single" w:sz="4" w:space="0" w:color="auto"/>
            </w:tcBorders>
            <w:shd w:val="clear" w:color="000000" w:fill="C6EFCE"/>
            <w:noWrap/>
            <w:vAlign w:val="center"/>
          </w:tcPr>
          <w:p w14:paraId="343AA9F5" w14:textId="77777777" w:rsidR="00C45D59" w:rsidRDefault="009B0962">
            <w:pPr>
              <w:pStyle w:val="P68B1DB1-Normal55"/>
              <w:keepNext/>
              <w:spacing w:before="40" w:after="0" w:line="240" w:lineRule="auto"/>
              <w:rPr>
                <w:rFonts w:eastAsia="Times New Roman" w:cs="Times New Roman"/>
                <w:bCs/>
                <w:noProof/>
                <w:szCs w:val="18"/>
              </w:rPr>
            </w:pPr>
            <w:r>
              <w:rPr>
                <w:noProof/>
              </w:rPr>
              <w:t>Identificare – Clădiri eligibile</w:t>
            </w:r>
          </w:p>
        </w:tc>
      </w:tr>
      <w:tr w:rsidR="00C45D59" w14:paraId="16DEF4C8" w14:textId="77777777">
        <w:trPr>
          <w:trHeight w:val="302"/>
          <w:jc w:val="center"/>
        </w:trPr>
        <w:tc>
          <w:tcPr>
            <w:tcW w:w="817" w:type="dxa"/>
            <w:tcBorders>
              <w:top w:val="nil"/>
              <w:left w:val="single" w:sz="4" w:space="0" w:color="auto"/>
              <w:bottom w:val="single" w:sz="4" w:space="0" w:color="auto"/>
              <w:right w:val="single" w:sz="4" w:space="0" w:color="auto"/>
            </w:tcBorders>
            <w:shd w:val="clear" w:color="000000" w:fill="C6EFCE"/>
            <w:noWrap/>
            <w:vAlign w:val="center"/>
          </w:tcPr>
          <w:p w14:paraId="3B34E140" w14:textId="77777777" w:rsidR="00C45D59" w:rsidRDefault="009B0962">
            <w:pPr>
              <w:pStyle w:val="P68B1DB1-Normal55"/>
              <w:keepNext/>
              <w:spacing w:before="40" w:after="0" w:line="240" w:lineRule="auto"/>
              <w:jc w:val="both"/>
              <w:rPr>
                <w:rFonts w:eastAsia="Times New Roman" w:cs="Times New Roman"/>
                <w:noProof/>
                <w:szCs w:val="18"/>
              </w:rPr>
            </w:pPr>
            <w:r>
              <w:rPr>
                <w:noProof/>
              </w:rPr>
              <w:t>263</w:t>
            </w:r>
          </w:p>
        </w:tc>
        <w:tc>
          <w:tcPr>
            <w:tcW w:w="5270" w:type="dxa"/>
            <w:tcBorders>
              <w:top w:val="nil"/>
              <w:left w:val="nil"/>
              <w:bottom w:val="single" w:sz="4" w:space="0" w:color="auto"/>
              <w:right w:val="single" w:sz="4" w:space="0" w:color="auto"/>
            </w:tcBorders>
            <w:shd w:val="clear" w:color="000000" w:fill="C6EFCE"/>
            <w:noWrap/>
            <w:vAlign w:val="center"/>
          </w:tcPr>
          <w:p w14:paraId="76B22C23" w14:textId="77777777" w:rsidR="00C45D59" w:rsidRDefault="009B0962">
            <w:pPr>
              <w:pStyle w:val="P68B1DB1-Normal55"/>
              <w:keepNext/>
              <w:spacing w:before="40" w:after="0" w:line="240" w:lineRule="auto"/>
              <w:rPr>
                <w:rFonts w:eastAsia="Times New Roman" w:cs="Times New Roman"/>
                <w:bCs/>
                <w:noProof/>
                <w:szCs w:val="18"/>
              </w:rPr>
            </w:pPr>
            <w:r>
              <w:rPr>
                <w:noProof/>
              </w:rPr>
              <w:t>17-4.6. Modernizarea și îmbunătățirea rezilienței sectoarelor economice cheie – 16982_Reforma organizațională în sectorul feroviar</w:t>
            </w:r>
          </w:p>
        </w:tc>
        <w:tc>
          <w:tcPr>
            <w:tcW w:w="869" w:type="dxa"/>
            <w:tcBorders>
              <w:top w:val="nil"/>
              <w:left w:val="nil"/>
              <w:bottom w:val="single" w:sz="4" w:space="0" w:color="auto"/>
              <w:right w:val="single" w:sz="4" w:space="0" w:color="auto"/>
            </w:tcBorders>
            <w:shd w:val="clear" w:color="000000" w:fill="C6EFCE"/>
            <w:noWrap/>
            <w:vAlign w:val="center"/>
          </w:tcPr>
          <w:p w14:paraId="2C543D64" w14:textId="77777777" w:rsidR="00C45D59" w:rsidRDefault="009B0962">
            <w:pPr>
              <w:pStyle w:val="P68B1DB1-Normal55"/>
              <w:keepNext/>
              <w:spacing w:before="40" w:after="0" w:line="240" w:lineRule="auto"/>
              <w:rPr>
                <w:rFonts w:eastAsia="Times New Roman" w:cs="Times New Roman"/>
                <w:bCs/>
                <w:noProof/>
                <w:szCs w:val="18"/>
              </w:rPr>
            </w:pPr>
            <w:r>
              <w:rPr>
                <w:noProof/>
              </w:rPr>
              <w:t>Etapă</w:t>
            </w:r>
          </w:p>
        </w:tc>
        <w:tc>
          <w:tcPr>
            <w:tcW w:w="2985" w:type="dxa"/>
            <w:tcBorders>
              <w:top w:val="nil"/>
              <w:left w:val="nil"/>
              <w:bottom w:val="single" w:sz="4" w:space="0" w:color="auto"/>
              <w:right w:val="single" w:sz="4" w:space="0" w:color="auto"/>
            </w:tcBorders>
            <w:shd w:val="clear" w:color="000000" w:fill="C6EFCE"/>
            <w:noWrap/>
            <w:vAlign w:val="center"/>
          </w:tcPr>
          <w:p w14:paraId="36C3F6C7" w14:textId="77777777" w:rsidR="00C45D59" w:rsidRDefault="009B0962">
            <w:pPr>
              <w:pStyle w:val="P68B1DB1-Normal55"/>
              <w:keepNext/>
              <w:spacing w:before="40" w:after="0" w:line="240" w:lineRule="auto"/>
              <w:rPr>
                <w:rFonts w:eastAsia="Times New Roman" w:cs="Times New Roman"/>
                <w:bCs/>
                <w:noProof/>
                <w:szCs w:val="18"/>
              </w:rPr>
            </w:pPr>
            <w:r>
              <w:rPr>
                <w:noProof/>
              </w:rPr>
              <w:t>Foaie de parcurs pentru reforma sectorului feroviar</w:t>
            </w:r>
          </w:p>
        </w:tc>
      </w:tr>
      <w:tr w:rsidR="00C45D59" w14:paraId="43FF4A71" w14:textId="77777777">
        <w:trPr>
          <w:trHeight w:val="302"/>
          <w:jc w:val="center"/>
        </w:trPr>
        <w:tc>
          <w:tcPr>
            <w:tcW w:w="817" w:type="dxa"/>
            <w:tcBorders>
              <w:top w:val="nil"/>
              <w:left w:val="single" w:sz="4" w:space="0" w:color="auto"/>
              <w:bottom w:val="single" w:sz="4" w:space="0" w:color="auto"/>
              <w:right w:val="single" w:sz="4" w:space="0" w:color="auto"/>
            </w:tcBorders>
            <w:shd w:val="clear" w:color="000000" w:fill="C6EFCE"/>
            <w:noWrap/>
            <w:vAlign w:val="center"/>
          </w:tcPr>
          <w:p w14:paraId="026150E3" w14:textId="77777777" w:rsidR="00C45D59" w:rsidRDefault="009B0962">
            <w:pPr>
              <w:pStyle w:val="P68B1DB1-Normal55"/>
              <w:keepNext/>
              <w:spacing w:before="40" w:after="0" w:line="240" w:lineRule="auto"/>
              <w:jc w:val="both"/>
              <w:rPr>
                <w:rFonts w:eastAsia="Times New Roman" w:cs="Times New Roman"/>
                <w:noProof/>
                <w:szCs w:val="18"/>
              </w:rPr>
            </w:pPr>
            <w:r>
              <w:rPr>
                <w:noProof/>
              </w:rPr>
              <w:t>331</w:t>
            </w:r>
          </w:p>
        </w:tc>
        <w:tc>
          <w:tcPr>
            <w:tcW w:w="5270" w:type="dxa"/>
            <w:tcBorders>
              <w:top w:val="nil"/>
              <w:left w:val="nil"/>
              <w:bottom w:val="single" w:sz="4" w:space="0" w:color="auto"/>
              <w:right w:val="single" w:sz="4" w:space="0" w:color="auto"/>
            </w:tcBorders>
            <w:shd w:val="clear" w:color="000000" w:fill="C6EFCE"/>
            <w:noWrap/>
            <w:vAlign w:val="center"/>
          </w:tcPr>
          <w:p w14:paraId="6A68B8BA" w14:textId="77777777" w:rsidR="00C45D59" w:rsidRDefault="009B0962">
            <w:pPr>
              <w:pStyle w:val="P68B1DB1-Normal55"/>
              <w:keepNext/>
              <w:spacing w:before="40" w:after="0" w:line="240" w:lineRule="auto"/>
              <w:rPr>
                <w:rFonts w:eastAsia="Times New Roman" w:cs="Times New Roman"/>
                <w:bCs/>
                <w:noProof/>
                <w:szCs w:val="18"/>
              </w:rPr>
            </w:pPr>
            <w:r>
              <w:rPr>
                <w:noProof/>
              </w:rPr>
              <w:t>19-16968_Asistență tehnică</w:t>
            </w:r>
          </w:p>
        </w:tc>
        <w:tc>
          <w:tcPr>
            <w:tcW w:w="869" w:type="dxa"/>
            <w:tcBorders>
              <w:top w:val="nil"/>
              <w:left w:val="nil"/>
              <w:bottom w:val="single" w:sz="4" w:space="0" w:color="auto"/>
              <w:right w:val="single" w:sz="4" w:space="0" w:color="auto"/>
            </w:tcBorders>
            <w:shd w:val="clear" w:color="000000" w:fill="C6EFCE"/>
            <w:noWrap/>
            <w:vAlign w:val="center"/>
          </w:tcPr>
          <w:p w14:paraId="4E83B47A" w14:textId="77777777" w:rsidR="00C45D59" w:rsidRDefault="009B0962">
            <w:pPr>
              <w:pStyle w:val="P68B1DB1-Normal55"/>
              <w:keepNext/>
              <w:spacing w:before="40" w:after="0" w:line="240" w:lineRule="auto"/>
              <w:rPr>
                <w:rFonts w:eastAsia="Times New Roman" w:cs="Times New Roman"/>
                <w:bCs/>
                <w:noProof/>
                <w:szCs w:val="18"/>
              </w:rPr>
            </w:pPr>
            <w:r>
              <w:rPr>
                <w:noProof/>
              </w:rPr>
              <w:t>Etapă</w:t>
            </w:r>
          </w:p>
        </w:tc>
        <w:tc>
          <w:tcPr>
            <w:tcW w:w="2985" w:type="dxa"/>
            <w:tcBorders>
              <w:top w:val="nil"/>
              <w:left w:val="nil"/>
              <w:bottom w:val="single" w:sz="4" w:space="0" w:color="auto"/>
              <w:right w:val="single" w:sz="4" w:space="0" w:color="auto"/>
            </w:tcBorders>
            <w:shd w:val="clear" w:color="000000" w:fill="C6EFCE"/>
            <w:noWrap/>
            <w:vAlign w:val="center"/>
          </w:tcPr>
          <w:p w14:paraId="2DAF954C" w14:textId="77777777" w:rsidR="00C45D59" w:rsidRDefault="009B0962">
            <w:pPr>
              <w:pStyle w:val="P68B1DB1-Normal55"/>
              <w:keepNext/>
              <w:spacing w:before="40" w:after="0" w:line="240" w:lineRule="auto"/>
              <w:rPr>
                <w:rFonts w:eastAsia="Times New Roman" w:cs="Times New Roman"/>
                <w:bCs/>
                <w:noProof/>
                <w:szCs w:val="18"/>
              </w:rPr>
            </w:pPr>
            <w:r>
              <w:rPr>
                <w:noProof/>
              </w:rPr>
              <w:t xml:space="preserve">Mandatul legal al EDEL și instituirea sistemelor de gestiune, control și audit </w:t>
            </w:r>
          </w:p>
        </w:tc>
      </w:tr>
      <w:tr w:rsidR="00C45D59" w14:paraId="3CA7F165"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33D7B5FB" w14:textId="77777777" w:rsidR="00C45D59" w:rsidRDefault="00C45D59">
            <w:pPr>
              <w:keepNext/>
              <w:spacing w:before="40" w:after="0" w:line="259" w:lineRule="auto"/>
              <w:jc w:val="both"/>
              <w:rPr>
                <w:rFonts w:ascii="Times New Roman" w:eastAsia="Times New Roman" w:hAnsi="Times New Roman" w:cs="Times New Roman"/>
                <w:noProof/>
                <w:sz w:val="18"/>
                <w:szCs w:val="18"/>
              </w:rPr>
            </w:pPr>
          </w:p>
        </w:tc>
        <w:tc>
          <w:tcPr>
            <w:tcW w:w="5270" w:type="dxa"/>
            <w:tcBorders>
              <w:top w:val="single" w:sz="4" w:space="0" w:color="auto"/>
              <w:left w:val="nil"/>
              <w:bottom w:val="single" w:sz="4" w:space="0" w:color="auto"/>
              <w:right w:val="single" w:sz="4" w:space="0" w:color="auto"/>
            </w:tcBorders>
            <w:shd w:val="clear" w:color="auto" w:fill="C6EFCE"/>
            <w:noWrap/>
            <w:vAlign w:val="bottom"/>
          </w:tcPr>
          <w:p w14:paraId="756D2B5B" w14:textId="77777777" w:rsidR="00C45D59" w:rsidRDefault="00C45D59">
            <w:pPr>
              <w:keepNext/>
              <w:spacing w:before="40" w:after="0" w:line="259" w:lineRule="auto"/>
              <w:rPr>
                <w:rFonts w:ascii="Times New Roman" w:eastAsia="Times New Roman" w:hAnsi="Times New Roman" w:cs="Times New Roman"/>
                <w:bCs/>
                <w:noProof/>
                <w:sz w:val="18"/>
                <w:szCs w:val="18"/>
              </w:rPr>
            </w:pPr>
          </w:p>
        </w:tc>
        <w:tc>
          <w:tcPr>
            <w:tcW w:w="869" w:type="dxa"/>
            <w:tcBorders>
              <w:top w:val="single" w:sz="4" w:space="0" w:color="auto"/>
              <w:left w:val="nil"/>
              <w:bottom w:val="single" w:sz="4" w:space="0" w:color="auto"/>
              <w:right w:val="single" w:sz="4" w:space="0" w:color="auto"/>
            </w:tcBorders>
            <w:shd w:val="clear" w:color="auto" w:fill="C6EFCE"/>
            <w:noWrap/>
            <w:vAlign w:val="bottom"/>
          </w:tcPr>
          <w:p w14:paraId="782545B4" w14:textId="77777777" w:rsidR="00C45D59" w:rsidRDefault="009B0962">
            <w:pPr>
              <w:pStyle w:val="P68B1DB1-Normal55"/>
              <w:keepNext/>
              <w:spacing w:before="40" w:after="0" w:line="259" w:lineRule="auto"/>
              <w:rPr>
                <w:rFonts w:eastAsia="Times New Roman" w:cs="Times New Roman"/>
                <w:bCs/>
                <w:noProof/>
                <w:szCs w:val="18"/>
              </w:rPr>
            </w:pPr>
            <w:r>
              <w:rPr>
                <w:noProof/>
              </w:rPr>
              <w:t>Cuantumul tranșei</w:t>
            </w:r>
          </w:p>
        </w:tc>
        <w:tc>
          <w:tcPr>
            <w:tcW w:w="2985" w:type="dxa"/>
            <w:tcBorders>
              <w:top w:val="single" w:sz="4" w:space="0" w:color="auto"/>
              <w:left w:val="nil"/>
              <w:bottom w:val="single" w:sz="4" w:space="0" w:color="auto"/>
              <w:right w:val="single" w:sz="4" w:space="0" w:color="auto"/>
            </w:tcBorders>
            <w:shd w:val="clear" w:color="auto" w:fill="C6EFCE"/>
            <w:noWrap/>
            <w:vAlign w:val="bottom"/>
          </w:tcPr>
          <w:p w14:paraId="48F01023" w14:textId="77777777" w:rsidR="00C45D59" w:rsidRDefault="009B0962">
            <w:pPr>
              <w:pStyle w:val="P68B1DB1-Normal55"/>
              <w:keepNext/>
              <w:spacing w:before="40" w:after="0" w:line="259" w:lineRule="auto"/>
              <w:rPr>
                <w:rFonts w:eastAsia="Times New Roman" w:cs="Times New Roman"/>
                <w:bCs/>
                <w:noProof/>
                <w:szCs w:val="18"/>
              </w:rPr>
            </w:pPr>
            <w:r>
              <w:rPr>
                <w:noProof/>
              </w:rPr>
              <w:t>1 974 438 067 MIL.</w:t>
            </w:r>
          </w:p>
        </w:tc>
      </w:tr>
    </w:tbl>
    <w:p w14:paraId="11E49200" w14:textId="77777777" w:rsidR="00C45D59" w:rsidRDefault="00C45D59">
      <w:pPr>
        <w:rPr>
          <w:rFonts w:ascii="Times New Roman" w:hAnsi="Times New Roman"/>
          <w:noProof/>
          <w:sz w:val="24"/>
        </w:rPr>
      </w:pPr>
    </w:p>
    <w:p w14:paraId="08C1C978" w14:textId="77777777" w:rsidR="00C45D59" w:rsidRDefault="009B0962">
      <w:pPr>
        <w:pStyle w:val="P68B1DB1-Normal5"/>
        <w:keepNext/>
        <w:numPr>
          <w:ilvl w:val="1"/>
          <w:numId w:val="93"/>
        </w:numPr>
        <w:spacing w:before="40" w:after="160" w:line="259" w:lineRule="auto"/>
        <w:ind w:left="0"/>
        <w:contextualSpacing/>
        <w:jc w:val="both"/>
        <w:rPr>
          <w:noProof/>
        </w:rPr>
      </w:pPr>
      <w:r>
        <w:rPr>
          <w:noProof/>
        </w:rPr>
        <w:t xml:space="preserve"> A doua cerere de plată (sprijin nerambursabil):</w:t>
      </w:r>
    </w:p>
    <w:p w14:paraId="0D5AAE4E" w14:textId="77777777" w:rsidR="00C45D59" w:rsidRDefault="00C45D59">
      <w:pPr>
        <w:keepNext/>
        <w:spacing w:before="40" w:after="160" w:line="259" w:lineRule="auto"/>
        <w:contextualSpacing/>
        <w:jc w:val="both"/>
        <w:rPr>
          <w:rFonts w:ascii="Times New Roman" w:eastAsia="Times New Roman" w:hAnsi="Times New Roman" w:cs="Times New Roman"/>
          <w:noProof/>
          <w:sz w:val="24"/>
        </w:rPr>
      </w:pPr>
    </w:p>
    <w:tbl>
      <w:tblPr>
        <w:tblW w:w="9837" w:type="dxa"/>
        <w:jc w:val="center"/>
        <w:tblLook w:val="04A0" w:firstRow="1" w:lastRow="0" w:firstColumn="1" w:lastColumn="0" w:noHBand="0" w:noVBand="1"/>
      </w:tblPr>
      <w:tblGrid>
        <w:gridCol w:w="675"/>
        <w:gridCol w:w="5730"/>
        <w:gridCol w:w="1066"/>
        <w:gridCol w:w="2366"/>
      </w:tblGrid>
      <w:tr w:rsidR="00C45D59" w14:paraId="060BC1E0" w14:textId="77777777">
        <w:trPr>
          <w:trHeight w:val="509"/>
          <w:tblHeader/>
          <w:jc w:val="center"/>
        </w:trPr>
        <w:tc>
          <w:tcPr>
            <w:tcW w:w="675"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6ADD922B" w14:textId="66FCD8F3" w:rsidR="00C45D59" w:rsidRDefault="009B0962">
            <w:pPr>
              <w:pStyle w:val="P68B1DB1-Normal15"/>
              <w:keepNext/>
              <w:spacing w:before="40" w:after="0" w:line="259" w:lineRule="auto"/>
              <w:jc w:val="center"/>
              <w:rPr>
                <w:rFonts w:eastAsia="Times New Roman"/>
                <w:bCs/>
                <w:noProof/>
              </w:rPr>
            </w:pPr>
            <w:r>
              <w:rPr>
                <w:noProof/>
              </w:rPr>
              <w:t>Nr</w:t>
            </w:r>
            <w:r w:rsidR="00D15349">
              <w:rPr>
                <w:noProof/>
              </w:rPr>
              <w:t>.</w:t>
            </w:r>
            <w:r>
              <w:rPr>
                <w:noProof/>
              </w:rPr>
              <w:t xml:space="preserve"> </w:t>
            </w:r>
            <w:r>
              <w:rPr>
                <w:noProof/>
              </w:rPr>
              <w:br/>
            </w:r>
            <w:r w:rsidR="00D15349">
              <w:rPr>
                <w:noProof/>
              </w:rPr>
              <w:t>crt</w:t>
            </w:r>
            <w:r>
              <w:rPr>
                <w:noProof/>
              </w:rPr>
              <w:t>.</w:t>
            </w:r>
          </w:p>
        </w:tc>
        <w:tc>
          <w:tcPr>
            <w:tcW w:w="5730"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513D5F6D" w14:textId="77777777" w:rsidR="00C45D59" w:rsidRDefault="009B0962">
            <w:pPr>
              <w:pStyle w:val="P68B1DB1-Normal10"/>
              <w:keepNext/>
              <w:spacing w:before="40" w:after="0" w:line="259" w:lineRule="auto"/>
              <w:jc w:val="center"/>
              <w:rPr>
                <w:rFonts w:eastAsia="Times New Roman" w:cs="Times New Roman"/>
                <w:bCs/>
                <w:noProof/>
                <w:szCs w:val="18"/>
              </w:rPr>
            </w:pPr>
            <w:r>
              <w:rPr>
                <w:noProof/>
              </w:rPr>
              <w:t>Măsură conexă (reformă sau investiții)</w:t>
            </w:r>
          </w:p>
        </w:tc>
        <w:tc>
          <w:tcPr>
            <w:tcW w:w="1066"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3A82B057" w14:textId="0D1BC376" w:rsidR="00C45D59" w:rsidRDefault="009B0962">
            <w:pPr>
              <w:pStyle w:val="P68B1DB1-Normal10"/>
              <w:keepNext/>
              <w:spacing w:before="40" w:after="0" w:line="259" w:lineRule="auto"/>
              <w:jc w:val="center"/>
              <w:rPr>
                <w:rFonts w:eastAsia="Times New Roman" w:cs="Times New Roman"/>
                <w:bCs/>
                <w:noProof/>
                <w:szCs w:val="18"/>
              </w:rPr>
            </w:pPr>
            <w:r>
              <w:rPr>
                <w:noProof/>
              </w:rPr>
              <w:t>Etapă/</w:t>
            </w:r>
            <w:r w:rsidR="00D15349">
              <w:rPr>
                <w:noProof/>
              </w:rPr>
              <w:t xml:space="preserve"> </w:t>
            </w:r>
            <w:r>
              <w:rPr>
                <w:noProof/>
              </w:rPr>
              <w:t>Obiectiv</w:t>
            </w:r>
          </w:p>
        </w:tc>
        <w:tc>
          <w:tcPr>
            <w:tcW w:w="2366" w:type="dxa"/>
            <w:vMerge w:val="restart"/>
            <w:tcBorders>
              <w:top w:val="single" w:sz="4" w:space="0" w:color="auto"/>
              <w:left w:val="nil"/>
              <w:bottom w:val="single" w:sz="4" w:space="0" w:color="000000"/>
              <w:right w:val="single" w:sz="4" w:space="0" w:color="auto"/>
            </w:tcBorders>
            <w:shd w:val="clear" w:color="auto" w:fill="BDD7EE"/>
            <w:vAlign w:val="center"/>
            <w:hideMark/>
          </w:tcPr>
          <w:p w14:paraId="42B3C7FB" w14:textId="41D3EFB7" w:rsidR="00C45D59" w:rsidRDefault="00D15349">
            <w:pPr>
              <w:pStyle w:val="P68B1DB1-Normal10"/>
              <w:keepNext/>
              <w:spacing w:before="40" w:after="0" w:line="259" w:lineRule="auto"/>
              <w:jc w:val="center"/>
              <w:rPr>
                <w:rFonts w:eastAsia="Times New Roman" w:cs="Times New Roman"/>
                <w:bCs/>
                <w:noProof/>
                <w:szCs w:val="18"/>
              </w:rPr>
            </w:pPr>
            <w:r>
              <w:rPr>
                <w:noProof/>
              </w:rPr>
              <w:t>Denumire</w:t>
            </w:r>
          </w:p>
        </w:tc>
      </w:tr>
      <w:tr w:rsidR="00C45D59" w14:paraId="6E0276BE" w14:textId="77777777">
        <w:trPr>
          <w:trHeight w:val="990"/>
          <w:jc w:val="center"/>
        </w:trPr>
        <w:tc>
          <w:tcPr>
            <w:tcW w:w="675" w:type="dxa"/>
            <w:vMerge/>
            <w:tcBorders>
              <w:top w:val="single" w:sz="4" w:space="0" w:color="auto"/>
              <w:left w:val="single" w:sz="4" w:space="0" w:color="auto"/>
              <w:bottom w:val="single" w:sz="4" w:space="0" w:color="000000"/>
              <w:right w:val="single" w:sz="4" w:space="0" w:color="auto"/>
            </w:tcBorders>
            <w:vAlign w:val="center"/>
            <w:hideMark/>
          </w:tcPr>
          <w:p w14:paraId="0C19721D" w14:textId="77777777" w:rsidR="00C45D59" w:rsidRDefault="00C45D59">
            <w:pPr>
              <w:keepNext/>
              <w:spacing w:before="40" w:after="0" w:line="259" w:lineRule="auto"/>
              <w:jc w:val="both"/>
              <w:rPr>
                <w:rFonts w:ascii="Times New Roman" w:eastAsia="Times New Roman" w:hAnsi="Times New Roman" w:cs="Times New Roman"/>
                <w:bCs/>
                <w:noProof/>
                <w:sz w:val="18"/>
                <w:szCs w:val="18"/>
              </w:rPr>
            </w:pPr>
          </w:p>
        </w:tc>
        <w:tc>
          <w:tcPr>
            <w:tcW w:w="5730" w:type="dxa"/>
            <w:vMerge/>
            <w:tcBorders>
              <w:top w:val="single" w:sz="4" w:space="0" w:color="auto"/>
              <w:left w:val="single" w:sz="4" w:space="0" w:color="auto"/>
              <w:bottom w:val="single" w:sz="4" w:space="0" w:color="000000"/>
              <w:right w:val="single" w:sz="4" w:space="0" w:color="auto"/>
            </w:tcBorders>
            <w:vAlign w:val="center"/>
            <w:hideMark/>
          </w:tcPr>
          <w:p w14:paraId="473B7DCE" w14:textId="77777777" w:rsidR="00C45D59" w:rsidRDefault="00C45D59">
            <w:pPr>
              <w:keepNext/>
              <w:spacing w:before="40" w:after="0" w:line="259" w:lineRule="auto"/>
              <w:jc w:val="both"/>
              <w:rPr>
                <w:rFonts w:ascii="Times New Roman" w:eastAsia="Times New Roman" w:hAnsi="Times New Roman" w:cs="Times New Roman"/>
                <w:bCs/>
                <w:noProof/>
                <w:sz w:val="18"/>
                <w:szCs w:val="18"/>
              </w:rPr>
            </w:pPr>
          </w:p>
        </w:tc>
        <w:tc>
          <w:tcPr>
            <w:tcW w:w="1066" w:type="dxa"/>
            <w:vMerge/>
            <w:tcBorders>
              <w:top w:val="single" w:sz="4" w:space="0" w:color="auto"/>
              <w:left w:val="single" w:sz="4" w:space="0" w:color="auto"/>
              <w:bottom w:val="single" w:sz="4" w:space="0" w:color="000000"/>
              <w:right w:val="single" w:sz="4" w:space="0" w:color="auto"/>
            </w:tcBorders>
            <w:vAlign w:val="center"/>
            <w:hideMark/>
          </w:tcPr>
          <w:p w14:paraId="50561550" w14:textId="77777777" w:rsidR="00C45D59" w:rsidRDefault="00C45D59">
            <w:pPr>
              <w:keepNext/>
              <w:spacing w:before="40" w:after="0" w:line="259" w:lineRule="auto"/>
              <w:jc w:val="both"/>
              <w:rPr>
                <w:rFonts w:ascii="Times New Roman" w:eastAsia="Times New Roman" w:hAnsi="Times New Roman" w:cs="Times New Roman"/>
                <w:bCs/>
                <w:noProof/>
                <w:sz w:val="18"/>
                <w:szCs w:val="18"/>
              </w:rPr>
            </w:pPr>
          </w:p>
        </w:tc>
        <w:tc>
          <w:tcPr>
            <w:tcW w:w="2366" w:type="dxa"/>
            <w:vMerge/>
            <w:tcBorders>
              <w:top w:val="single" w:sz="4" w:space="0" w:color="auto"/>
              <w:left w:val="nil"/>
              <w:bottom w:val="single" w:sz="4" w:space="0" w:color="000000"/>
              <w:right w:val="single" w:sz="4" w:space="0" w:color="auto"/>
            </w:tcBorders>
            <w:vAlign w:val="center"/>
            <w:hideMark/>
          </w:tcPr>
          <w:p w14:paraId="117C70DD" w14:textId="77777777" w:rsidR="00C45D59" w:rsidRDefault="00C45D59">
            <w:pPr>
              <w:keepNext/>
              <w:spacing w:before="40" w:after="0" w:line="259" w:lineRule="auto"/>
              <w:jc w:val="both"/>
              <w:rPr>
                <w:rFonts w:ascii="Times New Roman" w:eastAsia="Times New Roman" w:hAnsi="Times New Roman" w:cs="Times New Roman"/>
                <w:bCs/>
                <w:noProof/>
                <w:sz w:val="18"/>
                <w:szCs w:val="18"/>
              </w:rPr>
            </w:pPr>
          </w:p>
        </w:tc>
      </w:tr>
      <w:tr w:rsidR="00C45D59" w14:paraId="215D9961" w14:textId="77777777">
        <w:trPr>
          <w:trHeight w:val="302"/>
          <w:jc w:val="center"/>
        </w:trPr>
        <w:tc>
          <w:tcPr>
            <w:tcW w:w="675" w:type="dxa"/>
            <w:tcBorders>
              <w:top w:val="single" w:sz="4" w:space="0" w:color="auto"/>
              <w:left w:val="single" w:sz="4" w:space="0" w:color="auto"/>
              <w:bottom w:val="single" w:sz="4" w:space="0" w:color="auto"/>
              <w:right w:val="single" w:sz="4" w:space="0" w:color="auto"/>
            </w:tcBorders>
            <w:shd w:val="clear" w:color="000000" w:fill="C6EFCE"/>
            <w:noWrap/>
            <w:vAlign w:val="center"/>
          </w:tcPr>
          <w:p w14:paraId="6F925A85" w14:textId="77777777" w:rsidR="00C45D59" w:rsidRDefault="009B0962">
            <w:pPr>
              <w:pStyle w:val="P68B1DB1-Normal55"/>
              <w:keepNext/>
              <w:spacing w:before="40" w:after="0" w:line="259" w:lineRule="auto"/>
              <w:jc w:val="both"/>
              <w:rPr>
                <w:rFonts w:eastAsia="Times New Roman" w:cs="Times New Roman"/>
                <w:noProof/>
                <w:szCs w:val="18"/>
              </w:rPr>
            </w:pPr>
            <w:r>
              <w:rPr>
                <w:noProof/>
              </w:rPr>
              <w:t>44</w:t>
            </w:r>
          </w:p>
        </w:tc>
        <w:tc>
          <w:tcPr>
            <w:tcW w:w="5730" w:type="dxa"/>
            <w:tcBorders>
              <w:top w:val="single" w:sz="4" w:space="0" w:color="auto"/>
              <w:left w:val="nil"/>
              <w:bottom w:val="single" w:sz="4" w:space="0" w:color="auto"/>
              <w:right w:val="single" w:sz="4" w:space="0" w:color="auto"/>
            </w:tcBorders>
            <w:shd w:val="clear" w:color="000000" w:fill="C6EFCE"/>
            <w:noWrap/>
            <w:vAlign w:val="center"/>
          </w:tcPr>
          <w:p w14:paraId="5CA79820"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3-1.3. Reîncărcare și realimentare – 16924_ Electromobilitate</w:t>
            </w:r>
          </w:p>
        </w:tc>
        <w:tc>
          <w:tcPr>
            <w:tcW w:w="1066" w:type="dxa"/>
            <w:tcBorders>
              <w:top w:val="single" w:sz="4" w:space="0" w:color="auto"/>
              <w:left w:val="nil"/>
              <w:bottom w:val="single" w:sz="4" w:space="0" w:color="auto"/>
              <w:right w:val="single" w:sz="4" w:space="0" w:color="auto"/>
            </w:tcBorders>
            <w:shd w:val="clear" w:color="000000" w:fill="C6EFCE"/>
            <w:noWrap/>
            <w:vAlign w:val="center"/>
          </w:tcPr>
          <w:p w14:paraId="2483EE8D"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Etapă</w:t>
            </w:r>
          </w:p>
        </w:tc>
        <w:tc>
          <w:tcPr>
            <w:tcW w:w="2366" w:type="dxa"/>
            <w:tcBorders>
              <w:top w:val="single" w:sz="4" w:space="0" w:color="auto"/>
              <w:left w:val="nil"/>
              <w:bottom w:val="single" w:sz="4" w:space="0" w:color="auto"/>
              <w:right w:val="single" w:sz="4" w:space="0" w:color="auto"/>
            </w:tcBorders>
            <w:shd w:val="clear" w:color="000000" w:fill="C6EFCE"/>
            <w:noWrap/>
            <w:vAlign w:val="center"/>
          </w:tcPr>
          <w:p w14:paraId="7463526A"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Transportul public – Intrarea în vigoare a reglementării pieței pentru obligația de serviciu public (autobuze)</w:t>
            </w:r>
          </w:p>
        </w:tc>
      </w:tr>
      <w:tr w:rsidR="00C45D59" w14:paraId="3532CAE0" w14:textId="77777777">
        <w:trPr>
          <w:trHeight w:val="302"/>
          <w:jc w:val="center"/>
        </w:trPr>
        <w:tc>
          <w:tcPr>
            <w:tcW w:w="675" w:type="dxa"/>
            <w:tcBorders>
              <w:top w:val="nil"/>
              <w:left w:val="single" w:sz="4" w:space="0" w:color="auto"/>
              <w:bottom w:val="single" w:sz="4" w:space="0" w:color="auto"/>
              <w:right w:val="single" w:sz="4" w:space="0" w:color="auto"/>
            </w:tcBorders>
            <w:shd w:val="clear" w:color="000000" w:fill="C6EFCE"/>
            <w:noWrap/>
            <w:vAlign w:val="center"/>
          </w:tcPr>
          <w:p w14:paraId="1ED1F53B" w14:textId="77777777" w:rsidR="00C45D59" w:rsidRDefault="009B0962">
            <w:pPr>
              <w:pStyle w:val="P68B1DB1-Normal55"/>
              <w:keepNext/>
              <w:spacing w:before="40" w:after="0" w:line="259" w:lineRule="auto"/>
              <w:jc w:val="both"/>
              <w:rPr>
                <w:rFonts w:eastAsia="Times New Roman" w:cs="Times New Roman"/>
                <w:noProof/>
                <w:szCs w:val="18"/>
              </w:rPr>
            </w:pPr>
            <w:r>
              <w:rPr>
                <w:noProof/>
              </w:rPr>
              <w:t>197</w:t>
            </w:r>
          </w:p>
        </w:tc>
        <w:tc>
          <w:tcPr>
            <w:tcW w:w="5730" w:type="dxa"/>
            <w:tcBorders>
              <w:top w:val="nil"/>
              <w:left w:val="nil"/>
              <w:bottom w:val="single" w:sz="4" w:space="0" w:color="auto"/>
              <w:right w:val="single" w:sz="4" w:space="0" w:color="auto"/>
            </w:tcBorders>
            <w:shd w:val="clear" w:color="000000" w:fill="C6EFCE"/>
            <w:noWrap/>
            <w:vAlign w:val="center"/>
          </w:tcPr>
          <w:p w14:paraId="77B9ADD9"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12-4.1. O impozitare mai favorabilă creșterii economice și o mai bună administrare fiscală și colectare a impozitelor – 16863_Super – deducerea cheltuielilor legate de economia verde, energie și tranziția digitală</w:t>
            </w:r>
          </w:p>
        </w:tc>
        <w:tc>
          <w:tcPr>
            <w:tcW w:w="1066" w:type="dxa"/>
            <w:tcBorders>
              <w:top w:val="nil"/>
              <w:left w:val="nil"/>
              <w:bottom w:val="single" w:sz="4" w:space="0" w:color="auto"/>
              <w:right w:val="single" w:sz="4" w:space="0" w:color="auto"/>
            </w:tcBorders>
            <w:shd w:val="clear" w:color="000000" w:fill="C6EFCE"/>
            <w:noWrap/>
            <w:vAlign w:val="center"/>
          </w:tcPr>
          <w:p w14:paraId="294F60BC"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Etapă</w:t>
            </w:r>
          </w:p>
        </w:tc>
        <w:tc>
          <w:tcPr>
            <w:tcW w:w="2366" w:type="dxa"/>
            <w:tcBorders>
              <w:top w:val="nil"/>
              <w:left w:val="nil"/>
              <w:bottom w:val="single" w:sz="4" w:space="0" w:color="auto"/>
              <w:right w:val="single" w:sz="4" w:space="0" w:color="auto"/>
            </w:tcBorders>
            <w:shd w:val="clear" w:color="000000" w:fill="C6EFCE"/>
            <w:noWrap/>
            <w:vAlign w:val="center"/>
          </w:tcPr>
          <w:p w14:paraId="653ECC5C"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Super-deducere pentru investițiile verzi și digitale ale IMM-urilor</w:t>
            </w:r>
          </w:p>
        </w:tc>
      </w:tr>
      <w:tr w:rsidR="00C45D59" w14:paraId="3A40BC88" w14:textId="77777777">
        <w:trPr>
          <w:trHeight w:val="302"/>
          <w:jc w:val="center"/>
        </w:trPr>
        <w:tc>
          <w:tcPr>
            <w:tcW w:w="675" w:type="dxa"/>
            <w:tcBorders>
              <w:top w:val="nil"/>
              <w:left w:val="single" w:sz="4" w:space="0" w:color="auto"/>
              <w:bottom w:val="single" w:sz="4" w:space="0" w:color="auto"/>
              <w:right w:val="single" w:sz="4" w:space="0" w:color="auto"/>
            </w:tcBorders>
            <w:shd w:val="clear" w:color="000000" w:fill="C6EFCE"/>
            <w:noWrap/>
            <w:vAlign w:val="center"/>
          </w:tcPr>
          <w:p w14:paraId="789DCAF7" w14:textId="77777777" w:rsidR="00C45D59" w:rsidRDefault="009B0962">
            <w:pPr>
              <w:pStyle w:val="P68B1DB1-Normal55"/>
              <w:keepNext/>
              <w:spacing w:before="40" w:after="0" w:line="259" w:lineRule="auto"/>
              <w:jc w:val="both"/>
              <w:rPr>
                <w:rFonts w:eastAsia="Times New Roman" w:cs="Times New Roman"/>
                <w:noProof/>
                <w:szCs w:val="18"/>
              </w:rPr>
            </w:pPr>
            <w:r>
              <w:rPr>
                <w:noProof/>
              </w:rPr>
              <w:t>198</w:t>
            </w:r>
          </w:p>
        </w:tc>
        <w:tc>
          <w:tcPr>
            <w:tcW w:w="5730" w:type="dxa"/>
            <w:tcBorders>
              <w:top w:val="nil"/>
              <w:left w:val="nil"/>
              <w:bottom w:val="single" w:sz="4" w:space="0" w:color="auto"/>
              <w:right w:val="single" w:sz="4" w:space="0" w:color="auto"/>
            </w:tcBorders>
            <w:shd w:val="clear" w:color="000000" w:fill="C6EFCE"/>
            <w:noWrap/>
            <w:vAlign w:val="center"/>
          </w:tcPr>
          <w:p w14:paraId="58804C88"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12-4.1. O fiscalitate mai favorabilă creșterii economice și o mai bună administrare fiscală și colectare a impozitelor – 16616_Adoptarea de măsuri și stimulente pentru intensificarea tranzacțiilor electronice</w:t>
            </w:r>
          </w:p>
        </w:tc>
        <w:tc>
          <w:tcPr>
            <w:tcW w:w="1066" w:type="dxa"/>
            <w:tcBorders>
              <w:top w:val="nil"/>
              <w:left w:val="nil"/>
              <w:bottom w:val="single" w:sz="4" w:space="0" w:color="auto"/>
              <w:right w:val="single" w:sz="4" w:space="0" w:color="auto"/>
            </w:tcBorders>
            <w:shd w:val="clear" w:color="000000" w:fill="C6EFCE"/>
            <w:noWrap/>
            <w:vAlign w:val="center"/>
          </w:tcPr>
          <w:p w14:paraId="4D04DF56"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Etapă</w:t>
            </w:r>
          </w:p>
        </w:tc>
        <w:tc>
          <w:tcPr>
            <w:tcW w:w="2366" w:type="dxa"/>
            <w:tcBorders>
              <w:top w:val="nil"/>
              <w:left w:val="nil"/>
              <w:bottom w:val="single" w:sz="4" w:space="0" w:color="auto"/>
              <w:right w:val="single" w:sz="4" w:space="0" w:color="auto"/>
            </w:tcBorders>
            <w:shd w:val="clear" w:color="000000" w:fill="C6EFCE"/>
            <w:noWrap/>
            <w:vAlign w:val="center"/>
          </w:tcPr>
          <w:p w14:paraId="4EF8CF97"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Legislație pentru încurajarea tranzacțiilor electronice</w:t>
            </w:r>
          </w:p>
        </w:tc>
      </w:tr>
      <w:tr w:rsidR="00C45D59" w14:paraId="0ADF3A46" w14:textId="77777777">
        <w:trPr>
          <w:trHeight w:val="302"/>
          <w:jc w:val="center"/>
        </w:trPr>
        <w:tc>
          <w:tcPr>
            <w:tcW w:w="675" w:type="dxa"/>
            <w:tcBorders>
              <w:top w:val="nil"/>
              <w:left w:val="single" w:sz="4" w:space="0" w:color="auto"/>
              <w:bottom w:val="single" w:sz="4" w:space="0" w:color="auto"/>
              <w:right w:val="single" w:sz="4" w:space="0" w:color="auto"/>
            </w:tcBorders>
            <w:shd w:val="clear" w:color="000000" w:fill="C6EFCE"/>
            <w:noWrap/>
            <w:vAlign w:val="center"/>
          </w:tcPr>
          <w:p w14:paraId="608D7DBA" w14:textId="77777777" w:rsidR="00C45D59" w:rsidRDefault="009B0962">
            <w:pPr>
              <w:pStyle w:val="P68B1DB1-Normal55"/>
              <w:keepNext/>
              <w:spacing w:before="40" w:after="0" w:line="259" w:lineRule="auto"/>
              <w:jc w:val="both"/>
              <w:rPr>
                <w:rFonts w:eastAsia="Times New Roman" w:cs="Times New Roman"/>
                <w:noProof/>
                <w:szCs w:val="18"/>
              </w:rPr>
            </w:pPr>
            <w:r>
              <w:rPr>
                <w:noProof/>
              </w:rPr>
              <w:t>240</w:t>
            </w:r>
          </w:p>
        </w:tc>
        <w:tc>
          <w:tcPr>
            <w:tcW w:w="5730" w:type="dxa"/>
            <w:tcBorders>
              <w:top w:val="nil"/>
              <w:left w:val="nil"/>
              <w:bottom w:val="single" w:sz="4" w:space="0" w:color="auto"/>
              <w:right w:val="single" w:sz="4" w:space="0" w:color="auto"/>
            </w:tcBorders>
            <w:shd w:val="clear" w:color="000000" w:fill="C6EFCE"/>
            <w:noWrap/>
            <w:vAlign w:val="center"/>
          </w:tcPr>
          <w:p w14:paraId="2F1D3DFC"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15-4.4. Consolidarea sectorului financiar și a piețelor de capital – 16581_Consolidarea supravegherii și a credibilității pieței de capital</w:t>
            </w:r>
          </w:p>
        </w:tc>
        <w:tc>
          <w:tcPr>
            <w:tcW w:w="1066" w:type="dxa"/>
            <w:tcBorders>
              <w:top w:val="nil"/>
              <w:left w:val="nil"/>
              <w:bottom w:val="single" w:sz="4" w:space="0" w:color="auto"/>
              <w:right w:val="single" w:sz="4" w:space="0" w:color="auto"/>
            </w:tcBorders>
            <w:shd w:val="clear" w:color="000000" w:fill="C6EFCE"/>
            <w:noWrap/>
            <w:vAlign w:val="center"/>
          </w:tcPr>
          <w:p w14:paraId="0FDFB83A"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Etapă</w:t>
            </w:r>
          </w:p>
        </w:tc>
        <w:tc>
          <w:tcPr>
            <w:tcW w:w="2366" w:type="dxa"/>
            <w:tcBorders>
              <w:top w:val="nil"/>
              <w:left w:val="nil"/>
              <w:bottom w:val="single" w:sz="4" w:space="0" w:color="auto"/>
              <w:right w:val="single" w:sz="4" w:space="0" w:color="auto"/>
            </w:tcBorders>
            <w:shd w:val="clear" w:color="000000" w:fill="C6EFCE"/>
            <w:noWrap/>
            <w:vAlign w:val="center"/>
          </w:tcPr>
          <w:p w14:paraId="14AB4E15"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Piețele de capital, supravegherea, digitalizarea proceselor de supraveghere, uniunea piețelor de capital (UPC)</w:t>
            </w:r>
          </w:p>
        </w:tc>
      </w:tr>
      <w:tr w:rsidR="00C45D59" w14:paraId="57743601" w14:textId="77777777">
        <w:trPr>
          <w:trHeight w:val="302"/>
          <w:jc w:val="center"/>
        </w:trPr>
        <w:tc>
          <w:tcPr>
            <w:tcW w:w="675" w:type="dxa"/>
            <w:tcBorders>
              <w:top w:val="nil"/>
              <w:left w:val="single" w:sz="4" w:space="0" w:color="auto"/>
              <w:bottom w:val="single" w:sz="4" w:space="0" w:color="auto"/>
              <w:right w:val="single" w:sz="4" w:space="0" w:color="auto"/>
            </w:tcBorders>
            <w:shd w:val="clear" w:color="000000" w:fill="C6EFCE"/>
            <w:noWrap/>
            <w:vAlign w:val="center"/>
          </w:tcPr>
          <w:p w14:paraId="30CB3D36" w14:textId="77777777" w:rsidR="00C45D59" w:rsidRDefault="009B0962">
            <w:pPr>
              <w:pStyle w:val="P68B1DB1-Normal55"/>
              <w:keepNext/>
              <w:spacing w:before="40" w:after="0" w:line="259" w:lineRule="auto"/>
              <w:jc w:val="both"/>
              <w:rPr>
                <w:rFonts w:eastAsia="Times New Roman" w:cs="Times New Roman"/>
                <w:noProof/>
                <w:szCs w:val="18"/>
              </w:rPr>
            </w:pPr>
            <w:r>
              <w:rPr>
                <w:noProof/>
              </w:rPr>
              <w:t>299</w:t>
            </w:r>
          </w:p>
        </w:tc>
        <w:tc>
          <w:tcPr>
            <w:tcW w:w="5730" w:type="dxa"/>
            <w:tcBorders>
              <w:top w:val="nil"/>
              <w:left w:val="nil"/>
              <w:bottom w:val="single" w:sz="4" w:space="0" w:color="auto"/>
              <w:right w:val="single" w:sz="4" w:space="0" w:color="auto"/>
            </w:tcBorders>
            <w:shd w:val="clear" w:color="000000" w:fill="C6EFCE"/>
            <w:noWrap/>
            <w:vAlign w:val="center"/>
          </w:tcPr>
          <w:p w14:paraId="7FF819C7"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17-4.6. Modernizarea și îmbunătățirea rezilienței sectoarelor economice esențiale – 16593_Modificarea cadrului juridic pentru atragerea de investiții strategice</w:t>
            </w:r>
          </w:p>
        </w:tc>
        <w:tc>
          <w:tcPr>
            <w:tcW w:w="1066" w:type="dxa"/>
            <w:tcBorders>
              <w:top w:val="nil"/>
              <w:left w:val="nil"/>
              <w:bottom w:val="single" w:sz="4" w:space="0" w:color="auto"/>
              <w:right w:val="single" w:sz="4" w:space="0" w:color="auto"/>
            </w:tcBorders>
            <w:shd w:val="clear" w:color="000000" w:fill="C6EFCE"/>
            <w:noWrap/>
            <w:vAlign w:val="center"/>
          </w:tcPr>
          <w:p w14:paraId="6C01ED56"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Etapă</w:t>
            </w:r>
          </w:p>
        </w:tc>
        <w:tc>
          <w:tcPr>
            <w:tcW w:w="2366" w:type="dxa"/>
            <w:tcBorders>
              <w:top w:val="nil"/>
              <w:left w:val="nil"/>
              <w:bottom w:val="single" w:sz="4" w:space="0" w:color="auto"/>
              <w:right w:val="single" w:sz="4" w:space="0" w:color="auto"/>
            </w:tcBorders>
            <w:shd w:val="clear" w:color="000000" w:fill="C6EFCE"/>
            <w:noWrap/>
            <w:vAlign w:val="center"/>
          </w:tcPr>
          <w:p w14:paraId="20FAFACC"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Investiții strategice – reforma legislativă</w:t>
            </w:r>
          </w:p>
        </w:tc>
      </w:tr>
      <w:tr w:rsidR="00C45D59" w14:paraId="054A0EF7" w14:textId="77777777">
        <w:trPr>
          <w:trHeight w:val="302"/>
          <w:jc w:val="center"/>
        </w:trPr>
        <w:tc>
          <w:tcPr>
            <w:tcW w:w="675" w:type="dxa"/>
            <w:tcBorders>
              <w:top w:val="nil"/>
              <w:left w:val="single" w:sz="4" w:space="0" w:color="auto"/>
              <w:bottom w:val="single" w:sz="4" w:space="0" w:color="auto"/>
              <w:right w:val="single" w:sz="4" w:space="0" w:color="auto"/>
            </w:tcBorders>
            <w:shd w:val="clear" w:color="000000" w:fill="C6EFCE"/>
            <w:noWrap/>
            <w:vAlign w:val="center"/>
          </w:tcPr>
          <w:p w14:paraId="2048B2A9" w14:textId="77777777" w:rsidR="00C45D59" w:rsidRDefault="009B0962">
            <w:pPr>
              <w:pStyle w:val="P68B1DB1-Normal55"/>
              <w:keepNext/>
              <w:spacing w:before="40" w:after="0" w:line="259" w:lineRule="auto"/>
              <w:jc w:val="both"/>
              <w:rPr>
                <w:rFonts w:eastAsia="Times New Roman" w:cs="Times New Roman"/>
                <w:noProof/>
                <w:szCs w:val="18"/>
              </w:rPr>
            </w:pPr>
            <w:r>
              <w:rPr>
                <w:noProof/>
              </w:rPr>
              <w:t>9</w:t>
            </w:r>
          </w:p>
        </w:tc>
        <w:tc>
          <w:tcPr>
            <w:tcW w:w="5730" w:type="dxa"/>
            <w:tcBorders>
              <w:top w:val="nil"/>
              <w:left w:val="nil"/>
              <w:bottom w:val="single" w:sz="4" w:space="0" w:color="auto"/>
              <w:right w:val="single" w:sz="4" w:space="0" w:color="auto"/>
            </w:tcBorders>
            <w:shd w:val="clear" w:color="000000" w:fill="C6EFCE"/>
            <w:noWrap/>
            <w:vAlign w:val="center"/>
          </w:tcPr>
          <w:p w14:paraId="1FFABF42"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1-1.1. Accelerarea – 16871_Acțiuni de revitalizare a celor mai afectate teritorii (teritorii aflate în tranziție justă)</w:t>
            </w:r>
          </w:p>
        </w:tc>
        <w:tc>
          <w:tcPr>
            <w:tcW w:w="1066" w:type="dxa"/>
            <w:tcBorders>
              <w:top w:val="nil"/>
              <w:left w:val="nil"/>
              <w:bottom w:val="single" w:sz="4" w:space="0" w:color="auto"/>
              <w:right w:val="single" w:sz="4" w:space="0" w:color="auto"/>
            </w:tcBorders>
            <w:shd w:val="clear" w:color="000000" w:fill="C6EFCE"/>
            <w:noWrap/>
            <w:vAlign w:val="center"/>
          </w:tcPr>
          <w:p w14:paraId="718813DA"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Etapă</w:t>
            </w:r>
          </w:p>
        </w:tc>
        <w:tc>
          <w:tcPr>
            <w:tcW w:w="2366" w:type="dxa"/>
            <w:tcBorders>
              <w:top w:val="nil"/>
              <w:left w:val="nil"/>
              <w:bottom w:val="single" w:sz="4" w:space="0" w:color="auto"/>
              <w:right w:val="single" w:sz="4" w:space="0" w:color="auto"/>
            </w:tcBorders>
            <w:shd w:val="clear" w:color="000000" w:fill="C6EFCE"/>
            <w:noWrap/>
            <w:vAlign w:val="center"/>
          </w:tcPr>
          <w:p w14:paraId="0C6E79F9"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Reabilitarea terenurilor – lege-cadru</w:t>
            </w:r>
          </w:p>
        </w:tc>
      </w:tr>
      <w:tr w:rsidR="00C45D59" w14:paraId="1C89C4C3" w14:textId="77777777">
        <w:trPr>
          <w:trHeight w:val="302"/>
          <w:jc w:val="center"/>
        </w:trPr>
        <w:tc>
          <w:tcPr>
            <w:tcW w:w="675" w:type="dxa"/>
            <w:tcBorders>
              <w:top w:val="nil"/>
              <w:left w:val="single" w:sz="4" w:space="0" w:color="auto"/>
              <w:bottom w:val="single" w:sz="4" w:space="0" w:color="auto"/>
              <w:right w:val="single" w:sz="4" w:space="0" w:color="auto"/>
            </w:tcBorders>
            <w:shd w:val="clear" w:color="000000" w:fill="C6EFCE"/>
            <w:noWrap/>
            <w:vAlign w:val="center"/>
          </w:tcPr>
          <w:p w14:paraId="052CD47A" w14:textId="77777777" w:rsidR="00C45D59" w:rsidRDefault="009B0962">
            <w:pPr>
              <w:pStyle w:val="P68B1DB1-Normal55"/>
              <w:keepNext/>
              <w:spacing w:before="40" w:after="0" w:line="259" w:lineRule="auto"/>
              <w:jc w:val="both"/>
              <w:rPr>
                <w:rFonts w:eastAsia="Times New Roman" w:cs="Times New Roman"/>
                <w:noProof/>
                <w:szCs w:val="18"/>
              </w:rPr>
            </w:pPr>
            <w:r>
              <w:rPr>
                <w:noProof/>
              </w:rPr>
              <w:t>130</w:t>
            </w:r>
          </w:p>
        </w:tc>
        <w:tc>
          <w:tcPr>
            <w:tcW w:w="5730" w:type="dxa"/>
            <w:tcBorders>
              <w:top w:val="nil"/>
              <w:left w:val="nil"/>
              <w:bottom w:val="single" w:sz="4" w:space="0" w:color="auto"/>
              <w:right w:val="single" w:sz="4" w:space="0" w:color="auto"/>
            </w:tcBorders>
            <w:shd w:val="clear" w:color="000000" w:fill="C6EFCE"/>
            <w:noWrap/>
            <w:vAlign w:val="center"/>
          </w:tcPr>
          <w:p w14:paraId="23E00F62"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7-2.3. Digitalizarea întreprinderilor – 16706_Transformarea digitală a IMM-urilor</w:t>
            </w:r>
          </w:p>
        </w:tc>
        <w:tc>
          <w:tcPr>
            <w:tcW w:w="1066" w:type="dxa"/>
            <w:tcBorders>
              <w:top w:val="nil"/>
              <w:left w:val="nil"/>
              <w:bottom w:val="single" w:sz="4" w:space="0" w:color="auto"/>
              <w:right w:val="single" w:sz="4" w:space="0" w:color="auto"/>
            </w:tcBorders>
            <w:shd w:val="clear" w:color="000000" w:fill="C6EFCE"/>
            <w:noWrap/>
            <w:vAlign w:val="center"/>
          </w:tcPr>
          <w:p w14:paraId="65BAEBE1"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Etapă</w:t>
            </w:r>
          </w:p>
        </w:tc>
        <w:tc>
          <w:tcPr>
            <w:tcW w:w="2366" w:type="dxa"/>
            <w:tcBorders>
              <w:top w:val="nil"/>
              <w:left w:val="nil"/>
              <w:bottom w:val="single" w:sz="4" w:space="0" w:color="auto"/>
              <w:right w:val="single" w:sz="4" w:space="0" w:color="auto"/>
            </w:tcBorders>
            <w:shd w:val="clear" w:color="000000" w:fill="C6EFCE"/>
            <w:noWrap/>
            <w:vAlign w:val="center"/>
          </w:tcPr>
          <w:p w14:paraId="4EF8094E"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Transformarea digitală a IMM-urilor – cereri de propuneri</w:t>
            </w:r>
          </w:p>
        </w:tc>
      </w:tr>
      <w:tr w:rsidR="00C45D59" w14:paraId="47B24D73" w14:textId="77777777">
        <w:trPr>
          <w:trHeight w:val="302"/>
          <w:jc w:val="center"/>
        </w:trPr>
        <w:tc>
          <w:tcPr>
            <w:tcW w:w="675" w:type="dxa"/>
            <w:tcBorders>
              <w:top w:val="nil"/>
              <w:left w:val="single" w:sz="4" w:space="0" w:color="auto"/>
              <w:bottom w:val="single" w:sz="4" w:space="0" w:color="auto"/>
              <w:right w:val="single" w:sz="4" w:space="0" w:color="auto"/>
            </w:tcBorders>
            <w:shd w:val="clear" w:color="000000" w:fill="C6EFCE"/>
            <w:noWrap/>
            <w:vAlign w:val="center"/>
          </w:tcPr>
          <w:p w14:paraId="6C4E34FE" w14:textId="77777777" w:rsidR="00C45D59" w:rsidRDefault="009B0962">
            <w:pPr>
              <w:pStyle w:val="P68B1DB1-Normal55"/>
              <w:keepNext/>
              <w:spacing w:before="40" w:after="0" w:line="259" w:lineRule="auto"/>
              <w:jc w:val="both"/>
              <w:rPr>
                <w:rFonts w:eastAsia="Times New Roman" w:cs="Times New Roman"/>
                <w:noProof/>
                <w:szCs w:val="18"/>
              </w:rPr>
            </w:pPr>
            <w:r>
              <w:rPr>
                <w:noProof/>
              </w:rPr>
              <w:t>174</w:t>
            </w:r>
          </w:p>
        </w:tc>
        <w:tc>
          <w:tcPr>
            <w:tcW w:w="5730" w:type="dxa"/>
            <w:tcBorders>
              <w:top w:val="nil"/>
              <w:left w:val="nil"/>
              <w:bottom w:val="single" w:sz="4" w:space="0" w:color="auto"/>
              <w:right w:val="single" w:sz="4" w:space="0" w:color="auto"/>
            </w:tcBorders>
            <w:shd w:val="clear" w:color="000000" w:fill="C6EFCE"/>
            <w:noWrap/>
            <w:vAlign w:val="center"/>
          </w:tcPr>
          <w:p w14:paraId="0F53F168"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11-3.4. Creșterea accesului la politici sociale eficace și favorabile incluziunii – 16904_Handicap</w:t>
            </w:r>
          </w:p>
        </w:tc>
        <w:tc>
          <w:tcPr>
            <w:tcW w:w="1066" w:type="dxa"/>
            <w:tcBorders>
              <w:top w:val="nil"/>
              <w:left w:val="nil"/>
              <w:bottom w:val="single" w:sz="4" w:space="0" w:color="auto"/>
              <w:right w:val="single" w:sz="4" w:space="0" w:color="auto"/>
            </w:tcBorders>
            <w:shd w:val="clear" w:color="000000" w:fill="C6EFCE"/>
            <w:noWrap/>
            <w:vAlign w:val="center"/>
          </w:tcPr>
          <w:p w14:paraId="2260E372"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Etapă</w:t>
            </w:r>
          </w:p>
        </w:tc>
        <w:tc>
          <w:tcPr>
            <w:tcW w:w="2366" w:type="dxa"/>
            <w:tcBorders>
              <w:top w:val="nil"/>
              <w:left w:val="nil"/>
              <w:bottom w:val="single" w:sz="4" w:space="0" w:color="auto"/>
              <w:right w:val="single" w:sz="4" w:space="0" w:color="auto"/>
            </w:tcBorders>
            <w:shd w:val="clear" w:color="000000" w:fill="C6EFCE"/>
            <w:noWrap/>
            <w:vAlign w:val="center"/>
          </w:tcPr>
          <w:p w14:paraId="7A025CE2"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Legislația privind asistența personală pentru persoanele cu handicap și punerea în aplicare a proiectului-pilot din prima fază</w:t>
            </w:r>
          </w:p>
        </w:tc>
      </w:tr>
      <w:tr w:rsidR="00C45D59" w14:paraId="6267D8A7" w14:textId="77777777">
        <w:trPr>
          <w:trHeight w:val="302"/>
          <w:jc w:val="center"/>
        </w:trPr>
        <w:tc>
          <w:tcPr>
            <w:tcW w:w="675" w:type="dxa"/>
            <w:tcBorders>
              <w:top w:val="nil"/>
              <w:left w:val="single" w:sz="4" w:space="0" w:color="auto"/>
              <w:bottom w:val="single" w:sz="4" w:space="0" w:color="auto"/>
              <w:right w:val="single" w:sz="4" w:space="0" w:color="auto"/>
            </w:tcBorders>
            <w:shd w:val="clear" w:color="000000" w:fill="C6EFCE"/>
            <w:noWrap/>
            <w:vAlign w:val="center"/>
          </w:tcPr>
          <w:p w14:paraId="1E521EA7" w14:textId="77777777" w:rsidR="00C45D59" w:rsidRDefault="009B0962">
            <w:pPr>
              <w:pStyle w:val="P68B1DB1-Normal55"/>
              <w:keepNext/>
              <w:spacing w:before="40" w:after="0" w:line="259" w:lineRule="auto"/>
              <w:jc w:val="both"/>
              <w:rPr>
                <w:rFonts w:eastAsia="Times New Roman" w:cs="Times New Roman"/>
                <w:noProof/>
                <w:szCs w:val="18"/>
              </w:rPr>
            </w:pPr>
            <w:r>
              <w:rPr>
                <w:noProof/>
              </w:rPr>
              <w:t>188</w:t>
            </w:r>
          </w:p>
        </w:tc>
        <w:tc>
          <w:tcPr>
            <w:tcW w:w="5730" w:type="dxa"/>
            <w:tcBorders>
              <w:top w:val="nil"/>
              <w:left w:val="nil"/>
              <w:bottom w:val="single" w:sz="4" w:space="0" w:color="auto"/>
              <w:right w:val="single" w:sz="4" w:space="0" w:color="auto"/>
            </w:tcBorders>
            <w:shd w:val="clear" w:color="000000" w:fill="C6EFCE"/>
            <w:noWrap/>
            <w:vAlign w:val="center"/>
          </w:tcPr>
          <w:p w14:paraId="4F6EB965"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12-4.1. O fiscalitate mai favorabilă creșterii economice și o mai bună administrare fiscală și colectare a impozitelor – 16614_Casele de marcat online &amp; POS (reformă)</w:t>
            </w:r>
          </w:p>
        </w:tc>
        <w:tc>
          <w:tcPr>
            <w:tcW w:w="1066" w:type="dxa"/>
            <w:tcBorders>
              <w:top w:val="nil"/>
              <w:left w:val="nil"/>
              <w:bottom w:val="single" w:sz="4" w:space="0" w:color="auto"/>
              <w:right w:val="single" w:sz="4" w:space="0" w:color="auto"/>
            </w:tcBorders>
            <w:shd w:val="clear" w:color="000000" w:fill="C6EFCE"/>
            <w:noWrap/>
            <w:vAlign w:val="center"/>
          </w:tcPr>
          <w:p w14:paraId="65CB3187"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Etapă</w:t>
            </w:r>
          </w:p>
        </w:tc>
        <w:tc>
          <w:tcPr>
            <w:tcW w:w="2366" w:type="dxa"/>
            <w:tcBorders>
              <w:top w:val="nil"/>
              <w:left w:val="nil"/>
              <w:bottom w:val="single" w:sz="4" w:space="0" w:color="auto"/>
              <w:right w:val="single" w:sz="4" w:space="0" w:color="auto"/>
            </w:tcBorders>
            <w:shd w:val="clear" w:color="000000" w:fill="C6EFCE"/>
            <w:noWrap/>
            <w:vAlign w:val="center"/>
          </w:tcPr>
          <w:p w14:paraId="3F380014"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Autoritatea Independentă pentru Venituri Publice (AIVP): Case de marcat online &amp; Point-of-Sale (POS) – Intrarea în vigoare a cadrului juridic</w:t>
            </w:r>
          </w:p>
        </w:tc>
      </w:tr>
      <w:tr w:rsidR="00C45D59" w14:paraId="73E4358F" w14:textId="77777777">
        <w:trPr>
          <w:trHeight w:val="302"/>
          <w:jc w:val="center"/>
        </w:trPr>
        <w:tc>
          <w:tcPr>
            <w:tcW w:w="675" w:type="dxa"/>
            <w:tcBorders>
              <w:top w:val="nil"/>
              <w:left w:val="single" w:sz="4" w:space="0" w:color="auto"/>
              <w:bottom w:val="single" w:sz="4" w:space="0" w:color="auto"/>
              <w:right w:val="single" w:sz="4" w:space="0" w:color="auto"/>
            </w:tcBorders>
            <w:shd w:val="clear" w:color="000000" w:fill="C6EFCE"/>
            <w:noWrap/>
            <w:vAlign w:val="center"/>
          </w:tcPr>
          <w:p w14:paraId="44EF7342" w14:textId="77777777" w:rsidR="00C45D59" w:rsidRDefault="009B0962">
            <w:pPr>
              <w:pStyle w:val="P68B1DB1-Normal55"/>
              <w:keepNext/>
              <w:spacing w:before="40" w:after="0" w:line="259" w:lineRule="auto"/>
              <w:jc w:val="both"/>
              <w:rPr>
                <w:rFonts w:eastAsia="Times New Roman" w:cs="Times New Roman"/>
                <w:noProof/>
                <w:szCs w:val="18"/>
              </w:rPr>
            </w:pPr>
            <w:r>
              <w:rPr>
                <w:noProof/>
              </w:rPr>
              <w:t>190</w:t>
            </w:r>
          </w:p>
        </w:tc>
        <w:tc>
          <w:tcPr>
            <w:tcW w:w="5730" w:type="dxa"/>
            <w:tcBorders>
              <w:top w:val="nil"/>
              <w:left w:val="nil"/>
              <w:bottom w:val="single" w:sz="4" w:space="0" w:color="auto"/>
              <w:right w:val="single" w:sz="4" w:space="0" w:color="auto"/>
            </w:tcBorders>
            <w:shd w:val="clear" w:color="000000" w:fill="C6EFCE"/>
            <w:noWrap/>
            <w:vAlign w:val="center"/>
          </w:tcPr>
          <w:p w14:paraId="312576BB"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12-4.1. O fiscalitate mai favorabilă creșterii economice și o mai bună administrare fiscală și colectare a impozitelor – 16656_Un nou cadru pentru combaterea contrabandei, în special pentru produsele supuse accizelor (tutun, alcool și energie)</w:t>
            </w:r>
          </w:p>
        </w:tc>
        <w:tc>
          <w:tcPr>
            <w:tcW w:w="1066" w:type="dxa"/>
            <w:tcBorders>
              <w:top w:val="nil"/>
              <w:left w:val="nil"/>
              <w:bottom w:val="single" w:sz="4" w:space="0" w:color="auto"/>
              <w:right w:val="single" w:sz="4" w:space="0" w:color="auto"/>
            </w:tcBorders>
            <w:shd w:val="clear" w:color="000000" w:fill="C6EFCE"/>
            <w:noWrap/>
            <w:vAlign w:val="center"/>
          </w:tcPr>
          <w:p w14:paraId="0548AFEA"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Etapă</w:t>
            </w:r>
          </w:p>
        </w:tc>
        <w:tc>
          <w:tcPr>
            <w:tcW w:w="2366" w:type="dxa"/>
            <w:tcBorders>
              <w:top w:val="nil"/>
              <w:left w:val="nil"/>
              <w:bottom w:val="single" w:sz="4" w:space="0" w:color="auto"/>
              <w:right w:val="single" w:sz="4" w:space="0" w:color="auto"/>
            </w:tcBorders>
            <w:shd w:val="clear" w:color="000000" w:fill="C6EFCE"/>
            <w:noWrap/>
            <w:vAlign w:val="center"/>
          </w:tcPr>
          <w:p w14:paraId="50915E87"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Combaterea introducerii ilegale de migranți – foaie de parcurs privind deciziile de reglementare</w:t>
            </w:r>
          </w:p>
        </w:tc>
      </w:tr>
      <w:tr w:rsidR="00C45D59" w14:paraId="19703214" w14:textId="77777777">
        <w:trPr>
          <w:trHeight w:val="302"/>
          <w:jc w:val="center"/>
        </w:trPr>
        <w:tc>
          <w:tcPr>
            <w:tcW w:w="675" w:type="dxa"/>
            <w:tcBorders>
              <w:top w:val="nil"/>
              <w:left w:val="single" w:sz="4" w:space="0" w:color="auto"/>
              <w:bottom w:val="single" w:sz="4" w:space="0" w:color="auto"/>
              <w:right w:val="single" w:sz="4" w:space="0" w:color="auto"/>
            </w:tcBorders>
            <w:shd w:val="clear" w:color="000000" w:fill="C6EFCE"/>
            <w:noWrap/>
            <w:vAlign w:val="center"/>
          </w:tcPr>
          <w:p w14:paraId="14E7AAF5" w14:textId="77777777" w:rsidR="00C45D59" w:rsidRDefault="009B0962">
            <w:pPr>
              <w:pStyle w:val="P68B1DB1-Normal55"/>
              <w:keepNext/>
              <w:spacing w:before="40" w:after="0" w:line="259" w:lineRule="auto"/>
              <w:jc w:val="both"/>
              <w:rPr>
                <w:rFonts w:eastAsia="Times New Roman" w:cs="Times New Roman"/>
                <w:noProof/>
                <w:szCs w:val="18"/>
              </w:rPr>
            </w:pPr>
            <w:r>
              <w:rPr>
                <w:noProof/>
              </w:rPr>
              <w:t>201</w:t>
            </w:r>
          </w:p>
        </w:tc>
        <w:tc>
          <w:tcPr>
            <w:tcW w:w="5730" w:type="dxa"/>
            <w:tcBorders>
              <w:top w:val="nil"/>
              <w:left w:val="nil"/>
              <w:bottom w:val="single" w:sz="4" w:space="0" w:color="auto"/>
              <w:right w:val="single" w:sz="4" w:space="0" w:color="auto"/>
            </w:tcBorders>
            <w:shd w:val="clear" w:color="000000" w:fill="C6EFCE"/>
            <w:noWrap/>
            <w:vAlign w:val="center"/>
          </w:tcPr>
          <w:p w14:paraId="16964429"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18-4.7. Îmbunătățirea competitivității și promovarea investițiilor private și a comerțului – 16598_Regimul de stimulare a productivității și a extinderii întreprinderilor (creșterea dimensiunii întreprinderilor)</w:t>
            </w:r>
          </w:p>
        </w:tc>
        <w:tc>
          <w:tcPr>
            <w:tcW w:w="1066" w:type="dxa"/>
            <w:tcBorders>
              <w:top w:val="nil"/>
              <w:left w:val="nil"/>
              <w:bottom w:val="single" w:sz="4" w:space="0" w:color="auto"/>
              <w:right w:val="single" w:sz="4" w:space="0" w:color="auto"/>
            </w:tcBorders>
            <w:shd w:val="clear" w:color="000000" w:fill="C6EFCE"/>
            <w:noWrap/>
            <w:vAlign w:val="center"/>
          </w:tcPr>
          <w:p w14:paraId="1DC1937E"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Etapă</w:t>
            </w:r>
          </w:p>
        </w:tc>
        <w:tc>
          <w:tcPr>
            <w:tcW w:w="2366" w:type="dxa"/>
            <w:tcBorders>
              <w:top w:val="nil"/>
              <w:left w:val="nil"/>
              <w:bottom w:val="single" w:sz="4" w:space="0" w:color="auto"/>
              <w:right w:val="single" w:sz="4" w:space="0" w:color="auto"/>
            </w:tcBorders>
            <w:shd w:val="clear" w:color="000000" w:fill="C6EFCE"/>
            <w:noWrap/>
            <w:vAlign w:val="center"/>
          </w:tcPr>
          <w:p w14:paraId="2643FDE6"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Legislație pentru încurajarea extroversiunii întreprinderilor</w:t>
            </w:r>
          </w:p>
        </w:tc>
      </w:tr>
      <w:tr w:rsidR="00C45D59" w14:paraId="489B1510" w14:textId="77777777">
        <w:trPr>
          <w:trHeight w:val="302"/>
          <w:jc w:val="center"/>
        </w:trPr>
        <w:tc>
          <w:tcPr>
            <w:tcW w:w="675" w:type="dxa"/>
            <w:tcBorders>
              <w:top w:val="nil"/>
              <w:left w:val="single" w:sz="4" w:space="0" w:color="auto"/>
              <w:bottom w:val="single" w:sz="4" w:space="0" w:color="auto"/>
              <w:right w:val="single" w:sz="4" w:space="0" w:color="auto"/>
            </w:tcBorders>
            <w:shd w:val="clear" w:color="000000" w:fill="C6EFCE"/>
            <w:noWrap/>
            <w:vAlign w:val="center"/>
          </w:tcPr>
          <w:p w14:paraId="003DF4B9" w14:textId="77777777" w:rsidR="00C45D59" w:rsidRDefault="009B0962">
            <w:pPr>
              <w:pStyle w:val="P68B1DB1-Normal55"/>
              <w:keepNext/>
              <w:spacing w:before="40" w:after="0" w:line="259" w:lineRule="auto"/>
              <w:jc w:val="both"/>
              <w:rPr>
                <w:rFonts w:eastAsia="Times New Roman" w:cs="Times New Roman"/>
                <w:noProof/>
                <w:szCs w:val="18"/>
              </w:rPr>
            </w:pPr>
            <w:r>
              <w:rPr>
                <w:noProof/>
              </w:rPr>
              <w:t>224</w:t>
            </w:r>
          </w:p>
        </w:tc>
        <w:tc>
          <w:tcPr>
            <w:tcW w:w="5730" w:type="dxa"/>
            <w:tcBorders>
              <w:top w:val="nil"/>
              <w:left w:val="nil"/>
              <w:bottom w:val="single" w:sz="4" w:space="0" w:color="auto"/>
              <w:right w:val="single" w:sz="4" w:space="0" w:color="auto"/>
            </w:tcBorders>
            <w:shd w:val="clear" w:color="000000" w:fill="C6EFCE"/>
            <w:noWrap/>
            <w:vAlign w:val="center"/>
          </w:tcPr>
          <w:p w14:paraId="63E20D4F"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14-4.3. Îmbunătățirea eficienței sistemului de justiție – 16733_Competențe și competențe digitale pentru judecători și angajații din sistemul judiciar (personalul din justiție)</w:t>
            </w:r>
          </w:p>
        </w:tc>
        <w:tc>
          <w:tcPr>
            <w:tcW w:w="1066" w:type="dxa"/>
            <w:tcBorders>
              <w:top w:val="nil"/>
              <w:left w:val="nil"/>
              <w:bottom w:val="single" w:sz="4" w:space="0" w:color="auto"/>
              <w:right w:val="single" w:sz="4" w:space="0" w:color="auto"/>
            </w:tcBorders>
            <w:shd w:val="clear" w:color="000000" w:fill="C6EFCE"/>
            <w:noWrap/>
            <w:vAlign w:val="center"/>
          </w:tcPr>
          <w:p w14:paraId="72258110"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Țintă</w:t>
            </w:r>
          </w:p>
        </w:tc>
        <w:tc>
          <w:tcPr>
            <w:tcW w:w="2366" w:type="dxa"/>
            <w:tcBorders>
              <w:top w:val="nil"/>
              <w:left w:val="nil"/>
              <w:bottom w:val="single" w:sz="4" w:space="0" w:color="auto"/>
              <w:right w:val="single" w:sz="4" w:space="0" w:color="auto"/>
            </w:tcBorders>
            <w:shd w:val="clear" w:color="000000" w:fill="C6EFCE"/>
            <w:noWrap/>
            <w:vAlign w:val="center"/>
          </w:tcPr>
          <w:p w14:paraId="23D54A96"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Formare – judecători și grefieri</w:t>
            </w:r>
          </w:p>
        </w:tc>
      </w:tr>
      <w:tr w:rsidR="00C45D59" w14:paraId="04156F74" w14:textId="77777777">
        <w:trPr>
          <w:trHeight w:val="302"/>
          <w:jc w:val="center"/>
        </w:trPr>
        <w:tc>
          <w:tcPr>
            <w:tcW w:w="675" w:type="dxa"/>
            <w:tcBorders>
              <w:top w:val="nil"/>
              <w:left w:val="single" w:sz="4" w:space="0" w:color="auto"/>
              <w:bottom w:val="single" w:sz="4" w:space="0" w:color="auto"/>
              <w:right w:val="single" w:sz="4" w:space="0" w:color="auto"/>
            </w:tcBorders>
            <w:shd w:val="clear" w:color="000000" w:fill="C6EFCE"/>
            <w:noWrap/>
            <w:vAlign w:val="center"/>
          </w:tcPr>
          <w:p w14:paraId="0083E5FA" w14:textId="77777777" w:rsidR="00C45D59" w:rsidRDefault="009B0962">
            <w:pPr>
              <w:pStyle w:val="P68B1DB1-Normal55"/>
              <w:keepNext/>
              <w:spacing w:before="40" w:after="0" w:line="259" w:lineRule="auto"/>
              <w:jc w:val="both"/>
              <w:rPr>
                <w:rFonts w:eastAsia="Times New Roman" w:cs="Times New Roman"/>
                <w:noProof/>
                <w:szCs w:val="18"/>
              </w:rPr>
            </w:pPr>
            <w:r>
              <w:rPr>
                <w:noProof/>
              </w:rPr>
              <w:t>245</w:t>
            </w:r>
          </w:p>
        </w:tc>
        <w:tc>
          <w:tcPr>
            <w:tcW w:w="5730" w:type="dxa"/>
            <w:tcBorders>
              <w:top w:val="nil"/>
              <w:left w:val="nil"/>
              <w:bottom w:val="single" w:sz="4" w:space="0" w:color="auto"/>
              <w:right w:val="single" w:sz="4" w:space="0" w:color="auto"/>
            </w:tcBorders>
            <w:shd w:val="clear" w:color="000000" w:fill="C6EFCE"/>
            <w:noWrap/>
            <w:vAlign w:val="center"/>
          </w:tcPr>
          <w:p w14:paraId="5F1A4F28"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16-4.5. Promovarea cercetării și inovării – 16618_Cercetare de bază &amp; aplicată</w:t>
            </w:r>
          </w:p>
        </w:tc>
        <w:tc>
          <w:tcPr>
            <w:tcW w:w="1066" w:type="dxa"/>
            <w:tcBorders>
              <w:top w:val="nil"/>
              <w:left w:val="nil"/>
              <w:bottom w:val="single" w:sz="4" w:space="0" w:color="auto"/>
              <w:right w:val="single" w:sz="4" w:space="0" w:color="auto"/>
            </w:tcBorders>
            <w:shd w:val="clear" w:color="000000" w:fill="C6EFCE"/>
            <w:noWrap/>
            <w:vAlign w:val="center"/>
          </w:tcPr>
          <w:p w14:paraId="0F5B993D"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Etapă</w:t>
            </w:r>
          </w:p>
        </w:tc>
        <w:tc>
          <w:tcPr>
            <w:tcW w:w="2366" w:type="dxa"/>
            <w:tcBorders>
              <w:top w:val="nil"/>
              <w:left w:val="nil"/>
              <w:bottom w:val="single" w:sz="4" w:space="0" w:color="auto"/>
              <w:right w:val="single" w:sz="4" w:space="0" w:color="auto"/>
            </w:tcBorders>
            <w:shd w:val="clear" w:color="000000" w:fill="C6EFCE"/>
            <w:noWrap/>
            <w:vAlign w:val="center"/>
          </w:tcPr>
          <w:p w14:paraId="481260B9"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Legislația privind cercetarea de bază &amp; aplicată</w:t>
            </w:r>
          </w:p>
        </w:tc>
      </w:tr>
      <w:tr w:rsidR="00C45D59" w14:paraId="10AFBBAF" w14:textId="77777777">
        <w:trPr>
          <w:trHeight w:val="302"/>
          <w:jc w:val="center"/>
        </w:trPr>
        <w:tc>
          <w:tcPr>
            <w:tcW w:w="675" w:type="dxa"/>
            <w:tcBorders>
              <w:top w:val="nil"/>
              <w:left w:val="single" w:sz="4" w:space="0" w:color="auto"/>
              <w:bottom w:val="single" w:sz="4" w:space="0" w:color="auto"/>
              <w:right w:val="single" w:sz="4" w:space="0" w:color="auto"/>
            </w:tcBorders>
            <w:shd w:val="clear" w:color="000000" w:fill="C6EFCE"/>
            <w:noWrap/>
            <w:vAlign w:val="center"/>
          </w:tcPr>
          <w:p w14:paraId="45616B3D" w14:textId="77777777" w:rsidR="00C45D59" w:rsidRDefault="009B0962">
            <w:pPr>
              <w:pStyle w:val="P68B1DB1-Normal55"/>
              <w:keepNext/>
              <w:spacing w:before="40" w:after="0" w:line="259" w:lineRule="auto"/>
              <w:jc w:val="both"/>
              <w:rPr>
                <w:rFonts w:eastAsia="Times New Roman" w:cs="Times New Roman"/>
                <w:noProof/>
                <w:szCs w:val="18"/>
              </w:rPr>
            </w:pPr>
            <w:r>
              <w:rPr>
                <w:noProof/>
              </w:rPr>
              <w:t>246</w:t>
            </w:r>
          </w:p>
        </w:tc>
        <w:tc>
          <w:tcPr>
            <w:tcW w:w="5730" w:type="dxa"/>
            <w:tcBorders>
              <w:top w:val="nil"/>
              <w:left w:val="nil"/>
              <w:bottom w:val="single" w:sz="4" w:space="0" w:color="auto"/>
              <w:right w:val="single" w:sz="4" w:space="0" w:color="auto"/>
            </w:tcBorders>
            <w:shd w:val="clear" w:color="000000" w:fill="C6EFCE"/>
            <w:noWrap/>
            <w:vAlign w:val="center"/>
          </w:tcPr>
          <w:p w14:paraId="455BE28B"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16-4.5. Promovarea cercetării și inovării – 16624_Creare – Extindere – Modernizarea infrastructurilor centrelor de cercetare sub supravegherea Secretariatului General pentru Cercetare și Inovare (GSRI)</w:t>
            </w:r>
          </w:p>
        </w:tc>
        <w:tc>
          <w:tcPr>
            <w:tcW w:w="1066" w:type="dxa"/>
            <w:tcBorders>
              <w:top w:val="nil"/>
              <w:left w:val="nil"/>
              <w:bottom w:val="single" w:sz="4" w:space="0" w:color="auto"/>
              <w:right w:val="single" w:sz="4" w:space="0" w:color="auto"/>
            </w:tcBorders>
            <w:shd w:val="clear" w:color="000000" w:fill="C6EFCE"/>
            <w:noWrap/>
            <w:vAlign w:val="center"/>
          </w:tcPr>
          <w:p w14:paraId="710ED119"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Etapă</w:t>
            </w:r>
          </w:p>
        </w:tc>
        <w:tc>
          <w:tcPr>
            <w:tcW w:w="2366" w:type="dxa"/>
            <w:tcBorders>
              <w:top w:val="nil"/>
              <w:left w:val="nil"/>
              <w:bottom w:val="single" w:sz="4" w:space="0" w:color="auto"/>
              <w:right w:val="single" w:sz="4" w:space="0" w:color="auto"/>
            </w:tcBorders>
            <w:shd w:val="clear" w:color="000000" w:fill="C6EFCE"/>
            <w:noWrap/>
            <w:vAlign w:val="center"/>
          </w:tcPr>
          <w:p w14:paraId="6078ADC8"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Cerere de propuneri pentru centre de cercetare</w:t>
            </w:r>
          </w:p>
        </w:tc>
      </w:tr>
      <w:tr w:rsidR="00C45D59" w14:paraId="37897172" w14:textId="77777777">
        <w:trPr>
          <w:trHeight w:val="302"/>
          <w:jc w:val="center"/>
        </w:trPr>
        <w:tc>
          <w:tcPr>
            <w:tcW w:w="675" w:type="dxa"/>
            <w:tcBorders>
              <w:top w:val="nil"/>
              <w:left w:val="single" w:sz="4" w:space="0" w:color="auto"/>
              <w:bottom w:val="single" w:sz="4" w:space="0" w:color="auto"/>
              <w:right w:val="single" w:sz="4" w:space="0" w:color="auto"/>
            </w:tcBorders>
            <w:shd w:val="clear" w:color="000000" w:fill="C6EFCE"/>
            <w:noWrap/>
            <w:vAlign w:val="center"/>
          </w:tcPr>
          <w:p w14:paraId="40BFDCE0" w14:textId="77777777" w:rsidR="00C45D59" w:rsidRDefault="009B0962">
            <w:pPr>
              <w:pStyle w:val="P68B1DB1-Normal55"/>
              <w:keepNext/>
              <w:spacing w:before="40" w:after="0" w:line="259" w:lineRule="auto"/>
              <w:jc w:val="both"/>
              <w:rPr>
                <w:rFonts w:eastAsia="Times New Roman" w:cs="Times New Roman"/>
                <w:noProof/>
                <w:szCs w:val="18"/>
              </w:rPr>
            </w:pPr>
            <w:r>
              <w:rPr>
                <w:noProof/>
              </w:rPr>
              <w:t>292</w:t>
            </w:r>
          </w:p>
        </w:tc>
        <w:tc>
          <w:tcPr>
            <w:tcW w:w="5730" w:type="dxa"/>
            <w:tcBorders>
              <w:top w:val="nil"/>
              <w:left w:val="nil"/>
              <w:bottom w:val="single" w:sz="4" w:space="0" w:color="auto"/>
              <w:right w:val="single" w:sz="4" w:space="0" w:color="auto"/>
            </w:tcBorders>
            <w:shd w:val="clear" w:color="000000" w:fill="C6EFCE"/>
            <w:noWrap/>
            <w:vAlign w:val="center"/>
          </w:tcPr>
          <w:p w14:paraId="1B894EF9"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17-4.6. Modernizarea și îmbunătățirea rezilienței sectoarelor economice cheie – 16931_Dezvoltarea turismului</w:t>
            </w:r>
          </w:p>
        </w:tc>
        <w:tc>
          <w:tcPr>
            <w:tcW w:w="1066" w:type="dxa"/>
            <w:tcBorders>
              <w:top w:val="nil"/>
              <w:left w:val="nil"/>
              <w:bottom w:val="single" w:sz="4" w:space="0" w:color="auto"/>
              <w:right w:val="single" w:sz="4" w:space="0" w:color="auto"/>
            </w:tcBorders>
            <w:shd w:val="clear" w:color="000000" w:fill="C6EFCE"/>
            <w:noWrap/>
            <w:vAlign w:val="center"/>
          </w:tcPr>
          <w:p w14:paraId="7DA778E0"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Etapă</w:t>
            </w:r>
          </w:p>
        </w:tc>
        <w:tc>
          <w:tcPr>
            <w:tcW w:w="2366" w:type="dxa"/>
            <w:tcBorders>
              <w:top w:val="nil"/>
              <w:left w:val="nil"/>
              <w:bottom w:val="single" w:sz="4" w:space="0" w:color="auto"/>
              <w:right w:val="single" w:sz="4" w:space="0" w:color="auto"/>
            </w:tcBorders>
            <w:shd w:val="clear" w:color="000000" w:fill="C6EFCE"/>
            <w:noWrap/>
            <w:vAlign w:val="center"/>
          </w:tcPr>
          <w:p w14:paraId="1CD52216"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Dezvoltarea turismului: reforme pentru porturile turistice</w:t>
            </w:r>
          </w:p>
        </w:tc>
      </w:tr>
      <w:tr w:rsidR="00C45D59" w14:paraId="6C9B8B28" w14:textId="77777777">
        <w:trPr>
          <w:trHeight w:val="302"/>
          <w:jc w:val="center"/>
        </w:trPr>
        <w:tc>
          <w:tcPr>
            <w:tcW w:w="675" w:type="dxa"/>
            <w:tcBorders>
              <w:top w:val="nil"/>
              <w:left w:val="single" w:sz="4" w:space="0" w:color="auto"/>
              <w:bottom w:val="single" w:sz="4" w:space="0" w:color="auto"/>
              <w:right w:val="single" w:sz="4" w:space="0" w:color="auto"/>
            </w:tcBorders>
            <w:shd w:val="clear" w:color="000000" w:fill="C6EFCE"/>
            <w:noWrap/>
            <w:vAlign w:val="center"/>
          </w:tcPr>
          <w:p w14:paraId="2ED1F8E2" w14:textId="77777777" w:rsidR="00C45D59" w:rsidRDefault="009B0962">
            <w:pPr>
              <w:pStyle w:val="P68B1DB1-Normal55"/>
              <w:keepNext/>
              <w:spacing w:before="40" w:after="0" w:line="259" w:lineRule="auto"/>
              <w:jc w:val="both"/>
              <w:rPr>
                <w:rFonts w:eastAsia="Times New Roman" w:cs="Times New Roman"/>
                <w:noProof/>
                <w:szCs w:val="18"/>
              </w:rPr>
            </w:pPr>
            <w:r>
              <w:rPr>
                <w:noProof/>
              </w:rPr>
              <w:t>300</w:t>
            </w:r>
          </w:p>
        </w:tc>
        <w:tc>
          <w:tcPr>
            <w:tcW w:w="5730" w:type="dxa"/>
            <w:tcBorders>
              <w:top w:val="nil"/>
              <w:left w:val="nil"/>
              <w:bottom w:val="single" w:sz="4" w:space="0" w:color="auto"/>
              <w:right w:val="single" w:sz="4" w:space="0" w:color="auto"/>
            </w:tcBorders>
            <w:shd w:val="clear" w:color="000000" w:fill="C6EFCE"/>
            <w:noWrap/>
            <w:vAlign w:val="center"/>
          </w:tcPr>
          <w:p w14:paraId="4845C11B"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17-4.6. Modernizarea și îmbunătățirea rezilienței sectoarelor economice esențiale – 16721_Accelerarea producției inteligente</w:t>
            </w:r>
          </w:p>
        </w:tc>
        <w:tc>
          <w:tcPr>
            <w:tcW w:w="1066" w:type="dxa"/>
            <w:tcBorders>
              <w:top w:val="nil"/>
              <w:left w:val="nil"/>
              <w:bottom w:val="single" w:sz="4" w:space="0" w:color="auto"/>
              <w:right w:val="single" w:sz="4" w:space="0" w:color="auto"/>
            </w:tcBorders>
            <w:shd w:val="clear" w:color="000000" w:fill="C6EFCE"/>
            <w:noWrap/>
            <w:vAlign w:val="center"/>
          </w:tcPr>
          <w:p w14:paraId="370DFBD4"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Etapă</w:t>
            </w:r>
          </w:p>
        </w:tc>
        <w:tc>
          <w:tcPr>
            <w:tcW w:w="2366" w:type="dxa"/>
            <w:tcBorders>
              <w:top w:val="nil"/>
              <w:left w:val="nil"/>
              <w:bottom w:val="single" w:sz="4" w:space="0" w:color="auto"/>
              <w:right w:val="single" w:sz="4" w:space="0" w:color="auto"/>
            </w:tcBorders>
            <w:shd w:val="clear" w:color="000000" w:fill="C6EFCE"/>
            <w:noWrap/>
            <w:vAlign w:val="center"/>
          </w:tcPr>
          <w:p w14:paraId="2E82D7BF"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Lansarea cererilor de propuneri pentru industria prelucrătoare</w:t>
            </w:r>
          </w:p>
        </w:tc>
      </w:tr>
      <w:tr w:rsidR="00C45D59" w14:paraId="6EA17739" w14:textId="77777777">
        <w:trPr>
          <w:trHeight w:val="302"/>
          <w:jc w:val="center"/>
        </w:trPr>
        <w:tc>
          <w:tcPr>
            <w:tcW w:w="675" w:type="dxa"/>
            <w:tcBorders>
              <w:top w:val="nil"/>
              <w:left w:val="single" w:sz="4" w:space="0" w:color="auto"/>
              <w:bottom w:val="single" w:sz="4" w:space="0" w:color="auto"/>
              <w:right w:val="single" w:sz="4" w:space="0" w:color="auto"/>
            </w:tcBorders>
            <w:shd w:val="clear" w:color="000000" w:fill="C6EFCE"/>
            <w:noWrap/>
            <w:vAlign w:val="center"/>
          </w:tcPr>
          <w:p w14:paraId="26367664" w14:textId="77777777" w:rsidR="00C45D59" w:rsidRDefault="009B0962">
            <w:pPr>
              <w:pStyle w:val="P68B1DB1-Normal55"/>
              <w:keepNext/>
              <w:spacing w:before="40" w:after="0" w:line="259" w:lineRule="auto"/>
              <w:jc w:val="both"/>
              <w:rPr>
                <w:rFonts w:eastAsia="Times New Roman" w:cs="Times New Roman"/>
                <w:noProof/>
                <w:szCs w:val="18"/>
              </w:rPr>
            </w:pPr>
            <w:r>
              <w:rPr>
                <w:noProof/>
              </w:rPr>
              <w:t>301</w:t>
            </w:r>
          </w:p>
        </w:tc>
        <w:tc>
          <w:tcPr>
            <w:tcW w:w="5730" w:type="dxa"/>
            <w:tcBorders>
              <w:top w:val="nil"/>
              <w:left w:val="nil"/>
              <w:bottom w:val="single" w:sz="4" w:space="0" w:color="auto"/>
              <w:right w:val="single" w:sz="4" w:space="0" w:color="auto"/>
            </w:tcBorders>
            <w:shd w:val="clear" w:color="000000" w:fill="C6EFCE"/>
            <w:noWrap/>
            <w:vAlign w:val="center"/>
          </w:tcPr>
          <w:p w14:paraId="1268B3B8"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17-4.6. Modernizarea și îmbunătățirea rezilienței sectoarelor economice esențiale – 16634_Noi parcuri industriale</w:t>
            </w:r>
          </w:p>
        </w:tc>
        <w:tc>
          <w:tcPr>
            <w:tcW w:w="1066" w:type="dxa"/>
            <w:tcBorders>
              <w:top w:val="nil"/>
              <w:left w:val="nil"/>
              <w:bottom w:val="single" w:sz="4" w:space="0" w:color="auto"/>
              <w:right w:val="single" w:sz="4" w:space="0" w:color="auto"/>
            </w:tcBorders>
            <w:shd w:val="clear" w:color="000000" w:fill="C6EFCE"/>
            <w:noWrap/>
            <w:vAlign w:val="center"/>
          </w:tcPr>
          <w:p w14:paraId="55C36811"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Etapă</w:t>
            </w:r>
          </w:p>
        </w:tc>
        <w:tc>
          <w:tcPr>
            <w:tcW w:w="2366" w:type="dxa"/>
            <w:tcBorders>
              <w:top w:val="nil"/>
              <w:left w:val="nil"/>
              <w:bottom w:val="single" w:sz="4" w:space="0" w:color="auto"/>
              <w:right w:val="single" w:sz="4" w:space="0" w:color="auto"/>
            </w:tcBorders>
            <w:shd w:val="clear" w:color="000000" w:fill="C6EFCE"/>
            <w:noWrap/>
            <w:vAlign w:val="center"/>
          </w:tcPr>
          <w:p w14:paraId="447C464B"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Lansarea cererilor de propuneri pentru parcuri industriale</w:t>
            </w:r>
          </w:p>
        </w:tc>
      </w:tr>
      <w:tr w:rsidR="00C45D59" w14:paraId="22FA48E3" w14:textId="77777777">
        <w:trPr>
          <w:trHeight w:val="302"/>
          <w:jc w:val="center"/>
        </w:trPr>
        <w:tc>
          <w:tcPr>
            <w:tcW w:w="675" w:type="dxa"/>
            <w:tcBorders>
              <w:top w:val="nil"/>
              <w:left w:val="single" w:sz="4" w:space="0" w:color="auto"/>
              <w:bottom w:val="single" w:sz="4" w:space="0" w:color="auto"/>
              <w:right w:val="single" w:sz="4" w:space="0" w:color="auto"/>
            </w:tcBorders>
            <w:shd w:val="clear" w:color="000000" w:fill="C6EFCE"/>
            <w:noWrap/>
            <w:vAlign w:val="center"/>
          </w:tcPr>
          <w:p w14:paraId="4367A697" w14:textId="77777777" w:rsidR="00C45D59" w:rsidRDefault="009B0962">
            <w:pPr>
              <w:pStyle w:val="P68B1DB1-Normal55"/>
              <w:keepNext/>
              <w:spacing w:before="40" w:after="0" w:line="259" w:lineRule="auto"/>
              <w:jc w:val="both"/>
              <w:rPr>
                <w:rFonts w:eastAsia="Times New Roman" w:cs="Times New Roman"/>
                <w:noProof/>
                <w:szCs w:val="18"/>
              </w:rPr>
            </w:pPr>
            <w:r>
              <w:rPr>
                <w:noProof/>
              </w:rPr>
              <w:t>310</w:t>
            </w:r>
          </w:p>
        </w:tc>
        <w:tc>
          <w:tcPr>
            <w:tcW w:w="5730" w:type="dxa"/>
            <w:tcBorders>
              <w:top w:val="nil"/>
              <w:left w:val="nil"/>
              <w:bottom w:val="single" w:sz="4" w:space="0" w:color="auto"/>
              <w:right w:val="single" w:sz="4" w:space="0" w:color="auto"/>
            </w:tcBorders>
            <w:shd w:val="clear" w:color="000000" w:fill="C6EFCE"/>
            <w:noWrap/>
            <w:vAlign w:val="center"/>
          </w:tcPr>
          <w:p w14:paraId="7A6EC372"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17-4.6. Modernizarea și îmbunătățirea rezilienței sectoarelor economice esențiale – 16626_Transformarea economică în sectorul agricol</w:t>
            </w:r>
          </w:p>
        </w:tc>
        <w:tc>
          <w:tcPr>
            <w:tcW w:w="1066" w:type="dxa"/>
            <w:tcBorders>
              <w:top w:val="nil"/>
              <w:left w:val="nil"/>
              <w:bottom w:val="single" w:sz="4" w:space="0" w:color="auto"/>
              <w:right w:val="single" w:sz="4" w:space="0" w:color="auto"/>
            </w:tcBorders>
            <w:shd w:val="clear" w:color="000000" w:fill="C6EFCE"/>
            <w:noWrap/>
            <w:vAlign w:val="center"/>
          </w:tcPr>
          <w:p w14:paraId="064CEF64"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Etapă</w:t>
            </w:r>
          </w:p>
        </w:tc>
        <w:tc>
          <w:tcPr>
            <w:tcW w:w="2366" w:type="dxa"/>
            <w:tcBorders>
              <w:top w:val="nil"/>
              <w:left w:val="nil"/>
              <w:bottom w:val="single" w:sz="4" w:space="0" w:color="auto"/>
              <w:right w:val="single" w:sz="4" w:space="0" w:color="auto"/>
            </w:tcBorders>
            <w:shd w:val="clear" w:color="000000" w:fill="C6EFCE"/>
            <w:noWrap/>
            <w:vAlign w:val="center"/>
          </w:tcPr>
          <w:p w14:paraId="50889649"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Transformarea economică a agriculturii: Lansarea programului</w:t>
            </w:r>
          </w:p>
        </w:tc>
      </w:tr>
      <w:tr w:rsidR="00C45D59" w14:paraId="11885686" w14:textId="77777777">
        <w:trPr>
          <w:trHeight w:val="302"/>
          <w:jc w:val="center"/>
        </w:trPr>
        <w:tc>
          <w:tcPr>
            <w:tcW w:w="675" w:type="dxa"/>
            <w:tcBorders>
              <w:top w:val="nil"/>
              <w:left w:val="single" w:sz="4" w:space="0" w:color="auto"/>
              <w:bottom w:val="single" w:sz="4" w:space="0" w:color="auto"/>
              <w:right w:val="single" w:sz="4" w:space="0" w:color="auto"/>
            </w:tcBorders>
            <w:shd w:val="clear" w:color="000000" w:fill="C6EFCE"/>
            <w:noWrap/>
            <w:vAlign w:val="center"/>
          </w:tcPr>
          <w:p w14:paraId="76CAE22F" w14:textId="77777777" w:rsidR="00C45D59" w:rsidRDefault="009B0962">
            <w:pPr>
              <w:pStyle w:val="P68B1DB1-Normal55"/>
              <w:keepNext/>
              <w:spacing w:before="40" w:after="0" w:line="259" w:lineRule="auto"/>
              <w:jc w:val="both"/>
              <w:rPr>
                <w:rFonts w:eastAsia="Times New Roman" w:cs="Times New Roman"/>
                <w:noProof/>
                <w:szCs w:val="18"/>
              </w:rPr>
            </w:pPr>
            <w:r>
              <w:rPr>
                <w:noProof/>
              </w:rPr>
              <w:t>4</w:t>
            </w:r>
          </w:p>
        </w:tc>
        <w:tc>
          <w:tcPr>
            <w:tcW w:w="5730" w:type="dxa"/>
            <w:tcBorders>
              <w:top w:val="nil"/>
              <w:left w:val="nil"/>
              <w:bottom w:val="single" w:sz="4" w:space="0" w:color="auto"/>
              <w:right w:val="single" w:sz="4" w:space="0" w:color="auto"/>
            </w:tcBorders>
            <w:shd w:val="clear" w:color="000000" w:fill="C6EFCE"/>
            <w:noWrap/>
            <w:vAlign w:val="center"/>
          </w:tcPr>
          <w:p w14:paraId="60542E57"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1-1.1. Accelerarea – 16865_Restructurarea și consolidarea veniturilor din contul de cogenerare SRE</w:t>
            </w:r>
          </w:p>
        </w:tc>
        <w:tc>
          <w:tcPr>
            <w:tcW w:w="1066" w:type="dxa"/>
            <w:tcBorders>
              <w:top w:val="nil"/>
              <w:left w:val="nil"/>
              <w:bottom w:val="single" w:sz="4" w:space="0" w:color="auto"/>
              <w:right w:val="single" w:sz="4" w:space="0" w:color="auto"/>
            </w:tcBorders>
            <w:shd w:val="clear" w:color="000000" w:fill="C6EFCE"/>
            <w:noWrap/>
            <w:vAlign w:val="center"/>
          </w:tcPr>
          <w:p w14:paraId="1882B6D2"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Etapă</w:t>
            </w:r>
          </w:p>
        </w:tc>
        <w:tc>
          <w:tcPr>
            <w:tcW w:w="2366" w:type="dxa"/>
            <w:tcBorders>
              <w:top w:val="nil"/>
              <w:left w:val="nil"/>
              <w:bottom w:val="single" w:sz="4" w:space="0" w:color="auto"/>
              <w:right w:val="single" w:sz="4" w:space="0" w:color="auto"/>
            </w:tcBorders>
            <w:shd w:val="clear" w:color="000000" w:fill="C6EFCE"/>
            <w:noWrap/>
            <w:vAlign w:val="center"/>
          </w:tcPr>
          <w:p w14:paraId="69AC4963"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Contul RES – legislație de modificare a L. 4001/2011; intrarea în vigoare a tuturor deciziilor relevante, inclusiv a codurilor, ale ministerelor, ale autorității naționale de reglementare (RAE) și ale administratorului surselor regenerabile de energie și al garanțiilor de origine (DAPEEP).</w:t>
            </w:r>
          </w:p>
        </w:tc>
      </w:tr>
      <w:tr w:rsidR="00C45D59" w14:paraId="15077B5C" w14:textId="77777777">
        <w:trPr>
          <w:trHeight w:val="302"/>
          <w:jc w:val="center"/>
        </w:trPr>
        <w:tc>
          <w:tcPr>
            <w:tcW w:w="675" w:type="dxa"/>
            <w:tcBorders>
              <w:top w:val="nil"/>
              <w:left w:val="single" w:sz="4" w:space="0" w:color="auto"/>
              <w:bottom w:val="single" w:sz="4" w:space="0" w:color="auto"/>
              <w:right w:val="single" w:sz="4" w:space="0" w:color="auto"/>
            </w:tcBorders>
            <w:shd w:val="clear" w:color="000000" w:fill="C6EFCE"/>
            <w:noWrap/>
            <w:vAlign w:val="center"/>
          </w:tcPr>
          <w:p w14:paraId="366C1A50" w14:textId="77777777" w:rsidR="00C45D59" w:rsidRDefault="009B0962">
            <w:pPr>
              <w:pStyle w:val="P68B1DB1-Normal55"/>
              <w:keepNext/>
              <w:spacing w:before="40" w:after="0" w:line="259" w:lineRule="auto"/>
              <w:jc w:val="both"/>
              <w:rPr>
                <w:rFonts w:eastAsia="Times New Roman" w:cs="Times New Roman"/>
                <w:noProof/>
                <w:szCs w:val="18"/>
              </w:rPr>
            </w:pPr>
            <w:r>
              <w:rPr>
                <w:noProof/>
              </w:rPr>
              <w:t>5</w:t>
            </w:r>
          </w:p>
        </w:tc>
        <w:tc>
          <w:tcPr>
            <w:tcW w:w="5730" w:type="dxa"/>
            <w:tcBorders>
              <w:top w:val="nil"/>
              <w:left w:val="nil"/>
              <w:bottom w:val="single" w:sz="4" w:space="0" w:color="auto"/>
              <w:right w:val="single" w:sz="4" w:space="0" w:color="auto"/>
            </w:tcBorders>
            <w:shd w:val="clear" w:color="000000" w:fill="C6EFCE"/>
            <w:noWrap/>
            <w:vAlign w:val="center"/>
          </w:tcPr>
          <w:p w14:paraId="6C3A3B69"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1-1.1. Accelerarea – 16860_Raționalizarea funcționării eficiente a noului model de piață a energiei electrice și dezvoltarea de noi centrale SRE pentru a atinge obiectivele PNEC prin punerea în aplicare a mecanismului de monitorizare, participarea consumului dispecerizabil și o reformă amplă a procedurii de acordare a licențelor pentru noile SRE</w:t>
            </w:r>
          </w:p>
        </w:tc>
        <w:tc>
          <w:tcPr>
            <w:tcW w:w="1066" w:type="dxa"/>
            <w:tcBorders>
              <w:top w:val="nil"/>
              <w:left w:val="nil"/>
              <w:bottom w:val="single" w:sz="4" w:space="0" w:color="auto"/>
              <w:right w:val="single" w:sz="4" w:space="0" w:color="auto"/>
            </w:tcBorders>
            <w:shd w:val="clear" w:color="000000" w:fill="C6EFCE"/>
            <w:noWrap/>
            <w:vAlign w:val="center"/>
          </w:tcPr>
          <w:p w14:paraId="11062EDF"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Etapă</w:t>
            </w:r>
          </w:p>
        </w:tc>
        <w:tc>
          <w:tcPr>
            <w:tcW w:w="2366" w:type="dxa"/>
            <w:tcBorders>
              <w:top w:val="nil"/>
              <w:left w:val="nil"/>
              <w:bottom w:val="single" w:sz="4" w:space="0" w:color="auto"/>
              <w:right w:val="single" w:sz="4" w:space="0" w:color="auto"/>
            </w:tcBorders>
            <w:shd w:val="clear" w:color="000000" w:fill="C6EFCE"/>
            <w:noWrap/>
            <w:vAlign w:val="center"/>
          </w:tcPr>
          <w:p w14:paraId="3540E114"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Contul SRE – reforme ale pieței și simplificarea acordării de licențe</w:t>
            </w:r>
          </w:p>
        </w:tc>
      </w:tr>
      <w:tr w:rsidR="00C45D59" w14:paraId="525C7267" w14:textId="77777777">
        <w:trPr>
          <w:trHeight w:val="302"/>
          <w:jc w:val="center"/>
        </w:trPr>
        <w:tc>
          <w:tcPr>
            <w:tcW w:w="675" w:type="dxa"/>
            <w:tcBorders>
              <w:top w:val="nil"/>
              <w:left w:val="single" w:sz="4" w:space="0" w:color="auto"/>
              <w:bottom w:val="single" w:sz="4" w:space="0" w:color="auto"/>
              <w:right w:val="single" w:sz="4" w:space="0" w:color="auto"/>
            </w:tcBorders>
            <w:shd w:val="clear" w:color="000000" w:fill="C6EFCE"/>
            <w:noWrap/>
            <w:vAlign w:val="center"/>
          </w:tcPr>
          <w:p w14:paraId="5B1429A6" w14:textId="77777777" w:rsidR="00C45D59" w:rsidRDefault="009B0962">
            <w:pPr>
              <w:pStyle w:val="P68B1DB1-Normal55"/>
              <w:keepNext/>
              <w:spacing w:before="40" w:after="0" w:line="259" w:lineRule="auto"/>
              <w:jc w:val="both"/>
              <w:rPr>
                <w:rFonts w:eastAsia="Times New Roman" w:cs="Times New Roman"/>
                <w:noProof/>
                <w:szCs w:val="18"/>
              </w:rPr>
            </w:pPr>
            <w:r>
              <w:rPr>
                <w:noProof/>
              </w:rPr>
              <w:t>138</w:t>
            </w:r>
          </w:p>
        </w:tc>
        <w:tc>
          <w:tcPr>
            <w:tcW w:w="5730" w:type="dxa"/>
            <w:tcBorders>
              <w:top w:val="nil"/>
              <w:left w:val="nil"/>
              <w:bottom w:val="single" w:sz="4" w:space="0" w:color="auto"/>
              <w:right w:val="single" w:sz="4" w:space="0" w:color="auto"/>
            </w:tcBorders>
            <w:shd w:val="clear" w:color="000000" w:fill="C6EFCE"/>
            <w:noWrap/>
            <w:vAlign w:val="center"/>
          </w:tcPr>
          <w:p w14:paraId="2F8EAC1C"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9-3.2. Educație, educație și formare profesională și competențe – 16913_O nouă strategie pentru învățarea pe tot parcursul vieții: Modernizarea și actualizarea sistemului de perfecționare și reconversie profesională al Greciei</w:t>
            </w:r>
          </w:p>
        </w:tc>
        <w:tc>
          <w:tcPr>
            <w:tcW w:w="1066" w:type="dxa"/>
            <w:tcBorders>
              <w:top w:val="nil"/>
              <w:left w:val="nil"/>
              <w:bottom w:val="single" w:sz="4" w:space="0" w:color="auto"/>
              <w:right w:val="single" w:sz="4" w:space="0" w:color="auto"/>
            </w:tcBorders>
            <w:shd w:val="clear" w:color="000000" w:fill="C6EFCE"/>
            <w:noWrap/>
            <w:vAlign w:val="center"/>
          </w:tcPr>
          <w:p w14:paraId="0F6D69BE"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Etapă</w:t>
            </w:r>
          </w:p>
        </w:tc>
        <w:tc>
          <w:tcPr>
            <w:tcW w:w="2366" w:type="dxa"/>
            <w:tcBorders>
              <w:top w:val="nil"/>
              <w:left w:val="nil"/>
              <w:bottom w:val="single" w:sz="4" w:space="0" w:color="auto"/>
              <w:right w:val="single" w:sz="4" w:space="0" w:color="auto"/>
            </w:tcBorders>
            <w:shd w:val="clear" w:color="000000" w:fill="C6EFCE"/>
            <w:noWrap/>
            <w:vAlign w:val="center"/>
          </w:tcPr>
          <w:p w14:paraId="737E6102"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Strategia de învățare pe tot parcursul vieții – intrarea în vigoare a legislației</w:t>
            </w:r>
          </w:p>
        </w:tc>
      </w:tr>
      <w:tr w:rsidR="00C45D59" w14:paraId="7949353C" w14:textId="77777777">
        <w:trPr>
          <w:trHeight w:val="302"/>
          <w:jc w:val="center"/>
        </w:trPr>
        <w:tc>
          <w:tcPr>
            <w:tcW w:w="675" w:type="dxa"/>
            <w:tcBorders>
              <w:top w:val="nil"/>
              <w:left w:val="single" w:sz="4" w:space="0" w:color="auto"/>
              <w:bottom w:val="single" w:sz="4" w:space="0" w:color="auto"/>
              <w:right w:val="single" w:sz="4" w:space="0" w:color="auto"/>
            </w:tcBorders>
            <w:shd w:val="clear" w:color="000000" w:fill="C6EFCE"/>
            <w:noWrap/>
            <w:vAlign w:val="center"/>
          </w:tcPr>
          <w:p w14:paraId="3F9DA9D1" w14:textId="77777777" w:rsidR="00C45D59" w:rsidRDefault="009B0962">
            <w:pPr>
              <w:pStyle w:val="P68B1DB1-Normal55"/>
              <w:keepNext/>
              <w:spacing w:before="40" w:after="0" w:line="259" w:lineRule="auto"/>
              <w:jc w:val="both"/>
              <w:rPr>
                <w:rFonts w:eastAsia="Times New Roman" w:cs="Times New Roman"/>
                <w:noProof/>
                <w:szCs w:val="18"/>
              </w:rPr>
            </w:pPr>
            <w:r>
              <w:rPr>
                <w:noProof/>
              </w:rPr>
              <w:t>202</w:t>
            </w:r>
          </w:p>
        </w:tc>
        <w:tc>
          <w:tcPr>
            <w:tcW w:w="5730" w:type="dxa"/>
            <w:tcBorders>
              <w:top w:val="nil"/>
              <w:left w:val="nil"/>
              <w:bottom w:val="single" w:sz="4" w:space="0" w:color="auto"/>
              <w:right w:val="single" w:sz="4" w:space="0" w:color="auto"/>
            </w:tcBorders>
            <w:shd w:val="clear" w:color="000000" w:fill="C6EFCE"/>
            <w:noWrap/>
            <w:vAlign w:val="center"/>
          </w:tcPr>
          <w:p w14:paraId="1E888CF2"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 xml:space="preserve"> 4.1. O fiscalitate mai favorabilă creșterii economice și o mai bună administrare fiscală și colectare a impozitelor – 16643_Codificarea și simplificarea legislației fiscale</w:t>
            </w:r>
          </w:p>
        </w:tc>
        <w:tc>
          <w:tcPr>
            <w:tcW w:w="1066" w:type="dxa"/>
            <w:tcBorders>
              <w:top w:val="nil"/>
              <w:left w:val="nil"/>
              <w:bottom w:val="single" w:sz="4" w:space="0" w:color="auto"/>
              <w:right w:val="single" w:sz="4" w:space="0" w:color="auto"/>
            </w:tcBorders>
            <w:shd w:val="clear" w:color="000000" w:fill="C6EFCE"/>
            <w:noWrap/>
            <w:vAlign w:val="center"/>
          </w:tcPr>
          <w:p w14:paraId="7793E778"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Etapă</w:t>
            </w:r>
          </w:p>
        </w:tc>
        <w:tc>
          <w:tcPr>
            <w:tcW w:w="2366" w:type="dxa"/>
            <w:tcBorders>
              <w:top w:val="nil"/>
              <w:left w:val="nil"/>
              <w:bottom w:val="single" w:sz="4" w:space="0" w:color="auto"/>
              <w:right w:val="single" w:sz="4" w:space="0" w:color="auto"/>
            </w:tcBorders>
            <w:shd w:val="clear" w:color="000000" w:fill="C6EFCE"/>
            <w:noWrap/>
            <w:vAlign w:val="center"/>
          </w:tcPr>
          <w:p w14:paraId="0023D258"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Creșterea capacității de codificare fiscală</w:t>
            </w:r>
          </w:p>
        </w:tc>
      </w:tr>
      <w:tr w:rsidR="00C45D59" w14:paraId="1BBE14BF" w14:textId="77777777">
        <w:trPr>
          <w:trHeight w:val="302"/>
          <w:jc w:val="center"/>
        </w:trPr>
        <w:tc>
          <w:tcPr>
            <w:tcW w:w="675" w:type="dxa"/>
            <w:tcBorders>
              <w:top w:val="nil"/>
              <w:left w:val="single" w:sz="4" w:space="0" w:color="auto"/>
              <w:bottom w:val="single" w:sz="4" w:space="0" w:color="auto"/>
              <w:right w:val="single" w:sz="4" w:space="0" w:color="auto"/>
            </w:tcBorders>
            <w:shd w:val="clear" w:color="000000" w:fill="C6EFCE"/>
            <w:noWrap/>
            <w:vAlign w:val="center"/>
          </w:tcPr>
          <w:p w14:paraId="088C32A4" w14:textId="77777777" w:rsidR="00C45D59" w:rsidRDefault="009B0962">
            <w:pPr>
              <w:pStyle w:val="P68B1DB1-Normal55"/>
              <w:keepNext/>
              <w:spacing w:before="40" w:after="0" w:line="259" w:lineRule="auto"/>
              <w:jc w:val="both"/>
              <w:rPr>
                <w:rFonts w:eastAsia="Times New Roman" w:cs="Times New Roman"/>
                <w:noProof/>
                <w:szCs w:val="18"/>
              </w:rPr>
            </w:pPr>
            <w:r>
              <w:rPr>
                <w:noProof/>
              </w:rPr>
              <w:t>205</w:t>
            </w:r>
          </w:p>
        </w:tc>
        <w:tc>
          <w:tcPr>
            <w:tcW w:w="5730" w:type="dxa"/>
            <w:tcBorders>
              <w:top w:val="nil"/>
              <w:left w:val="nil"/>
              <w:bottom w:val="single" w:sz="4" w:space="0" w:color="auto"/>
              <w:right w:val="single" w:sz="4" w:space="0" w:color="auto"/>
            </w:tcBorders>
            <w:shd w:val="clear" w:color="000000" w:fill="C6EFCE"/>
            <w:noWrap/>
            <w:vAlign w:val="center"/>
          </w:tcPr>
          <w:p w14:paraId="057F7867"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13-4.2. Modernizarea administrației publice, inclusiv prin accelerarea punerii în aplicare a investițiilor publice, îmbunătățirea cadrului privind achizițiile publice, măsuri de consolidare a capacităților și combaterea corupției – 16972_Reformarea administrației publice</w:t>
            </w:r>
          </w:p>
        </w:tc>
        <w:tc>
          <w:tcPr>
            <w:tcW w:w="1066" w:type="dxa"/>
            <w:tcBorders>
              <w:top w:val="nil"/>
              <w:left w:val="nil"/>
              <w:bottom w:val="single" w:sz="4" w:space="0" w:color="auto"/>
              <w:right w:val="single" w:sz="4" w:space="0" w:color="auto"/>
            </w:tcBorders>
            <w:shd w:val="clear" w:color="000000" w:fill="C6EFCE"/>
            <w:noWrap/>
            <w:vAlign w:val="center"/>
          </w:tcPr>
          <w:p w14:paraId="063AAB16"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Etapă</w:t>
            </w:r>
          </w:p>
        </w:tc>
        <w:tc>
          <w:tcPr>
            <w:tcW w:w="2366" w:type="dxa"/>
            <w:tcBorders>
              <w:top w:val="nil"/>
              <w:left w:val="nil"/>
              <w:bottom w:val="single" w:sz="4" w:space="0" w:color="auto"/>
              <w:right w:val="single" w:sz="4" w:space="0" w:color="auto"/>
            </w:tcBorders>
            <w:shd w:val="clear" w:color="000000" w:fill="C6EFCE"/>
            <w:noWrap/>
            <w:vAlign w:val="center"/>
          </w:tcPr>
          <w:p w14:paraId="13C23027"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Administrația publică – lansarea sistemului de performance-pay</w:t>
            </w:r>
          </w:p>
        </w:tc>
      </w:tr>
      <w:tr w:rsidR="00C45D59" w14:paraId="3E02A66B" w14:textId="77777777">
        <w:trPr>
          <w:trHeight w:val="302"/>
          <w:jc w:val="center"/>
        </w:trPr>
        <w:tc>
          <w:tcPr>
            <w:tcW w:w="675" w:type="dxa"/>
            <w:tcBorders>
              <w:top w:val="nil"/>
              <w:left w:val="single" w:sz="4" w:space="0" w:color="auto"/>
              <w:bottom w:val="single" w:sz="4" w:space="0" w:color="auto"/>
              <w:right w:val="single" w:sz="4" w:space="0" w:color="auto"/>
            </w:tcBorders>
            <w:shd w:val="clear" w:color="000000" w:fill="C6EFCE"/>
            <w:noWrap/>
            <w:vAlign w:val="center"/>
          </w:tcPr>
          <w:p w14:paraId="662EAF49" w14:textId="77777777" w:rsidR="00C45D59" w:rsidRDefault="009B0962">
            <w:pPr>
              <w:pStyle w:val="P68B1DB1-Normal55"/>
              <w:keepNext/>
              <w:spacing w:before="40" w:after="0" w:line="259" w:lineRule="auto"/>
              <w:jc w:val="both"/>
              <w:rPr>
                <w:rFonts w:eastAsia="Times New Roman" w:cs="Times New Roman"/>
                <w:noProof/>
                <w:szCs w:val="18"/>
              </w:rPr>
            </w:pPr>
            <w:r>
              <w:rPr>
                <w:noProof/>
              </w:rPr>
              <w:t>254</w:t>
            </w:r>
          </w:p>
        </w:tc>
        <w:tc>
          <w:tcPr>
            <w:tcW w:w="5730" w:type="dxa"/>
            <w:tcBorders>
              <w:top w:val="nil"/>
              <w:left w:val="nil"/>
              <w:bottom w:val="single" w:sz="4" w:space="0" w:color="auto"/>
              <w:right w:val="single" w:sz="4" w:space="0" w:color="auto"/>
            </w:tcBorders>
            <w:shd w:val="clear" w:color="000000" w:fill="C6EFCE"/>
            <w:noWrap/>
            <w:vAlign w:val="center"/>
          </w:tcPr>
          <w:p w14:paraId="280783CC"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17-4.6. Modernizarea și îmbunătățirea rezilienței sectoarelor economice cheie – 16628_Autostrada E-65 din Grecia Centrală: Secțiunea Trikala-Egnatia</w:t>
            </w:r>
          </w:p>
        </w:tc>
        <w:tc>
          <w:tcPr>
            <w:tcW w:w="1066" w:type="dxa"/>
            <w:tcBorders>
              <w:top w:val="nil"/>
              <w:left w:val="nil"/>
              <w:bottom w:val="single" w:sz="4" w:space="0" w:color="auto"/>
              <w:right w:val="single" w:sz="4" w:space="0" w:color="auto"/>
            </w:tcBorders>
            <w:shd w:val="clear" w:color="000000" w:fill="C6EFCE"/>
            <w:noWrap/>
            <w:vAlign w:val="center"/>
          </w:tcPr>
          <w:p w14:paraId="435801C0"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Etapă</w:t>
            </w:r>
          </w:p>
        </w:tc>
        <w:tc>
          <w:tcPr>
            <w:tcW w:w="2366" w:type="dxa"/>
            <w:tcBorders>
              <w:top w:val="nil"/>
              <w:left w:val="nil"/>
              <w:bottom w:val="single" w:sz="4" w:space="0" w:color="auto"/>
              <w:right w:val="single" w:sz="4" w:space="0" w:color="auto"/>
            </w:tcBorders>
            <w:shd w:val="clear" w:color="000000" w:fill="C6EFCE"/>
            <w:noWrap/>
            <w:vAlign w:val="center"/>
          </w:tcPr>
          <w:p w14:paraId="2247F805"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Începerea lucrărilor de construcție în E-65</w:t>
            </w:r>
          </w:p>
        </w:tc>
      </w:tr>
      <w:tr w:rsidR="00C45D59" w14:paraId="3C969992" w14:textId="77777777">
        <w:trPr>
          <w:trHeight w:val="302"/>
          <w:jc w:val="center"/>
        </w:trPr>
        <w:tc>
          <w:tcPr>
            <w:tcW w:w="675" w:type="dxa"/>
            <w:tcBorders>
              <w:top w:val="single" w:sz="4" w:space="0" w:color="auto"/>
              <w:left w:val="single" w:sz="4" w:space="0" w:color="auto"/>
              <w:bottom w:val="single" w:sz="4" w:space="0" w:color="auto"/>
              <w:right w:val="single" w:sz="4" w:space="0" w:color="auto"/>
            </w:tcBorders>
            <w:shd w:val="clear" w:color="000000" w:fill="C6EFCE"/>
            <w:noWrap/>
            <w:vAlign w:val="center"/>
          </w:tcPr>
          <w:p w14:paraId="06B71F1B" w14:textId="77777777" w:rsidR="00C45D59" w:rsidRDefault="009B0962">
            <w:pPr>
              <w:pStyle w:val="P68B1DB1-Normal55"/>
              <w:keepNext/>
              <w:spacing w:before="40" w:after="0" w:line="259" w:lineRule="auto"/>
              <w:jc w:val="both"/>
              <w:rPr>
                <w:rFonts w:eastAsia="Times New Roman" w:cs="Times New Roman"/>
                <w:noProof/>
                <w:szCs w:val="18"/>
              </w:rPr>
            </w:pPr>
            <w:r>
              <w:rPr>
                <w:noProof/>
              </w:rPr>
              <w:t>264</w:t>
            </w:r>
          </w:p>
        </w:tc>
        <w:tc>
          <w:tcPr>
            <w:tcW w:w="5730" w:type="dxa"/>
            <w:tcBorders>
              <w:top w:val="single" w:sz="4" w:space="0" w:color="auto"/>
              <w:left w:val="nil"/>
              <w:bottom w:val="single" w:sz="4" w:space="0" w:color="auto"/>
              <w:right w:val="single" w:sz="4" w:space="0" w:color="auto"/>
            </w:tcBorders>
            <w:shd w:val="clear" w:color="000000" w:fill="C6EFCE"/>
            <w:noWrap/>
            <w:vAlign w:val="center"/>
          </w:tcPr>
          <w:p w14:paraId="3A31062E"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17-4.6. Modernizarea și îmbunătățirea rezilienței sectoarelor economice cheie – 16982_Reforma organizațională în sectorul feroviar</w:t>
            </w:r>
          </w:p>
        </w:tc>
        <w:tc>
          <w:tcPr>
            <w:tcW w:w="1066" w:type="dxa"/>
            <w:tcBorders>
              <w:top w:val="single" w:sz="4" w:space="0" w:color="auto"/>
              <w:left w:val="nil"/>
              <w:bottom w:val="single" w:sz="4" w:space="0" w:color="auto"/>
              <w:right w:val="single" w:sz="4" w:space="0" w:color="auto"/>
            </w:tcBorders>
            <w:shd w:val="clear" w:color="000000" w:fill="C6EFCE"/>
            <w:noWrap/>
            <w:vAlign w:val="center"/>
          </w:tcPr>
          <w:p w14:paraId="05C6F578"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Etapă</w:t>
            </w:r>
          </w:p>
        </w:tc>
        <w:tc>
          <w:tcPr>
            <w:tcW w:w="2366" w:type="dxa"/>
            <w:tcBorders>
              <w:top w:val="single" w:sz="4" w:space="0" w:color="auto"/>
              <w:left w:val="nil"/>
              <w:bottom w:val="single" w:sz="4" w:space="0" w:color="auto"/>
              <w:right w:val="single" w:sz="4" w:space="0" w:color="auto"/>
            </w:tcBorders>
            <w:shd w:val="clear" w:color="000000" w:fill="C6EFCE"/>
            <w:noWrap/>
            <w:vAlign w:val="center"/>
          </w:tcPr>
          <w:p w14:paraId="3CC3BF81"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Legea privind reforma căilor ferate</w:t>
            </w:r>
          </w:p>
        </w:tc>
      </w:tr>
      <w:tr w:rsidR="00C45D59" w14:paraId="52974D9A" w14:textId="77777777">
        <w:trPr>
          <w:trHeight w:val="302"/>
          <w:jc w:val="center"/>
        </w:trPr>
        <w:tc>
          <w:tcPr>
            <w:tcW w:w="675"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788E4A7B" w14:textId="77777777" w:rsidR="00C45D59" w:rsidRDefault="00C45D59">
            <w:pPr>
              <w:keepNext/>
              <w:spacing w:before="40" w:after="0" w:line="259" w:lineRule="auto"/>
              <w:jc w:val="both"/>
              <w:rPr>
                <w:rFonts w:ascii="Times New Roman" w:eastAsia="Times New Roman" w:hAnsi="Times New Roman" w:cs="Times New Roman"/>
                <w:bCs/>
                <w:noProof/>
                <w:sz w:val="18"/>
                <w:szCs w:val="18"/>
              </w:rPr>
            </w:pPr>
          </w:p>
        </w:tc>
        <w:tc>
          <w:tcPr>
            <w:tcW w:w="573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05CC45BA" w14:textId="77777777" w:rsidR="00C45D59" w:rsidRDefault="00C45D59">
            <w:pPr>
              <w:keepNext/>
              <w:spacing w:before="40" w:after="0" w:line="240" w:lineRule="auto"/>
              <w:jc w:val="both"/>
              <w:rPr>
                <w:rFonts w:ascii="Times New Roman" w:eastAsia="Times New Roman" w:hAnsi="Times New Roman" w:cs="Times New Roman"/>
                <w:bCs/>
                <w:noProof/>
                <w:sz w:val="18"/>
                <w:szCs w:val="18"/>
              </w:rPr>
            </w:pPr>
          </w:p>
        </w:tc>
        <w:tc>
          <w:tcPr>
            <w:tcW w:w="1066"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089B998F" w14:textId="77777777" w:rsidR="00C45D59" w:rsidRDefault="009B0962">
            <w:pPr>
              <w:pStyle w:val="P68B1DB1-Normal55"/>
              <w:keepNext/>
              <w:spacing w:before="40" w:after="0" w:line="240" w:lineRule="auto"/>
              <w:jc w:val="both"/>
              <w:rPr>
                <w:rFonts w:eastAsia="Times New Roman" w:cs="Times New Roman"/>
                <w:noProof/>
                <w:szCs w:val="18"/>
              </w:rPr>
            </w:pPr>
            <w:r>
              <w:rPr>
                <w:noProof/>
              </w:rPr>
              <w:t>Cuantumul tranșei</w:t>
            </w:r>
          </w:p>
        </w:tc>
        <w:tc>
          <w:tcPr>
            <w:tcW w:w="2366"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545EC423" w14:textId="77777777" w:rsidR="00C45D59" w:rsidRDefault="009B0962">
            <w:pPr>
              <w:pStyle w:val="P68B1DB1-Normal55"/>
              <w:keepNext/>
              <w:spacing w:before="40" w:after="0" w:line="240" w:lineRule="auto"/>
              <w:jc w:val="both"/>
              <w:rPr>
                <w:rFonts w:eastAsia="Times New Roman" w:cs="Times New Roman"/>
                <w:noProof/>
                <w:szCs w:val="18"/>
              </w:rPr>
            </w:pPr>
            <w:r>
              <w:rPr>
                <w:noProof/>
              </w:rPr>
              <w:t>1 974 438 067 MIL.</w:t>
            </w:r>
          </w:p>
        </w:tc>
      </w:tr>
    </w:tbl>
    <w:p w14:paraId="1188F373" w14:textId="77777777" w:rsidR="00C45D59" w:rsidRDefault="00C45D59">
      <w:pPr>
        <w:keepNext/>
        <w:numPr>
          <w:ilvl w:val="1"/>
          <w:numId w:val="93"/>
        </w:numPr>
        <w:spacing w:before="40" w:after="160" w:line="259" w:lineRule="auto"/>
        <w:ind w:left="0"/>
        <w:contextualSpacing/>
        <w:jc w:val="both"/>
        <w:rPr>
          <w:rFonts w:ascii="Times New Roman" w:hAnsi="Times New Roman"/>
          <w:noProof/>
          <w:sz w:val="24"/>
        </w:rPr>
        <w:sectPr w:rsidR="00C45D59">
          <w:headerReference w:type="even" r:id="rId432"/>
          <w:headerReference w:type="default" r:id="rId433"/>
          <w:footerReference w:type="even" r:id="rId434"/>
          <w:footerReference w:type="default" r:id="rId435"/>
          <w:headerReference w:type="first" r:id="rId436"/>
          <w:footerReference w:type="first" r:id="rId437"/>
          <w:pgSz w:w="11906" w:h="16838"/>
          <w:pgMar w:top="1134" w:right="1134" w:bottom="1134" w:left="1134" w:header="567" w:footer="567" w:gutter="0"/>
          <w:cols w:space="708"/>
          <w:docGrid w:linePitch="360"/>
        </w:sectPr>
      </w:pPr>
    </w:p>
    <w:p w14:paraId="4DF048D6" w14:textId="77777777" w:rsidR="00C45D59" w:rsidRDefault="009B0962">
      <w:pPr>
        <w:pStyle w:val="P68B1DB1-Normal5"/>
        <w:keepNext/>
        <w:numPr>
          <w:ilvl w:val="1"/>
          <w:numId w:val="93"/>
        </w:numPr>
        <w:spacing w:before="40" w:after="160" w:line="259" w:lineRule="auto"/>
        <w:ind w:left="0"/>
        <w:contextualSpacing/>
        <w:jc w:val="both"/>
        <w:rPr>
          <w:noProof/>
        </w:rPr>
      </w:pPr>
      <w:r>
        <w:rPr>
          <w:noProof/>
        </w:rPr>
        <w:t xml:space="preserve"> A treia cerere de plată (sprijin nerambursabil):</w:t>
      </w:r>
    </w:p>
    <w:p w14:paraId="16270D37" w14:textId="77777777" w:rsidR="00C45D59" w:rsidRDefault="00C45D59">
      <w:pPr>
        <w:keepNext/>
        <w:spacing w:before="40" w:after="160" w:line="259" w:lineRule="auto"/>
        <w:contextualSpacing/>
        <w:jc w:val="both"/>
        <w:rPr>
          <w:rFonts w:ascii="Times New Roman" w:hAnsi="Times New Roman"/>
          <w:noProof/>
          <w:sz w:val="24"/>
        </w:rPr>
      </w:pPr>
    </w:p>
    <w:tbl>
      <w:tblPr>
        <w:tblW w:w="9624" w:type="dxa"/>
        <w:jc w:val="center"/>
        <w:tblLook w:val="04A0" w:firstRow="1" w:lastRow="0" w:firstColumn="1" w:lastColumn="0" w:noHBand="0" w:noVBand="1"/>
      </w:tblPr>
      <w:tblGrid>
        <w:gridCol w:w="542"/>
        <w:gridCol w:w="4838"/>
        <w:gridCol w:w="1134"/>
        <w:gridCol w:w="3110"/>
      </w:tblGrid>
      <w:tr w:rsidR="00C45D59" w14:paraId="2C3F2AC5" w14:textId="77777777">
        <w:trPr>
          <w:trHeight w:val="906"/>
          <w:tblHeader/>
          <w:jc w:val="center"/>
        </w:trPr>
        <w:tc>
          <w:tcPr>
            <w:tcW w:w="54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332B7CA" w14:textId="19E0DF5C" w:rsidR="00C45D59" w:rsidRDefault="009B0962">
            <w:pPr>
              <w:pStyle w:val="P68B1DB1-Normal15"/>
              <w:keepNext/>
              <w:spacing w:before="40" w:after="0" w:line="259" w:lineRule="auto"/>
              <w:jc w:val="center"/>
              <w:rPr>
                <w:rFonts w:eastAsia="Times New Roman"/>
                <w:bCs/>
                <w:noProof/>
              </w:rPr>
            </w:pPr>
            <w:r>
              <w:rPr>
                <w:noProof/>
              </w:rPr>
              <w:t>Nr</w:t>
            </w:r>
            <w:r w:rsidR="00D15349">
              <w:rPr>
                <w:noProof/>
              </w:rPr>
              <w:t>.</w:t>
            </w:r>
            <w:r>
              <w:rPr>
                <w:noProof/>
              </w:rPr>
              <w:t xml:space="preserve"> </w:t>
            </w:r>
            <w:r>
              <w:rPr>
                <w:noProof/>
              </w:rPr>
              <w:br/>
            </w:r>
            <w:r w:rsidR="00D15349">
              <w:rPr>
                <w:noProof/>
              </w:rPr>
              <w:t>crt</w:t>
            </w:r>
            <w:r>
              <w:rPr>
                <w:noProof/>
              </w:rPr>
              <w:t>.</w:t>
            </w:r>
          </w:p>
        </w:tc>
        <w:tc>
          <w:tcPr>
            <w:tcW w:w="483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BC1C527" w14:textId="77777777" w:rsidR="00C45D59" w:rsidRDefault="009B0962">
            <w:pPr>
              <w:pStyle w:val="P68B1DB1-Normal10"/>
              <w:keepNext/>
              <w:spacing w:before="40" w:after="0" w:line="259" w:lineRule="auto"/>
              <w:jc w:val="center"/>
              <w:rPr>
                <w:rFonts w:eastAsia="Times New Roman" w:cs="Times New Roman"/>
                <w:bCs/>
                <w:noProof/>
                <w:szCs w:val="18"/>
              </w:rPr>
            </w:pPr>
            <w:r>
              <w:rPr>
                <w:noProof/>
              </w:rPr>
              <w:t>Măsură conexă (reformă sau investiții)</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3B56446" w14:textId="62E59879" w:rsidR="00C45D59" w:rsidRDefault="009B0962">
            <w:pPr>
              <w:pStyle w:val="P68B1DB1-Normal10"/>
              <w:keepNext/>
              <w:spacing w:before="40" w:after="0" w:line="259" w:lineRule="auto"/>
              <w:jc w:val="center"/>
              <w:rPr>
                <w:rFonts w:eastAsia="Times New Roman" w:cs="Times New Roman"/>
                <w:bCs/>
                <w:noProof/>
                <w:szCs w:val="18"/>
              </w:rPr>
            </w:pPr>
            <w:r>
              <w:rPr>
                <w:noProof/>
              </w:rPr>
              <w:t>Etapă/</w:t>
            </w:r>
            <w:r w:rsidR="00D15349">
              <w:rPr>
                <w:noProof/>
              </w:rPr>
              <w:t xml:space="preserve"> </w:t>
            </w:r>
            <w:r>
              <w:rPr>
                <w:noProof/>
              </w:rPr>
              <w:t>Obiectiv</w:t>
            </w:r>
          </w:p>
        </w:tc>
        <w:tc>
          <w:tcPr>
            <w:tcW w:w="3110" w:type="dxa"/>
            <w:vMerge w:val="restart"/>
            <w:tcBorders>
              <w:top w:val="single" w:sz="4" w:space="0" w:color="auto"/>
              <w:left w:val="nil"/>
              <w:bottom w:val="single" w:sz="4" w:space="0" w:color="auto"/>
              <w:right w:val="single" w:sz="4" w:space="0" w:color="auto"/>
            </w:tcBorders>
            <w:shd w:val="clear" w:color="auto" w:fill="BDD7EE"/>
            <w:vAlign w:val="center"/>
            <w:hideMark/>
          </w:tcPr>
          <w:p w14:paraId="70D4BC0D" w14:textId="20447299" w:rsidR="00C45D59" w:rsidRDefault="00D15349">
            <w:pPr>
              <w:pStyle w:val="P68B1DB1-Normal10"/>
              <w:keepNext/>
              <w:spacing w:before="40" w:after="0" w:line="259" w:lineRule="auto"/>
              <w:jc w:val="center"/>
              <w:rPr>
                <w:rFonts w:eastAsia="Times New Roman" w:cs="Times New Roman"/>
                <w:bCs/>
                <w:noProof/>
                <w:szCs w:val="18"/>
              </w:rPr>
            </w:pPr>
            <w:r>
              <w:rPr>
                <w:noProof/>
              </w:rPr>
              <w:t>Denumire</w:t>
            </w:r>
          </w:p>
        </w:tc>
      </w:tr>
      <w:tr w:rsidR="00C45D59" w14:paraId="32058344" w14:textId="77777777">
        <w:trPr>
          <w:trHeight w:val="269"/>
          <w:jc w:val="center"/>
        </w:trPr>
        <w:tc>
          <w:tcPr>
            <w:tcW w:w="542" w:type="dxa"/>
            <w:vMerge/>
            <w:tcBorders>
              <w:top w:val="single" w:sz="4" w:space="0" w:color="auto"/>
              <w:left w:val="single" w:sz="4" w:space="0" w:color="auto"/>
              <w:bottom w:val="single" w:sz="4" w:space="0" w:color="auto"/>
              <w:right w:val="single" w:sz="4" w:space="0" w:color="auto"/>
            </w:tcBorders>
            <w:vAlign w:val="center"/>
            <w:hideMark/>
          </w:tcPr>
          <w:p w14:paraId="0E589EB6" w14:textId="77777777" w:rsidR="00C45D59" w:rsidRDefault="00C45D59">
            <w:pPr>
              <w:keepNext/>
              <w:spacing w:before="40" w:after="0" w:line="259" w:lineRule="auto"/>
              <w:jc w:val="both"/>
              <w:rPr>
                <w:rFonts w:ascii="Times New Roman" w:eastAsia="Times New Roman" w:hAnsi="Times New Roman" w:cs="Times New Roman"/>
                <w:bCs/>
                <w:noProof/>
                <w:sz w:val="18"/>
                <w:szCs w:val="18"/>
              </w:rPr>
            </w:pPr>
          </w:p>
        </w:tc>
        <w:tc>
          <w:tcPr>
            <w:tcW w:w="4838" w:type="dxa"/>
            <w:vMerge/>
            <w:tcBorders>
              <w:top w:val="single" w:sz="4" w:space="0" w:color="auto"/>
              <w:left w:val="single" w:sz="4" w:space="0" w:color="auto"/>
              <w:bottom w:val="single" w:sz="4" w:space="0" w:color="auto"/>
              <w:right w:val="single" w:sz="4" w:space="0" w:color="auto"/>
            </w:tcBorders>
            <w:vAlign w:val="center"/>
            <w:hideMark/>
          </w:tcPr>
          <w:p w14:paraId="78CD691B" w14:textId="77777777" w:rsidR="00C45D59" w:rsidRDefault="00C45D59">
            <w:pPr>
              <w:keepNext/>
              <w:spacing w:before="40" w:after="0" w:line="259" w:lineRule="auto"/>
              <w:jc w:val="both"/>
              <w:rPr>
                <w:rFonts w:ascii="Times New Roman" w:eastAsia="Times New Roman" w:hAnsi="Times New Roman" w:cs="Times New Roman"/>
                <w:bCs/>
                <w:noProof/>
                <w:sz w:val="18"/>
                <w:szCs w:val="18"/>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7B462B77" w14:textId="77777777" w:rsidR="00C45D59" w:rsidRDefault="00C45D59">
            <w:pPr>
              <w:keepNext/>
              <w:spacing w:before="40" w:after="0" w:line="259" w:lineRule="auto"/>
              <w:jc w:val="both"/>
              <w:rPr>
                <w:rFonts w:ascii="Times New Roman" w:eastAsia="Times New Roman" w:hAnsi="Times New Roman" w:cs="Times New Roman"/>
                <w:bCs/>
                <w:noProof/>
                <w:sz w:val="18"/>
                <w:szCs w:val="18"/>
              </w:rPr>
            </w:pPr>
          </w:p>
        </w:tc>
        <w:tc>
          <w:tcPr>
            <w:tcW w:w="3110" w:type="dxa"/>
            <w:vMerge/>
            <w:tcBorders>
              <w:top w:val="single" w:sz="4" w:space="0" w:color="auto"/>
              <w:left w:val="single" w:sz="4" w:space="0" w:color="auto"/>
              <w:bottom w:val="single" w:sz="4" w:space="0" w:color="auto"/>
              <w:right w:val="single" w:sz="4" w:space="0" w:color="auto"/>
            </w:tcBorders>
            <w:vAlign w:val="center"/>
            <w:hideMark/>
          </w:tcPr>
          <w:p w14:paraId="4DFE5B68" w14:textId="77777777" w:rsidR="00C45D59" w:rsidRDefault="00C45D59">
            <w:pPr>
              <w:keepNext/>
              <w:spacing w:before="40" w:after="0" w:line="259" w:lineRule="auto"/>
              <w:jc w:val="both"/>
              <w:rPr>
                <w:rFonts w:ascii="Times New Roman" w:eastAsia="Times New Roman" w:hAnsi="Times New Roman" w:cs="Times New Roman"/>
                <w:bCs/>
                <w:noProof/>
                <w:sz w:val="18"/>
                <w:szCs w:val="18"/>
              </w:rPr>
            </w:pPr>
          </w:p>
        </w:tc>
      </w:tr>
      <w:tr w:rsidR="00C45D59" w14:paraId="2D4AE625" w14:textId="77777777">
        <w:trPr>
          <w:trHeight w:val="302"/>
          <w:jc w:val="center"/>
        </w:trPr>
        <w:tc>
          <w:tcPr>
            <w:tcW w:w="54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889A36B" w14:textId="77777777" w:rsidR="00C45D59" w:rsidRDefault="009B0962">
            <w:pPr>
              <w:pStyle w:val="P68B1DB1-Normal55"/>
              <w:keepNext/>
              <w:spacing w:before="40" w:after="0" w:line="240" w:lineRule="auto"/>
              <w:jc w:val="both"/>
              <w:rPr>
                <w:rFonts w:eastAsia="Times New Roman" w:cs="Times New Roman"/>
                <w:noProof/>
                <w:szCs w:val="18"/>
              </w:rPr>
            </w:pPr>
            <w:r>
              <w:rPr>
                <w:noProof/>
              </w:rPr>
              <w:t>21</w:t>
            </w:r>
          </w:p>
        </w:tc>
        <w:tc>
          <w:tcPr>
            <w:tcW w:w="4838" w:type="dxa"/>
            <w:tcBorders>
              <w:top w:val="single" w:sz="4" w:space="0" w:color="auto"/>
              <w:left w:val="nil"/>
              <w:bottom w:val="single" w:sz="4" w:space="0" w:color="auto"/>
              <w:right w:val="single" w:sz="4" w:space="0" w:color="auto"/>
            </w:tcBorders>
            <w:shd w:val="clear" w:color="auto" w:fill="C6EFCE"/>
            <w:noWrap/>
            <w:vAlign w:val="center"/>
          </w:tcPr>
          <w:p w14:paraId="734EFFEF"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2-1.2. Renovare – 16872_Renovarea energetică a clădirilor rezidențiale</w:t>
            </w:r>
          </w:p>
        </w:tc>
        <w:tc>
          <w:tcPr>
            <w:tcW w:w="1134" w:type="dxa"/>
            <w:tcBorders>
              <w:top w:val="single" w:sz="4" w:space="0" w:color="auto"/>
              <w:left w:val="nil"/>
              <w:bottom w:val="single" w:sz="4" w:space="0" w:color="auto"/>
              <w:right w:val="single" w:sz="4" w:space="0" w:color="auto"/>
            </w:tcBorders>
            <w:shd w:val="clear" w:color="auto" w:fill="C6EFCE"/>
            <w:noWrap/>
            <w:vAlign w:val="center"/>
          </w:tcPr>
          <w:p w14:paraId="38BD5947"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Etapă</w:t>
            </w:r>
          </w:p>
        </w:tc>
        <w:tc>
          <w:tcPr>
            <w:tcW w:w="3110" w:type="dxa"/>
            <w:tcBorders>
              <w:top w:val="single" w:sz="4" w:space="0" w:color="auto"/>
              <w:left w:val="nil"/>
              <w:bottom w:val="single" w:sz="4" w:space="0" w:color="auto"/>
              <w:right w:val="single" w:sz="4" w:space="0" w:color="auto"/>
            </w:tcBorders>
            <w:shd w:val="clear" w:color="auto" w:fill="C6EFCE"/>
            <w:noWrap/>
            <w:vAlign w:val="center"/>
          </w:tcPr>
          <w:p w14:paraId="5316D088"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Renovarea locuințelor – lansarea celei de a 2-a runde, inclusiv a gospodăriilor sărace din punct de vedere energetic</w:t>
            </w:r>
          </w:p>
        </w:tc>
      </w:tr>
      <w:tr w:rsidR="00C45D59" w14:paraId="641635BD" w14:textId="77777777">
        <w:trPr>
          <w:trHeight w:val="302"/>
          <w:jc w:val="center"/>
        </w:trPr>
        <w:tc>
          <w:tcPr>
            <w:tcW w:w="542" w:type="dxa"/>
            <w:tcBorders>
              <w:top w:val="nil"/>
              <w:left w:val="single" w:sz="4" w:space="0" w:color="auto"/>
              <w:bottom w:val="single" w:sz="4" w:space="0" w:color="auto"/>
              <w:right w:val="single" w:sz="4" w:space="0" w:color="auto"/>
            </w:tcBorders>
            <w:shd w:val="clear" w:color="auto" w:fill="C6EFCE"/>
            <w:noWrap/>
            <w:vAlign w:val="center"/>
          </w:tcPr>
          <w:p w14:paraId="2D6BF322" w14:textId="77777777" w:rsidR="00C45D59" w:rsidRDefault="009B0962">
            <w:pPr>
              <w:pStyle w:val="P68B1DB1-Normal55"/>
              <w:keepNext/>
              <w:spacing w:before="40" w:after="0" w:line="240" w:lineRule="auto"/>
              <w:jc w:val="both"/>
              <w:rPr>
                <w:rFonts w:eastAsia="Times New Roman" w:cs="Times New Roman"/>
                <w:noProof/>
                <w:szCs w:val="18"/>
              </w:rPr>
            </w:pPr>
            <w:r>
              <w:rPr>
                <w:noProof/>
              </w:rPr>
              <w:t>45</w:t>
            </w:r>
          </w:p>
        </w:tc>
        <w:tc>
          <w:tcPr>
            <w:tcW w:w="4838" w:type="dxa"/>
            <w:tcBorders>
              <w:top w:val="nil"/>
              <w:left w:val="nil"/>
              <w:bottom w:val="single" w:sz="4" w:space="0" w:color="auto"/>
              <w:right w:val="single" w:sz="4" w:space="0" w:color="auto"/>
            </w:tcBorders>
            <w:shd w:val="clear" w:color="auto" w:fill="C6EFCE"/>
            <w:noWrap/>
            <w:vAlign w:val="center"/>
          </w:tcPr>
          <w:p w14:paraId="215B2317"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3-1.3. Reîncărcare și realimentare – 16924_ Electromobilitate</w:t>
            </w:r>
          </w:p>
        </w:tc>
        <w:tc>
          <w:tcPr>
            <w:tcW w:w="1134" w:type="dxa"/>
            <w:tcBorders>
              <w:top w:val="nil"/>
              <w:left w:val="nil"/>
              <w:bottom w:val="single" w:sz="4" w:space="0" w:color="auto"/>
              <w:right w:val="single" w:sz="4" w:space="0" w:color="auto"/>
            </w:tcBorders>
            <w:shd w:val="clear" w:color="auto" w:fill="C6EFCE"/>
            <w:noWrap/>
            <w:vAlign w:val="center"/>
          </w:tcPr>
          <w:p w14:paraId="405DE4A0"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Etapă</w:t>
            </w:r>
          </w:p>
        </w:tc>
        <w:tc>
          <w:tcPr>
            <w:tcW w:w="3110" w:type="dxa"/>
            <w:tcBorders>
              <w:top w:val="nil"/>
              <w:left w:val="nil"/>
              <w:bottom w:val="single" w:sz="4" w:space="0" w:color="auto"/>
              <w:right w:val="single" w:sz="4" w:space="0" w:color="auto"/>
            </w:tcBorders>
            <w:shd w:val="clear" w:color="auto" w:fill="C6EFCE"/>
            <w:noWrap/>
            <w:vAlign w:val="center"/>
          </w:tcPr>
          <w:p w14:paraId="6D189B99"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Transportul public – punerea în aplicare a unei noi reglementări a pieței pentru obligația de serviciu public (autobuze)</w:t>
            </w:r>
          </w:p>
        </w:tc>
      </w:tr>
      <w:tr w:rsidR="00C45D59" w14:paraId="25481D41" w14:textId="77777777">
        <w:trPr>
          <w:trHeight w:val="302"/>
          <w:jc w:val="center"/>
        </w:trPr>
        <w:tc>
          <w:tcPr>
            <w:tcW w:w="542" w:type="dxa"/>
            <w:tcBorders>
              <w:top w:val="nil"/>
              <w:left w:val="single" w:sz="4" w:space="0" w:color="auto"/>
              <w:bottom w:val="single" w:sz="4" w:space="0" w:color="auto"/>
              <w:right w:val="single" w:sz="4" w:space="0" w:color="auto"/>
            </w:tcBorders>
            <w:shd w:val="clear" w:color="auto" w:fill="C6EFCE"/>
            <w:noWrap/>
            <w:vAlign w:val="center"/>
          </w:tcPr>
          <w:p w14:paraId="431888EC" w14:textId="77777777" w:rsidR="00C45D59" w:rsidRDefault="009B0962">
            <w:pPr>
              <w:pStyle w:val="P68B1DB1-Normal55"/>
              <w:keepNext/>
              <w:spacing w:before="40" w:after="0" w:line="240" w:lineRule="auto"/>
              <w:jc w:val="both"/>
              <w:rPr>
                <w:rFonts w:eastAsia="Times New Roman" w:cs="Times New Roman"/>
                <w:noProof/>
                <w:szCs w:val="18"/>
              </w:rPr>
            </w:pPr>
            <w:r>
              <w:rPr>
                <w:noProof/>
              </w:rPr>
              <w:t>57</w:t>
            </w:r>
          </w:p>
        </w:tc>
        <w:tc>
          <w:tcPr>
            <w:tcW w:w="4838" w:type="dxa"/>
            <w:tcBorders>
              <w:top w:val="nil"/>
              <w:left w:val="nil"/>
              <w:bottom w:val="single" w:sz="4" w:space="0" w:color="auto"/>
              <w:right w:val="single" w:sz="4" w:space="0" w:color="auto"/>
            </w:tcBorders>
            <w:shd w:val="clear" w:color="auto" w:fill="C6EFCE"/>
            <w:noWrap/>
            <w:vAlign w:val="center"/>
          </w:tcPr>
          <w:p w14:paraId="1F49A9D7"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4-1.4. Utilizarea durabilă a resurselor, reziliența la schimbările climatice și protecția mediului – 16772_Legea privind gestionarea deșeurilor pentru punerea în aplicare a depozitării și reciclării durabile a deșeurilor</w:t>
            </w:r>
          </w:p>
        </w:tc>
        <w:tc>
          <w:tcPr>
            <w:tcW w:w="1134" w:type="dxa"/>
            <w:tcBorders>
              <w:top w:val="nil"/>
              <w:left w:val="nil"/>
              <w:bottom w:val="single" w:sz="4" w:space="0" w:color="auto"/>
              <w:right w:val="single" w:sz="4" w:space="0" w:color="auto"/>
            </w:tcBorders>
            <w:shd w:val="clear" w:color="auto" w:fill="C6EFCE"/>
            <w:noWrap/>
            <w:vAlign w:val="center"/>
          </w:tcPr>
          <w:p w14:paraId="68056A5B"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Etapă</w:t>
            </w:r>
          </w:p>
        </w:tc>
        <w:tc>
          <w:tcPr>
            <w:tcW w:w="3110" w:type="dxa"/>
            <w:tcBorders>
              <w:top w:val="nil"/>
              <w:left w:val="nil"/>
              <w:bottom w:val="single" w:sz="4" w:space="0" w:color="auto"/>
              <w:right w:val="single" w:sz="4" w:space="0" w:color="auto"/>
            </w:tcBorders>
            <w:shd w:val="clear" w:color="auto" w:fill="C6EFCE"/>
            <w:noWrap/>
            <w:vAlign w:val="center"/>
          </w:tcPr>
          <w:p w14:paraId="32CE0950"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Intrarea în vigoare a legii privind autoritățile de reglementare în domeniul gestionării deșeurilor</w:t>
            </w:r>
          </w:p>
        </w:tc>
      </w:tr>
      <w:tr w:rsidR="00C45D59" w14:paraId="0AD3E1FF" w14:textId="77777777">
        <w:trPr>
          <w:trHeight w:val="302"/>
          <w:jc w:val="center"/>
        </w:trPr>
        <w:tc>
          <w:tcPr>
            <w:tcW w:w="542" w:type="dxa"/>
            <w:tcBorders>
              <w:top w:val="nil"/>
              <w:left w:val="single" w:sz="4" w:space="0" w:color="auto"/>
              <w:bottom w:val="single" w:sz="4" w:space="0" w:color="auto"/>
              <w:right w:val="single" w:sz="4" w:space="0" w:color="auto"/>
            </w:tcBorders>
            <w:shd w:val="clear" w:color="auto" w:fill="C6EFCE"/>
            <w:noWrap/>
            <w:vAlign w:val="center"/>
          </w:tcPr>
          <w:p w14:paraId="5A96FC43"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85</w:t>
            </w:r>
          </w:p>
        </w:tc>
        <w:tc>
          <w:tcPr>
            <w:tcW w:w="4838" w:type="dxa"/>
            <w:tcBorders>
              <w:top w:val="nil"/>
              <w:left w:val="nil"/>
              <w:bottom w:val="single" w:sz="4" w:space="0" w:color="auto"/>
              <w:right w:val="single" w:sz="4" w:space="0" w:color="auto"/>
            </w:tcBorders>
            <w:shd w:val="clear" w:color="auto" w:fill="C6EFCE"/>
            <w:noWrap/>
            <w:vAlign w:val="center"/>
          </w:tcPr>
          <w:p w14:paraId="6D587246"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5-2.1. Connect – 16818_Infrastructura de fibră optică din clădiri</w:t>
            </w:r>
          </w:p>
        </w:tc>
        <w:tc>
          <w:tcPr>
            <w:tcW w:w="1134" w:type="dxa"/>
            <w:tcBorders>
              <w:top w:val="nil"/>
              <w:left w:val="nil"/>
              <w:bottom w:val="single" w:sz="4" w:space="0" w:color="auto"/>
              <w:right w:val="single" w:sz="4" w:space="0" w:color="auto"/>
            </w:tcBorders>
            <w:shd w:val="clear" w:color="auto" w:fill="C6EFCE"/>
            <w:noWrap/>
            <w:vAlign w:val="center"/>
          </w:tcPr>
          <w:p w14:paraId="7524E2C2" w14:textId="77777777" w:rsidR="00C45D59" w:rsidRDefault="009B0962">
            <w:pPr>
              <w:pStyle w:val="P68B1DB1-Normal55"/>
              <w:keepNext/>
              <w:spacing w:before="40" w:after="0" w:line="240" w:lineRule="auto"/>
              <w:jc w:val="both"/>
              <w:rPr>
                <w:rFonts w:eastAsia="Times New Roman" w:cs="Times New Roman"/>
                <w:noProof/>
                <w:szCs w:val="18"/>
              </w:rPr>
            </w:pPr>
            <w:r>
              <w:rPr>
                <w:noProof/>
              </w:rPr>
              <w:t>Etapă</w:t>
            </w:r>
          </w:p>
        </w:tc>
        <w:tc>
          <w:tcPr>
            <w:tcW w:w="3110" w:type="dxa"/>
            <w:tcBorders>
              <w:top w:val="nil"/>
              <w:left w:val="nil"/>
              <w:bottom w:val="single" w:sz="4" w:space="0" w:color="auto"/>
              <w:right w:val="single" w:sz="4" w:space="0" w:color="auto"/>
            </w:tcBorders>
            <w:shd w:val="clear" w:color="auto" w:fill="C6EFCE"/>
            <w:noWrap/>
            <w:vAlign w:val="center"/>
          </w:tcPr>
          <w:p w14:paraId="231C2C15" w14:textId="77777777" w:rsidR="00C45D59" w:rsidRDefault="009B0962">
            <w:pPr>
              <w:pStyle w:val="P68B1DB1-Normal55"/>
              <w:keepNext/>
              <w:spacing w:before="40" w:after="0" w:line="240" w:lineRule="auto"/>
              <w:jc w:val="both"/>
              <w:rPr>
                <w:rFonts w:eastAsia="Times New Roman" w:cs="Times New Roman"/>
                <w:noProof/>
                <w:szCs w:val="18"/>
              </w:rPr>
            </w:pPr>
            <w:r>
              <w:rPr>
                <w:noProof/>
              </w:rPr>
              <w:t>Atribuirea contractului (contractelor) pentru proiectul „Infrastructura de fibră optică în clădiri”</w:t>
            </w:r>
          </w:p>
        </w:tc>
      </w:tr>
      <w:tr w:rsidR="00C45D59" w14:paraId="3A4D70CD" w14:textId="77777777">
        <w:trPr>
          <w:trHeight w:val="302"/>
          <w:jc w:val="center"/>
        </w:trPr>
        <w:tc>
          <w:tcPr>
            <w:tcW w:w="542" w:type="dxa"/>
            <w:tcBorders>
              <w:top w:val="nil"/>
              <w:left w:val="single" w:sz="4" w:space="0" w:color="auto"/>
              <w:bottom w:val="single" w:sz="4" w:space="0" w:color="auto"/>
              <w:right w:val="single" w:sz="4" w:space="0" w:color="auto"/>
            </w:tcBorders>
            <w:shd w:val="clear" w:color="auto" w:fill="C6EFCE"/>
            <w:noWrap/>
            <w:vAlign w:val="center"/>
          </w:tcPr>
          <w:p w14:paraId="7D91A83C"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96</w:t>
            </w:r>
          </w:p>
        </w:tc>
        <w:tc>
          <w:tcPr>
            <w:tcW w:w="4838" w:type="dxa"/>
            <w:tcBorders>
              <w:top w:val="nil"/>
              <w:left w:val="nil"/>
              <w:bottom w:val="single" w:sz="4" w:space="0" w:color="auto"/>
              <w:right w:val="single" w:sz="4" w:space="0" w:color="auto"/>
            </w:tcBorders>
            <w:shd w:val="clear" w:color="auto" w:fill="C6EFCE"/>
            <w:noWrap/>
            <w:vAlign w:val="center"/>
          </w:tcPr>
          <w:p w14:paraId="57EFF344"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6-2.2. Modernizare – 16929_Către servicii orientate către client ale administrației publice prin simplificarea și îmbunătățirea proceselor, a îmbunătățirilor sistemelor și a conformității cu strategiile și politicile europene</w:t>
            </w:r>
          </w:p>
        </w:tc>
        <w:tc>
          <w:tcPr>
            <w:tcW w:w="1134" w:type="dxa"/>
            <w:tcBorders>
              <w:top w:val="nil"/>
              <w:left w:val="nil"/>
              <w:bottom w:val="single" w:sz="4" w:space="0" w:color="auto"/>
              <w:right w:val="single" w:sz="4" w:space="0" w:color="auto"/>
            </w:tcBorders>
            <w:shd w:val="clear" w:color="auto" w:fill="C6EFCE"/>
            <w:noWrap/>
            <w:vAlign w:val="center"/>
          </w:tcPr>
          <w:p w14:paraId="2B546014" w14:textId="77777777" w:rsidR="00C45D59" w:rsidRDefault="009B0962">
            <w:pPr>
              <w:pStyle w:val="P68B1DB1-Normal55"/>
              <w:keepNext/>
              <w:spacing w:before="40" w:after="0" w:line="240" w:lineRule="auto"/>
              <w:jc w:val="both"/>
              <w:rPr>
                <w:rFonts w:eastAsia="Times New Roman" w:cs="Times New Roman"/>
                <w:noProof/>
                <w:szCs w:val="18"/>
              </w:rPr>
            </w:pPr>
            <w:r>
              <w:rPr>
                <w:noProof/>
              </w:rPr>
              <w:t>Etapă</w:t>
            </w:r>
          </w:p>
        </w:tc>
        <w:tc>
          <w:tcPr>
            <w:tcW w:w="3110" w:type="dxa"/>
            <w:tcBorders>
              <w:top w:val="nil"/>
              <w:left w:val="nil"/>
              <w:bottom w:val="single" w:sz="4" w:space="0" w:color="auto"/>
              <w:right w:val="single" w:sz="4" w:space="0" w:color="auto"/>
            </w:tcBorders>
            <w:shd w:val="clear" w:color="auto" w:fill="C6EFCE"/>
            <w:noWrap/>
            <w:vAlign w:val="center"/>
          </w:tcPr>
          <w:p w14:paraId="5EF6BA14" w14:textId="77777777" w:rsidR="00C45D59" w:rsidRDefault="009B0962">
            <w:pPr>
              <w:pStyle w:val="P68B1DB1-Normal55"/>
              <w:keepNext/>
              <w:spacing w:before="40" w:after="0" w:line="240" w:lineRule="auto"/>
              <w:jc w:val="both"/>
              <w:rPr>
                <w:rFonts w:eastAsia="Times New Roman" w:cs="Times New Roman"/>
                <w:noProof/>
                <w:szCs w:val="18"/>
              </w:rPr>
            </w:pPr>
            <w:r>
              <w:rPr>
                <w:noProof/>
              </w:rPr>
              <w:t>Crearea registrului național de proceduri și punerea în aplicare a planului național de simplificare a proceselor (prima etapă)</w:t>
            </w:r>
          </w:p>
        </w:tc>
      </w:tr>
      <w:tr w:rsidR="00C45D59" w14:paraId="5765CDF7" w14:textId="77777777">
        <w:trPr>
          <w:trHeight w:val="302"/>
          <w:jc w:val="center"/>
        </w:trPr>
        <w:tc>
          <w:tcPr>
            <w:tcW w:w="542" w:type="dxa"/>
            <w:tcBorders>
              <w:top w:val="nil"/>
              <w:left w:val="single" w:sz="4" w:space="0" w:color="auto"/>
              <w:bottom w:val="single" w:sz="4" w:space="0" w:color="auto"/>
              <w:right w:val="single" w:sz="4" w:space="0" w:color="auto"/>
            </w:tcBorders>
            <w:shd w:val="clear" w:color="auto" w:fill="C6EFCE"/>
            <w:noWrap/>
            <w:vAlign w:val="center"/>
          </w:tcPr>
          <w:p w14:paraId="47ED32A7"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142</w:t>
            </w:r>
          </w:p>
        </w:tc>
        <w:tc>
          <w:tcPr>
            <w:tcW w:w="4838" w:type="dxa"/>
            <w:tcBorders>
              <w:top w:val="nil"/>
              <w:left w:val="nil"/>
              <w:bottom w:val="single" w:sz="4" w:space="0" w:color="auto"/>
              <w:right w:val="single" w:sz="4" w:space="0" w:color="auto"/>
            </w:tcBorders>
            <w:shd w:val="clear" w:color="auto" w:fill="C6EFCE"/>
            <w:noWrap/>
            <w:vAlign w:val="center"/>
          </w:tcPr>
          <w:p w14:paraId="71BD03C3"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8-3.1. Promovarea creării de locuri de muncă și a participării pe piața forței de muncă – 16746_Reforma politicilor pasive în domeniul pieței forței de muncă pentru a sprijini tranzițiile către ocuparea forței de muncă</w:t>
            </w:r>
          </w:p>
        </w:tc>
        <w:tc>
          <w:tcPr>
            <w:tcW w:w="1134" w:type="dxa"/>
            <w:tcBorders>
              <w:top w:val="nil"/>
              <w:left w:val="nil"/>
              <w:bottom w:val="single" w:sz="4" w:space="0" w:color="auto"/>
              <w:right w:val="single" w:sz="4" w:space="0" w:color="auto"/>
            </w:tcBorders>
            <w:shd w:val="clear" w:color="auto" w:fill="C6EFCE"/>
            <w:noWrap/>
            <w:vAlign w:val="center"/>
          </w:tcPr>
          <w:p w14:paraId="7B463A89" w14:textId="77777777" w:rsidR="00C45D59" w:rsidRDefault="009B0962">
            <w:pPr>
              <w:pStyle w:val="P68B1DB1-Normal55"/>
              <w:keepNext/>
              <w:spacing w:before="40" w:after="0" w:line="240" w:lineRule="auto"/>
              <w:jc w:val="both"/>
              <w:rPr>
                <w:rFonts w:eastAsia="Times New Roman" w:cs="Times New Roman"/>
                <w:noProof/>
                <w:szCs w:val="18"/>
              </w:rPr>
            </w:pPr>
            <w:r>
              <w:rPr>
                <w:noProof/>
              </w:rPr>
              <w:t>Etapă</w:t>
            </w:r>
          </w:p>
        </w:tc>
        <w:tc>
          <w:tcPr>
            <w:tcW w:w="3110" w:type="dxa"/>
            <w:tcBorders>
              <w:top w:val="nil"/>
              <w:left w:val="nil"/>
              <w:bottom w:val="single" w:sz="4" w:space="0" w:color="auto"/>
              <w:right w:val="single" w:sz="4" w:space="0" w:color="auto"/>
            </w:tcBorders>
            <w:shd w:val="clear" w:color="auto" w:fill="C6EFCE"/>
            <w:noWrap/>
            <w:vAlign w:val="center"/>
          </w:tcPr>
          <w:p w14:paraId="50408CC9" w14:textId="77777777" w:rsidR="00C45D59" w:rsidRDefault="009B0962">
            <w:pPr>
              <w:pStyle w:val="P68B1DB1-Normal55"/>
              <w:keepNext/>
              <w:spacing w:before="40" w:after="0" w:line="240" w:lineRule="auto"/>
              <w:jc w:val="both"/>
              <w:rPr>
                <w:rFonts w:eastAsia="Times New Roman" w:cs="Times New Roman"/>
                <w:noProof/>
                <w:szCs w:val="18"/>
              </w:rPr>
            </w:pPr>
            <w:r>
              <w:rPr>
                <w:noProof/>
              </w:rPr>
              <w:t xml:space="preserve">Reforma cadrului de obligații reciproce – intrarea în vigoare a legislației </w:t>
            </w:r>
          </w:p>
        </w:tc>
      </w:tr>
      <w:tr w:rsidR="00C45D59" w14:paraId="0201F32E" w14:textId="77777777">
        <w:trPr>
          <w:trHeight w:val="302"/>
          <w:jc w:val="center"/>
        </w:trPr>
        <w:tc>
          <w:tcPr>
            <w:tcW w:w="542" w:type="dxa"/>
            <w:tcBorders>
              <w:top w:val="nil"/>
              <w:left w:val="single" w:sz="4" w:space="0" w:color="auto"/>
              <w:bottom w:val="single" w:sz="4" w:space="0" w:color="auto"/>
              <w:right w:val="single" w:sz="4" w:space="0" w:color="auto"/>
            </w:tcBorders>
            <w:shd w:val="clear" w:color="auto" w:fill="C6EFCE"/>
            <w:noWrap/>
            <w:vAlign w:val="center"/>
          </w:tcPr>
          <w:p w14:paraId="779B597D"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191</w:t>
            </w:r>
          </w:p>
        </w:tc>
        <w:tc>
          <w:tcPr>
            <w:tcW w:w="4838" w:type="dxa"/>
            <w:tcBorders>
              <w:top w:val="nil"/>
              <w:left w:val="nil"/>
              <w:bottom w:val="single" w:sz="4" w:space="0" w:color="auto"/>
              <w:right w:val="single" w:sz="4" w:space="0" w:color="auto"/>
            </w:tcBorders>
            <w:shd w:val="clear" w:color="auto" w:fill="C6EFCE"/>
            <w:noWrap/>
            <w:vAlign w:val="center"/>
          </w:tcPr>
          <w:p w14:paraId="1DC50BAB"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12-4.1. O fiscalitate mai favorabilă creșterii economice și o mai bună administrare fiscală și colectare a impozitelor – 16656_Un nou cadru pentru combaterea contrabandei, în special pentru produsele supuse accizelor (tutun, alcool și energie)</w:t>
            </w:r>
          </w:p>
        </w:tc>
        <w:tc>
          <w:tcPr>
            <w:tcW w:w="1134" w:type="dxa"/>
            <w:tcBorders>
              <w:top w:val="nil"/>
              <w:left w:val="nil"/>
              <w:bottom w:val="single" w:sz="4" w:space="0" w:color="auto"/>
              <w:right w:val="single" w:sz="4" w:space="0" w:color="auto"/>
            </w:tcBorders>
            <w:shd w:val="clear" w:color="auto" w:fill="C6EFCE"/>
            <w:noWrap/>
            <w:vAlign w:val="center"/>
          </w:tcPr>
          <w:p w14:paraId="2B5D7152" w14:textId="77777777" w:rsidR="00C45D59" w:rsidRDefault="009B0962">
            <w:pPr>
              <w:pStyle w:val="P68B1DB1-Normal55"/>
              <w:keepNext/>
              <w:spacing w:before="40" w:after="0" w:line="240" w:lineRule="auto"/>
              <w:jc w:val="both"/>
              <w:rPr>
                <w:rFonts w:eastAsia="Times New Roman" w:cs="Times New Roman"/>
                <w:noProof/>
                <w:szCs w:val="18"/>
              </w:rPr>
            </w:pPr>
            <w:r>
              <w:rPr>
                <w:noProof/>
              </w:rPr>
              <w:t>Etapă</w:t>
            </w:r>
          </w:p>
        </w:tc>
        <w:tc>
          <w:tcPr>
            <w:tcW w:w="3110" w:type="dxa"/>
            <w:tcBorders>
              <w:top w:val="nil"/>
              <w:left w:val="nil"/>
              <w:bottom w:val="single" w:sz="4" w:space="0" w:color="auto"/>
              <w:right w:val="single" w:sz="4" w:space="0" w:color="auto"/>
            </w:tcBorders>
            <w:shd w:val="clear" w:color="auto" w:fill="C6EFCE"/>
            <w:noWrap/>
            <w:vAlign w:val="center"/>
          </w:tcPr>
          <w:p w14:paraId="3AD1143B" w14:textId="77777777" w:rsidR="00C45D59" w:rsidRDefault="009B0962">
            <w:pPr>
              <w:pStyle w:val="P68B1DB1-Normal55"/>
              <w:keepNext/>
              <w:spacing w:before="40" w:after="0" w:line="240" w:lineRule="auto"/>
              <w:jc w:val="both"/>
              <w:rPr>
                <w:rFonts w:eastAsia="Times New Roman" w:cs="Times New Roman"/>
                <w:noProof/>
                <w:szCs w:val="18"/>
              </w:rPr>
            </w:pPr>
            <w:r>
              <w:rPr>
                <w:noProof/>
              </w:rPr>
              <w:t>Combaterea introducerii ilegale de migranți – adoptarea deciziilor de reglementare</w:t>
            </w:r>
          </w:p>
        </w:tc>
      </w:tr>
      <w:tr w:rsidR="00C45D59" w14:paraId="78211A02" w14:textId="77777777">
        <w:trPr>
          <w:trHeight w:val="302"/>
          <w:jc w:val="center"/>
        </w:trPr>
        <w:tc>
          <w:tcPr>
            <w:tcW w:w="542" w:type="dxa"/>
            <w:tcBorders>
              <w:top w:val="nil"/>
              <w:left w:val="single" w:sz="4" w:space="0" w:color="auto"/>
              <w:bottom w:val="single" w:sz="4" w:space="0" w:color="auto"/>
              <w:right w:val="single" w:sz="4" w:space="0" w:color="auto"/>
            </w:tcBorders>
            <w:shd w:val="clear" w:color="auto" w:fill="C6EFCE"/>
            <w:noWrap/>
            <w:vAlign w:val="center"/>
          </w:tcPr>
          <w:p w14:paraId="1FDAD3BA"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206</w:t>
            </w:r>
          </w:p>
        </w:tc>
        <w:tc>
          <w:tcPr>
            <w:tcW w:w="4838" w:type="dxa"/>
            <w:tcBorders>
              <w:top w:val="nil"/>
              <w:left w:val="nil"/>
              <w:bottom w:val="single" w:sz="4" w:space="0" w:color="auto"/>
              <w:right w:val="single" w:sz="4" w:space="0" w:color="auto"/>
            </w:tcBorders>
            <w:shd w:val="clear" w:color="auto" w:fill="C6EFCE"/>
            <w:noWrap/>
            <w:vAlign w:val="center"/>
          </w:tcPr>
          <w:p w14:paraId="28F939E6"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13-4.2. Modernizarea administrației publice, inclusiv prin accelerarea punerii în aplicare a investițiilor publice, îmbunătățirea cadrului privind achizițiile publice, măsuri de consolidare a capacităților și combaterea corupției – 16972_Reformarea administrației publice</w:t>
            </w:r>
          </w:p>
        </w:tc>
        <w:tc>
          <w:tcPr>
            <w:tcW w:w="1134" w:type="dxa"/>
            <w:tcBorders>
              <w:top w:val="nil"/>
              <w:left w:val="nil"/>
              <w:bottom w:val="single" w:sz="4" w:space="0" w:color="auto"/>
              <w:right w:val="single" w:sz="4" w:space="0" w:color="auto"/>
            </w:tcBorders>
            <w:shd w:val="clear" w:color="auto" w:fill="C6EFCE"/>
            <w:noWrap/>
            <w:vAlign w:val="center"/>
          </w:tcPr>
          <w:p w14:paraId="7C2F074A" w14:textId="77777777" w:rsidR="00C45D59" w:rsidRDefault="009B0962">
            <w:pPr>
              <w:pStyle w:val="P68B1DB1-Normal55"/>
              <w:keepNext/>
              <w:spacing w:before="40" w:after="0" w:line="240" w:lineRule="auto"/>
              <w:jc w:val="both"/>
              <w:rPr>
                <w:rFonts w:eastAsia="Times New Roman" w:cs="Times New Roman"/>
                <w:noProof/>
                <w:szCs w:val="18"/>
              </w:rPr>
            </w:pPr>
            <w:r>
              <w:rPr>
                <w:noProof/>
              </w:rPr>
              <w:t>Etapă</w:t>
            </w:r>
          </w:p>
        </w:tc>
        <w:tc>
          <w:tcPr>
            <w:tcW w:w="3110" w:type="dxa"/>
            <w:tcBorders>
              <w:top w:val="nil"/>
              <w:left w:val="nil"/>
              <w:bottom w:val="single" w:sz="4" w:space="0" w:color="auto"/>
              <w:right w:val="single" w:sz="4" w:space="0" w:color="auto"/>
            </w:tcBorders>
            <w:shd w:val="clear" w:color="auto" w:fill="C6EFCE"/>
            <w:noWrap/>
            <w:vAlign w:val="center"/>
          </w:tcPr>
          <w:p w14:paraId="3337A0D0" w14:textId="77777777" w:rsidR="00C45D59" w:rsidRDefault="009B0962">
            <w:pPr>
              <w:pStyle w:val="P68B1DB1-Normal55"/>
              <w:keepNext/>
              <w:spacing w:before="40" w:after="0" w:line="240" w:lineRule="auto"/>
              <w:jc w:val="both"/>
              <w:rPr>
                <w:rFonts w:eastAsia="Times New Roman" w:cs="Times New Roman"/>
                <w:noProof/>
                <w:szCs w:val="18"/>
              </w:rPr>
            </w:pPr>
            <w:r>
              <w:rPr>
                <w:noProof/>
              </w:rPr>
              <w:t>Administrația publică – cadrul legislativ pentru clarificarea mandatelor</w:t>
            </w:r>
          </w:p>
        </w:tc>
      </w:tr>
      <w:tr w:rsidR="00C45D59" w14:paraId="08661FFE" w14:textId="77777777">
        <w:trPr>
          <w:trHeight w:val="302"/>
          <w:jc w:val="center"/>
        </w:trPr>
        <w:tc>
          <w:tcPr>
            <w:tcW w:w="542" w:type="dxa"/>
            <w:tcBorders>
              <w:top w:val="nil"/>
              <w:left w:val="single" w:sz="4" w:space="0" w:color="auto"/>
              <w:bottom w:val="single" w:sz="4" w:space="0" w:color="auto"/>
              <w:right w:val="single" w:sz="4" w:space="0" w:color="auto"/>
            </w:tcBorders>
            <w:shd w:val="clear" w:color="auto" w:fill="C6EFCE"/>
            <w:noWrap/>
            <w:vAlign w:val="center"/>
          </w:tcPr>
          <w:p w14:paraId="28EFC5C0"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209</w:t>
            </w:r>
          </w:p>
        </w:tc>
        <w:tc>
          <w:tcPr>
            <w:tcW w:w="4838" w:type="dxa"/>
            <w:tcBorders>
              <w:top w:val="nil"/>
              <w:left w:val="nil"/>
              <w:bottom w:val="single" w:sz="4" w:space="0" w:color="auto"/>
              <w:right w:val="single" w:sz="4" w:space="0" w:color="auto"/>
            </w:tcBorders>
            <w:shd w:val="clear" w:color="auto" w:fill="C6EFCE"/>
            <w:noWrap/>
            <w:vAlign w:val="center"/>
          </w:tcPr>
          <w:p w14:paraId="11821684"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13-4.2. Modernizarea administrației publice, inclusiv prin accelerarea punerii în aplicare a investițiilor publice, îmbunătățirea cadrului privind achizițiile publice, măsuri de consolidare a capacităților și combaterea corupției – 16978_Combaterea eficientă a corupției</w:t>
            </w:r>
          </w:p>
        </w:tc>
        <w:tc>
          <w:tcPr>
            <w:tcW w:w="1134" w:type="dxa"/>
            <w:tcBorders>
              <w:top w:val="nil"/>
              <w:left w:val="nil"/>
              <w:bottom w:val="single" w:sz="4" w:space="0" w:color="auto"/>
              <w:right w:val="single" w:sz="4" w:space="0" w:color="auto"/>
            </w:tcBorders>
            <w:shd w:val="clear" w:color="auto" w:fill="C6EFCE"/>
            <w:noWrap/>
            <w:vAlign w:val="center"/>
          </w:tcPr>
          <w:p w14:paraId="46A68F88" w14:textId="77777777" w:rsidR="00C45D59" w:rsidRDefault="009B0962">
            <w:pPr>
              <w:pStyle w:val="P68B1DB1-Normal55"/>
              <w:keepNext/>
              <w:spacing w:before="40" w:after="0" w:line="240" w:lineRule="auto"/>
              <w:jc w:val="both"/>
              <w:rPr>
                <w:rFonts w:eastAsia="Times New Roman" w:cs="Times New Roman"/>
                <w:noProof/>
                <w:szCs w:val="18"/>
              </w:rPr>
            </w:pPr>
            <w:r>
              <w:rPr>
                <w:noProof/>
              </w:rPr>
              <w:t>Etapă</w:t>
            </w:r>
          </w:p>
        </w:tc>
        <w:tc>
          <w:tcPr>
            <w:tcW w:w="3110" w:type="dxa"/>
            <w:tcBorders>
              <w:top w:val="nil"/>
              <w:left w:val="nil"/>
              <w:bottom w:val="single" w:sz="4" w:space="0" w:color="auto"/>
              <w:right w:val="single" w:sz="4" w:space="0" w:color="auto"/>
            </w:tcBorders>
            <w:shd w:val="clear" w:color="auto" w:fill="C6EFCE"/>
            <w:noWrap/>
            <w:vAlign w:val="center"/>
          </w:tcPr>
          <w:p w14:paraId="7EDD3C7A" w14:textId="77777777" w:rsidR="00C45D59" w:rsidRDefault="009B0962">
            <w:pPr>
              <w:pStyle w:val="P68B1DB1-Normal55"/>
              <w:keepNext/>
              <w:spacing w:before="40" w:after="0" w:line="240" w:lineRule="auto"/>
              <w:jc w:val="both"/>
              <w:rPr>
                <w:rFonts w:eastAsia="Times New Roman" w:cs="Times New Roman"/>
                <w:noProof/>
                <w:szCs w:val="18"/>
              </w:rPr>
            </w:pPr>
            <w:r>
              <w:rPr>
                <w:noProof/>
              </w:rPr>
              <w:t>Declarațiile de avere și partidele politice</w:t>
            </w:r>
          </w:p>
        </w:tc>
      </w:tr>
      <w:tr w:rsidR="00C45D59" w14:paraId="592159BE" w14:textId="77777777">
        <w:trPr>
          <w:trHeight w:val="302"/>
          <w:jc w:val="center"/>
        </w:trPr>
        <w:tc>
          <w:tcPr>
            <w:tcW w:w="542" w:type="dxa"/>
            <w:tcBorders>
              <w:top w:val="nil"/>
              <w:left w:val="single" w:sz="4" w:space="0" w:color="auto"/>
              <w:bottom w:val="single" w:sz="4" w:space="0" w:color="auto"/>
              <w:right w:val="single" w:sz="4" w:space="0" w:color="auto"/>
            </w:tcBorders>
            <w:shd w:val="clear" w:color="auto" w:fill="C6EFCE"/>
            <w:noWrap/>
            <w:vAlign w:val="center"/>
          </w:tcPr>
          <w:p w14:paraId="50E5F690"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210</w:t>
            </w:r>
          </w:p>
        </w:tc>
        <w:tc>
          <w:tcPr>
            <w:tcW w:w="4838" w:type="dxa"/>
            <w:tcBorders>
              <w:top w:val="nil"/>
              <w:left w:val="nil"/>
              <w:bottom w:val="single" w:sz="4" w:space="0" w:color="auto"/>
              <w:right w:val="single" w:sz="4" w:space="0" w:color="auto"/>
            </w:tcBorders>
            <w:shd w:val="clear" w:color="auto" w:fill="C6EFCE"/>
            <w:noWrap/>
            <w:vAlign w:val="center"/>
          </w:tcPr>
          <w:p w14:paraId="2130E15C"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13-4.2. Modernizarea administrației publice, inclusiv prin accelerarea punerii în aplicare a investițiilor publice, îmbunătățirea cadrului privind achizițiile publice, măsuri de consolidare a capacităților și combaterea corupției – 16952_Consolidarea cadrului național anticorupție prin intervenții specifice în domeniile detectării, prevenirii și sensibilizării</w:t>
            </w:r>
          </w:p>
        </w:tc>
        <w:tc>
          <w:tcPr>
            <w:tcW w:w="1134" w:type="dxa"/>
            <w:tcBorders>
              <w:top w:val="nil"/>
              <w:left w:val="nil"/>
              <w:bottom w:val="single" w:sz="4" w:space="0" w:color="auto"/>
              <w:right w:val="single" w:sz="4" w:space="0" w:color="auto"/>
            </w:tcBorders>
            <w:shd w:val="clear" w:color="auto" w:fill="C6EFCE"/>
            <w:noWrap/>
            <w:vAlign w:val="center"/>
          </w:tcPr>
          <w:p w14:paraId="6B42413D" w14:textId="77777777" w:rsidR="00C45D59" w:rsidRDefault="009B0962">
            <w:pPr>
              <w:pStyle w:val="P68B1DB1-Normal55"/>
              <w:keepNext/>
              <w:spacing w:before="40" w:after="0" w:line="240" w:lineRule="auto"/>
              <w:jc w:val="both"/>
              <w:rPr>
                <w:rFonts w:eastAsia="Times New Roman" w:cs="Times New Roman"/>
                <w:noProof/>
                <w:szCs w:val="18"/>
              </w:rPr>
            </w:pPr>
            <w:r>
              <w:rPr>
                <w:noProof/>
              </w:rPr>
              <w:t>Etapă</w:t>
            </w:r>
          </w:p>
        </w:tc>
        <w:tc>
          <w:tcPr>
            <w:tcW w:w="3110" w:type="dxa"/>
            <w:tcBorders>
              <w:top w:val="nil"/>
              <w:left w:val="nil"/>
              <w:bottom w:val="single" w:sz="4" w:space="0" w:color="auto"/>
              <w:right w:val="single" w:sz="4" w:space="0" w:color="auto"/>
            </w:tcBorders>
            <w:shd w:val="clear" w:color="auto" w:fill="C6EFCE"/>
            <w:noWrap/>
            <w:vAlign w:val="center"/>
          </w:tcPr>
          <w:p w14:paraId="67CDB18D" w14:textId="77777777" w:rsidR="00C45D59" w:rsidRDefault="009B0962">
            <w:pPr>
              <w:pStyle w:val="P68B1DB1-Normal55"/>
              <w:keepNext/>
              <w:spacing w:before="40" w:after="0" w:line="240" w:lineRule="auto"/>
              <w:jc w:val="both"/>
              <w:rPr>
                <w:rFonts w:eastAsia="Times New Roman" w:cs="Times New Roman"/>
                <w:noProof/>
                <w:szCs w:val="18"/>
              </w:rPr>
            </w:pPr>
            <w:r>
              <w:rPr>
                <w:noProof/>
              </w:rPr>
              <w:t>Planul național de acțiune anticorupție</w:t>
            </w:r>
          </w:p>
        </w:tc>
      </w:tr>
      <w:tr w:rsidR="00C45D59" w14:paraId="098383A2" w14:textId="77777777">
        <w:trPr>
          <w:trHeight w:val="302"/>
          <w:jc w:val="center"/>
        </w:trPr>
        <w:tc>
          <w:tcPr>
            <w:tcW w:w="542" w:type="dxa"/>
            <w:tcBorders>
              <w:top w:val="nil"/>
              <w:left w:val="single" w:sz="4" w:space="0" w:color="auto"/>
              <w:bottom w:val="single" w:sz="4" w:space="0" w:color="auto"/>
              <w:right w:val="single" w:sz="4" w:space="0" w:color="auto"/>
            </w:tcBorders>
            <w:shd w:val="clear" w:color="auto" w:fill="C6EFCE"/>
            <w:noWrap/>
            <w:vAlign w:val="center"/>
          </w:tcPr>
          <w:p w14:paraId="6F7CC0F6"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223</w:t>
            </w:r>
          </w:p>
        </w:tc>
        <w:tc>
          <w:tcPr>
            <w:tcW w:w="4838" w:type="dxa"/>
            <w:tcBorders>
              <w:top w:val="nil"/>
              <w:left w:val="nil"/>
              <w:bottom w:val="single" w:sz="4" w:space="0" w:color="auto"/>
              <w:right w:val="single" w:sz="4" w:space="0" w:color="auto"/>
            </w:tcBorders>
            <w:shd w:val="clear" w:color="auto" w:fill="C6EFCE"/>
            <w:noWrap/>
            <w:vAlign w:val="center"/>
          </w:tcPr>
          <w:p w14:paraId="20038FA3"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14-4.3. Îmbunătățirea eficienței sistemului de justiție – 16575 Accelerarea administrării justiției</w:t>
            </w:r>
          </w:p>
        </w:tc>
        <w:tc>
          <w:tcPr>
            <w:tcW w:w="1134" w:type="dxa"/>
            <w:tcBorders>
              <w:top w:val="nil"/>
              <w:left w:val="nil"/>
              <w:bottom w:val="single" w:sz="4" w:space="0" w:color="auto"/>
              <w:right w:val="single" w:sz="4" w:space="0" w:color="auto"/>
            </w:tcBorders>
            <w:shd w:val="clear" w:color="auto" w:fill="C6EFCE"/>
            <w:noWrap/>
            <w:vAlign w:val="center"/>
          </w:tcPr>
          <w:p w14:paraId="43AA13D7" w14:textId="77777777" w:rsidR="00C45D59" w:rsidRDefault="009B0962">
            <w:pPr>
              <w:pStyle w:val="P68B1DB1-Normal55"/>
              <w:keepNext/>
              <w:spacing w:before="40" w:after="0" w:line="240" w:lineRule="auto"/>
              <w:jc w:val="both"/>
              <w:rPr>
                <w:rFonts w:eastAsia="Times New Roman" w:cs="Times New Roman"/>
                <w:noProof/>
                <w:szCs w:val="18"/>
              </w:rPr>
            </w:pPr>
            <w:r>
              <w:rPr>
                <w:noProof/>
              </w:rPr>
              <w:t>Etapă</w:t>
            </w:r>
          </w:p>
        </w:tc>
        <w:tc>
          <w:tcPr>
            <w:tcW w:w="3110" w:type="dxa"/>
            <w:tcBorders>
              <w:top w:val="nil"/>
              <w:left w:val="nil"/>
              <w:bottom w:val="single" w:sz="4" w:space="0" w:color="auto"/>
              <w:right w:val="single" w:sz="4" w:space="0" w:color="auto"/>
            </w:tcBorders>
            <w:shd w:val="clear" w:color="auto" w:fill="C6EFCE"/>
            <w:noWrap/>
            <w:vAlign w:val="center"/>
          </w:tcPr>
          <w:p w14:paraId="6EC7FEB6" w14:textId="77777777" w:rsidR="00C45D59" w:rsidRDefault="009B0962">
            <w:pPr>
              <w:pStyle w:val="P68B1DB1-Normal55"/>
              <w:keepNext/>
              <w:spacing w:before="40" w:after="0" w:line="240" w:lineRule="auto"/>
              <w:jc w:val="both"/>
              <w:rPr>
                <w:rFonts w:eastAsia="Times New Roman" w:cs="Times New Roman"/>
                <w:noProof/>
                <w:szCs w:val="18"/>
              </w:rPr>
            </w:pPr>
            <w:r>
              <w:rPr>
                <w:noProof/>
              </w:rPr>
              <w:t>Asistență tehnică – Instrumentul de performanță judiciară</w:t>
            </w:r>
          </w:p>
        </w:tc>
      </w:tr>
      <w:tr w:rsidR="00C45D59" w14:paraId="31379B24" w14:textId="77777777">
        <w:trPr>
          <w:trHeight w:val="302"/>
          <w:jc w:val="center"/>
        </w:trPr>
        <w:tc>
          <w:tcPr>
            <w:tcW w:w="542" w:type="dxa"/>
            <w:tcBorders>
              <w:top w:val="nil"/>
              <w:left w:val="single" w:sz="4" w:space="0" w:color="auto"/>
              <w:bottom w:val="single" w:sz="4" w:space="0" w:color="auto"/>
              <w:right w:val="single" w:sz="4" w:space="0" w:color="auto"/>
            </w:tcBorders>
            <w:shd w:val="clear" w:color="auto" w:fill="C6EFCE"/>
            <w:noWrap/>
            <w:vAlign w:val="center"/>
          </w:tcPr>
          <w:p w14:paraId="155D868A"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225</w:t>
            </w:r>
          </w:p>
        </w:tc>
        <w:tc>
          <w:tcPr>
            <w:tcW w:w="4838" w:type="dxa"/>
            <w:tcBorders>
              <w:top w:val="nil"/>
              <w:left w:val="nil"/>
              <w:bottom w:val="single" w:sz="4" w:space="0" w:color="auto"/>
              <w:right w:val="single" w:sz="4" w:space="0" w:color="auto"/>
            </w:tcBorders>
            <w:shd w:val="clear" w:color="auto" w:fill="C6EFCE"/>
            <w:noWrap/>
            <w:vAlign w:val="center"/>
          </w:tcPr>
          <w:p w14:paraId="3FFF27D0"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14-4.3. Îmbunătățirea eficienței sistemului de justiție – 16575 Accelerarea administrării justiției</w:t>
            </w:r>
          </w:p>
        </w:tc>
        <w:tc>
          <w:tcPr>
            <w:tcW w:w="1134" w:type="dxa"/>
            <w:tcBorders>
              <w:top w:val="nil"/>
              <w:left w:val="nil"/>
              <w:bottom w:val="single" w:sz="4" w:space="0" w:color="auto"/>
              <w:right w:val="single" w:sz="4" w:space="0" w:color="auto"/>
            </w:tcBorders>
            <w:shd w:val="clear" w:color="auto" w:fill="C6EFCE"/>
            <w:noWrap/>
            <w:vAlign w:val="center"/>
          </w:tcPr>
          <w:p w14:paraId="3AA71B92" w14:textId="77777777" w:rsidR="00C45D59" w:rsidRDefault="009B0962">
            <w:pPr>
              <w:pStyle w:val="P68B1DB1-Normal55"/>
              <w:keepNext/>
              <w:spacing w:before="40" w:after="0" w:line="240" w:lineRule="auto"/>
              <w:jc w:val="both"/>
              <w:rPr>
                <w:rFonts w:eastAsia="Times New Roman" w:cs="Times New Roman"/>
                <w:noProof/>
                <w:szCs w:val="18"/>
              </w:rPr>
            </w:pPr>
            <w:r>
              <w:rPr>
                <w:noProof/>
              </w:rPr>
              <w:t>Etapă</w:t>
            </w:r>
          </w:p>
        </w:tc>
        <w:tc>
          <w:tcPr>
            <w:tcW w:w="3110" w:type="dxa"/>
            <w:tcBorders>
              <w:top w:val="nil"/>
              <w:left w:val="nil"/>
              <w:bottom w:val="single" w:sz="4" w:space="0" w:color="auto"/>
              <w:right w:val="single" w:sz="4" w:space="0" w:color="auto"/>
            </w:tcBorders>
            <w:shd w:val="clear" w:color="auto" w:fill="C6EFCE"/>
            <w:noWrap/>
            <w:vAlign w:val="center"/>
          </w:tcPr>
          <w:p w14:paraId="37D9950B" w14:textId="77777777" w:rsidR="00C45D59" w:rsidRDefault="009B0962">
            <w:pPr>
              <w:pStyle w:val="P68B1DB1-Normal55"/>
              <w:keepNext/>
              <w:spacing w:before="40" w:after="0" w:line="240" w:lineRule="auto"/>
              <w:jc w:val="both"/>
              <w:rPr>
                <w:rFonts w:eastAsia="Times New Roman" w:cs="Times New Roman"/>
                <w:noProof/>
                <w:szCs w:val="18"/>
              </w:rPr>
            </w:pPr>
            <w:r>
              <w:rPr>
                <w:noProof/>
              </w:rPr>
              <w:t xml:space="preserve">Poliția judiciară – legislație secundară </w:t>
            </w:r>
          </w:p>
        </w:tc>
      </w:tr>
      <w:tr w:rsidR="00C45D59" w14:paraId="7111263B" w14:textId="77777777">
        <w:trPr>
          <w:trHeight w:val="302"/>
          <w:jc w:val="center"/>
        </w:trPr>
        <w:tc>
          <w:tcPr>
            <w:tcW w:w="542" w:type="dxa"/>
            <w:tcBorders>
              <w:top w:val="nil"/>
              <w:left w:val="single" w:sz="4" w:space="0" w:color="auto"/>
              <w:bottom w:val="single" w:sz="4" w:space="0" w:color="auto"/>
              <w:right w:val="single" w:sz="4" w:space="0" w:color="auto"/>
            </w:tcBorders>
            <w:shd w:val="clear" w:color="auto" w:fill="C6EFCE"/>
            <w:noWrap/>
            <w:vAlign w:val="center"/>
          </w:tcPr>
          <w:p w14:paraId="3D478D3E"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278</w:t>
            </w:r>
          </w:p>
        </w:tc>
        <w:tc>
          <w:tcPr>
            <w:tcW w:w="4838" w:type="dxa"/>
            <w:tcBorders>
              <w:top w:val="nil"/>
              <w:left w:val="nil"/>
              <w:bottom w:val="single" w:sz="4" w:space="0" w:color="auto"/>
              <w:right w:val="single" w:sz="4" w:space="0" w:color="auto"/>
            </w:tcBorders>
            <w:shd w:val="clear" w:color="auto" w:fill="C6EFCE"/>
            <w:noWrap/>
            <w:vAlign w:val="center"/>
          </w:tcPr>
          <w:p w14:paraId="7D026334"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17-4.6. Modernizarea și îmbunătățirea rezilienței sectoarelor economice esențiale – 16715_Reforma muncii în sectorul cultural</w:t>
            </w:r>
          </w:p>
        </w:tc>
        <w:tc>
          <w:tcPr>
            <w:tcW w:w="1134" w:type="dxa"/>
            <w:tcBorders>
              <w:top w:val="nil"/>
              <w:left w:val="nil"/>
              <w:bottom w:val="single" w:sz="4" w:space="0" w:color="auto"/>
              <w:right w:val="single" w:sz="4" w:space="0" w:color="auto"/>
            </w:tcBorders>
            <w:shd w:val="clear" w:color="auto" w:fill="C6EFCE"/>
            <w:noWrap/>
            <w:vAlign w:val="center"/>
          </w:tcPr>
          <w:p w14:paraId="5FA4C05E" w14:textId="77777777" w:rsidR="00C45D59" w:rsidRDefault="009B0962">
            <w:pPr>
              <w:pStyle w:val="P68B1DB1-Normal55"/>
              <w:keepNext/>
              <w:spacing w:before="40" w:after="0" w:line="240" w:lineRule="auto"/>
              <w:jc w:val="both"/>
              <w:rPr>
                <w:rFonts w:eastAsia="Times New Roman" w:cs="Times New Roman"/>
                <w:noProof/>
                <w:szCs w:val="18"/>
              </w:rPr>
            </w:pPr>
            <w:r>
              <w:rPr>
                <w:noProof/>
              </w:rPr>
              <w:t>Etapă</w:t>
            </w:r>
          </w:p>
        </w:tc>
        <w:tc>
          <w:tcPr>
            <w:tcW w:w="3110" w:type="dxa"/>
            <w:tcBorders>
              <w:top w:val="nil"/>
              <w:left w:val="nil"/>
              <w:bottom w:val="single" w:sz="4" w:space="0" w:color="auto"/>
              <w:right w:val="single" w:sz="4" w:space="0" w:color="auto"/>
            </w:tcBorders>
            <w:shd w:val="clear" w:color="auto" w:fill="C6EFCE"/>
            <w:noWrap/>
            <w:vAlign w:val="center"/>
          </w:tcPr>
          <w:p w14:paraId="4E74C75D" w14:textId="77777777" w:rsidR="00C45D59" w:rsidRDefault="009B0962">
            <w:pPr>
              <w:pStyle w:val="P68B1DB1-Normal55"/>
              <w:keepNext/>
              <w:spacing w:before="40" w:after="0" w:line="240" w:lineRule="auto"/>
              <w:jc w:val="both"/>
              <w:rPr>
                <w:rFonts w:eastAsia="Times New Roman" w:cs="Times New Roman"/>
                <w:noProof/>
                <w:szCs w:val="18"/>
              </w:rPr>
            </w:pPr>
            <w:r>
              <w:rPr>
                <w:noProof/>
              </w:rPr>
              <w:t>Legislația privind reforma muncii în sectorul cultural</w:t>
            </w:r>
          </w:p>
        </w:tc>
      </w:tr>
      <w:tr w:rsidR="00C45D59" w14:paraId="333D4859" w14:textId="77777777">
        <w:trPr>
          <w:trHeight w:val="302"/>
          <w:jc w:val="center"/>
        </w:trPr>
        <w:tc>
          <w:tcPr>
            <w:tcW w:w="542" w:type="dxa"/>
            <w:tcBorders>
              <w:top w:val="nil"/>
              <w:left w:val="single" w:sz="4" w:space="0" w:color="auto"/>
              <w:bottom w:val="single" w:sz="4" w:space="0" w:color="auto"/>
              <w:right w:val="single" w:sz="4" w:space="0" w:color="auto"/>
            </w:tcBorders>
            <w:shd w:val="clear" w:color="auto" w:fill="C6EFCE"/>
            <w:noWrap/>
            <w:vAlign w:val="center"/>
          </w:tcPr>
          <w:p w14:paraId="39F49168"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302</w:t>
            </w:r>
          </w:p>
        </w:tc>
        <w:tc>
          <w:tcPr>
            <w:tcW w:w="4838" w:type="dxa"/>
            <w:tcBorders>
              <w:top w:val="nil"/>
              <w:left w:val="nil"/>
              <w:bottom w:val="single" w:sz="4" w:space="0" w:color="auto"/>
              <w:right w:val="single" w:sz="4" w:space="0" w:color="auto"/>
            </w:tcBorders>
            <w:shd w:val="clear" w:color="auto" w:fill="C6EFCE"/>
            <w:noWrap/>
            <w:vAlign w:val="center"/>
          </w:tcPr>
          <w:p w14:paraId="767B12E0"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17-4.6. Modernizarea și îmbunătățirea rezilienței sectoarelor economice esențiale – 16634_Noi parcuri industriale</w:t>
            </w:r>
          </w:p>
        </w:tc>
        <w:tc>
          <w:tcPr>
            <w:tcW w:w="1134" w:type="dxa"/>
            <w:tcBorders>
              <w:top w:val="nil"/>
              <w:left w:val="nil"/>
              <w:bottom w:val="single" w:sz="4" w:space="0" w:color="auto"/>
              <w:right w:val="single" w:sz="4" w:space="0" w:color="auto"/>
            </w:tcBorders>
            <w:shd w:val="clear" w:color="auto" w:fill="C6EFCE"/>
            <w:noWrap/>
            <w:vAlign w:val="center"/>
          </w:tcPr>
          <w:p w14:paraId="6A90223E" w14:textId="77777777" w:rsidR="00C45D59" w:rsidRDefault="009B0962">
            <w:pPr>
              <w:pStyle w:val="P68B1DB1-Normal55"/>
              <w:keepNext/>
              <w:spacing w:before="40" w:after="0" w:line="240" w:lineRule="auto"/>
              <w:jc w:val="both"/>
              <w:rPr>
                <w:rFonts w:eastAsia="Times New Roman" w:cs="Times New Roman"/>
                <w:noProof/>
                <w:szCs w:val="18"/>
              </w:rPr>
            </w:pPr>
            <w:r>
              <w:rPr>
                <w:noProof/>
              </w:rPr>
              <w:t>Etapă</w:t>
            </w:r>
          </w:p>
        </w:tc>
        <w:tc>
          <w:tcPr>
            <w:tcW w:w="3110" w:type="dxa"/>
            <w:tcBorders>
              <w:top w:val="nil"/>
              <w:left w:val="nil"/>
              <w:bottom w:val="single" w:sz="4" w:space="0" w:color="auto"/>
              <w:right w:val="single" w:sz="4" w:space="0" w:color="auto"/>
            </w:tcBorders>
            <w:shd w:val="clear" w:color="auto" w:fill="C6EFCE"/>
            <w:noWrap/>
            <w:vAlign w:val="center"/>
          </w:tcPr>
          <w:p w14:paraId="367EA2EE" w14:textId="77777777" w:rsidR="00C45D59" w:rsidRDefault="009B0962">
            <w:pPr>
              <w:pStyle w:val="P68B1DB1-Normal55"/>
              <w:keepNext/>
              <w:spacing w:before="40" w:after="0" w:line="240" w:lineRule="auto"/>
              <w:jc w:val="both"/>
              <w:rPr>
                <w:rFonts w:eastAsia="Times New Roman" w:cs="Times New Roman"/>
                <w:noProof/>
                <w:szCs w:val="18"/>
              </w:rPr>
            </w:pPr>
            <w:r>
              <w:rPr>
                <w:noProof/>
              </w:rPr>
              <w:t>Parcurile industriale – reformă legislativă (drept primar)</w:t>
            </w:r>
          </w:p>
        </w:tc>
      </w:tr>
      <w:tr w:rsidR="00C45D59" w14:paraId="26B83AB4" w14:textId="77777777">
        <w:trPr>
          <w:trHeight w:val="302"/>
          <w:jc w:val="center"/>
        </w:trPr>
        <w:tc>
          <w:tcPr>
            <w:tcW w:w="542" w:type="dxa"/>
            <w:tcBorders>
              <w:top w:val="nil"/>
              <w:left w:val="single" w:sz="4" w:space="0" w:color="auto"/>
              <w:bottom w:val="single" w:sz="4" w:space="0" w:color="auto"/>
              <w:right w:val="single" w:sz="4" w:space="0" w:color="auto"/>
            </w:tcBorders>
            <w:shd w:val="clear" w:color="auto" w:fill="C6EFCE"/>
            <w:noWrap/>
            <w:vAlign w:val="center"/>
          </w:tcPr>
          <w:p w14:paraId="510D4789"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311</w:t>
            </w:r>
          </w:p>
        </w:tc>
        <w:tc>
          <w:tcPr>
            <w:tcW w:w="4838" w:type="dxa"/>
            <w:tcBorders>
              <w:top w:val="nil"/>
              <w:left w:val="nil"/>
              <w:bottom w:val="single" w:sz="4" w:space="0" w:color="auto"/>
              <w:right w:val="single" w:sz="4" w:space="0" w:color="auto"/>
            </w:tcBorders>
            <w:shd w:val="clear" w:color="auto" w:fill="C6EFCE"/>
            <w:noWrap/>
            <w:vAlign w:val="center"/>
          </w:tcPr>
          <w:p w14:paraId="057E3E5F"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 xml:space="preserve"> 17-4.6. Modernizarea și îmbunătățirea rezilienței sectoarelor economice esențiale – 16653_Transformarea digitală a sectorului agroalimentar </w:t>
            </w:r>
          </w:p>
        </w:tc>
        <w:tc>
          <w:tcPr>
            <w:tcW w:w="1134" w:type="dxa"/>
            <w:tcBorders>
              <w:top w:val="nil"/>
              <w:left w:val="nil"/>
              <w:bottom w:val="single" w:sz="4" w:space="0" w:color="auto"/>
              <w:right w:val="single" w:sz="4" w:space="0" w:color="auto"/>
            </w:tcBorders>
            <w:shd w:val="clear" w:color="auto" w:fill="C6EFCE"/>
            <w:noWrap/>
            <w:vAlign w:val="center"/>
          </w:tcPr>
          <w:p w14:paraId="572B6FB1" w14:textId="77777777" w:rsidR="00C45D59" w:rsidRDefault="009B0962">
            <w:pPr>
              <w:pStyle w:val="P68B1DB1-Normal55"/>
              <w:keepNext/>
              <w:spacing w:before="40" w:after="0" w:line="240" w:lineRule="auto"/>
              <w:jc w:val="both"/>
              <w:rPr>
                <w:rFonts w:eastAsia="Times New Roman" w:cs="Times New Roman"/>
                <w:noProof/>
                <w:szCs w:val="18"/>
              </w:rPr>
            </w:pPr>
            <w:r>
              <w:rPr>
                <w:noProof/>
              </w:rPr>
              <w:t>Etapă</w:t>
            </w:r>
          </w:p>
        </w:tc>
        <w:tc>
          <w:tcPr>
            <w:tcW w:w="3110" w:type="dxa"/>
            <w:tcBorders>
              <w:top w:val="nil"/>
              <w:left w:val="nil"/>
              <w:bottom w:val="single" w:sz="4" w:space="0" w:color="auto"/>
              <w:right w:val="single" w:sz="4" w:space="0" w:color="auto"/>
            </w:tcBorders>
            <w:shd w:val="clear" w:color="auto" w:fill="C6EFCE"/>
            <w:noWrap/>
            <w:vAlign w:val="center"/>
          </w:tcPr>
          <w:p w14:paraId="3868C772" w14:textId="77777777" w:rsidR="00C45D59" w:rsidRDefault="009B0962">
            <w:pPr>
              <w:pStyle w:val="P68B1DB1-Normal55"/>
              <w:keepNext/>
              <w:spacing w:before="40" w:after="0" w:line="240" w:lineRule="auto"/>
              <w:jc w:val="both"/>
              <w:rPr>
                <w:rFonts w:eastAsia="Times New Roman" w:cs="Times New Roman"/>
                <w:noProof/>
                <w:szCs w:val="18"/>
              </w:rPr>
            </w:pPr>
            <w:r>
              <w:rPr>
                <w:noProof/>
              </w:rPr>
              <w:t xml:space="preserve">Lansarea cererii de propuneri pentru transformarea digitală a sectorului agroalimentar </w:t>
            </w:r>
          </w:p>
        </w:tc>
      </w:tr>
      <w:tr w:rsidR="00C45D59" w14:paraId="4C45309E" w14:textId="77777777">
        <w:trPr>
          <w:trHeight w:val="302"/>
          <w:jc w:val="center"/>
        </w:trPr>
        <w:tc>
          <w:tcPr>
            <w:tcW w:w="542" w:type="dxa"/>
            <w:tcBorders>
              <w:top w:val="nil"/>
              <w:left w:val="single" w:sz="4" w:space="0" w:color="auto"/>
              <w:bottom w:val="single" w:sz="4" w:space="0" w:color="auto"/>
              <w:right w:val="single" w:sz="4" w:space="0" w:color="auto"/>
            </w:tcBorders>
            <w:shd w:val="clear" w:color="auto" w:fill="C6EFCE"/>
            <w:noWrap/>
            <w:vAlign w:val="center"/>
          </w:tcPr>
          <w:p w14:paraId="04B0E083"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22</w:t>
            </w:r>
          </w:p>
        </w:tc>
        <w:tc>
          <w:tcPr>
            <w:tcW w:w="4838" w:type="dxa"/>
            <w:tcBorders>
              <w:top w:val="nil"/>
              <w:left w:val="nil"/>
              <w:bottom w:val="single" w:sz="4" w:space="0" w:color="auto"/>
              <w:right w:val="single" w:sz="4" w:space="0" w:color="auto"/>
            </w:tcBorders>
            <w:shd w:val="clear" w:color="auto" w:fill="C6EFCE"/>
            <w:noWrap/>
            <w:vAlign w:val="center"/>
          </w:tcPr>
          <w:p w14:paraId="10A1C242"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2-1.2. Renovare – 16872_Renovarea energetică a clădirilor rezidențiale</w:t>
            </w:r>
          </w:p>
        </w:tc>
        <w:tc>
          <w:tcPr>
            <w:tcW w:w="1134" w:type="dxa"/>
            <w:tcBorders>
              <w:top w:val="nil"/>
              <w:left w:val="nil"/>
              <w:bottom w:val="single" w:sz="4" w:space="0" w:color="auto"/>
              <w:right w:val="single" w:sz="4" w:space="0" w:color="auto"/>
            </w:tcBorders>
            <w:shd w:val="clear" w:color="auto" w:fill="C6EFCE"/>
            <w:noWrap/>
            <w:vAlign w:val="center"/>
          </w:tcPr>
          <w:p w14:paraId="28A60817" w14:textId="77777777" w:rsidR="00C45D59" w:rsidRDefault="009B0962">
            <w:pPr>
              <w:pStyle w:val="P68B1DB1-Normal55"/>
              <w:keepNext/>
              <w:spacing w:before="40" w:after="0" w:line="240" w:lineRule="auto"/>
              <w:jc w:val="both"/>
              <w:rPr>
                <w:rFonts w:eastAsia="Times New Roman" w:cs="Times New Roman"/>
                <w:noProof/>
                <w:szCs w:val="18"/>
              </w:rPr>
            </w:pPr>
            <w:r>
              <w:rPr>
                <w:noProof/>
              </w:rPr>
              <w:t>Etapă</w:t>
            </w:r>
          </w:p>
        </w:tc>
        <w:tc>
          <w:tcPr>
            <w:tcW w:w="3110" w:type="dxa"/>
            <w:tcBorders>
              <w:top w:val="nil"/>
              <w:left w:val="nil"/>
              <w:bottom w:val="single" w:sz="4" w:space="0" w:color="auto"/>
              <w:right w:val="single" w:sz="4" w:space="0" w:color="auto"/>
            </w:tcBorders>
            <w:shd w:val="clear" w:color="auto" w:fill="C6EFCE"/>
            <w:noWrap/>
            <w:vAlign w:val="center"/>
          </w:tcPr>
          <w:p w14:paraId="049110FB" w14:textId="77777777" w:rsidR="00C45D59" w:rsidRDefault="009B0962">
            <w:pPr>
              <w:pStyle w:val="P68B1DB1-Normal55"/>
              <w:keepNext/>
              <w:spacing w:before="40" w:after="0" w:line="240" w:lineRule="auto"/>
              <w:jc w:val="both"/>
              <w:rPr>
                <w:rFonts w:eastAsia="Times New Roman" w:cs="Times New Roman"/>
                <w:noProof/>
                <w:szCs w:val="18"/>
              </w:rPr>
            </w:pPr>
            <w:r>
              <w:rPr>
                <w:noProof/>
              </w:rPr>
              <w:t>Renovarea locuințelor – lansarea celei de a 3-a runde, inclusiv a gospodăriilor sărace din punct de vedere energetic</w:t>
            </w:r>
          </w:p>
        </w:tc>
      </w:tr>
      <w:tr w:rsidR="00C45D59" w14:paraId="164AF889" w14:textId="77777777">
        <w:trPr>
          <w:trHeight w:val="302"/>
          <w:jc w:val="center"/>
        </w:trPr>
        <w:tc>
          <w:tcPr>
            <w:tcW w:w="542" w:type="dxa"/>
            <w:tcBorders>
              <w:top w:val="nil"/>
              <w:left w:val="single" w:sz="4" w:space="0" w:color="auto"/>
              <w:bottom w:val="single" w:sz="4" w:space="0" w:color="auto"/>
              <w:right w:val="single" w:sz="4" w:space="0" w:color="auto"/>
            </w:tcBorders>
            <w:shd w:val="clear" w:color="auto" w:fill="C6EFCE"/>
            <w:noWrap/>
            <w:vAlign w:val="center"/>
          </w:tcPr>
          <w:p w14:paraId="15670986"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27</w:t>
            </w:r>
          </w:p>
        </w:tc>
        <w:tc>
          <w:tcPr>
            <w:tcW w:w="4838" w:type="dxa"/>
            <w:tcBorders>
              <w:top w:val="nil"/>
              <w:left w:val="nil"/>
              <w:bottom w:val="single" w:sz="4" w:space="0" w:color="auto"/>
              <w:right w:val="single" w:sz="4" w:space="0" w:color="auto"/>
            </w:tcBorders>
            <w:shd w:val="clear" w:color="auto" w:fill="C6EFCE"/>
            <w:noWrap/>
            <w:vAlign w:val="center"/>
          </w:tcPr>
          <w:p w14:paraId="2CE51147"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2-1.2. Renovare – 16879_Pregătirea planurilor urbane pentru punerea în aplicare a reformei politicii urbane</w:t>
            </w:r>
          </w:p>
        </w:tc>
        <w:tc>
          <w:tcPr>
            <w:tcW w:w="1134" w:type="dxa"/>
            <w:tcBorders>
              <w:top w:val="nil"/>
              <w:left w:val="nil"/>
              <w:bottom w:val="single" w:sz="4" w:space="0" w:color="auto"/>
              <w:right w:val="single" w:sz="4" w:space="0" w:color="auto"/>
            </w:tcBorders>
            <w:shd w:val="clear" w:color="auto" w:fill="C6EFCE"/>
            <w:noWrap/>
            <w:vAlign w:val="center"/>
          </w:tcPr>
          <w:p w14:paraId="6AD4A216" w14:textId="77777777" w:rsidR="00C45D59" w:rsidRDefault="009B0962">
            <w:pPr>
              <w:pStyle w:val="P68B1DB1-Normal55"/>
              <w:keepNext/>
              <w:spacing w:before="40" w:after="0" w:line="240" w:lineRule="auto"/>
              <w:jc w:val="both"/>
              <w:rPr>
                <w:rFonts w:eastAsia="Times New Roman" w:cs="Times New Roman"/>
                <w:noProof/>
                <w:szCs w:val="18"/>
              </w:rPr>
            </w:pPr>
            <w:r>
              <w:rPr>
                <w:noProof/>
              </w:rPr>
              <w:t>Etapă</w:t>
            </w:r>
          </w:p>
        </w:tc>
        <w:tc>
          <w:tcPr>
            <w:tcW w:w="3110" w:type="dxa"/>
            <w:tcBorders>
              <w:top w:val="nil"/>
              <w:left w:val="nil"/>
              <w:bottom w:val="single" w:sz="4" w:space="0" w:color="auto"/>
              <w:right w:val="single" w:sz="4" w:space="0" w:color="auto"/>
            </w:tcBorders>
            <w:shd w:val="clear" w:color="auto" w:fill="C6EFCE"/>
            <w:noWrap/>
            <w:vAlign w:val="center"/>
          </w:tcPr>
          <w:p w14:paraId="7A5B2943" w14:textId="77777777" w:rsidR="00C45D59" w:rsidRDefault="009B0962">
            <w:pPr>
              <w:pStyle w:val="P68B1DB1-Normal55"/>
              <w:keepNext/>
              <w:spacing w:before="40" w:after="0" w:line="240" w:lineRule="auto"/>
              <w:jc w:val="both"/>
              <w:rPr>
                <w:rFonts w:eastAsia="Times New Roman" w:cs="Times New Roman"/>
                <w:noProof/>
                <w:szCs w:val="18"/>
              </w:rPr>
            </w:pPr>
            <w:r>
              <w:rPr>
                <w:noProof/>
              </w:rPr>
              <w:t>Premiul pentru planuri urbane</w:t>
            </w:r>
          </w:p>
        </w:tc>
      </w:tr>
      <w:tr w:rsidR="00C45D59" w14:paraId="1AB000D5" w14:textId="77777777">
        <w:trPr>
          <w:trHeight w:val="302"/>
          <w:jc w:val="center"/>
        </w:trPr>
        <w:tc>
          <w:tcPr>
            <w:tcW w:w="542" w:type="dxa"/>
            <w:tcBorders>
              <w:top w:val="nil"/>
              <w:left w:val="single" w:sz="4" w:space="0" w:color="auto"/>
              <w:bottom w:val="single" w:sz="4" w:space="0" w:color="auto"/>
              <w:right w:val="single" w:sz="4" w:space="0" w:color="auto"/>
            </w:tcBorders>
            <w:shd w:val="clear" w:color="auto" w:fill="C6EFCE"/>
            <w:noWrap/>
            <w:vAlign w:val="center"/>
          </w:tcPr>
          <w:p w14:paraId="552D69B9"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43</w:t>
            </w:r>
          </w:p>
        </w:tc>
        <w:tc>
          <w:tcPr>
            <w:tcW w:w="4838" w:type="dxa"/>
            <w:tcBorders>
              <w:top w:val="nil"/>
              <w:left w:val="nil"/>
              <w:bottom w:val="single" w:sz="4" w:space="0" w:color="auto"/>
              <w:right w:val="single" w:sz="4" w:space="0" w:color="auto"/>
            </w:tcBorders>
            <w:shd w:val="clear" w:color="auto" w:fill="C6EFCE"/>
            <w:noWrap/>
            <w:vAlign w:val="center"/>
          </w:tcPr>
          <w:p w14:paraId="4A3DC2C3"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3-1.3. Reîncărcarea și realimentarea – 16281_Cadru pentru instalarea și exploatarea infrastructurii de încărcare a vehiculelor electrice</w:t>
            </w:r>
          </w:p>
        </w:tc>
        <w:tc>
          <w:tcPr>
            <w:tcW w:w="1134" w:type="dxa"/>
            <w:tcBorders>
              <w:top w:val="nil"/>
              <w:left w:val="nil"/>
              <w:bottom w:val="single" w:sz="4" w:space="0" w:color="auto"/>
              <w:right w:val="single" w:sz="4" w:space="0" w:color="auto"/>
            </w:tcBorders>
            <w:shd w:val="clear" w:color="auto" w:fill="C6EFCE"/>
            <w:noWrap/>
            <w:vAlign w:val="center"/>
          </w:tcPr>
          <w:p w14:paraId="3E65838A" w14:textId="77777777" w:rsidR="00C45D59" w:rsidRDefault="009B0962">
            <w:pPr>
              <w:pStyle w:val="P68B1DB1-Normal55"/>
              <w:keepNext/>
              <w:spacing w:before="40" w:after="0" w:line="240" w:lineRule="auto"/>
              <w:jc w:val="both"/>
              <w:rPr>
                <w:rFonts w:eastAsia="Times New Roman" w:cs="Times New Roman"/>
                <w:noProof/>
                <w:szCs w:val="18"/>
              </w:rPr>
            </w:pPr>
            <w:r>
              <w:rPr>
                <w:noProof/>
              </w:rPr>
              <w:t>Țintă</w:t>
            </w:r>
          </w:p>
        </w:tc>
        <w:tc>
          <w:tcPr>
            <w:tcW w:w="3110" w:type="dxa"/>
            <w:tcBorders>
              <w:top w:val="nil"/>
              <w:left w:val="nil"/>
              <w:bottom w:val="single" w:sz="4" w:space="0" w:color="auto"/>
              <w:right w:val="single" w:sz="4" w:space="0" w:color="auto"/>
            </w:tcBorders>
            <w:shd w:val="clear" w:color="auto" w:fill="C6EFCE"/>
            <w:noWrap/>
            <w:vAlign w:val="center"/>
          </w:tcPr>
          <w:p w14:paraId="577410A9" w14:textId="77777777" w:rsidR="00C45D59" w:rsidRDefault="009B0962">
            <w:pPr>
              <w:pStyle w:val="P68B1DB1-Normal55"/>
              <w:keepNext/>
              <w:spacing w:before="40" w:after="0" w:line="240" w:lineRule="auto"/>
              <w:jc w:val="both"/>
              <w:rPr>
                <w:rFonts w:eastAsia="Times New Roman" w:cs="Times New Roman"/>
                <w:noProof/>
                <w:szCs w:val="18"/>
              </w:rPr>
            </w:pPr>
            <w:r>
              <w:rPr>
                <w:noProof/>
              </w:rPr>
              <w:t>Puncte de încărcare pentru vehicule electrice – planuri locale aprobate</w:t>
            </w:r>
          </w:p>
        </w:tc>
      </w:tr>
      <w:tr w:rsidR="00C45D59" w14:paraId="2C7C7674" w14:textId="77777777">
        <w:trPr>
          <w:trHeight w:val="302"/>
          <w:jc w:val="center"/>
        </w:trPr>
        <w:tc>
          <w:tcPr>
            <w:tcW w:w="542" w:type="dxa"/>
            <w:tcBorders>
              <w:top w:val="nil"/>
              <w:left w:val="single" w:sz="4" w:space="0" w:color="auto"/>
              <w:bottom w:val="single" w:sz="4" w:space="0" w:color="auto"/>
              <w:right w:val="single" w:sz="4" w:space="0" w:color="auto"/>
            </w:tcBorders>
            <w:shd w:val="clear" w:color="auto" w:fill="C6EFCE"/>
            <w:noWrap/>
            <w:vAlign w:val="center"/>
          </w:tcPr>
          <w:p w14:paraId="6D1CB242"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46</w:t>
            </w:r>
          </w:p>
        </w:tc>
        <w:tc>
          <w:tcPr>
            <w:tcW w:w="4838" w:type="dxa"/>
            <w:tcBorders>
              <w:top w:val="nil"/>
              <w:left w:val="nil"/>
              <w:bottom w:val="single" w:sz="4" w:space="0" w:color="auto"/>
              <w:right w:val="single" w:sz="4" w:space="0" w:color="auto"/>
            </w:tcBorders>
            <w:shd w:val="clear" w:color="auto" w:fill="C6EFCE"/>
            <w:noWrap/>
            <w:vAlign w:val="center"/>
          </w:tcPr>
          <w:p w14:paraId="00EF87BD"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 xml:space="preserve">3-1.3. Reîncărcare și realimentare – 16831_Produc- E verde </w:t>
            </w:r>
          </w:p>
        </w:tc>
        <w:tc>
          <w:tcPr>
            <w:tcW w:w="1134" w:type="dxa"/>
            <w:tcBorders>
              <w:top w:val="nil"/>
              <w:left w:val="nil"/>
              <w:bottom w:val="single" w:sz="4" w:space="0" w:color="auto"/>
              <w:right w:val="single" w:sz="4" w:space="0" w:color="auto"/>
            </w:tcBorders>
            <w:shd w:val="clear" w:color="auto" w:fill="C6EFCE"/>
            <w:noWrap/>
            <w:vAlign w:val="center"/>
          </w:tcPr>
          <w:p w14:paraId="00371795" w14:textId="77777777" w:rsidR="00C45D59" w:rsidRDefault="009B0962">
            <w:pPr>
              <w:pStyle w:val="P68B1DB1-Normal55"/>
              <w:keepNext/>
              <w:spacing w:before="40" w:after="0" w:line="240" w:lineRule="auto"/>
              <w:jc w:val="both"/>
              <w:rPr>
                <w:rFonts w:eastAsia="Times New Roman" w:cs="Times New Roman"/>
                <w:noProof/>
                <w:szCs w:val="18"/>
              </w:rPr>
            </w:pPr>
            <w:r>
              <w:rPr>
                <w:noProof/>
              </w:rPr>
              <w:t>Etapă</w:t>
            </w:r>
          </w:p>
        </w:tc>
        <w:tc>
          <w:tcPr>
            <w:tcW w:w="3110" w:type="dxa"/>
            <w:tcBorders>
              <w:top w:val="nil"/>
              <w:left w:val="nil"/>
              <w:bottom w:val="single" w:sz="4" w:space="0" w:color="auto"/>
              <w:right w:val="single" w:sz="4" w:space="0" w:color="auto"/>
            </w:tcBorders>
            <w:shd w:val="clear" w:color="auto" w:fill="C6EFCE"/>
            <w:noWrap/>
            <w:vAlign w:val="center"/>
          </w:tcPr>
          <w:p w14:paraId="5C907244" w14:textId="77777777" w:rsidR="00C45D59" w:rsidRDefault="009B0962">
            <w:pPr>
              <w:pStyle w:val="P68B1DB1-Normal55"/>
              <w:keepNext/>
              <w:spacing w:before="40" w:after="0" w:line="240" w:lineRule="auto"/>
              <w:jc w:val="both"/>
              <w:rPr>
                <w:rFonts w:eastAsia="Times New Roman" w:cs="Times New Roman"/>
                <w:noProof/>
                <w:szCs w:val="18"/>
              </w:rPr>
            </w:pPr>
            <w:r>
              <w:rPr>
                <w:noProof/>
              </w:rPr>
              <w:t>Unități industriale – lansarea programului</w:t>
            </w:r>
          </w:p>
        </w:tc>
      </w:tr>
      <w:tr w:rsidR="00C45D59" w14:paraId="3621B561" w14:textId="77777777">
        <w:trPr>
          <w:trHeight w:val="302"/>
          <w:jc w:val="center"/>
        </w:trPr>
        <w:tc>
          <w:tcPr>
            <w:tcW w:w="542" w:type="dxa"/>
            <w:tcBorders>
              <w:top w:val="nil"/>
              <w:left w:val="single" w:sz="4" w:space="0" w:color="auto"/>
              <w:bottom w:val="single" w:sz="4" w:space="0" w:color="auto"/>
              <w:right w:val="single" w:sz="4" w:space="0" w:color="auto"/>
            </w:tcBorders>
            <w:shd w:val="clear" w:color="auto" w:fill="C6EFCE"/>
            <w:noWrap/>
            <w:vAlign w:val="center"/>
          </w:tcPr>
          <w:p w14:paraId="3DD902C1"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47</w:t>
            </w:r>
          </w:p>
        </w:tc>
        <w:tc>
          <w:tcPr>
            <w:tcW w:w="4838" w:type="dxa"/>
            <w:tcBorders>
              <w:top w:val="nil"/>
              <w:left w:val="nil"/>
              <w:bottom w:val="single" w:sz="4" w:space="0" w:color="auto"/>
              <w:right w:val="single" w:sz="4" w:space="0" w:color="auto"/>
            </w:tcBorders>
            <w:shd w:val="clear" w:color="auto" w:fill="C6EFCE"/>
            <w:noWrap/>
            <w:vAlign w:val="center"/>
          </w:tcPr>
          <w:p w14:paraId="494B6BF2"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3-1.3. Reîncărcare și realimentare – 16924_ Electromobilitate</w:t>
            </w:r>
          </w:p>
        </w:tc>
        <w:tc>
          <w:tcPr>
            <w:tcW w:w="1134" w:type="dxa"/>
            <w:tcBorders>
              <w:top w:val="nil"/>
              <w:left w:val="nil"/>
              <w:bottom w:val="single" w:sz="4" w:space="0" w:color="auto"/>
              <w:right w:val="single" w:sz="4" w:space="0" w:color="auto"/>
            </w:tcBorders>
            <w:shd w:val="clear" w:color="auto" w:fill="C6EFCE"/>
            <w:noWrap/>
            <w:vAlign w:val="center"/>
          </w:tcPr>
          <w:p w14:paraId="6D7907D7" w14:textId="77777777" w:rsidR="00C45D59" w:rsidRDefault="009B0962">
            <w:pPr>
              <w:pStyle w:val="P68B1DB1-Normal55"/>
              <w:keepNext/>
              <w:spacing w:before="40" w:after="0" w:line="240" w:lineRule="auto"/>
              <w:jc w:val="both"/>
              <w:rPr>
                <w:rFonts w:eastAsia="Times New Roman" w:cs="Times New Roman"/>
                <w:noProof/>
                <w:szCs w:val="18"/>
              </w:rPr>
            </w:pPr>
            <w:r>
              <w:rPr>
                <w:noProof/>
              </w:rPr>
              <w:t>Etapă</w:t>
            </w:r>
          </w:p>
        </w:tc>
        <w:tc>
          <w:tcPr>
            <w:tcW w:w="3110" w:type="dxa"/>
            <w:tcBorders>
              <w:top w:val="nil"/>
              <w:left w:val="nil"/>
              <w:bottom w:val="single" w:sz="4" w:space="0" w:color="auto"/>
              <w:right w:val="single" w:sz="4" w:space="0" w:color="auto"/>
            </w:tcBorders>
            <w:shd w:val="clear" w:color="auto" w:fill="C6EFCE"/>
            <w:noWrap/>
            <w:vAlign w:val="center"/>
          </w:tcPr>
          <w:p w14:paraId="572EB6A5" w14:textId="77777777" w:rsidR="00C45D59" w:rsidRDefault="009B0962">
            <w:pPr>
              <w:pStyle w:val="P68B1DB1-Normal55"/>
              <w:keepNext/>
              <w:spacing w:before="40" w:after="0" w:line="240" w:lineRule="auto"/>
              <w:jc w:val="both"/>
              <w:rPr>
                <w:rFonts w:eastAsia="Times New Roman" w:cs="Times New Roman"/>
                <w:noProof/>
                <w:szCs w:val="18"/>
              </w:rPr>
            </w:pPr>
            <w:r>
              <w:rPr>
                <w:noProof/>
              </w:rPr>
              <w:t xml:space="preserve"> Puncte de încărcare a vehiculelor electrice – lansarea programelor</w:t>
            </w:r>
          </w:p>
        </w:tc>
      </w:tr>
      <w:tr w:rsidR="00C45D59" w14:paraId="6A38F6AB" w14:textId="77777777">
        <w:trPr>
          <w:trHeight w:val="302"/>
          <w:jc w:val="center"/>
        </w:trPr>
        <w:tc>
          <w:tcPr>
            <w:tcW w:w="542" w:type="dxa"/>
            <w:tcBorders>
              <w:top w:val="nil"/>
              <w:left w:val="single" w:sz="4" w:space="0" w:color="auto"/>
              <w:bottom w:val="single" w:sz="4" w:space="0" w:color="auto"/>
              <w:right w:val="single" w:sz="4" w:space="0" w:color="auto"/>
            </w:tcBorders>
            <w:shd w:val="clear" w:color="auto" w:fill="C6EFCE"/>
            <w:noWrap/>
            <w:vAlign w:val="center"/>
          </w:tcPr>
          <w:p w14:paraId="4638111F"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48</w:t>
            </w:r>
          </w:p>
        </w:tc>
        <w:tc>
          <w:tcPr>
            <w:tcW w:w="4838" w:type="dxa"/>
            <w:tcBorders>
              <w:top w:val="nil"/>
              <w:left w:val="nil"/>
              <w:bottom w:val="single" w:sz="4" w:space="0" w:color="auto"/>
              <w:right w:val="single" w:sz="4" w:space="0" w:color="auto"/>
            </w:tcBorders>
            <w:shd w:val="clear" w:color="auto" w:fill="C6EFCE"/>
            <w:noWrap/>
            <w:vAlign w:val="center"/>
          </w:tcPr>
          <w:p w14:paraId="6FF5A5A8"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3-1.3. Reîncărcare și realimentare – 16924_ Electromobilitate</w:t>
            </w:r>
          </w:p>
        </w:tc>
        <w:tc>
          <w:tcPr>
            <w:tcW w:w="1134" w:type="dxa"/>
            <w:tcBorders>
              <w:top w:val="nil"/>
              <w:left w:val="nil"/>
              <w:bottom w:val="single" w:sz="4" w:space="0" w:color="auto"/>
              <w:right w:val="single" w:sz="4" w:space="0" w:color="auto"/>
            </w:tcBorders>
            <w:shd w:val="clear" w:color="auto" w:fill="C6EFCE"/>
            <w:noWrap/>
            <w:vAlign w:val="center"/>
          </w:tcPr>
          <w:p w14:paraId="3DE0FE3D" w14:textId="77777777" w:rsidR="00C45D59" w:rsidRDefault="009B0962">
            <w:pPr>
              <w:pStyle w:val="P68B1DB1-Normal55"/>
              <w:keepNext/>
              <w:spacing w:before="40" w:after="0" w:line="240" w:lineRule="auto"/>
              <w:jc w:val="both"/>
              <w:rPr>
                <w:rFonts w:eastAsia="Times New Roman" w:cs="Times New Roman"/>
                <w:noProof/>
                <w:szCs w:val="18"/>
              </w:rPr>
            </w:pPr>
            <w:r>
              <w:rPr>
                <w:noProof/>
              </w:rPr>
              <w:t>Etapă</w:t>
            </w:r>
          </w:p>
        </w:tc>
        <w:tc>
          <w:tcPr>
            <w:tcW w:w="3110" w:type="dxa"/>
            <w:tcBorders>
              <w:top w:val="nil"/>
              <w:left w:val="nil"/>
              <w:bottom w:val="single" w:sz="4" w:space="0" w:color="auto"/>
              <w:right w:val="single" w:sz="4" w:space="0" w:color="auto"/>
            </w:tcBorders>
            <w:shd w:val="clear" w:color="auto" w:fill="C6EFCE"/>
            <w:noWrap/>
            <w:vAlign w:val="center"/>
          </w:tcPr>
          <w:p w14:paraId="7B864CB0" w14:textId="77777777" w:rsidR="00C45D59" w:rsidRDefault="009B0962">
            <w:pPr>
              <w:pStyle w:val="P68B1DB1-Normal55"/>
              <w:keepNext/>
              <w:spacing w:before="40" w:after="0" w:line="240" w:lineRule="auto"/>
              <w:jc w:val="both"/>
              <w:rPr>
                <w:rFonts w:eastAsia="Times New Roman" w:cs="Times New Roman"/>
                <w:noProof/>
                <w:szCs w:val="18"/>
              </w:rPr>
            </w:pPr>
            <w:r>
              <w:rPr>
                <w:noProof/>
              </w:rPr>
              <w:t>Transport durabil – studiu de fezabilitate</w:t>
            </w:r>
          </w:p>
        </w:tc>
      </w:tr>
      <w:tr w:rsidR="00C45D59" w14:paraId="79D86CE6" w14:textId="77777777">
        <w:trPr>
          <w:trHeight w:val="302"/>
          <w:jc w:val="center"/>
        </w:trPr>
        <w:tc>
          <w:tcPr>
            <w:tcW w:w="542" w:type="dxa"/>
            <w:tcBorders>
              <w:top w:val="nil"/>
              <w:left w:val="single" w:sz="4" w:space="0" w:color="auto"/>
              <w:bottom w:val="single" w:sz="4" w:space="0" w:color="auto"/>
              <w:right w:val="single" w:sz="4" w:space="0" w:color="auto"/>
            </w:tcBorders>
            <w:shd w:val="clear" w:color="auto" w:fill="C6EFCE"/>
            <w:noWrap/>
            <w:vAlign w:val="center"/>
          </w:tcPr>
          <w:p w14:paraId="265BEC58"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58</w:t>
            </w:r>
          </w:p>
        </w:tc>
        <w:tc>
          <w:tcPr>
            <w:tcW w:w="4838" w:type="dxa"/>
            <w:tcBorders>
              <w:top w:val="nil"/>
              <w:left w:val="nil"/>
              <w:bottom w:val="single" w:sz="4" w:space="0" w:color="auto"/>
              <w:right w:val="single" w:sz="4" w:space="0" w:color="auto"/>
            </w:tcBorders>
            <w:shd w:val="clear" w:color="auto" w:fill="C6EFCE"/>
            <w:noWrap/>
            <w:vAlign w:val="center"/>
          </w:tcPr>
          <w:p w14:paraId="2F86A6DD"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4-1.4. Utilizarea durabilă a resurselor, reziliența la schimbările climatice și protecția mediului – 16979_Instituirea unei noi autorități de reglementare în domeniul apei și al apelor uzate</w:t>
            </w:r>
          </w:p>
        </w:tc>
        <w:tc>
          <w:tcPr>
            <w:tcW w:w="1134" w:type="dxa"/>
            <w:tcBorders>
              <w:top w:val="nil"/>
              <w:left w:val="nil"/>
              <w:bottom w:val="single" w:sz="4" w:space="0" w:color="auto"/>
              <w:right w:val="single" w:sz="4" w:space="0" w:color="auto"/>
            </w:tcBorders>
            <w:shd w:val="clear" w:color="auto" w:fill="C6EFCE"/>
            <w:noWrap/>
            <w:vAlign w:val="center"/>
          </w:tcPr>
          <w:p w14:paraId="5BBC3D48" w14:textId="77777777" w:rsidR="00C45D59" w:rsidRDefault="009B0962">
            <w:pPr>
              <w:pStyle w:val="P68B1DB1-Normal55"/>
              <w:keepNext/>
              <w:spacing w:before="40" w:after="0" w:line="240" w:lineRule="auto"/>
              <w:jc w:val="both"/>
              <w:rPr>
                <w:rFonts w:eastAsia="Times New Roman" w:cs="Times New Roman"/>
                <w:noProof/>
                <w:szCs w:val="18"/>
              </w:rPr>
            </w:pPr>
            <w:r>
              <w:rPr>
                <w:noProof/>
              </w:rPr>
              <w:t>Etapă</w:t>
            </w:r>
          </w:p>
        </w:tc>
        <w:tc>
          <w:tcPr>
            <w:tcW w:w="3110" w:type="dxa"/>
            <w:tcBorders>
              <w:top w:val="nil"/>
              <w:left w:val="nil"/>
              <w:bottom w:val="single" w:sz="4" w:space="0" w:color="auto"/>
              <w:right w:val="single" w:sz="4" w:space="0" w:color="auto"/>
            </w:tcBorders>
            <w:shd w:val="clear" w:color="auto" w:fill="C6EFCE"/>
            <w:noWrap/>
            <w:vAlign w:val="center"/>
          </w:tcPr>
          <w:p w14:paraId="5F87DA8E" w14:textId="77777777" w:rsidR="00C45D59" w:rsidRDefault="009B0962">
            <w:pPr>
              <w:pStyle w:val="P68B1DB1-Normal55"/>
              <w:keepNext/>
              <w:spacing w:before="40" w:after="0" w:line="240" w:lineRule="auto"/>
              <w:jc w:val="both"/>
              <w:rPr>
                <w:rFonts w:eastAsia="Times New Roman" w:cs="Times New Roman"/>
                <w:noProof/>
                <w:szCs w:val="18"/>
              </w:rPr>
            </w:pPr>
            <w:r>
              <w:rPr>
                <w:noProof/>
              </w:rPr>
              <w:t>Intrarea în vigoare a legii privind autoritatea de reglementare în domeniul apei</w:t>
            </w:r>
          </w:p>
        </w:tc>
      </w:tr>
      <w:tr w:rsidR="00C45D59" w14:paraId="05AB238E" w14:textId="77777777">
        <w:trPr>
          <w:trHeight w:val="302"/>
          <w:jc w:val="center"/>
        </w:trPr>
        <w:tc>
          <w:tcPr>
            <w:tcW w:w="542" w:type="dxa"/>
            <w:tcBorders>
              <w:top w:val="nil"/>
              <w:left w:val="single" w:sz="4" w:space="0" w:color="auto"/>
              <w:bottom w:val="single" w:sz="4" w:space="0" w:color="auto"/>
              <w:right w:val="single" w:sz="4" w:space="0" w:color="auto"/>
            </w:tcBorders>
            <w:shd w:val="clear" w:color="auto" w:fill="C6EFCE"/>
            <w:noWrap/>
            <w:vAlign w:val="center"/>
          </w:tcPr>
          <w:p w14:paraId="7ED6A24C"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78</w:t>
            </w:r>
          </w:p>
        </w:tc>
        <w:tc>
          <w:tcPr>
            <w:tcW w:w="4838" w:type="dxa"/>
            <w:tcBorders>
              <w:top w:val="nil"/>
              <w:left w:val="nil"/>
              <w:bottom w:val="single" w:sz="4" w:space="0" w:color="auto"/>
              <w:right w:val="single" w:sz="4" w:space="0" w:color="auto"/>
            </w:tcBorders>
            <w:shd w:val="clear" w:color="auto" w:fill="C6EFCE"/>
            <w:noWrap/>
            <w:vAlign w:val="center"/>
          </w:tcPr>
          <w:p w14:paraId="0B1D296F"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4-1.4. Utilizarea durabilă a resurselor, reziliența la schimbările climatice și protecția mediului – 16910_Sistemul de monitorizare și gestionare</w:t>
            </w:r>
          </w:p>
        </w:tc>
        <w:tc>
          <w:tcPr>
            <w:tcW w:w="1134" w:type="dxa"/>
            <w:tcBorders>
              <w:top w:val="nil"/>
              <w:left w:val="nil"/>
              <w:bottom w:val="single" w:sz="4" w:space="0" w:color="auto"/>
              <w:right w:val="single" w:sz="4" w:space="0" w:color="auto"/>
            </w:tcBorders>
            <w:shd w:val="clear" w:color="auto" w:fill="C6EFCE"/>
            <w:noWrap/>
            <w:vAlign w:val="center"/>
          </w:tcPr>
          <w:p w14:paraId="78CB497C" w14:textId="77777777" w:rsidR="00C45D59" w:rsidRDefault="009B0962">
            <w:pPr>
              <w:pStyle w:val="P68B1DB1-Normal55"/>
              <w:keepNext/>
              <w:spacing w:before="40" w:after="0" w:line="240" w:lineRule="auto"/>
              <w:jc w:val="both"/>
              <w:rPr>
                <w:rFonts w:eastAsia="Times New Roman" w:cs="Times New Roman"/>
                <w:noProof/>
                <w:szCs w:val="18"/>
              </w:rPr>
            </w:pPr>
            <w:r>
              <w:rPr>
                <w:noProof/>
              </w:rPr>
              <w:t>Etapă</w:t>
            </w:r>
          </w:p>
        </w:tc>
        <w:tc>
          <w:tcPr>
            <w:tcW w:w="3110" w:type="dxa"/>
            <w:tcBorders>
              <w:top w:val="nil"/>
              <w:left w:val="nil"/>
              <w:bottom w:val="single" w:sz="4" w:space="0" w:color="auto"/>
              <w:right w:val="single" w:sz="4" w:space="0" w:color="auto"/>
            </w:tcBorders>
            <w:shd w:val="clear" w:color="auto" w:fill="C6EFCE"/>
            <w:noWrap/>
            <w:vAlign w:val="center"/>
          </w:tcPr>
          <w:p w14:paraId="29CF02CC" w14:textId="77777777" w:rsidR="00C45D59" w:rsidRDefault="009B0962">
            <w:pPr>
              <w:pStyle w:val="P68B1DB1-Normal55"/>
              <w:keepNext/>
              <w:spacing w:before="40" w:after="0" w:line="240" w:lineRule="auto"/>
              <w:jc w:val="both"/>
              <w:rPr>
                <w:rFonts w:eastAsia="Times New Roman" w:cs="Times New Roman"/>
                <w:noProof/>
                <w:szCs w:val="18"/>
              </w:rPr>
            </w:pPr>
            <w:r>
              <w:rPr>
                <w:noProof/>
              </w:rPr>
              <w:t>Contract pentru GPS</w:t>
            </w:r>
          </w:p>
        </w:tc>
      </w:tr>
      <w:tr w:rsidR="00C45D59" w14:paraId="3E0E2DF7" w14:textId="77777777">
        <w:trPr>
          <w:trHeight w:val="302"/>
          <w:jc w:val="center"/>
        </w:trPr>
        <w:tc>
          <w:tcPr>
            <w:tcW w:w="542" w:type="dxa"/>
            <w:tcBorders>
              <w:top w:val="nil"/>
              <w:left w:val="single" w:sz="4" w:space="0" w:color="auto"/>
              <w:bottom w:val="single" w:sz="4" w:space="0" w:color="auto"/>
              <w:right w:val="single" w:sz="4" w:space="0" w:color="auto"/>
            </w:tcBorders>
            <w:shd w:val="clear" w:color="auto" w:fill="C6EFCE"/>
            <w:noWrap/>
            <w:vAlign w:val="center"/>
          </w:tcPr>
          <w:p w14:paraId="117FB117"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93</w:t>
            </w:r>
          </w:p>
        </w:tc>
        <w:tc>
          <w:tcPr>
            <w:tcW w:w="4838" w:type="dxa"/>
            <w:tcBorders>
              <w:top w:val="nil"/>
              <w:left w:val="nil"/>
              <w:bottom w:val="single" w:sz="4" w:space="0" w:color="auto"/>
              <w:right w:val="single" w:sz="4" w:space="0" w:color="auto"/>
            </w:tcBorders>
            <w:shd w:val="clear" w:color="auto" w:fill="C6EFCE"/>
            <w:noWrap/>
            <w:vAlign w:val="center"/>
          </w:tcPr>
          <w:p w14:paraId="6AB9832A"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6-2.2. Modernizare – 16778_Digitalizarea arhivelor și a serviciilor conexe</w:t>
            </w:r>
          </w:p>
        </w:tc>
        <w:tc>
          <w:tcPr>
            <w:tcW w:w="1134" w:type="dxa"/>
            <w:tcBorders>
              <w:top w:val="nil"/>
              <w:left w:val="nil"/>
              <w:bottom w:val="single" w:sz="4" w:space="0" w:color="auto"/>
              <w:right w:val="single" w:sz="4" w:space="0" w:color="auto"/>
            </w:tcBorders>
            <w:shd w:val="clear" w:color="auto" w:fill="C6EFCE"/>
            <w:noWrap/>
            <w:vAlign w:val="center"/>
          </w:tcPr>
          <w:p w14:paraId="69E9CADB" w14:textId="77777777" w:rsidR="00C45D59" w:rsidRDefault="009B0962">
            <w:pPr>
              <w:pStyle w:val="P68B1DB1-Normal55"/>
              <w:keepNext/>
              <w:spacing w:before="40" w:after="0" w:line="240" w:lineRule="auto"/>
              <w:jc w:val="both"/>
              <w:rPr>
                <w:rFonts w:eastAsia="Times New Roman" w:cs="Times New Roman"/>
                <w:noProof/>
                <w:szCs w:val="18"/>
              </w:rPr>
            </w:pPr>
            <w:r>
              <w:rPr>
                <w:noProof/>
              </w:rPr>
              <w:t>Etapă</w:t>
            </w:r>
          </w:p>
        </w:tc>
        <w:tc>
          <w:tcPr>
            <w:tcW w:w="3110" w:type="dxa"/>
            <w:tcBorders>
              <w:top w:val="nil"/>
              <w:left w:val="nil"/>
              <w:bottom w:val="single" w:sz="4" w:space="0" w:color="auto"/>
              <w:right w:val="single" w:sz="4" w:space="0" w:color="auto"/>
            </w:tcBorders>
            <w:shd w:val="clear" w:color="auto" w:fill="C6EFCE"/>
            <w:noWrap/>
            <w:vAlign w:val="center"/>
          </w:tcPr>
          <w:p w14:paraId="49182347" w14:textId="77777777" w:rsidR="00C45D59" w:rsidRDefault="009B0962">
            <w:pPr>
              <w:pStyle w:val="P68B1DB1-Normal55"/>
              <w:keepNext/>
              <w:spacing w:before="40" w:after="0" w:line="240" w:lineRule="auto"/>
              <w:jc w:val="both"/>
              <w:rPr>
                <w:rFonts w:eastAsia="Times New Roman" w:cs="Times New Roman"/>
                <w:noProof/>
                <w:szCs w:val="18"/>
              </w:rPr>
            </w:pPr>
            <w:r>
              <w:rPr>
                <w:noProof/>
              </w:rPr>
              <w:t>Atribuirea contractului (contractelor) pentru digitalizarea arhivelor</w:t>
            </w:r>
          </w:p>
        </w:tc>
      </w:tr>
      <w:tr w:rsidR="00C45D59" w14:paraId="7BB86474" w14:textId="77777777">
        <w:trPr>
          <w:trHeight w:val="302"/>
          <w:jc w:val="center"/>
        </w:trPr>
        <w:tc>
          <w:tcPr>
            <w:tcW w:w="542" w:type="dxa"/>
            <w:tcBorders>
              <w:top w:val="nil"/>
              <w:left w:val="single" w:sz="4" w:space="0" w:color="auto"/>
              <w:bottom w:val="single" w:sz="4" w:space="0" w:color="auto"/>
              <w:right w:val="single" w:sz="4" w:space="0" w:color="auto"/>
            </w:tcBorders>
            <w:shd w:val="clear" w:color="auto" w:fill="C6EFCE"/>
            <w:noWrap/>
            <w:vAlign w:val="center"/>
          </w:tcPr>
          <w:p w14:paraId="41062809"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100</w:t>
            </w:r>
          </w:p>
        </w:tc>
        <w:tc>
          <w:tcPr>
            <w:tcW w:w="4838" w:type="dxa"/>
            <w:tcBorders>
              <w:top w:val="nil"/>
              <w:left w:val="nil"/>
              <w:bottom w:val="single" w:sz="4" w:space="0" w:color="auto"/>
              <w:right w:val="single" w:sz="4" w:space="0" w:color="auto"/>
            </w:tcBorders>
            <w:shd w:val="clear" w:color="auto" w:fill="C6EFCE"/>
            <w:noWrap/>
            <w:vAlign w:val="center"/>
          </w:tcPr>
          <w:p w14:paraId="243AA9CD" w14:textId="77777777" w:rsidR="00C45D59" w:rsidRDefault="009B0962">
            <w:pPr>
              <w:pStyle w:val="P68B1DB1-Normal11"/>
              <w:keepNext/>
              <w:spacing w:before="40" w:after="0" w:line="240" w:lineRule="auto"/>
              <w:jc w:val="both"/>
              <w:rPr>
                <w:noProof/>
              </w:rPr>
            </w:pPr>
            <w:r>
              <w:rPr>
                <w:noProof/>
              </w:rPr>
              <w:t>6-2.2. Modernizare – 16779_Interoperabilitate și dezvoltarea serviciilor web</w:t>
            </w:r>
          </w:p>
        </w:tc>
        <w:tc>
          <w:tcPr>
            <w:tcW w:w="1134" w:type="dxa"/>
            <w:tcBorders>
              <w:top w:val="nil"/>
              <w:left w:val="nil"/>
              <w:bottom w:val="single" w:sz="4" w:space="0" w:color="auto"/>
              <w:right w:val="single" w:sz="4" w:space="0" w:color="auto"/>
            </w:tcBorders>
            <w:shd w:val="clear" w:color="auto" w:fill="C6EFCE"/>
            <w:noWrap/>
            <w:vAlign w:val="center"/>
          </w:tcPr>
          <w:p w14:paraId="7990F0B7" w14:textId="77777777" w:rsidR="00C45D59" w:rsidRDefault="009B0962">
            <w:pPr>
              <w:pStyle w:val="P68B1DB1-Normal55"/>
              <w:keepNext/>
              <w:spacing w:before="40" w:after="0" w:line="240" w:lineRule="auto"/>
              <w:jc w:val="both"/>
              <w:rPr>
                <w:rFonts w:eastAsia="Times New Roman" w:cs="Times New Roman"/>
                <w:noProof/>
                <w:szCs w:val="18"/>
              </w:rPr>
            </w:pPr>
            <w:r>
              <w:rPr>
                <w:noProof/>
              </w:rPr>
              <w:t>Etapă</w:t>
            </w:r>
          </w:p>
        </w:tc>
        <w:tc>
          <w:tcPr>
            <w:tcW w:w="3110" w:type="dxa"/>
            <w:tcBorders>
              <w:top w:val="nil"/>
              <w:left w:val="nil"/>
              <w:bottom w:val="single" w:sz="4" w:space="0" w:color="auto"/>
              <w:right w:val="single" w:sz="4" w:space="0" w:color="auto"/>
            </w:tcBorders>
            <w:shd w:val="clear" w:color="auto" w:fill="C6EFCE"/>
            <w:noWrap/>
            <w:vAlign w:val="center"/>
          </w:tcPr>
          <w:p w14:paraId="486F951D" w14:textId="77777777" w:rsidR="00C45D59" w:rsidRDefault="009B0962">
            <w:pPr>
              <w:pStyle w:val="P68B1DB1-Normal55"/>
              <w:keepNext/>
              <w:spacing w:before="40" w:after="0" w:line="240" w:lineRule="auto"/>
              <w:jc w:val="both"/>
              <w:rPr>
                <w:rFonts w:eastAsia="Times New Roman" w:cs="Times New Roman"/>
                <w:noProof/>
                <w:szCs w:val="18"/>
              </w:rPr>
            </w:pPr>
            <w:r>
              <w:rPr>
                <w:noProof/>
              </w:rPr>
              <w:t>Atribuirea contractului pentru proiectul de interoperabilitate și de dezvoltare a serviciilor web</w:t>
            </w:r>
          </w:p>
        </w:tc>
      </w:tr>
      <w:tr w:rsidR="00C45D59" w14:paraId="3F6E45D8" w14:textId="77777777">
        <w:trPr>
          <w:trHeight w:val="302"/>
          <w:jc w:val="center"/>
        </w:trPr>
        <w:tc>
          <w:tcPr>
            <w:tcW w:w="542" w:type="dxa"/>
            <w:tcBorders>
              <w:top w:val="nil"/>
              <w:left w:val="single" w:sz="4" w:space="0" w:color="auto"/>
              <w:bottom w:val="single" w:sz="4" w:space="0" w:color="auto"/>
              <w:right w:val="single" w:sz="4" w:space="0" w:color="auto"/>
            </w:tcBorders>
            <w:shd w:val="clear" w:color="auto" w:fill="C6EFCE"/>
            <w:noWrap/>
            <w:vAlign w:val="center"/>
          </w:tcPr>
          <w:p w14:paraId="6BF2BE0F"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101</w:t>
            </w:r>
          </w:p>
        </w:tc>
        <w:tc>
          <w:tcPr>
            <w:tcW w:w="4838" w:type="dxa"/>
            <w:tcBorders>
              <w:top w:val="nil"/>
              <w:left w:val="nil"/>
              <w:bottom w:val="single" w:sz="4" w:space="0" w:color="auto"/>
              <w:right w:val="single" w:sz="4" w:space="0" w:color="auto"/>
            </w:tcBorders>
            <w:shd w:val="clear" w:color="auto" w:fill="C6EFCE"/>
            <w:noWrap/>
            <w:vAlign w:val="center"/>
          </w:tcPr>
          <w:p w14:paraId="5A723278"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6-2.2. Modernizare – 16810_CRM pentru administrația publică</w:t>
            </w:r>
          </w:p>
        </w:tc>
        <w:tc>
          <w:tcPr>
            <w:tcW w:w="1134" w:type="dxa"/>
            <w:tcBorders>
              <w:top w:val="nil"/>
              <w:left w:val="nil"/>
              <w:bottom w:val="single" w:sz="4" w:space="0" w:color="auto"/>
              <w:right w:val="single" w:sz="4" w:space="0" w:color="auto"/>
            </w:tcBorders>
            <w:shd w:val="clear" w:color="auto" w:fill="C6EFCE"/>
            <w:noWrap/>
            <w:vAlign w:val="center"/>
          </w:tcPr>
          <w:p w14:paraId="6A070A85" w14:textId="77777777" w:rsidR="00C45D59" w:rsidRDefault="009B0962">
            <w:pPr>
              <w:pStyle w:val="P68B1DB1-Normal55"/>
              <w:keepNext/>
              <w:spacing w:before="40" w:after="0" w:line="240" w:lineRule="auto"/>
              <w:jc w:val="both"/>
              <w:rPr>
                <w:rFonts w:eastAsia="Times New Roman" w:cs="Times New Roman"/>
                <w:noProof/>
                <w:szCs w:val="18"/>
              </w:rPr>
            </w:pPr>
            <w:r>
              <w:rPr>
                <w:noProof/>
              </w:rPr>
              <w:t>Etapă</w:t>
            </w:r>
          </w:p>
        </w:tc>
        <w:tc>
          <w:tcPr>
            <w:tcW w:w="3110" w:type="dxa"/>
            <w:tcBorders>
              <w:top w:val="nil"/>
              <w:left w:val="nil"/>
              <w:bottom w:val="single" w:sz="4" w:space="0" w:color="auto"/>
              <w:right w:val="single" w:sz="4" w:space="0" w:color="auto"/>
            </w:tcBorders>
            <w:shd w:val="clear" w:color="auto" w:fill="C6EFCE"/>
            <w:noWrap/>
            <w:vAlign w:val="center"/>
          </w:tcPr>
          <w:p w14:paraId="2B2B83DC" w14:textId="77777777" w:rsidR="00C45D59" w:rsidRDefault="009B0962">
            <w:pPr>
              <w:pStyle w:val="P68B1DB1-Normal55"/>
              <w:keepNext/>
              <w:spacing w:before="40" w:after="0" w:line="240" w:lineRule="auto"/>
              <w:jc w:val="both"/>
              <w:rPr>
                <w:rFonts w:eastAsia="Times New Roman" w:cs="Times New Roman"/>
                <w:noProof/>
                <w:szCs w:val="18"/>
              </w:rPr>
            </w:pPr>
            <w:r>
              <w:rPr>
                <w:noProof/>
              </w:rPr>
              <w:t xml:space="preserve">Atribuirea contractelor pentru CRM pentru administrația publică </w:t>
            </w:r>
          </w:p>
        </w:tc>
      </w:tr>
      <w:tr w:rsidR="00C45D59" w14:paraId="18E65B22" w14:textId="77777777">
        <w:trPr>
          <w:trHeight w:val="302"/>
          <w:jc w:val="center"/>
        </w:trPr>
        <w:tc>
          <w:tcPr>
            <w:tcW w:w="542" w:type="dxa"/>
            <w:tcBorders>
              <w:top w:val="nil"/>
              <w:left w:val="single" w:sz="4" w:space="0" w:color="auto"/>
              <w:bottom w:val="single" w:sz="4" w:space="0" w:color="auto"/>
              <w:right w:val="single" w:sz="4" w:space="0" w:color="auto"/>
            </w:tcBorders>
            <w:shd w:val="clear" w:color="auto" w:fill="C6EFCE"/>
            <w:noWrap/>
            <w:vAlign w:val="center"/>
          </w:tcPr>
          <w:p w14:paraId="047A4EC8"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102</w:t>
            </w:r>
          </w:p>
        </w:tc>
        <w:tc>
          <w:tcPr>
            <w:tcW w:w="4838" w:type="dxa"/>
            <w:tcBorders>
              <w:top w:val="nil"/>
              <w:left w:val="nil"/>
              <w:bottom w:val="single" w:sz="4" w:space="0" w:color="auto"/>
              <w:right w:val="single" w:sz="4" w:space="0" w:color="auto"/>
            </w:tcBorders>
            <w:shd w:val="clear" w:color="auto" w:fill="C6EFCE"/>
            <w:noWrap/>
            <w:vAlign w:val="center"/>
          </w:tcPr>
          <w:p w14:paraId="632D03EE" w14:textId="77777777" w:rsidR="00C45D59" w:rsidRDefault="009B0962">
            <w:pPr>
              <w:pStyle w:val="P68B1DB1-Normal11"/>
              <w:keepNext/>
              <w:spacing w:before="40" w:after="0" w:line="240" w:lineRule="auto"/>
              <w:jc w:val="both"/>
              <w:rPr>
                <w:rFonts w:eastAsia="Times New Roman" w:cs="Times New Roman"/>
                <w:bCs/>
                <w:noProof/>
              </w:rPr>
            </w:pPr>
            <w:r>
              <w:rPr>
                <w:noProof/>
              </w:rPr>
              <w:t>6-2.2. Modernizare – 16780_ Modernizarea ghișeelor unice ale administrației publice</w:t>
            </w:r>
          </w:p>
        </w:tc>
        <w:tc>
          <w:tcPr>
            <w:tcW w:w="1134" w:type="dxa"/>
            <w:tcBorders>
              <w:top w:val="nil"/>
              <w:left w:val="nil"/>
              <w:bottom w:val="single" w:sz="4" w:space="0" w:color="auto"/>
              <w:right w:val="single" w:sz="4" w:space="0" w:color="auto"/>
            </w:tcBorders>
            <w:shd w:val="clear" w:color="auto" w:fill="C6EFCE"/>
            <w:noWrap/>
            <w:vAlign w:val="center"/>
          </w:tcPr>
          <w:p w14:paraId="50FCA0EB" w14:textId="77777777" w:rsidR="00C45D59" w:rsidRDefault="009B0962">
            <w:pPr>
              <w:pStyle w:val="P68B1DB1-Normal55"/>
              <w:keepNext/>
              <w:spacing w:before="40" w:after="0" w:line="240" w:lineRule="auto"/>
              <w:jc w:val="both"/>
              <w:rPr>
                <w:rFonts w:eastAsia="Times New Roman" w:cs="Times New Roman"/>
                <w:noProof/>
                <w:szCs w:val="18"/>
              </w:rPr>
            </w:pPr>
            <w:r>
              <w:rPr>
                <w:noProof/>
              </w:rPr>
              <w:t>Etapă</w:t>
            </w:r>
          </w:p>
        </w:tc>
        <w:tc>
          <w:tcPr>
            <w:tcW w:w="3110" w:type="dxa"/>
            <w:tcBorders>
              <w:top w:val="nil"/>
              <w:left w:val="nil"/>
              <w:bottom w:val="single" w:sz="4" w:space="0" w:color="auto"/>
              <w:right w:val="single" w:sz="4" w:space="0" w:color="auto"/>
            </w:tcBorders>
            <w:shd w:val="clear" w:color="auto" w:fill="C6EFCE"/>
            <w:noWrap/>
            <w:vAlign w:val="center"/>
          </w:tcPr>
          <w:p w14:paraId="06B640F3" w14:textId="77777777" w:rsidR="00C45D59" w:rsidRDefault="009B0962">
            <w:pPr>
              <w:pStyle w:val="P68B1DB1-Normal55"/>
              <w:keepNext/>
              <w:spacing w:before="40" w:after="0" w:line="240" w:lineRule="auto"/>
              <w:jc w:val="both"/>
              <w:rPr>
                <w:rFonts w:eastAsia="Times New Roman" w:cs="Times New Roman"/>
                <w:noProof/>
                <w:szCs w:val="18"/>
              </w:rPr>
            </w:pPr>
            <w:r>
              <w:rPr>
                <w:noProof/>
              </w:rPr>
              <w:t>Atribuirea contractului pentru modernizarea în continuare a ghișeelor unice ale administrației publice</w:t>
            </w:r>
          </w:p>
        </w:tc>
      </w:tr>
      <w:tr w:rsidR="00C45D59" w14:paraId="6BAD56F4" w14:textId="77777777">
        <w:trPr>
          <w:trHeight w:val="302"/>
          <w:jc w:val="center"/>
        </w:trPr>
        <w:tc>
          <w:tcPr>
            <w:tcW w:w="542" w:type="dxa"/>
            <w:tcBorders>
              <w:top w:val="nil"/>
              <w:left w:val="single" w:sz="4" w:space="0" w:color="auto"/>
              <w:bottom w:val="single" w:sz="4" w:space="0" w:color="auto"/>
              <w:right w:val="single" w:sz="4" w:space="0" w:color="auto"/>
            </w:tcBorders>
            <w:shd w:val="clear" w:color="auto" w:fill="C6EFCE"/>
            <w:noWrap/>
            <w:vAlign w:val="center"/>
          </w:tcPr>
          <w:p w14:paraId="5842EB4F"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103</w:t>
            </w:r>
          </w:p>
        </w:tc>
        <w:tc>
          <w:tcPr>
            <w:tcW w:w="4838" w:type="dxa"/>
            <w:tcBorders>
              <w:top w:val="nil"/>
              <w:left w:val="nil"/>
              <w:bottom w:val="single" w:sz="4" w:space="0" w:color="auto"/>
              <w:right w:val="single" w:sz="4" w:space="0" w:color="auto"/>
            </w:tcBorders>
            <w:shd w:val="clear" w:color="auto" w:fill="C6EFCE"/>
            <w:noWrap/>
            <w:vAlign w:val="center"/>
          </w:tcPr>
          <w:p w14:paraId="1A4A2C3D"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6-2.2. Modernizare – 16736_Noul sistem de achiziții publice</w:t>
            </w:r>
          </w:p>
        </w:tc>
        <w:tc>
          <w:tcPr>
            <w:tcW w:w="1134" w:type="dxa"/>
            <w:tcBorders>
              <w:top w:val="nil"/>
              <w:left w:val="nil"/>
              <w:bottom w:val="single" w:sz="4" w:space="0" w:color="auto"/>
              <w:right w:val="single" w:sz="4" w:space="0" w:color="auto"/>
            </w:tcBorders>
            <w:shd w:val="clear" w:color="auto" w:fill="C6EFCE"/>
            <w:noWrap/>
            <w:vAlign w:val="center"/>
          </w:tcPr>
          <w:p w14:paraId="2A8FE146" w14:textId="77777777" w:rsidR="00C45D59" w:rsidRDefault="009B0962">
            <w:pPr>
              <w:pStyle w:val="P68B1DB1-Normal55"/>
              <w:keepNext/>
              <w:spacing w:before="40" w:after="0" w:line="240" w:lineRule="auto"/>
              <w:jc w:val="both"/>
              <w:rPr>
                <w:rFonts w:eastAsia="Times New Roman" w:cs="Times New Roman"/>
                <w:noProof/>
                <w:szCs w:val="18"/>
              </w:rPr>
            </w:pPr>
            <w:r>
              <w:rPr>
                <w:noProof/>
              </w:rPr>
              <w:t>Etapă</w:t>
            </w:r>
          </w:p>
        </w:tc>
        <w:tc>
          <w:tcPr>
            <w:tcW w:w="3110" w:type="dxa"/>
            <w:tcBorders>
              <w:top w:val="nil"/>
              <w:left w:val="nil"/>
              <w:bottom w:val="single" w:sz="4" w:space="0" w:color="auto"/>
              <w:right w:val="single" w:sz="4" w:space="0" w:color="auto"/>
            </w:tcBorders>
            <w:shd w:val="clear" w:color="auto" w:fill="C6EFCE"/>
            <w:noWrap/>
            <w:vAlign w:val="center"/>
          </w:tcPr>
          <w:p w14:paraId="6CC20E59" w14:textId="77777777" w:rsidR="00C45D59" w:rsidRDefault="009B0962">
            <w:pPr>
              <w:pStyle w:val="P68B1DB1-Normal55"/>
              <w:keepNext/>
              <w:spacing w:before="40" w:after="0" w:line="240" w:lineRule="auto"/>
              <w:jc w:val="both"/>
              <w:rPr>
                <w:rFonts w:eastAsia="Times New Roman" w:cs="Times New Roman"/>
                <w:noProof/>
                <w:szCs w:val="18"/>
              </w:rPr>
            </w:pPr>
            <w:r>
              <w:rPr>
                <w:noProof/>
              </w:rPr>
              <w:t>Atribuirea contractelor pentru noul sistem de achiziții publice</w:t>
            </w:r>
          </w:p>
        </w:tc>
      </w:tr>
      <w:tr w:rsidR="00C45D59" w14:paraId="7BE46F3C" w14:textId="77777777">
        <w:trPr>
          <w:trHeight w:val="302"/>
          <w:jc w:val="center"/>
        </w:trPr>
        <w:tc>
          <w:tcPr>
            <w:tcW w:w="542" w:type="dxa"/>
            <w:tcBorders>
              <w:top w:val="nil"/>
              <w:left w:val="single" w:sz="4" w:space="0" w:color="auto"/>
              <w:bottom w:val="single" w:sz="4" w:space="0" w:color="auto"/>
              <w:right w:val="single" w:sz="4" w:space="0" w:color="auto"/>
            </w:tcBorders>
            <w:shd w:val="clear" w:color="auto" w:fill="C6EFCE"/>
            <w:noWrap/>
            <w:vAlign w:val="center"/>
          </w:tcPr>
          <w:p w14:paraId="73EDBAC2"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104</w:t>
            </w:r>
          </w:p>
        </w:tc>
        <w:tc>
          <w:tcPr>
            <w:tcW w:w="4838" w:type="dxa"/>
            <w:tcBorders>
              <w:top w:val="nil"/>
              <w:left w:val="nil"/>
              <w:bottom w:val="single" w:sz="4" w:space="0" w:color="auto"/>
              <w:right w:val="single" w:sz="4" w:space="0" w:color="auto"/>
            </w:tcBorders>
            <w:shd w:val="clear" w:color="auto" w:fill="C6EFCE"/>
            <w:noWrap/>
            <w:vAlign w:val="center"/>
          </w:tcPr>
          <w:p w14:paraId="0222A8E1" w14:textId="77777777" w:rsidR="00C45D59" w:rsidRDefault="009B0962">
            <w:pPr>
              <w:pStyle w:val="P68B1DB1-Normal11"/>
              <w:keepNext/>
              <w:spacing w:before="40" w:after="0" w:line="240" w:lineRule="auto"/>
              <w:jc w:val="both"/>
              <w:rPr>
                <w:rFonts w:eastAsia="Times New Roman" w:cs="Times New Roman"/>
                <w:bCs/>
                <w:noProof/>
              </w:rPr>
            </w:pPr>
            <w:r>
              <w:rPr>
                <w:noProof/>
              </w:rPr>
              <w:t>6-2.2. Modernizare – 16823_ Strategia și politicile de securitate cibernetică pentru sectorul public &amp; servicii de securitate avansate pentru infrastructurile critice naționale</w:t>
            </w:r>
          </w:p>
        </w:tc>
        <w:tc>
          <w:tcPr>
            <w:tcW w:w="1134" w:type="dxa"/>
            <w:tcBorders>
              <w:top w:val="nil"/>
              <w:left w:val="nil"/>
              <w:bottom w:val="single" w:sz="4" w:space="0" w:color="auto"/>
              <w:right w:val="single" w:sz="4" w:space="0" w:color="auto"/>
            </w:tcBorders>
            <w:shd w:val="clear" w:color="auto" w:fill="C6EFCE"/>
            <w:noWrap/>
            <w:vAlign w:val="center"/>
          </w:tcPr>
          <w:p w14:paraId="06B571B8" w14:textId="77777777" w:rsidR="00C45D59" w:rsidRDefault="009B0962">
            <w:pPr>
              <w:pStyle w:val="P68B1DB1-Normal55"/>
              <w:keepNext/>
              <w:spacing w:before="40" w:after="0" w:line="240" w:lineRule="auto"/>
              <w:jc w:val="both"/>
              <w:rPr>
                <w:rFonts w:eastAsia="Times New Roman" w:cs="Times New Roman"/>
                <w:noProof/>
                <w:szCs w:val="18"/>
              </w:rPr>
            </w:pPr>
            <w:r>
              <w:rPr>
                <w:noProof/>
              </w:rPr>
              <w:t>Etapă</w:t>
            </w:r>
          </w:p>
        </w:tc>
        <w:tc>
          <w:tcPr>
            <w:tcW w:w="3110" w:type="dxa"/>
            <w:tcBorders>
              <w:top w:val="nil"/>
              <w:left w:val="nil"/>
              <w:bottom w:val="single" w:sz="4" w:space="0" w:color="auto"/>
              <w:right w:val="single" w:sz="4" w:space="0" w:color="auto"/>
            </w:tcBorders>
            <w:shd w:val="clear" w:color="auto" w:fill="C6EFCE"/>
            <w:noWrap/>
            <w:vAlign w:val="center"/>
          </w:tcPr>
          <w:p w14:paraId="79D8593D" w14:textId="77777777" w:rsidR="00C45D59" w:rsidRDefault="009B0962">
            <w:pPr>
              <w:pStyle w:val="P68B1DB1-Normal55"/>
              <w:keepNext/>
              <w:spacing w:before="40" w:after="0" w:line="240" w:lineRule="auto"/>
              <w:jc w:val="both"/>
              <w:rPr>
                <w:rFonts w:eastAsia="Times New Roman" w:cs="Times New Roman"/>
                <w:noProof/>
                <w:szCs w:val="18"/>
              </w:rPr>
            </w:pPr>
            <w:r>
              <w:rPr>
                <w:noProof/>
              </w:rPr>
              <w:t>Atribuirea contractelor pentru strategia de securitate cibernetică</w:t>
            </w:r>
          </w:p>
        </w:tc>
      </w:tr>
      <w:tr w:rsidR="00C45D59" w14:paraId="0A4E398D" w14:textId="77777777">
        <w:trPr>
          <w:trHeight w:val="302"/>
          <w:jc w:val="center"/>
        </w:trPr>
        <w:tc>
          <w:tcPr>
            <w:tcW w:w="542" w:type="dxa"/>
            <w:tcBorders>
              <w:top w:val="nil"/>
              <w:left w:val="single" w:sz="4" w:space="0" w:color="auto"/>
              <w:bottom w:val="single" w:sz="4" w:space="0" w:color="auto"/>
              <w:right w:val="single" w:sz="4" w:space="0" w:color="auto"/>
            </w:tcBorders>
            <w:shd w:val="clear" w:color="auto" w:fill="C6EFCE"/>
            <w:noWrap/>
            <w:vAlign w:val="center"/>
          </w:tcPr>
          <w:p w14:paraId="058C4C0F"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105</w:t>
            </w:r>
          </w:p>
        </w:tc>
        <w:tc>
          <w:tcPr>
            <w:tcW w:w="4838" w:type="dxa"/>
            <w:tcBorders>
              <w:top w:val="nil"/>
              <w:left w:val="nil"/>
              <w:bottom w:val="single" w:sz="4" w:space="0" w:color="auto"/>
              <w:right w:val="single" w:sz="4" w:space="0" w:color="auto"/>
            </w:tcBorders>
            <w:shd w:val="clear" w:color="auto" w:fill="C6EFCE"/>
            <w:noWrap/>
            <w:vAlign w:val="center"/>
          </w:tcPr>
          <w:p w14:paraId="724E8748"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6-2.2. Modernizare – 16826_Programe de actualizare a competențelor digitale pentru recruți</w:t>
            </w:r>
          </w:p>
        </w:tc>
        <w:tc>
          <w:tcPr>
            <w:tcW w:w="1134" w:type="dxa"/>
            <w:tcBorders>
              <w:top w:val="nil"/>
              <w:left w:val="nil"/>
              <w:bottom w:val="single" w:sz="4" w:space="0" w:color="auto"/>
              <w:right w:val="single" w:sz="4" w:space="0" w:color="auto"/>
            </w:tcBorders>
            <w:shd w:val="clear" w:color="auto" w:fill="C6EFCE"/>
            <w:noWrap/>
            <w:vAlign w:val="center"/>
          </w:tcPr>
          <w:p w14:paraId="49A8B8F6" w14:textId="77777777" w:rsidR="00C45D59" w:rsidRDefault="009B0962">
            <w:pPr>
              <w:pStyle w:val="P68B1DB1-Normal55"/>
              <w:keepNext/>
              <w:spacing w:before="40" w:after="0" w:line="240" w:lineRule="auto"/>
              <w:jc w:val="both"/>
              <w:rPr>
                <w:rFonts w:eastAsia="Times New Roman" w:cs="Times New Roman"/>
                <w:noProof/>
                <w:szCs w:val="18"/>
              </w:rPr>
            </w:pPr>
            <w:r>
              <w:rPr>
                <w:noProof/>
              </w:rPr>
              <w:t>Etapă</w:t>
            </w:r>
          </w:p>
        </w:tc>
        <w:tc>
          <w:tcPr>
            <w:tcW w:w="3110" w:type="dxa"/>
            <w:tcBorders>
              <w:top w:val="nil"/>
              <w:left w:val="nil"/>
              <w:bottom w:val="single" w:sz="4" w:space="0" w:color="auto"/>
              <w:right w:val="single" w:sz="4" w:space="0" w:color="auto"/>
            </w:tcBorders>
            <w:shd w:val="clear" w:color="auto" w:fill="C6EFCE"/>
            <w:noWrap/>
            <w:vAlign w:val="center"/>
          </w:tcPr>
          <w:p w14:paraId="68CC8D1B" w14:textId="77777777" w:rsidR="00C45D59" w:rsidRDefault="009B0962">
            <w:pPr>
              <w:pStyle w:val="P68B1DB1-Normal55"/>
              <w:keepNext/>
              <w:spacing w:before="40" w:after="0" w:line="240" w:lineRule="auto"/>
              <w:jc w:val="both"/>
              <w:rPr>
                <w:rFonts w:eastAsia="Times New Roman" w:cs="Times New Roman"/>
                <w:noProof/>
                <w:szCs w:val="18"/>
              </w:rPr>
            </w:pPr>
            <w:r>
              <w:rPr>
                <w:noProof/>
              </w:rPr>
              <w:t>Atribuirea contractelor pentru programe de actualizare a competențelor digitale pentru recruți</w:t>
            </w:r>
          </w:p>
        </w:tc>
      </w:tr>
      <w:tr w:rsidR="00C45D59" w14:paraId="486C1019" w14:textId="77777777">
        <w:trPr>
          <w:trHeight w:val="302"/>
          <w:jc w:val="center"/>
        </w:trPr>
        <w:tc>
          <w:tcPr>
            <w:tcW w:w="542" w:type="dxa"/>
            <w:tcBorders>
              <w:top w:val="nil"/>
              <w:left w:val="single" w:sz="4" w:space="0" w:color="auto"/>
              <w:bottom w:val="single" w:sz="4" w:space="0" w:color="auto"/>
              <w:right w:val="single" w:sz="4" w:space="0" w:color="auto"/>
            </w:tcBorders>
            <w:shd w:val="clear" w:color="auto" w:fill="C6EFCE"/>
            <w:noWrap/>
            <w:vAlign w:val="center"/>
          </w:tcPr>
          <w:p w14:paraId="7602898C"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106</w:t>
            </w:r>
          </w:p>
        </w:tc>
        <w:tc>
          <w:tcPr>
            <w:tcW w:w="4838" w:type="dxa"/>
            <w:tcBorders>
              <w:top w:val="nil"/>
              <w:left w:val="nil"/>
              <w:bottom w:val="single" w:sz="4" w:space="0" w:color="auto"/>
              <w:right w:val="single" w:sz="4" w:space="0" w:color="auto"/>
            </w:tcBorders>
            <w:shd w:val="clear" w:color="auto" w:fill="C6EFCE"/>
            <w:noWrap/>
            <w:vAlign w:val="center"/>
          </w:tcPr>
          <w:p w14:paraId="5A63A9F5"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6-2.2. Modernizare – 16742_Transformarea digitală a Ministerului Afacerilor Externe</w:t>
            </w:r>
          </w:p>
        </w:tc>
        <w:tc>
          <w:tcPr>
            <w:tcW w:w="1134" w:type="dxa"/>
            <w:tcBorders>
              <w:top w:val="nil"/>
              <w:left w:val="nil"/>
              <w:bottom w:val="single" w:sz="4" w:space="0" w:color="auto"/>
              <w:right w:val="single" w:sz="4" w:space="0" w:color="auto"/>
            </w:tcBorders>
            <w:shd w:val="clear" w:color="auto" w:fill="C6EFCE"/>
            <w:noWrap/>
            <w:vAlign w:val="center"/>
          </w:tcPr>
          <w:p w14:paraId="3C7BFDA3" w14:textId="77777777" w:rsidR="00C45D59" w:rsidRDefault="009B0962">
            <w:pPr>
              <w:pStyle w:val="P68B1DB1-Normal55"/>
              <w:keepNext/>
              <w:spacing w:before="40" w:after="0" w:line="240" w:lineRule="auto"/>
              <w:jc w:val="both"/>
              <w:rPr>
                <w:rFonts w:eastAsia="Times New Roman" w:cs="Times New Roman"/>
                <w:noProof/>
                <w:szCs w:val="18"/>
              </w:rPr>
            </w:pPr>
            <w:r>
              <w:rPr>
                <w:noProof/>
              </w:rPr>
              <w:t>Etapă</w:t>
            </w:r>
          </w:p>
        </w:tc>
        <w:tc>
          <w:tcPr>
            <w:tcW w:w="3110" w:type="dxa"/>
            <w:tcBorders>
              <w:top w:val="nil"/>
              <w:left w:val="nil"/>
              <w:bottom w:val="single" w:sz="4" w:space="0" w:color="auto"/>
              <w:right w:val="single" w:sz="4" w:space="0" w:color="auto"/>
            </w:tcBorders>
            <w:shd w:val="clear" w:color="auto" w:fill="C6EFCE"/>
            <w:noWrap/>
            <w:vAlign w:val="center"/>
          </w:tcPr>
          <w:p w14:paraId="7BBE23B0" w14:textId="77777777" w:rsidR="00C45D59" w:rsidRDefault="009B0962">
            <w:pPr>
              <w:pStyle w:val="P68B1DB1-Normal55"/>
              <w:keepNext/>
              <w:spacing w:before="40" w:after="0" w:line="240" w:lineRule="auto"/>
              <w:jc w:val="both"/>
              <w:rPr>
                <w:rFonts w:eastAsia="Times New Roman" w:cs="Times New Roman"/>
                <w:noProof/>
                <w:szCs w:val="18"/>
              </w:rPr>
            </w:pPr>
            <w:r>
              <w:rPr>
                <w:noProof/>
              </w:rPr>
              <w:t>Atribuirea contractului pentru transformarea digitală a Ministerului Afacerilor Externe</w:t>
            </w:r>
          </w:p>
        </w:tc>
      </w:tr>
      <w:tr w:rsidR="00C45D59" w14:paraId="19FAF75F" w14:textId="77777777">
        <w:trPr>
          <w:trHeight w:val="302"/>
          <w:jc w:val="center"/>
        </w:trPr>
        <w:tc>
          <w:tcPr>
            <w:tcW w:w="542" w:type="dxa"/>
            <w:tcBorders>
              <w:top w:val="nil"/>
              <w:left w:val="single" w:sz="4" w:space="0" w:color="auto"/>
              <w:bottom w:val="single" w:sz="4" w:space="0" w:color="auto"/>
              <w:right w:val="single" w:sz="4" w:space="0" w:color="auto"/>
            </w:tcBorders>
            <w:shd w:val="clear" w:color="auto" w:fill="C6EFCE"/>
            <w:noWrap/>
            <w:vAlign w:val="center"/>
          </w:tcPr>
          <w:p w14:paraId="74B25DFB"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107</w:t>
            </w:r>
          </w:p>
        </w:tc>
        <w:tc>
          <w:tcPr>
            <w:tcW w:w="4838" w:type="dxa"/>
            <w:tcBorders>
              <w:top w:val="nil"/>
              <w:left w:val="nil"/>
              <w:bottom w:val="single" w:sz="4" w:space="0" w:color="auto"/>
              <w:right w:val="single" w:sz="4" w:space="0" w:color="auto"/>
            </w:tcBorders>
            <w:shd w:val="clear" w:color="auto" w:fill="C6EFCE"/>
            <w:noWrap/>
            <w:vAlign w:val="center"/>
          </w:tcPr>
          <w:p w14:paraId="79CC4A49" w14:textId="0DC5FD3A" w:rsidR="00C45D59" w:rsidRDefault="009B0962">
            <w:pPr>
              <w:pStyle w:val="P68B1DB1-Normal55"/>
              <w:keepNext/>
              <w:spacing w:before="40" w:after="0" w:line="240" w:lineRule="auto"/>
              <w:jc w:val="both"/>
              <w:rPr>
                <w:rFonts w:eastAsia="Times New Roman" w:cs="Times New Roman"/>
                <w:bCs/>
                <w:noProof/>
                <w:szCs w:val="18"/>
              </w:rPr>
            </w:pPr>
            <w:r>
              <w:rPr>
                <w:noProof/>
              </w:rPr>
              <w:t>6-2.2. Modernizare – 16824_E-Registries</w:t>
            </w:r>
          </w:p>
        </w:tc>
        <w:tc>
          <w:tcPr>
            <w:tcW w:w="1134" w:type="dxa"/>
            <w:tcBorders>
              <w:top w:val="nil"/>
              <w:left w:val="nil"/>
              <w:bottom w:val="single" w:sz="4" w:space="0" w:color="auto"/>
              <w:right w:val="single" w:sz="4" w:space="0" w:color="auto"/>
            </w:tcBorders>
            <w:shd w:val="clear" w:color="auto" w:fill="C6EFCE"/>
            <w:noWrap/>
            <w:vAlign w:val="center"/>
          </w:tcPr>
          <w:p w14:paraId="2D4AC623" w14:textId="77777777" w:rsidR="00C45D59" w:rsidRDefault="009B0962">
            <w:pPr>
              <w:pStyle w:val="P68B1DB1-Normal55"/>
              <w:keepNext/>
              <w:spacing w:before="40" w:after="0" w:line="240" w:lineRule="auto"/>
              <w:jc w:val="both"/>
              <w:rPr>
                <w:rFonts w:eastAsia="Times New Roman" w:cs="Times New Roman"/>
                <w:noProof/>
                <w:szCs w:val="18"/>
              </w:rPr>
            </w:pPr>
            <w:r>
              <w:rPr>
                <w:noProof/>
              </w:rPr>
              <w:t>Etapă</w:t>
            </w:r>
          </w:p>
        </w:tc>
        <w:tc>
          <w:tcPr>
            <w:tcW w:w="3110" w:type="dxa"/>
            <w:tcBorders>
              <w:top w:val="nil"/>
              <w:left w:val="nil"/>
              <w:bottom w:val="single" w:sz="4" w:space="0" w:color="auto"/>
              <w:right w:val="single" w:sz="4" w:space="0" w:color="auto"/>
            </w:tcBorders>
            <w:shd w:val="clear" w:color="auto" w:fill="C6EFCE"/>
            <w:noWrap/>
            <w:vAlign w:val="center"/>
          </w:tcPr>
          <w:p w14:paraId="289FEAAF" w14:textId="77777777" w:rsidR="00C45D59" w:rsidRDefault="009B0962">
            <w:pPr>
              <w:pStyle w:val="P68B1DB1-Normal55"/>
              <w:keepNext/>
              <w:spacing w:before="40" w:after="0" w:line="240" w:lineRule="auto"/>
              <w:jc w:val="both"/>
              <w:rPr>
                <w:rFonts w:eastAsia="Times New Roman" w:cs="Times New Roman"/>
                <w:noProof/>
                <w:szCs w:val="18"/>
              </w:rPr>
            </w:pPr>
            <w:r>
              <w:rPr>
                <w:noProof/>
              </w:rPr>
              <w:t>Atribuirea contractelor pentru registrele electronice</w:t>
            </w:r>
          </w:p>
        </w:tc>
      </w:tr>
      <w:tr w:rsidR="00C45D59" w14:paraId="5E65D2CE" w14:textId="77777777">
        <w:trPr>
          <w:trHeight w:val="302"/>
          <w:jc w:val="center"/>
        </w:trPr>
        <w:tc>
          <w:tcPr>
            <w:tcW w:w="542" w:type="dxa"/>
            <w:tcBorders>
              <w:top w:val="nil"/>
              <w:left w:val="single" w:sz="4" w:space="0" w:color="auto"/>
              <w:bottom w:val="single" w:sz="4" w:space="0" w:color="auto"/>
              <w:right w:val="single" w:sz="4" w:space="0" w:color="auto"/>
            </w:tcBorders>
            <w:shd w:val="clear" w:color="auto" w:fill="C6EFCE"/>
            <w:noWrap/>
            <w:vAlign w:val="center"/>
          </w:tcPr>
          <w:p w14:paraId="4BF0A90A"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121</w:t>
            </w:r>
          </w:p>
        </w:tc>
        <w:tc>
          <w:tcPr>
            <w:tcW w:w="4838" w:type="dxa"/>
            <w:tcBorders>
              <w:top w:val="nil"/>
              <w:left w:val="nil"/>
              <w:bottom w:val="single" w:sz="4" w:space="0" w:color="auto"/>
              <w:right w:val="single" w:sz="4" w:space="0" w:color="auto"/>
            </w:tcBorders>
            <w:shd w:val="clear" w:color="auto" w:fill="C6EFCE"/>
            <w:noWrap/>
            <w:vAlign w:val="center"/>
          </w:tcPr>
          <w:p w14:paraId="6A91C0F1"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6-2.2. Modernizare – 16842_BI central – analiza datelor</w:t>
            </w:r>
          </w:p>
        </w:tc>
        <w:tc>
          <w:tcPr>
            <w:tcW w:w="1134" w:type="dxa"/>
            <w:tcBorders>
              <w:top w:val="nil"/>
              <w:left w:val="nil"/>
              <w:bottom w:val="single" w:sz="4" w:space="0" w:color="auto"/>
              <w:right w:val="single" w:sz="4" w:space="0" w:color="auto"/>
            </w:tcBorders>
            <w:shd w:val="clear" w:color="auto" w:fill="C6EFCE"/>
            <w:noWrap/>
            <w:vAlign w:val="center"/>
          </w:tcPr>
          <w:p w14:paraId="74A3D55C" w14:textId="77777777" w:rsidR="00C45D59" w:rsidRDefault="009B0962">
            <w:pPr>
              <w:pStyle w:val="P68B1DB1-Normal55"/>
              <w:keepNext/>
              <w:spacing w:before="40" w:after="0" w:line="240" w:lineRule="auto"/>
              <w:jc w:val="both"/>
              <w:rPr>
                <w:rFonts w:eastAsia="Times New Roman" w:cs="Times New Roman"/>
                <w:noProof/>
                <w:szCs w:val="18"/>
              </w:rPr>
            </w:pPr>
            <w:r>
              <w:rPr>
                <w:noProof/>
              </w:rPr>
              <w:t>Etapă</w:t>
            </w:r>
          </w:p>
        </w:tc>
        <w:tc>
          <w:tcPr>
            <w:tcW w:w="3110" w:type="dxa"/>
            <w:tcBorders>
              <w:top w:val="nil"/>
              <w:left w:val="nil"/>
              <w:bottom w:val="single" w:sz="4" w:space="0" w:color="auto"/>
              <w:right w:val="single" w:sz="4" w:space="0" w:color="auto"/>
            </w:tcBorders>
            <w:shd w:val="clear" w:color="auto" w:fill="C6EFCE"/>
            <w:noWrap/>
            <w:vAlign w:val="center"/>
          </w:tcPr>
          <w:p w14:paraId="4C3D1545" w14:textId="77777777" w:rsidR="00C45D59" w:rsidRDefault="009B0962">
            <w:pPr>
              <w:pStyle w:val="P68B1DB1-Normal55"/>
              <w:keepNext/>
              <w:spacing w:before="40" w:after="0" w:line="240" w:lineRule="auto"/>
              <w:jc w:val="both"/>
              <w:rPr>
                <w:rFonts w:eastAsia="Times New Roman" w:cs="Times New Roman"/>
                <w:noProof/>
                <w:szCs w:val="18"/>
              </w:rPr>
            </w:pPr>
            <w:r>
              <w:rPr>
                <w:noProof/>
              </w:rPr>
              <w:t xml:space="preserve">Atribuirea contractului în cadrul Serviciului central de informații comerciale (BI) </w:t>
            </w:r>
          </w:p>
        </w:tc>
      </w:tr>
      <w:tr w:rsidR="00C45D59" w14:paraId="03B623D6" w14:textId="77777777">
        <w:trPr>
          <w:trHeight w:val="302"/>
          <w:jc w:val="center"/>
        </w:trPr>
        <w:tc>
          <w:tcPr>
            <w:tcW w:w="542" w:type="dxa"/>
            <w:tcBorders>
              <w:top w:val="nil"/>
              <w:left w:val="single" w:sz="4" w:space="0" w:color="auto"/>
              <w:bottom w:val="single" w:sz="4" w:space="0" w:color="auto"/>
              <w:right w:val="single" w:sz="4" w:space="0" w:color="auto"/>
            </w:tcBorders>
            <w:shd w:val="clear" w:color="auto" w:fill="C6EFCE"/>
            <w:noWrap/>
            <w:vAlign w:val="center"/>
          </w:tcPr>
          <w:p w14:paraId="03550168"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134</w:t>
            </w:r>
          </w:p>
        </w:tc>
        <w:tc>
          <w:tcPr>
            <w:tcW w:w="4838" w:type="dxa"/>
            <w:tcBorders>
              <w:top w:val="nil"/>
              <w:left w:val="nil"/>
              <w:bottom w:val="single" w:sz="4" w:space="0" w:color="auto"/>
              <w:right w:val="single" w:sz="4" w:space="0" w:color="auto"/>
            </w:tcBorders>
            <w:shd w:val="clear" w:color="auto" w:fill="C6EFCE"/>
            <w:noWrap/>
            <w:vAlign w:val="center"/>
          </w:tcPr>
          <w:p w14:paraId="6F239AB7"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8-3.1. Promovarea creării de locuri de muncă și a participării pe piața forței de muncă – 16750_Transformarea digitală a sistemelor de muncă</w:t>
            </w:r>
          </w:p>
        </w:tc>
        <w:tc>
          <w:tcPr>
            <w:tcW w:w="1134" w:type="dxa"/>
            <w:tcBorders>
              <w:top w:val="nil"/>
              <w:left w:val="nil"/>
              <w:bottom w:val="single" w:sz="4" w:space="0" w:color="auto"/>
              <w:right w:val="single" w:sz="4" w:space="0" w:color="auto"/>
            </w:tcBorders>
            <w:shd w:val="clear" w:color="auto" w:fill="C6EFCE"/>
            <w:noWrap/>
            <w:vAlign w:val="center"/>
          </w:tcPr>
          <w:p w14:paraId="43F35791" w14:textId="77777777" w:rsidR="00C45D59" w:rsidRDefault="009B0962">
            <w:pPr>
              <w:pStyle w:val="P68B1DB1-Normal55"/>
              <w:keepNext/>
              <w:spacing w:before="40" w:after="0" w:line="240" w:lineRule="auto"/>
              <w:jc w:val="both"/>
              <w:rPr>
                <w:rFonts w:eastAsia="Times New Roman" w:cs="Times New Roman"/>
                <w:noProof/>
                <w:szCs w:val="18"/>
              </w:rPr>
            </w:pPr>
            <w:r>
              <w:rPr>
                <w:noProof/>
              </w:rPr>
              <w:t>Etapă</w:t>
            </w:r>
          </w:p>
        </w:tc>
        <w:tc>
          <w:tcPr>
            <w:tcW w:w="3110" w:type="dxa"/>
            <w:tcBorders>
              <w:top w:val="nil"/>
              <w:left w:val="nil"/>
              <w:bottom w:val="single" w:sz="4" w:space="0" w:color="auto"/>
              <w:right w:val="single" w:sz="4" w:space="0" w:color="auto"/>
            </w:tcBorders>
            <w:shd w:val="clear" w:color="auto" w:fill="C6EFCE"/>
            <w:noWrap/>
            <w:vAlign w:val="center"/>
          </w:tcPr>
          <w:p w14:paraId="6973349C" w14:textId="77777777" w:rsidR="00C45D59" w:rsidRDefault="009B0962">
            <w:pPr>
              <w:pStyle w:val="P68B1DB1-Normal55"/>
              <w:keepNext/>
              <w:spacing w:before="40" w:after="0" w:line="240" w:lineRule="auto"/>
              <w:jc w:val="both"/>
              <w:rPr>
                <w:rFonts w:eastAsia="Times New Roman" w:cs="Times New Roman"/>
                <w:noProof/>
                <w:szCs w:val="18"/>
              </w:rPr>
            </w:pPr>
            <w:r>
              <w:rPr>
                <w:noProof/>
              </w:rPr>
              <w:t>Atribuirea contractelor pentru sisteme informatice în domeniul muncii</w:t>
            </w:r>
          </w:p>
        </w:tc>
      </w:tr>
      <w:tr w:rsidR="00C45D59" w14:paraId="1FC4F6A4" w14:textId="77777777">
        <w:trPr>
          <w:trHeight w:val="302"/>
          <w:jc w:val="center"/>
        </w:trPr>
        <w:tc>
          <w:tcPr>
            <w:tcW w:w="542" w:type="dxa"/>
            <w:tcBorders>
              <w:top w:val="nil"/>
              <w:left w:val="single" w:sz="4" w:space="0" w:color="auto"/>
              <w:bottom w:val="single" w:sz="4" w:space="0" w:color="auto"/>
              <w:right w:val="single" w:sz="4" w:space="0" w:color="auto"/>
            </w:tcBorders>
            <w:shd w:val="clear" w:color="auto" w:fill="C6EFCE"/>
            <w:noWrap/>
            <w:vAlign w:val="center"/>
          </w:tcPr>
          <w:p w14:paraId="7D897013"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139</w:t>
            </w:r>
          </w:p>
        </w:tc>
        <w:tc>
          <w:tcPr>
            <w:tcW w:w="4838" w:type="dxa"/>
            <w:tcBorders>
              <w:top w:val="nil"/>
              <w:left w:val="nil"/>
              <w:bottom w:val="single" w:sz="4" w:space="0" w:color="auto"/>
              <w:right w:val="single" w:sz="4" w:space="0" w:color="auto"/>
            </w:tcBorders>
            <w:shd w:val="clear" w:color="auto" w:fill="C6EFCE"/>
            <w:noWrap/>
            <w:vAlign w:val="center"/>
          </w:tcPr>
          <w:p w14:paraId="1C9D96F8"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9-3.2. Educație, educație și formare profesională și competențe – 16913_O nouă strategie pentru învățarea pe tot parcursul vieții: Modernizarea și actualizarea sistemului de perfecționare și reconversie profesională al Greciei</w:t>
            </w:r>
          </w:p>
        </w:tc>
        <w:tc>
          <w:tcPr>
            <w:tcW w:w="1134" w:type="dxa"/>
            <w:tcBorders>
              <w:top w:val="nil"/>
              <w:left w:val="nil"/>
              <w:bottom w:val="single" w:sz="4" w:space="0" w:color="auto"/>
              <w:right w:val="single" w:sz="4" w:space="0" w:color="auto"/>
            </w:tcBorders>
            <w:shd w:val="clear" w:color="auto" w:fill="C6EFCE"/>
            <w:noWrap/>
            <w:vAlign w:val="center"/>
          </w:tcPr>
          <w:p w14:paraId="64B56A8E" w14:textId="77777777" w:rsidR="00C45D59" w:rsidRDefault="009B0962">
            <w:pPr>
              <w:pStyle w:val="P68B1DB1-Normal55"/>
              <w:keepNext/>
              <w:spacing w:before="40" w:after="0" w:line="240" w:lineRule="auto"/>
              <w:jc w:val="both"/>
              <w:rPr>
                <w:rFonts w:eastAsia="Times New Roman" w:cs="Times New Roman"/>
                <w:noProof/>
                <w:szCs w:val="18"/>
              </w:rPr>
            </w:pPr>
            <w:r>
              <w:rPr>
                <w:noProof/>
              </w:rPr>
              <w:t>Țintă</w:t>
            </w:r>
          </w:p>
        </w:tc>
        <w:tc>
          <w:tcPr>
            <w:tcW w:w="3110" w:type="dxa"/>
            <w:tcBorders>
              <w:top w:val="nil"/>
              <w:left w:val="nil"/>
              <w:bottom w:val="single" w:sz="4" w:space="0" w:color="auto"/>
              <w:right w:val="single" w:sz="4" w:space="0" w:color="auto"/>
            </w:tcBorders>
            <w:shd w:val="clear" w:color="auto" w:fill="C6EFCE"/>
            <w:noWrap/>
            <w:vAlign w:val="center"/>
          </w:tcPr>
          <w:p w14:paraId="1EC5A7D9" w14:textId="77777777" w:rsidR="00C45D59" w:rsidRDefault="009B0962">
            <w:pPr>
              <w:pStyle w:val="P68B1DB1-Normal55"/>
              <w:keepNext/>
              <w:spacing w:before="40" w:after="0" w:line="240" w:lineRule="auto"/>
              <w:jc w:val="both"/>
              <w:rPr>
                <w:rFonts w:eastAsia="Times New Roman" w:cs="Times New Roman"/>
                <w:noProof/>
                <w:szCs w:val="18"/>
              </w:rPr>
            </w:pPr>
            <w:r>
              <w:rPr>
                <w:noProof/>
              </w:rPr>
              <w:t>Validarea finalizării strategiei de învățare pe tot parcursul vieții pentru programele de formare</w:t>
            </w:r>
          </w:p>
        </w:tc>
      </w:tr>
      <w:tr w:rsidR="00C45D59" w14:paraId="6351D700" w14:textId="77777777">
        <w:trPr>
          <w:trHeight w:val="302"/>
          <w:jc w:val="center"/>
        </w:trPr>
        <w:tc>
          <w:tcPr>
            <w:tcW w:w="542" w:type="dxa"/>
            <w:tcBorders>
              <w:top w:val="nil"/>
              <w:left w:val="single" w:sz="4" w:space="0" w:color="auto"/>
              <w:bottom w:val="single" w:sz="4" w:space="0" w:color="auto"/>
              <w:right w:val="single" w:sz="4" w:space="0" w:color="auto"/>
            </w:tcBorders>
            <w:shd w:val="clear" w:color="auto" w:fill="C6EFCE"/>
            <w:noWrap/>
            <w:vAlign w:val="center"/>
          </w:tcPr>
          <w:p w14:paraId="6236BE01"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159</w:t>
            </w:r>
          </w:p>
        </w:tc>
        <w:tc>
          <w:tcPr>
            <w:tcW w:w="4838" w:type="dxa"/>
            <w:tcBorders>
              <w:top w:val="nil"/>
              <w:left w:val="nil"/>
              <w:bottom w:val="single" w:sz="4" w:space="0" w:color="auto"/>
              <w:right w:val="single" w:sz="4" w:space="0" w:color="auto"/>
            </w:tcBorders>
            <w:shd w:val="clear" w:color="auto" w:fill="C6EFCE"/>
            <w:noWrap/>
            <w:vAlign w:val="center"/>
          </w:tcPr>
          <w:p w14:paraId="692410B1"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10-3.3. Îmbunătățirea rezilienței, a accesibilității și a sustenabilității asistenței medicale – 16755_Reforma sistemului de asistență medicală primară</w:t>
            </w:r>
          </w:p>
        </w:tc>
        <w:tc>
          <w:tcPr>
            <w:tcW w:w="1134" w:type="dxa"/>
            <w:tcBorders>
              <w:top w:val="nil"/>
              <w:left w:val="nil"/>
              <w:bottom w:val="single" w:sz="4" w:space="0" w:color="auto"/>
              <w:right w:val="single" w:sz="4" w:space="0" w:color="auto"/>
            </w:tcBorders>
            <w:shd w:val="clear" w:color="auto" w:fill="C6EFCE"/>
            <w:noWrap/>
            <w:vAlign w:val="center"/>
          </w:tcPr>
          <w:p w14:paraId="27A13875" w14:textId="77777777" w:rsidR="00C45D59" w:rsidRDefault="009B0962">
            <w:pPr>
              <w:pStyle w:val="P68B1DB1-Normal55"/>
              <w:keepNext/>
              <w:spacing w:before="40" w:after="0" w:line="240" w:lineRule="auto"/>
              <w:jc w:val="both"/>
              <w:rPr>
                <w:rFonts w:eastAsia="Times New Roman" w:cs="Times New Roman"/>
                <w:noProof/>
                <w:szCs w:val="18"/>
              </w:rPr>
            </w:pPr>
            <w:r>
              <w:rPr>
                <w:noProof/>
              </w:rPr>
              <w:t>Etapă</w:t>
            </w:r>
          </w:p>
        </w:tc>
        <w:tc>
          <w:tcPr>
            <w:tcW w:w="3110" w:type="dxa"/>
            <w:tcBorders>
              <w:top w:val="nil"/>
              <w:left w:val="nil"/>
              <w:bottom w:val="single" w:sz="4" w:space="0" w:color="auto"/>
              <w:right w:val="single" w:sz="4" w:space="0" w:color="auto"/>
            </w:tcBorders>
            <w:shd w:val="clear" w:color="auto" w:fill="C6EFCE"/>
            <w:noWrap/>
            <w:vAlign w:val="center"/>
          </w:tcPr>
          <w:p w14:paraId="6EFFB864" w14:textId="77777777" w:rsidR="00C45D59" w:rsidRDefault="009B0962">
            <w:pPr>
              <w:pStyle w:val="P68B1DB1-Normal55"/>
              <w:keepNext/>
              <w:spacing w:before="40" w:after="0" w:line="240" w:lineRule="auto"/>
              <w:jc w:val="both"/>
              <w:rPr>
                <w:rFonts w:eastAsia="Times New Roman" w:cs="Times New Roman"/>
                <w:noProof/>
                <w:szCs w:val="18"/>
              </w:rPr>
            </w:pPr>
            <w:r>
              <w:rPr>
                <w:noProof/>
              </w:rPr>
              <w:t xml:space="preserve">Activarea programelor de medicină de familie în domeniul asistenței medicale primare </w:t>
            </w:r>
          </w:p>
        </w:tc>
      </w:tr>
      <w:tr w:rsidR="00C45D59" w14:paraId="39D036D3" w14:textId="77777777">
        <w:trPr>
          <w:trHeight w:val="302"/>
          <w:jc w:val="center"/>
        </w:trPr>
        <w:tc>
          <w:tcPr>
            <w:tcW w:w="542" w:type="dxa"/>
            <w:tcBorders>
              <w:top w:val="nil"/>
              <w:left w:val="single" w:sz="4" w:space="0" w:color="auto"/>
              <w:bottom w:val="single" w:sz="4" w:space="0" w:color="auto"/>
              <w:right w:val="single" w:sz="4" w:space="0" w:color="auto"/>
            </w:tcBorders>
            <w:shd w:val="clear" w:color="auto" w:fill="C6EFCE"/>
            <w:noWrap/>
            <w:vAlign w:val="center"/>
          </w:tcPr>
          <w:p w14:paraId="55B212CF"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160</w:t>
            </w:r>
          </w:p>
        </w:tc>
        <w:tc>
          <w:tcPr>
            <w:tcW w:w="4838" w:type="dxa"/>
            <w:tcBorders>
              <w:top w:val="nil"/>
              <w:left w:val="nil"/>
              <w:bottom w:val="single" w:sz="4" w:space="0" w:color="auto"/>
              <w:right w:val="single" w:sz="4" w:space="0" w:color="auto"/>
            </w:tcBorders>
            <w:shd w:val="clear" w:color="auto" w:fill="C6EFCE"/>
            <w:noWrap/>
            <w:vAlign w:val="center"/>
          </w:tcPr>
          <w:p w14:paraId="2B887A0C"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10-3.3. Îmbunătățirea rezilienței, a accesibilității și a sustenabilității asistenței medicale – 16820_Reforma în domeniul sănătății mintale și al dependenței</w:t>
            </w:r>
          </w:p>
        </w:tc>
        <w:tc>
          <w:tcPr>
            <w:tcW w:w="1134" w:type="dxa"/>
            <w:tcBorders>
              <w:top w:val="nil"/>
              <w:left w:val="nil"/>
              <w:bottom w:val="single" w:sz="4" w:space="0" w:color="auto"/>
              <w:right w:val="single" w:sz="4" w:space="0" w:color="auto"/>
            </w:tcBorders>
            <w:shd w:val="clear" w:color="auto" w:fill="C6EFCE"/>
            <w:noWrap/>
            <w:vAlign w:val="center"/>
          </w:tcPr>
          <w:p w14:paraId="2DBEF8F3" w14:textId="77777777" w:rsidR="00C45D59" w:rsidRDefault="009B0962">
            <w:pPr>
              <w:pStyle w:val="P68B1DB1-Normal55"/>
              <w:keepNext/>
              <w:spacing w:before="40" w:after="0" w:line="240" w:lineRule="auto"/>
              <w:jc w:val="both"/>
              <w:rPr>
                <w:rFonts w:eastAsia="Times New Roman" w:cs="Times New Roman"/>
                <w:noProof/>
                <w:szCs w:val="18"/>
              </w:rPr>
            </w:pPr>
            <w:r>
              <w:rPr>
                <w:noProof/>
              </w:rPr>
              <w:t>Țintă</w:t>
            </w:r>
          </w:p>
        </w:tc>
        <w:tc>
          <w:tcPr>
            <w:tcW w:w="3110" w:type="dxa"/>
            <w:tcBorders>
              <w:top w:val="nil"/>
              <w:left w:val="nil"/>
              <w:bottom w:val="single" w:sz="4" w:space="0" w:color="auto"/>
              <w:right w:val="single" w:sz="4" w:space="0" w:color="auto"/>
            </w:tcBorders>
            <w:shd w:val="clear" w:color="auto" w:fill="C6EFCE"/>
            <w:noWrap/>
            <w:vAlign w:val="center"/>
          </w:tcPr>
          <w:p w14:paraId="12614CE9" w14:textId="77777777" w:rsidR="00C45D59" w:rsidRDefault="009B0962">
            <w:pPr>
              <w:pStyle w:val="P68B1DB1-Normal55"/>
              <w:keepNext/>
              <w:spacing w:before="40" w:after="0" w:line="240" w:lineRule="auto"/>
              <w:jc w:val="both"/>
              <w:rPr>
                <w:rFonts w:eastAsia="Times New Roman" w:cs="Times New Roman"/>
                <w:noProof/>
                <w:szCs w:val="18"/>
              </w:rPr>
            </w:pPr>
            <w:r>
              <w:rPr>
                <w:noProof/>
              </w:rPr>
              <w:t>Sănătate mintală – 50 unități deschise – etapa 1 din 2</w:t>
            </w:r>
          </w:p>
        </w:tc>
      </w:tr>
      <w:tr w:rsidR="00C45D59" w14:paraId="3C4F07E5" w14:textId="77777777">
        <w:trPr>
          <w:trHeight w:val="302"/>
          <w:jc w:val="center"/>
        </w:trPr>
        <w:tc>
          <w:tcPr>
            <w:tcW w:w="542" w:type="dxa"/>
            <w:tcBorders>
              <w:top w:val="nil"/>
              <w:left w:val="single" w:sz="4" w:space="0" w:color="auto"/>
              <w:bottom w:val="single" w:sz="4" w:space="0" w:color="auto"/>
              <w:right w:val="single" w:sz="4" w:space="0" w:color="auto"/>
            </w:tcBorders>
            <w:shd w:val="clear" w:color="auto" w:fill="C6EFCE"/>
            <w:noWrap/>
            <w:vAlign w:val="center"/>
          </w:tcPr>
          <w:p w14:paraId="03D40EA1"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211</w:t>
            </w:r>
          </w:p>
        </w:tc>
        <w:tc>
          <w:tcPr>
            <w:tcW w:w="4838" w:type="dxa"/>
            <w:tcBorders>
              <w:top w:val="nil"/>
              <w:left w:val="nil"/>
              <w:bottom w:val="single" w:sz="4" w:space="0" w:color="auto"/>
              <w:right w:val="single" w:sz="4" w:space="0" w:color="auto"/>
            </w:tcBorders>
            <w:shd w:val="clear" w:color="auto" w:fill="C6EFCE"/>
            <w:noWrap/>
            <w:vAlign w:val="center"/>
          </w:tcPr>
          <w:p w14:paraId="7941DF05"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13-4.2. Modernizarea administrației publice, inclusiv prin accelerarea punerii în aplicare a investițiilor publice, îmbunătățirea cadrului privind achizițiile publice, măsuri de consolidare a capacităților și combaterea corupției – 16952_Consolidarea cadrului național anticorupție prin intervenții specifice în domeniile detectării, prevenirii și sensibilizării</w:t>
            </w:r>
          </w:p>
        </w:tc>
        <w:tc>
          <w:tcPr>
            <w:tcW w:w="1134" w:type="dxa"/>
            <w:tcBorders>
              <w:top w:val="nil"/>
              <w:left w:val="nil"/>
              <w:bottom w:val="single" w:sz="4" w:space="0" w:color="auto"/>
              <w:right w:val="single" w:sz="4" w:space="0" w:color="auto"/>
            </w:tcBorders>
            <w:shd w:val="clear" w:color="auto" w:fill="C6EFCE"/>
            <w:noWrap/>
            <w:vAlign w:val="center"/>
          </w:tcPr>
          <w:p w14:paraId="6F15CD48" w14:textId="77777777" w:rsidR="00C45D59" w:rsidRDefault="009B0962">
            <w:pPr>
              <w:pStyle w:val="P68B1DB1-Normal55"/>
              <w:keepNext/>
              <w:spacing w:before="40" w:after="0" w:line="240" w:lineRule="auto"/>
              <w:jc w:val="both"/>
              <w:rPr>
                <w:rFonts w:eastAsia="Times New Roman" w:cs="Times New Roman"/>
                <w:noProof/>
                <w:szCs w:val="18"/>
              </w:rPr>
            </w:pPr>
            <w:r>
              <w:rPr>
                <w:noProof/>
              </w:rPr>
              <w:t>Etapă</w:t>
            </w:r>
          </w:p>
        </w:tc>
        <w:tc>
          <w:tcPr>
            <w:tcW w:w="3110" w:type="dxa"/>
            <w:tcBorders>
              <w:top w:val="nil"/>
              <w:left w:val="nil"/>
              <w:bottom w:val="single" w:sz="4" w:space="0" w:color="auto"/>
              <w:right w:val="single" w:sz="4" w:space="0" w:color="auto"/>
            </w:tcBorders>
            <w:shd w:val="clear" w:color="auto" w:fill="C6EFCE"/>
            <w:noWrap/>
            <w:vAlign w:val="center"/>
          </w:tcPr>
          <w:p w14:paraId="327136C6" w14:textId="77777777" w:rsidR="00C45D59" w:rsidRDefault="009B0962">
            <w:pPr>
              <w:pStyle w:val="P68B1DB1-Normal55"/>
              <w:keepNext/>
              <w:spacing w:before="40" w:after="0" w:line="240" w:lineRule="auto"/>
              <w:jc w:val="both"/>
              <w:rPr>
                <w:rFonts w:eastAsia="Times New Roman" w:cs="Times New Roman"/>
                <w:noProof/>
                <w:szCs w:val="18"/>
              </w:rPr>
            </w:pPr>
            <w:r>
              <w:rPr>
                <w:noProof/>
              </w:rPr>
              <w:t>Punerea în aplicare a legislației privind controalele interne</w:t>
            </w:r>
          </w:p>
        </w:tc>
      </w:tr>
      <w:tr w:rsidR="00C45D59" w14:paraId="7131852F" w14:textId="77777777">
        <w:trPr>
          <w:trHeight w:val="302"/>
          <w:jc w:val="center"/>
        </w:trPr>
        <w:tc>
          <w:tcPr>
            <w:tcW w:w="542" w:type="dxa"/>
            <w:tcBorders>
              <w:top w:val="nil"/>
              <w:left w:val="single" w:sz="4" w:space="0" w:color="auto"/>
              <w:bottom w:val="single" w:sz="4" w:space="0" w:color="auto"/>
              <w:right w:val="single" w:sz="4" w:space="0" w:color="auto"/>
            </w:tcBorders>
            <w:shd w:val="clear" w:color="auto" w:fill="C6EFCE"/>
            <w:noWrap/>
            <w:vAlign w:val="center"/>
          </w:tcPr>
          <w:p w14:paraId="3EEEBE59"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214</w:t>
            </w:r>
          </w:p>
        </w:tc>
        <w:tc>
          <w:tcPr>
            <w:tcW w:w="4838" w:type="dxa"/>
            <w:tcBorders>
              <w:top w:val="nil"/>
              <w:left w:val="nil"/>
              <w:bottom w:val="single" w:sz="4" w:space="0" w:color="auto"/>
              <w:right w:val="single" w:sz="4" w:space="0" w:color="auto"/>
            </w:tcBorders>
            <w:shd w:val="clear" w:color="auto" w:fill="C6EFCE"/>
            <w:noWrap/>
            <w:vAlign w:val="center"/>
          </w:tcPr>
          <w:p w14:paraId="68093439"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13-4.2. Modernizarea administrației publice, inclusiv prin accelerarea punerii în aplicare a investițiilor publice, îmbunătățirea cadrului privind achizițiile publice, măsuri de consolidare a capacităților și combaterea corupției – 16701_Consolidarea rețelei de ajutoare de stat</w:t>
            </w:r>
          </w:p>
        </w:tc>
        <w:tc>
          <w:tcPr>
            <w:tcW w:w="1134" w:type="dxa"/>
            <w:tcBorders>
              <w:top w:val="nil"/>
              <w:left w:val="nil"/>
              <w:bottom w:val="single" w:sz="4" w:space="0" w:color="auto"/>
              <w:right w:val="single" w:sz="4" w:space="0" w:color="auto"/>
            </w:tcBorders>
            <w:shd w:val="clear" w:color="auto" w:fill="C6EFCE"/>
            <w:noWrap/>
            <w:vAlign w:val="center"/>
          </w:tcPr>
          <w:p w14:paraId="44254B05" w14:textId="77777777" w:rsidR="00C45D59" w:rsidRDefault="009B0962">
            <w:pPr>
              <w:pStyle w:val="P68B1DB1-Normal55"/>
              <w:keepNext/>
              <w:spacing w:before="40" w:after="0" w:line="240" w:lineRule="auto"/>
              <w:jc w:val="both"/>
              <w:rPr>
                <w:rFonts w:eastAsia="Times New Roman" w:cs="Times New Roman"/>
                <w:noProof/>
                <w:szCs w:val="18"/>
              </w:rPr>
            </w:pPr>
            <w:r>
              <w:rPr>
                <w:noProof/>
              </w:rPr>
              <w:t>Etapă</w:t>
            </w:r>
          </w:p>
        </w:tc>
        <w:tc>
          <w:tcPr>
            <w:tcW w:w="3110" w:type="dxa"/>
            <w:tcBorders>
              <w:top w:val="nil"/>
              <w:left w:val="nil"/>
              <w:bottom w:val="single" w:sz="4" w:space="0" w:color="auto"/>
              <w:right w:val="single" w:sz="4" w:space="0" w:color="auto"/>
            </w:tcBorders>
            <w:shd w:val="clear" w:color="auto" w:fill="C6EFCE"/>
            <w:noWrap/>
            <w:vAlign w:val="center"/>
          </w:tcPr>
          <w:p w14:paraId="65BBD043" w14:textId="77777777" w:rsidR="00C45D59" w:rsidRDefault="009B0962">
            <w:pPr>
              <w:pStyle w:val="P68B1DB1-Normal55"/>
              <w:keepNext/>
              <w:spacing w:before="40" w:after="0" w:line="240" w:lineRule="auto"/>
              <w:jc w:val="both"/>
              <w:rPr>
                <w:rFonts w:eastAsia="Times New Roman" w:cs="Times New Roman"/>
                <w:noProof/>
                <w:szCs w:val="18"/>
              </w:rPr>
            </w:pPr>
            <w:r>
              <w:rPr>
                <w:noProof/>
              </w:rPr>
              <w:t>Consolidarea rețelei de ajutoare de stat</w:t>
            </w:r>
          </w:p>
        </w:tc>
      </w:tr>
      <w:tr w:rsidR="00C45D59" w14:paraId="54B3EF8E" w14:textId="77777777">
        <w:trPr>
          <w:trHeight w:val="302"/>
          <w:jc w:val="center"/>
        </w:trPr>
        <w:tc>
          <w:tcPr>
            <w:tcW w:w="542" w:type="dxa"/>
            <w:tcBorders>
              <w:top w:val="nil"/>
              <w:left w:val="single" w:sz="4" w:space="0" w:color="auto"/>
              <w:bottom w:val="single" w:sz="4" w:space="0" w:color="auto"/>
              <w:right w:val="single" w:sz="4" w:space="0" w:color="auto"/>
            </w:tcBorders>
            <w:shd w:val="clear" w:color="auto" w:fill="C6EFCE"/>
            <w:noWrap/>
            <w:vAlign w:val="center"/>
          </w:tcPr>
          <w:p w14:paraId="13CF5D07"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215</w:t>
            </w:r>
          </w:p>
        </w:tc>
        <w:tc>
          <w:tcPr>
            <w:tcW w:w="4838" w:type="dxa"/>
            <w:tcBorders>
              <w:top w:val="nil"/>
              <w:left w:val="nil"/>
              <w:bottom w:val="single" w:sz="4" w:space="0" w:color="auto"/>
              <w:right w:val="single" w:sz="4" w:space="0" w:color="auto"/>
            </w:tcBorders>
            <w:shd w:val="clear" w:color="auto" w:fill="C6EFCE"/>
            <w:noWrap/>
            <w:vAlign w:val="center"/>
          </w:tcPr>
          <w:p w14:paraId="1530A040"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13-4.2. Modernizarea administrației publice, inclusiv prin accelerarea punerii în aplicare a investițiilor publice, îmbunătățirea cadrului privind achizițiile publice, măsuri de consolidare a capacităților și combaterea corupției – 16981_Îmbunătățirea planificării și coordonării politicilor</w:t>
            </w:r>
          </w:p>
        </w:tc>
        <w:tc>
          <w:tcPr>
            <w:tcW w:w="1134" w:type="dxa"/>
            <w:tcBorders>
              <w:top w:val="nil"/>
              <w:left w:val="nil"/>
              <w:bottom w:val="single" w:sz="4" w:space="0" w:color="auto"/>
              <w:right w:val="single" w:sz="4" w:space="0" w:color="auto"/>
            </w:tcBorders>
            <w:shd w:val="clear" w:color="auto" w:fill="C6EFCE"/>
            <w:noWrap/>
            <w:vAlign w:val="center"/>
          </w:tcPr>
          <w:p w14:paraId="05806E67" w14:textId="77777777" w:rsidR="00C45D59" w:rsidRDefault="009B0962">
            <w:pPr>
              <w:pStyle w:val="P68B1DB1-Normal55"/>
              <w:keepNext/>
              <w:spacing w:before="40" w:after="0" w:line="240" w:lineRule="auto"/>
              <w:jc w:val="both"/>
              <w:rPr>
                <w:rFonts w:eastAsia="Times New Roman" w:cs="Times New Roman"/>
                <w:noProof/>
                <w:szCs w:val="18"/>
              </w:rPr>
            </w:pPr>
            <w:r>
              <w:rPr>
                <w:noProof/>
              </w:rPr>
              <w:t>Etapă</w:t>
            </w:r>
          </w:p>
        </w:tc>
        <w:tc>
          <w:tcPr>
            <w:tcW w:w="3110" w:type="dxa"/>
            <w:tcBorders>
              <w:top w:val="nil"/>
              <w:left w:val="nil"/>
              <w:bottom w:val="single" w:sz="4" w:space="0" w:color="auto"/>
              <w:right w:val="single" w:sz="4" w:space="0" w:color="auto"/>
            </w:tcBorders>
            <w:shd w:val="clear" w:color="auto" w:fill="C6EFCE"/>
            <w:noWrap/>
            <w:vAlign w:val="center"/>
          </w:tcPr>
          <w:p w14:paraId="2B180CE8" w14:textId="77777777" w:rsidR="00C45D59" w:rsidRDefault="009B0962">
            <w:pPr>
              <w:pStyle w:val="P68B1DB1-Normal55"/>
              <w:keepNext/>
              <w:spacing w:before="40" w:after="0" w:line="240" w:lineRule="auto"/>
              <w:jc w:val="both"/>
              <w:rPr>
                <w:rFonts w:eastAsia="Times New Roman" w:cs="Times New Roman"/>
                <w:noProof/>
                <w:szCs w:val="18"/>
              </w:rPr>
            </w:pPr>
            <w:r>
              <w:rPr>
                <w:noProof/>
              </w:rPr>
              <w:t>Planificarea și coordonarea politicilor – evaluarea impactului</w:t>
            </w:r>
          </w:p>
        </w:tc>
      </w:tr>
      <w:tr w:rsidR="00C45D59" w14:paraId="73686DE5" w14:textId="77777777">
        <w:trPr>
          <w:trHeight w:val="302"/>
          <w:jc w:val="center"/>
        </w:trPr>
        <w:tc>
          <w:tcPr>
            <w:tcW w:w="542" w:type="dxa"/>
            <w:tcBorders>
              <w:top w:val="nil"/>
              <w:left w:val="single" w:sz="4" w:space="0" w:color="auto"/>
              <w:bottom w:val="single" w:sz="4" w:space="0" w:color="auto"/>
              <w:right w:val="single" w:sz="4" w:space="0" w:color="auto"/>
            </w:tcBorders>
            <w:shd w:val="clear" w:color="auto" w:fill="C6EFCE"/>
            <w:noWrap/>
            <w:vAlign w:val="center"/>
          </w:tcPr>
          <w:p w14:paraId="15F9FB2C"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226</w:t>
            </w:r>
          </w:p>
        </w:tc>
        <w:tc>
          <w:tcPr>
            <w:tcW w:w="4838" w:type="dxa"/>
            <w:tcBorders>
              <w:top w:val="nil"/>
              <w:left w:val="nil"/>
              <w:bottom w:val="single" w:sz="4" w:space="0" w:color="auto"/>
              <w:right w:val="single" w:sz="4" w:space="0" w:color="auto"/>
            </w:tcBorders>
            <w:shd w:val="clear" w:color="auto" w:fill="C6EFCE"/>
            <w:noWrap/>
            <w:vAlign w:val="center"/>
          </w:tcPr>
          <w:p w14:paraId="32257FA2"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14-4.3. Îmbunătățirea eficienței sistemului de justiție – 16575 Accelerarea administrării justiției</w:t>
            </w:r>
          </w:p>
        </w:tc>
        <w:tc>
          <w:tcPr>
            <w:tcW w:w="1134" w:type="dxa"/>
            <w:tcBorders>
              <w:top w:val="nil"/>
              <w:left w:val="nil"/>
              <w:bottom w:val="single" w:sz="4" w:space="0" w:color="auto"/>
              <w:right w:val="single" w:sz="4" w:space="0" w:color="auto"/>
            </w:tcBorders>
            <w:shd w:val="clear" w:color="auto" w:fill="C6EFCE"/>
            <w:noWrap/>
            <w:vAlign w:val="center"/>
          </w:tcPr>
          <w:p w14:paraId="639E299D" w14:textId="77777777" w:rsidR="00C45D59" w:rsidRDefault="009B0962">
            <w:pPr>
              <w:pStyle w:val="P68B1DB1-Normal55"/>
              <w:keepNext/>
              <w:spacing w:before="40" w:after="0" w:line="240" w:lineRule="auto"/>
              <w:jc w:val="both"/>
              <w:rPr>
                <w:rFonts w:eastAsia="Times New Roman" w:cs="Times New Roman"/>
                <w:noProof/>
                <w:szCs w:val="18"/>
              </w:rPr>
            </w:pPr>
            <w:r>
              <w:rPr>
                <w:noProof/>
              </w:rPr>
              <w:t>Etapă</w:t>
            </w:r>
          </w:p>
        </w:tc>
        <w:tc>
          <w:tcPr>
            <w:tcW w:w="3110" w:type="dxa"/>
            <w:tcBorders>
              <w:top w:val="nil"/>
              <w:left w:val="nil"/>
              <w:bottom w:val="single" w:sz="4" w:space="0" w:color="auto"/>
              <w:right w:val="single" w:sz="4" w:space="0" w:color="auto"/>
            </w:tcBorders>
            <w:shd w:val="clear" w:color="auto" w:fill="C6EFCE"/>
            <w:noWrap/>
            <w:vAlign w:val="center"/>
          </w:tcPr>
          <w:p w14:paraId="45AF5BFA" w14:textId="77777777" w:rsidR="00C45D59" w:rsidRDefault="009B0962">
            <w:pPr>
              <w:pStyle w:val="P68B1DB1-Normal55"/>
              <w:keepNext/>
              <w:spacing w:before="40" w:after="0" w:line="240" w:lineRule="auto"/>
              <w:jc w:val="both"/>
              <w:rPr>
                <w:rFonts w:eastAsia="Times New Roman" w:cs="Times New Roman"/>
                <w:noProof/>
                <w:szCs w:val="18"/>
              </w:rPr>
            </w:pPr>
            <w:r>
              <w:rPr>
                <w:noProof/>
              </w:rPr>
              <w:t>Hartă judiciară – legislație primară – administrativă</w:t>
            </w:r>
          </w:p>
        </w:tc>
      </w:tr>
      <w:tr w:rsidR="00C45D59" w14:paraId="050048B0" w14:textId="77777777">
        <w:trPr>
          <w:trHeight w:val="302"/>
          <w:jc w:val="center"/>
        </w:trPr>
        <w:tc>
          <w:tcPr>
            <w:tcW w:w="542" w:type="dxa"/>
            <w:tcBorders>
              <w:top w:val="nil"/>
              <w:left w:val="single" w:sz="4" w:space="0" w:color="auto"/>
              <w:bottom w:val="single" w:sz="4" w:space="0" w:color="auto"/>
              <w:right w:val="single" w:sz="4" w:space="0" w:color="auto"/>
            </w:tcBorders>
            <w:shd w:val="clear" w:color="auto" w:fill="C6EFCE"/>
            <w:noWrap/>
            <w:vAlign w:val="center"/>
          </w:tcPr>
          <w:p w14:paraId="084CCF80"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227</w:t>
            </w:r>
          </w:p>
        </w:tc>
        <w:tc>
          <w:tcPr>
            <w:tcW w:w="4838" w:type="dxa"/>
            <w:tcBorders>
              <w:top w:val="nil"/>
              <w:left w:val="nil"/>
              <w:bottom w:val="single" w:sz="4" w:space="0" w:color="auto"/>
              <w:right w:val="single" w:sz="4" w:space="0" w:color="auto"/>
            </w:tcBorders>
            <w:shd w:val="clear" w:color="auto" w:fill="C6EFCE"/>
            <w:noWrap/>
            <w:vAlign w:val="center"/>
          </w:tcPr>
          <w:p w14:paraId="05C104CC"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14-4.3. Îmbunătățirea eficienței sistemului de justiție – 16292_Noi clădiri judiciare</w:t>
            </w:r>
          </w:p>
        </w:tc>
        <w:tc>
          <w:tcPr>
            <w:tcW w:w="1134" w:type="dxa"/>
            <w:tcBorders>
              <w:top w:val="nil"/>
              <w:left w:val="nil"/>
              <w:bottom w:val="single" w:sz="4" w:space="0" w:color="auto"/>
              <w:right w:val="single" w:sz="4" w:space="0" w:color="auto"/>
            </w:tcBorders>
            <w:shd w:val="clear" w:color="auto" w:fill="C6EFCE"/>
            <w:noWrap/>
            <w:vAlign w:val="center"/>
          </w:tcPr>
          <w:p w14:paraId="58E1A86D" w14:textId="77777777" w:rsidR="00C45D59" w:rsidRDefault="009B0962">
            <w:pPr>
              <w:pStyle w:val="P68B1DB1-Normal55"/>
              <w:keepNext/>
              <w:spacing w:before="40" w:after="0" w:line="240" w:lineRule="auto"/>
              <w:jc w:val="both"/>
              <w:rPr>
                <w:rFonts w:eastAsia="Times New Roman" w:cs="Times New Roman"/>
                <w:noProof/>
                <w:szCs w:val="18"/>
              </w:rPr>
            </w:pPr>
            <w:r>
              <w:rPr>
                <w:noProof/>
              </w:rPr>
              <w:t>Etapă</w:t>
            </w:r>
          </w:p>
        </w:tc>
        <w:tc>
          <w:tcPr>
            <w:tcW w:w="3110" w:type="dxa"/>
            <w:tcBorders>
              <w:top w:val="nil"/>
              <w:left w:val="nil"/>
              <w:bottom w:val="single" w:sz="4" w:space="0" w:color="auto"/>
              <w:right w:val="single" w:sz="4" w:space="0" w:color="auto"/>
            </w:tcBorders>
            <w:shd w:val="clear" w:color="auto" w:fill="C6EFCE"/>
            <w:noWrap/>
            <w:vAlign w:val="center"/>
          </w:tcPr>
          <w:p w14:paraId="64073EC7" w14:textId="77777777" w:rsidR="00C45D59" w:rsidRDefault="009B0962">
            <w:pPr>
              <w:pStyle w:val="P68B1DB1-Normal55"/>
              <w:keepNext/>
              <w:spacing w:before="40" w:after="0" w:line="240" w:lineRule="auto"/>
              <w:jc w:val="both"/>
              <w:rPr>
                <w:rFonts w:eastAsia="Times New Roman" w:cs="Times New Roman"/>
                <w:noProof/>
                <w:szCs w:val="18"/>
              </w:rPr>
            </w:pPr>
            <w:r>
              <w:rPr>
                <w:noProof/>
              </w:rPr>
              <w:t>Construcția și renovarea clădirilor judiciare – Ajustarea listei – Lansarea licitațiilor</w:t>
            </w:r>
          </w:p>
        </w:tc>
      </w:tr>
      <w:tr w:rsidR="00C45D59" w14:paraId="5540D51A" w14:textId="77777777">
        <w:trPr>
          <w:trHeight w:val="302"/>
          <w:jc w:val="center"/>
        </w:trPr>
        <w:tc>
          <w:tcPr>
            <w:tcW w:w="542"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76F14D18" w14:textId="77777777" w:rsidR="00C45D59" w:rsidRDefault="00C45D59">
            <w:pPr>
              <w:keepNext/>
              <w:spacing w:before="40" w:after="0" w:line="240" w:lineRule="auto"/>
              <w:jc w:val="both"/>
              <w:rPr>
                <w:rFonts w:ascii="Times New Roman" w:eastAsia="Times New Roman" w:hAnsi="Times New Roman" w:cs="Times New Roman"/>
                <w:bCs/>
                <w:noProof/>
                <w:sz w:val="18"/>
                <w:szCs w:val="18"/>
              </w:rPr>
            </w:pPr>
          </w:p>
        </w:tc>
        <w:tc>
          <w:tcPr>
            <w:tcW w:w="4838" w:type="dxa"/>
            <w:tcBorders>
              <w:top w:val="single" w:sz="4" w:space="0" w:color="auto"/>
              <w:left w:val="nil"/>
              <w:bottom w:val="single" w:sz="4" w:space="0" w:color="auto"/>
              <w:right w:val="single" w:sz="4" w:space="0" w:color="auto"/>
            </w:tcBorders>
            <w:shd w:val="clear" w:color="auto" w:fill="C6EFCE"/>
            <w:noWrap/>
            <w:vAlign w:val="bottom"/>
          </w:tcPr>
          <w:p w14:paraId="222784A9" w14:textId="77777777" w:rsidR="00C45D59" w:rsidRDefault="00C45D59">
            <w:pPr>
              <w:keepNext/>
              <w:spacing w:before="40" w:after="0" w:line="240" w:lineRule="auto"/>
              <w:jc w:val="both"/>
              <w:rPr>
                <w:rFonts w:ascii="Times New Roman" w:eastAsia="Times New Roman" w:hAnsi="Times New Roman" w:cs="Times New Roman"/>
                <w:bCs/>
                <w:noProof/>
                <w:sz w:val="18"/>
                <w:szCs w:val="18"/>
              </w:rPr>
            </w:pPr>
          </w:p>
        </w:tc>
        <w:tc>
          <w:tcPr>
            <w:tcW w:w="1134" w:type="dxa"/>
            <w:tcBorders>
              <w:top w:val="single" w:sz="4" w:space="0" w:color="auto"/>
              <w:left w:val="nil"/>
              <w:bottom w:val="single" w:sz="4" w:space="0" w:color="auto"/>
              <w:right w:val="single" w:sz="4" w:space="0" w:color="auto"/>
            </w:tcBorders>
            <w:shd w:val="clear" w:color="auto" w:fill="C6EFCE"/>
            <w:noWrap/>
            <w:vAlign w:val="bottom"/>
          </w:tcPr>
          <w:p w14:paraId="61191372" w14:textId="77777777" w:rsidR="00C45D59" w:rsidRDefault="009B0962">
            <w:pPr>
              <w:pStyle w:val="P68B1DB1-Normal55"/>
              <w:keepNext/>
              <w:spacing w:before="40" w:after="0" w:line="240" w:lineRule="auto"/>
              <w:jc w:val="both"/>
              <w:rPr>
                <w:rFonts w:eastAsia="Times New Roman" w:cs="Times New Roman"/>
                <w:noProof/>
                <w:szCs w:val="18"/>
              </w:rPr>
            </w:pPr>
            <w:r>
              <w:rPr>
                <w:noProof/>
              </w:rPr>
              <w:t>Cuantumul tranșei</w:t>
            </w:r>
          </w:p>
        </w:tc>
        <w:tc>
          <w:tcPr>
            <w:tcW w:w="3110" w:type="dxa"/>
            <w:tcBorders>
              <w:top w:val="single" w:sz="4" w:space="0" w:color="auto"/>
              <w:left w:val="nil"/>
              <w:bottom w:val="single" w:sz="4" w:space="0" w:color="auto"/>
              <w:right w:val="single" w:sz="4" w:space="0" w:color="auto"/>
            </w:tcBorders>
            <w:shd w:val="clear" w:color="auto" w:fill="C6EFCE"/>
            <w:noWrap/>
            <w:vAlign w:val="bottom"/>
          </w:tcPr>
          <w:p w14:paraId="1A0BE444" w14:textId="77777777" w:rsidR="00C45D59" w:rsidRDefault="009B0962">
            <w:pPr>
              <w:pStyle w:val="P68B1DB1-Normal55"/>
              <w:keepNext/>
              <w:spacing w:before="40" w:after="0" w:line="240" w:lineRule="auto"/>
              <w:jc w:val="both"/>
              <w:rPr>
                <w:rFonts w:eastAsia="Times New Roman" w:cs="Times New Roman"/>
                <w:noProof/>
                <w:szCs w:val="18"/>
              </w:rPr>
            </w:pPr>
            <w:r>
              <w:rPr>
                <w:noProof/>
              </w:rPr>
              <w:t>1 974 438 067 MIL.</w:t>
            </w:r>
          </w:p>
        </w:tc>
      </w:tr>
    </w:tbl>
    <w:p w14:paraId="333C1C77" w14:textId="77777777" w:rsidR="00C45D59" w:rsidRDefault="00C45D59">
      <w:pPr>
        <w:keepNext/>
        <w:spacing w:before="40" w:after="0" w:line="259" w:lineRule="auto"/>
        <w:jc w:val="both"/>
        <w:rPr>
          <w:rFonts w:ascii="Times New Roman" w:eastAsia="Times New Roman" w:hAnsi="Times New Roman" w:cs="Times New Roman"/>
          <w:bCs/>
          <w:noProof/>
          <w:sz w:val="24"/>
          <w:szCs w:val="26"/>
        </w:rPr>
      </w:pPr>
    </w:p>
    <w:p w14:paraId="241CC8CA" w14:textId="77777777" w:rsidR="00C45D59" w:rsidRDefault="00C45D59">
      <w:pPr>
        <w:keepNext/>
        <w:numPr>
          <w:ilvl w:val="1"/>
          <w:numId w:val="93"/>
        </w:numPr>
        <w:spacing w:before="40" w:after="0" w:line="259" w:lineRule="auto"/>
        <w:ind w:left="0"/>
        <w:contextualSpacing/>
        <w:jc w:val="both"/>
        <w:rPr>
          <w:rFonts w:ascii="Times New Roman" w:hAnsi="Times New Roman"/>
          <w:noProof/>
          <w:sz w:val="24"/>
        </w:rPr>
        <w:sectPr w:rsidR="00C45D59">
          <w:headerReference w:type="even" r:id="rId438"/>
          <w:headerReference w:type="default" r:id="rId439"/>
          <w:footerReference w:type="even" r:id="rId440"/>
          <w:footerReference w:type="default" r:id="rId441"/>
          <w:headerReference w:type="first" r:id="rId442"/>
          <w:footerReference w:type="first" r:id="rId443"/>
          <w:pgSz w:w="11906" w:h="16838"/>
          <w:pgMar w:top="1134" w:right="1134" w:bottom="1134" w:left="1134" w:header="567" w:footer="567" w:gutter="0"/>
          <w:cols w:space="708"/>
          <w:docGrid w:linePitch="360"/>
        </w:sectPr>
      </w:pPr>
    </w:p>
    <w:p w14:paraId="7F4FB2C3" w14:textId="77777777" w:rsidR="00C45D59" w:rsidRDefault="009B0962">
      <w:pPr>
        <w:pStyle w:val="P68B1DB1-Normal5"/>
        <w:keepNext/>
        <w:numPr>
          <w:ilvl w:val="1"/>
          <w:numId w:val="93"/>
        </w:numPr>
        <w:spacing w:before="40" w:after="0" w:line="259" w:lineRule="auto"/>
        <w:ind w:left="0"/>
        <w:contextualSpacing/>
        <w:jc w:val="both"/>
        <w:rPr>
          <w:rFonts w:eastAsia="Times New Roman" w:cs="Times New Roman"/>
          <w:i/>
          <w:noProof/>
          <w:color w:val="4F81BD"/>
        </w:rPr>
      </w:pPr>
      <w:r>
        <w:rPr>
          <w:noProof/>
        </w:rPr>
        <w:t xml:space="preserve"> A patra cerere de plată (sprijin nerambursabil): </w:t>
      </w:r>
    </w:p>
    <w:p w14:paraId="2F89EAB0" w14:textId="77777777" w:rsidR="00C45D59" w:rsidRDefault="00C45D59">
      <w:pPr>
        <w:keepNext/>
        <w:spacing w:before="40" w:after="0" w:line="259" w:lineRule="auto"/>
        <w:contextualSpacing/>
        <w:jc w:val="both"/>
        <w:rPr>
          <w:rFonts w:ascii="Times New Roman" w:eastAsia="Times New Roman" w:hAnsi="Times New Roman" w:cs="Times New Roman"/>
          <w:i/>
          <w:noProof/>
          <w:color w:val="4F81BD"/>
          <w:sz w:val="24"/>
        </w:rPr>
      </w:pPr>
    </w:p>
    <w:tbl>
      <w:tblPr>
        <w:tblW w:w="9595" w:type="dxa"/>
        <w:jc w:val="center"/>
        <w:tblLayout w:type="fixed"/>
        <w:tblLook w:val="04A0" w:firstRow="1" w:lastRow="0" w:firstColumn="1" w:lastColumn="0" w:noHBand="0" w:noVBand="1"/>
      </w:tblPr>
      <w:tblGrid>
        <w:gridCol w:w="675"/>
        <w:gridCol w:w="4962"/>
        <w:gridCol w:w="992"/>
        <w:gridCol w:w="2966"/>
      </w:tblGrid>
      <w:tr w:rsidR="00C45D59" w14:paraId="1E98D105" w14:textId="77777777">
        <w:trPr>
          <w:trHeight w:val="906"/>
          <w:tblHeader/>
          <w:jc w:val="center"/>
        </w:trPr>
        <w:tc>
          <w:tcPr>
            <w:tcW w:w="67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8FD218D" w14:textId="077C9F36" w:rsidR="00C45D59" w:rsidRDefault="009B0962">
            <w:pPr>
              <w:pStyle w:val="P68B1DB1-Normal15"/>
              <w:keepNext/>
              <w:spacing w:before="40" w:after="0" w:line="259" w:lineRule="auto"/>
              <w:jc w:val="center"/>
              <w:rPr>
                <w:rFonts w:eastAsia="Times New Roman"/>
                <w:bCs/>
                <w:noProof/>
              </w:rPr>
            </w:pPr>
            <w:r>
              <w:rPr>
                <w:noProof/>
              </w:rPr>
              <w:t>Nr</w:t>
            </w:r>
            <w:r w:rsidR="00D15349">
              <w:rPr>
                <w:noProof/>
              </w:rPr>
              <w:t>.</w:t>
            </w:r>
            <w:r>
              <w:rPr>
                <w:noProof/>
              </w:rPr>
              <w:t xml:space="preserve"> </w:t>
            </w:r>
            <w:r>
              <w:rPr>
                <w:noProof/>
              </w:rPr>
              <w:br/>
            </w:r>
            <w:r w:rsidR="00D15349">
              <w:rPr>
                <w:noProof/>
              </w:rPr>
              <w:t>crt</w:t>
            </w:r>
            <w:r>
              <w:rPr>
                <w:noProof/>
              </w:rPr>
              <w:t>.</w:t>
            </w:r>
          </w:p>
        </w:tc>
        <w:tc>
          <w:tcPr>
            <w:tcW w:w="496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1FD003C" w14:textId="77777777" w:rsidR="00C45D59" w:rsidRDefault="009B0962">
            <w:pPr>
              <w:pStyle w:val="P68B1DB1-Normal10"/>
              <w:keepNext/>
              <w:spacing w:before="40" w:after="0" w:line="259" w:lineRule="auto"/>
              <w:jc w:val="center"/>
              <w:rPr>
                <w:rFonts w:eastAsia="Times New Roman" w:cs="Times New Roman"/>
                <w:bCs/>
                <w:noProof/>
                <w:szCs w:val="18"/>
              </w:rPr>
            </w:pPr>
            <w:r>
              <w:rPr>
                <w:noProof/>
              </w:rPr>
              <w:t>Măsură conexă (reformă sau investiții)</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1FEA163" w14:textId="52F4925E" w:rsidR="00C45D59" w:rsidRDefault="009B0962">
            <w:pPr>
              <w:pStyle w:val="P68B1DB1-Normal10"/>
              <w:keepNext/>
              <w:spacing w:before="40" w:after="0" w:line="259" w:lineRule="auto"/>
              <w:jc w:val="center"/>
              <w:rPr>
                <w:rFonts w:eastAsia="Times New Roman" w:cs="Times New Roman"/>
                <w:bCs/>
                <w:noProof/>
                <w:szCs w:val="18"/>
              </w:rPr>
            </w:pPr>
            <w:r>
              <w:rPr>
                <w:noProof/>
              </w:rPr>
              <w:t>Etapă/</w:t>
            </w:r>
            <w:r w:rsidR="00D15349">
              <w:rPr>
                <w:noProof/>
              </w:rPr>
              <w:t xml:space="preserve"> </w:t>
            </w:r>
            <w:r>
              <w:rPr>
                <w:noProof/>
              </w:rPr>
              <w:t>Obiectiv</w:t>
            </w:r>
          </w:p>
        </w:tc>
        <w:tc>
          <w:tcPr>
            <w:tcW w:w="296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0823786" w14:textId="11C785C6" w:rsidR="00C45D59" w:rsidRDefault="00D15349">
            <w:pPr>
              <w:pStyle w:val="P68B1DB1-Normal10"/>
              <w:keepNext/>
              <w:spacing w:before="40" w:after="0" w:line="259" w:lineRule="auto"/>
              <w:jc w:val="center"/>
              <w:rPr>
                <w:rFonts w:eastAsia="Times New Roman" w:cs="Times New Roman"/>
                <w:bCs/>
                <w:noProof/>
                <w:szCs w:val="18"/>
              </w:rPr>
            </w:pPr>
            <w:r>
              <w:rPr>
                <w:noProof/>
              </w:rPr>
              <w:t>Denumire</w:t>
            </w:r>
          </w:p>
        </w:tc>
      </w:tr>
      <w:tr w:rsidR="00C45D59" w14:paraId="024F3CE9" w14:textId="77777777">
        <w:trPr>
          <w:trHeight w:val="269"/>
          <w:jc w:val="center"/>
        </w:trPr>
        <w:tc>
          <w:tcPr>
            <w:tcW w:w="675" w:type="dxa"/>
            <w:vMerge/>
            <w:tcBorders>
              <w:top w:val="single" w:sz="4" w:space="0" w:color="auto"/>
              <w:left w:val="single" w:sz="4" w:space="0" w:color="auto"/>
              <w:bottom w:val="single" w:sz="4" w:space="0" w:color="auto"/>
              <w:right w:val="single" w:sz="4" w:space="0" w:color="auto"/>
            </w:tcBorders>
            <w:vAlign w:val="center"/>
            <w:hideMark/>
          </w:tcPr>
          <w:p w14:paraId="67976F47" w14:textId="77777777" w:rsidR="00C45D59" w:rsidRDefault="00C45D59">
            <w:pPr>
              <w:keepNext/>
              <w:spacing w:before="40" w:after="0" w:line="259" w:lineRule="auto"/>
              <w:jc w:val="both"/>
              <w:rPr>
                <w:rFonts w:ascii="Times New Roman" w:eastAsia="Times New Roman" w:hAnsi="Times New Roman" w:cs="Times New Roman"/>
                <w:bCs/>
                <w:noProof/>
                <w:sz w:val="18"/>
                <w:szCs w:val="18"/>
              </w:rPr>
            </w:pPr>
          </w:p>
        </w:tc>
        <w:tc>
          <w:tcPr>
            <w:tcW w:w="4962" w:type="dxa"/>
            <w:vMerge/>
            <w:tcBorders>
              <w:left w:val="single" w:sz="4" w:space="0" w:color="auto"/>
              <w:right w:val="single" w:sz="4" w:space="0" w:color="auto"/>
            </w:tcBorders>
            <w:vAlign w:val="center"/>
            <w:hideMark/>
          </w:tcPr>
          <w:p w14:paraId="3794E08E" w14:textId="77777777" w:rsidR="00C45D59" w:rsidRDefault="00C45D59">
            <w:pPr>
              <w:keepNext/>
              <w:spacing w:before="40" w:after="0" w:line="259" w:lineRule="auto"/>
              <w:jc w:val="both"/>
              <w:rPr>
                <w:rFonts w:ascii="Times New Roman" w:eastAsia="Times New Roman" w:hAnsi="Times New Roman" w:cs="Times New Roman"/>
                <w:bCs/>
                <w:noProof/>
                <w:sz w:val="18"/>
                <w:szCs w:val="18"/>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65777D01" w14:textId="77777777" w:rsidR="00C45D59" w:rsidRDefault="00C45D59">
            <w:pPr>
              <w:keepNext/>
              <w:spacing w:before="40" w:after="0" w:line="259" w:lineRule="auto"/>
              <w:jc w:val="both"/>
              <w:rPr>
                <w:rFonts w:ascii="Times New Roman" w:eastAsia="Times New Roman" w:hAnsi="Times New Roman" w:cs="Times New Roman"/>
                <w:bCs/>
                <w:noProof/>
                <w:sz w:val="18"/>
                <w:szCs w:val="18"/>
              </w:rPr>
            </w:pPr>
          </w:p>
        </w:tc>
        <w:tc>
          <w:tcPr>
            <w:tcW w:w="2966" w:type="dxa"/>
            <w:vMerge/>
            <w:tcBorders>
              <w:top w:val="single" w:sz="4" w:space="0" w:color="auto"/>
              <w:left w:val="single" w:sz="4" w:space="0" w:color="auto"/>
              <w:bottom w:val="single" w:sz="4" w:space="0" w:color="auto"/>
              <w:right w:val="single" w:sz="4" w:space="0" w:color="auto"/>
            </w:tcBorders>
            <w:vAlign w:val="center"/>
            <w:hideMark/>
          </w:tcPr>
          <w:p w14:paraId="34036BE7" w14:textId="77777777" w:rsidR="00C45D59" w:rsidRDefault="00C45D59">
            <w:pPr>
              <w:keepNext/>
              <w:spacing w:before="40" w:after="0" w:line="259" w:lineRule="auto"/>
              <w:jc w:val="both"/>
              <w:rPr>
                <w:rFonts w:ascii="Times New Roman" w:eastAsia="Times New Roman" w:hAnsi="Times New Roman" w:cs="Times New Roman"/>
                <w:bCs/>
                <w:noProof/>
                <w:sz w:val="18"/>
                <w:szCs w:val="18"/>
              </w:rPr>
            </w:pPr>
          </w:p>
        </w:tc>
      </w:tr>
      <w:tr w:rsidR="00C45D59" w14:paraId="2B029052" w14:textId="77777777">
        <w:trPr>
          <w:trHeight w:val="302"/>
          <w:jc w:val="center"/>
        </w:trPr>
        <w:tc>
          <w:tcPr>
            <w:tcW w:w="6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4E06EC4" w14:textId="77777777" w:rsidR="00C45D59" w:rsidRDefault="009B0962">
            <w:pPr>
              <w:pStyle w:val="P68B1DB1-Normal55"/>
              <w:keepNext/>
              <w:spacing w:before="40" w:after="0" w:line="240" w:lineRule="auto"/>
              <w:jc w:val="both"/>
              <w:rPr>
                <w:noProof/>
              </w:rPr>
            </w:pPr>
            <w:r>
              <w:rPr>
                <w:noProof/>
              </w:rPr>
              <w:t>7</w:t>
            </w:r>
          </w:p>
        </w:tc>
        <w:tc>
          <w:tcPr>
            <w:tcW w:w="4962" w:type="dxa"/>
            <w:tcBorders>
              <w:top w:val="single" w:sz="4" w:space="0" w:color="auto"/>
              <w:left w:val="nil"/>
              <w:bottom w:val="single" w:sz="4" w:space="0" w:color="auto"/>
              <w:right w:val="single" w:sz="4" w:space="0" w:color="auto"/>
            </w:tcBorders>
            <w:shd w:val="clear" w:color="auto" w:fill="C6EFCE"/>
            <w:noWrap/>
            <w:vAlign w:val="center"/>
          </w:tcPr>
          <w:p w14:paraId="210630EB" w14:textId="77777777" w:rsidR="00C45D59" w:rsidRDefault="009B0962">
            <w:pPr>
              <w:pStyle w:val="P68B1DB1-Normal55"/>
              <w:keepNext/>
              <w:spacing w:before="40" w:after="0" w:line="240" w:lineRule="auto"/>
              <w:jc w:val="both"/>
              <w:rPr>
                <w:noProof/>
              </w:rPr>
            </w:pPr>
            <w:r>
              <w:rPr>
                <w:noProof/>
              </w:rPr>
              <w:t>1-1.1. Accelerarea – 16865_Restructurarea și consolidarea veniturilor din contul de cogenerare SRE</w:t>
            </w:r>
          </w:p>
        </w:tc>
        <w:tc>
          <w:tcPr>
            <w:tcW w:w="992" w:type="dxa"/>
            <w:tcBorders>
              <w:top w:val="single" w:sz="4" w:space="0" w:color="auto"/>
              <w:left w:val="nil"/>
              <w:bottom w:val="single" w:sz="4" w:space="0" w:color="auto"/>
              <w:right w:val="single" w:sz="4" w:space="0" w:color="auto"/>
            </w:tcBorders>
            <w:shd w:val="clear" w:color="auto" w:fill="C6EFCE"/>
            <w:noWrap/>
            <w:vAlign w:val="center"/>
          </w:tcPr>
          <w:p w14:paraId="058F7E71" w14:textId="77777777" w:rsidR="00C45D59" w:rsidRDefault="009B0962">
            <w:pPr>
              <w:pStyle w:val="P68B1DB1-Normal55"/>
              <w:keepNext/>
              <w:spacing w:before="40" w:after="0" w:line="240" w:lineRule="auto"/>
              <w:jc w:val="both"/>
              <w:rPr>
                <w:noProof/>
              </w:rPr>
            </w:pPr>
            <w:r>
              <w:rPr>
                <w:noProof/>
              </w:rPr>
              <w:t>Țintă</w:t>
            </w:r>
          </w:p>
        </w:tc>
        <w:tc>
          <w:tcPr>
            <w:tcW w:w="2966" w:type="dxa"/>
            <w:tcBorders>
              <w:top w:val="single" w:sz="4" w:space="0" w:color="auto"/>
              <w:left w:val="nil"/>
              <w:bottom w:val="single" w:sz="4" w:space="0" w:color="auto"/>
              <w:right w:val="single" w:sz="4" w:space="0" w:color="auto"/>
            </w:tcBorders>
            <w:shd w:val="clear" w:color="auto" w:fill="C6EFCE"/>
            <w:noWrap/>
            <w:vAlign w:val="center"/>
          </w:tcPr>
          <w:p w14:paraId="6CF26B12" w14:textId="77777777" w:rsidR="00C45D59" w:rsidRDefault="009B0962">
            <w:pPr>
              <w:pStyle w:val="P68B1DB1-Normal55"/>
              <w:keepNext/>
              <w:spacing w:before="40" w:after="0" w:line="240" w:lineRule="auto"/>
              <w:jc w:val="both"/>
              <w:rPr>
                <w:noProof/>
              </w:rPr>
            </w:pPr>
            <w:r>
              <w:rPr>
                <w:noProof/>
              </w:rPr>
              <w:t>Contul SRE – obiectivul de creștere a capacității 2</w:t>
            </w:r>
          </w:p>
        </w:tc>
      </w:tr>
      <w:tr w:rsidR="00C45D59" w14:paraId="7F5172AD" w14:textId="77777777">
        <w:trPr>
          <w:trHeight w:val="302"/>
          <w:jc w:val="center"/>
        </w:trPr>
        <w:tc>
          <w:tcPr>
            <w:tcW w:w="67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C675A28" w14:textId="77777777" w:rsidR="00C45D59" w:rsidRDefault="009B0962">
            <w:pPr>
              <w:pStyle w:val="P68B1DB1-Normal55"/>
              <w:keepNext/>
              <w:spacing w:before="40" w:after="0" w:line="240" w:lineRule="auto"/>
              <w:jc w:val="both"/>
              <w:rPr>
                <w:rFonts w:eastAsia="Times New Roman" w:cs="Times New Roman"/>
                <w:noProof/>
                <w:szCs w:val="18"/>
              </w:rPr>
            </w:pPr>
            <w:r>
              <w:rPr>
                <w:noProof/>
              </w:rPr>
              <w:t>37</w:t>
            </w:r>
          </w:p>
        </w:tc>
        <w:tc>
          <w:tcPr>
            <w:tcW w:w="4962" w:type="dxa"/>
            <w:tcBorders>
              <w:top w:val="single" w:sz="4" w:space="0" w:color="auto"/>
              <w:left w:val="nil"/>
              <w:bottom w:val="single" w:sz="4" w:space="0" w:color="auto"/>
              <w:right w:val="single" w:sz="4" w:space="0" w:color="auto"/>
            </w:tcBorders>
            <w:shd w:val="clear" w:color="auto" w:fill="C6EFCE"/>
            <w:noWrap/>
            <w:vAlign w:val="center"/>
          </w:tcPr>
          <w:p w14:paraId="43FA6522"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2-1.2. Renovare – 16932_Centrul Olimpic de Atletism din Atena</w:t>
            </w:r>
          </w:p>
        </w:tc>
        <w:tc>
          <w:tcPr>
            <w:tcW w:w="992" w:type="dxa"/>
            <w:tcBorders>
              <w:top w:val="single" w:sz="4" w:space="0" w:color="auto"/>
              <w:left w:val="nil"/>
              <w:bottom w:val="single" w:sz="4" w:space="0" w:color="auto"/>
              <w:right w:val="single" w:sz="4" w:space="0" w:color="auto"/>
            </w:tcBorders>
            <w:shd w:val="clear" w:color="auto" w:fill="C6EFCE"/>
            <w:noWrap/>
            <w:vAlign w:val="center"/>
          </w:tcPr>
          <w:p w14:paraId="78069075"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Etapă</w:t>
            </w:r>
          </w:p>
        </w:tc>
        <w:tc>
          <w:tcPr>
            <w:tcW w:w="2966" w:type="dxa"/>
            <w:tcBorders>
              <w:top w:val="single" w:sz="4" w:space="0" w:color="auto"/>
              <w:left w:val="nil"/>
              <w:bottom w:val="single" w:sz="4" w:space="0" w:color="auto"/>
              <w:right w:val="single" w:sz="4" w:space="0" w:color="auto"/>
            </w:tcBorders>
            <w:shd w:val="clear" w:color="auto" w:fill="C6EFCE"/>
            <w:noWrap/>
            <w:vAlign w:val="center"/>
          </w:tcPr>
          <w:p w14:paraId="2EE0C0CE"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OAKA – Atribuirea contractelor</w:t>
            </w:r>
          </w:p>
        </w:tc>
      </w:tr>
      <w:tr w:rsidR="00C45D59" w14:paraId="57E7DAF2" w14:textId="77777777">
        <w:trPr>
          <w:trHeight w:val="302"/>
          <w:jc w:val="center"/>
        </w:trPr>
        <w:tc>
          <w:tcPr>
            <w:tcW w:w="675" w:type="dxa"/>
            <w:tcBorders>
              <w:top w:val="nil"/>
              <w:left w:val="single" w:sz="4" w:space="0" w:color="auto"/>
              <w:bottom w:val="single" w:sz="4" w:space="0" w:color="auto"/>
              <w:right w:val="single" w:sz="4" w:space="0" w:color="auto"/>
            </w:tcBorders>
            <w:shd w:val="clear" w:color="auto" w:fill="C6EFCE"/>
            <w:noWrap/>
            <w:vAlign w:val="center"/>
            <w:hideMark/>
          </w:tcPr>
          <w:p w14:paraId="72A960DD" w14:textId="77777777" w:rsidR="00C45D59" w:rsidRDefault="009B0962">
            <w:pPr>
              <w:pStyle w:val="P68B1DB1-Normal55"/>
              <w:keepNext/>
              <w:spacing w:before="40" w:after="0" w:line="240" w:lineRule="auto"/>
              <w:jc w:val="both"/>
              <w:rPr>
                <w:rFonts w:eastAsia="Times New Roman" w:cs="Times New Roman"/>
                <w:noProof/>
                <w:szCs w:val="18"/>
              </w:rPr>
            </w:pPr>
            <w:r>
              <w:rPr>
                <w:noProof/>
              </w:rPr>
              <w:t>228</w:t>
            </w:r>
          </w:p>
        </w:tc>
        <w:tc>
          <w:tcPr>
            <w:tcW w:w="4962" w:type="dxa"/>
            <w:tcBorders>
              <w:top w:val="nil"/>
              <w:left w:val="nil"/>
              <w:bottom w:val="single" w:sz="4" w:space="0" w:color="auto"/>
              <w:right w:val="single" w:sz="4" w:space="0" w:color="auto"/>
            </w:tcBorders>
            <w:shd w:val="clear" w:color="auto" w:fill="C6EFCE"/>
            <w:noWrap/>
            <w:vAlign w:val="center"/>
          </w:tcPr>
          <w:p w14:paraId="66F5EE9A"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14-4.3. Îmbunătățirea eficienței sistemului de justiție – 16733_Competențe și competențe digitale pentru judecători și angajații din sistemul judiciar (personalul din justiție)</w:t>
            </w:r>
          </w:p>
        </w:tc>
        <w:tc>
          <w:tcPr>
            <w:tcW w:w="992" w:type="dxa"/>
            <w:tcBorders>
              <w:top w:val="nil"/>
              <w:left w:val="nil"/>
              <w:bottom w:val="single" w:sz="4" w:space="0" w:color="auto"/>
              <w:right w:val="single" w:sz="4" w:space="0" w:color="auto"/>
            </w:tcBorders>
            <w:shd w:val="clear" w:color="auto" w:fill="C6EFCE"/>
            <w:noWrap/>
            <w:vAlign w:val="center"/>
          </w:tcPr>
          <w:p w14:paraId="03CF6E94"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Țintă</w:t>
            </w:r>
          </w:p>
        </w:tc>
        <w:tc>
          <w:tcPr>
            <w:tcW w:w="2966" w:type="dxa"/>
            <w:tcBorders>
              <w:top w:val="nil"/>
              <w:left w:val="nil"/>
              <w:bottom w:val="single" w:sz="4" w:space="0" w:color="auto"/>
              <w:right w:val="single" w:sz="4" w:space="0" w:color="auto"/>
            </w:tcBorders>
            <w:shd w:val="clear" w:color="auto" w:fill="C6EFCE"/>
            <w:noWrap/>
            <w:vAlign w:val="center"/>
          </w:tcPr>
          <w:p w14:paraId="47D1D511"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Formare – judecători și grefieri</w:t>
            </w:r>
          </w:p>
        </w:tc>
      </w:tr>
      <w:tr w:rsidR="00C45D59" w14:paraId="665612B6" w14:textId="77777777">
        <w:trPr>
          <w:trHeight w:val="302"/>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74C753B9"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1</w:t>
            </w:r>
          </w:p>
        </w:tc>
        <w:tc>
          <w:tcPr>
            <w:tcW w:w="4962" w:type="dxa"/>
            <w:tcBorders>
              <w:top w:val="nil"/>
              <w:left w:val="nil"/>
              <w:bottom w:val="single" w:sz="4" w:space="0" w:color="auto"/>
              <w:right w:val="single" w:sz="4" w:space="0" w:color="auto"/>
            </w:tcBorders>
            <w:shd w:val="clear" w:color="auto" w:fill="C6EFCE"/>
            <w:noWrap/>
            <w:vAlign w:val="center"/>
          </w:tcPr>
          <w:p w14:paraId="1DE3C9EF"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1-1.1. Alimentare cu energie electrică – 16870_Intervenții pentru interconectarea rețelelor de energie electrică ale insulelor și modernizarea rețelei de energie electrică</w:t>
            </w:r>
          </w:p>
        </w:tc>
        <w:tc>
          <w:tcPr>
            <w:tcW w:w="992" w:type="dxa"/>
            <w:tcBorders>
              <w:top w:val="nil"/>
              <w:left w:val="nil"/>
              <w:bottom w:val="single" w:sz="4" w:space="0" w:color="auto"/>
              <w:right w:val="single" w:sz="4" w:space="0" w:color="auto"/>
            </w:tcBorders>
            <w:shd w:val="clear" w:color="auto" w:fill="C6EFCE"/>
            <w:noWrap/>
            <w:vAlign w:val="center"/>
          </w:tcPr>
          <w:p w14:paraId="46C694B0" w14:textId="77777777" w:rsidR="00C45D59" w:rsidRDefault="009B0962">
            <w:pPr>
              <w:pStyle w:val="P68B1DB1-Normal55"/>
              <w:keepNext/>
              <w:spacing w:before="40" w:after="0" w:line="240" w:lineRule="auto"/>
              <w:jc w:val="both"/>
              <w:rPr>
                <w:rFonts w:eastAsia="Times New Roman" w:cs="Times New Roman"/>
                <w:noProof/>
                <w:szCs w:val="18"/>
              </w:rPr>
            </w:pPr>
            <w:r>
              <w:rPr>
                <w:noProof/>
              </w:rPr>
              <w:t>Etapă</w:t>
            </w:r>
          </w:p>
        </w:tc>
        <w:tc>
          <w:tcPr>
            <w:tcW w:w="2966" w:type="dxa"/>
            <w:tcBorders>
              <w:top w:val="nil"/>
              <w:left w:val="nil"/>
              <w:bottom w:val="single" w:sz="4" w:space="0" w:color="auto"/>
              <w:right w:val="single" w:sz="4" w:space="0" w:color="auto"/>
            </w:tcBorders>
            <w:shd w:val="clear" w:color="auto" w:fill="C6EFCE"/>
            <w:noWrap/>
            <w:vAlign w:val="center"/>
          </w:tcPr>
          <w:p w14:paraId="4B430CFD" w14:textId="77777777" w:rsidR="00C45D59" w:rsidRDefault="009B0962">
            <w:pPr>
              <w:pStyle w:val="P68B1DB1-Normal55"/>
              <w:keepNext/>
              <w:spacing w:before="40" w:after="0" w:line="240" w:lineRule="auto"/>
              <w:jc w:val="both"/>
              <w:rPr>
                <w:rFonts w:eastAsia="Times New Roman" w:cs="Times New Roman"/>
                <w:noProof/>
                <w:szCs w:val="18"/>
              </w:rPr>
            </w:pPr>
            <w:r>
              <w:rPr>
                <w:noProof/>
              </w:rPr>
              <w:t>Interconectarea insulelor – atribuirea contractelor</w:t>
            </w:r>
          </w:p>
        </w:tc>
      </w:tr>
      <w:tr w:rsidR="00C45D59" w14:paraId="7966E008" w14:textId="77777777">
        <w:trPr>
          <w:trHeight w:val="302"/>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0F18B0EE"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6</w:t>
            </w:r>
          </w:p>
        </w:tc>
        <w:tc>
          <w:tcPr>
            <w:tcW w:w="4962" w:type="dxa"/>
            <w:tcBorders>
              <w:top w:val="nil"/>
              <w:left w:val="nil"/>
              <w:bottom w:val="single" w:sz="4" w:space="0" w:color="auto"/>
              <w:right w:val="single" w:sz="4" w:space="0" w:color="auto"/>
            </w:tcBorders>
            <w:shd w:val="clear" w:color="auto" w:fill="C6EFCE"/>
            <w:noWrap/>
            <w:vAlign w:val="center"/>
          </w:tcPr>
          <w:p w14:paraId="414841A6"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1-1.1. Accelerarea – 16865_Restructurarea și consolidarea veniturilor din contul de cogenerare SRE</w:t>
            </w:r>
          </w:p>
        </w:tc>
        <w:tc>
          <w:tcPr>
            <w:tcW w:w="992" w:type="dxa"/>
            <w:tcBorders>
              <w:top w:val="nil"/>
              <w:left w:val="nil"/>
              <w:bottom w:val="single" w:sz="4" w:space="0" w:color="auto"/>
              <w:right w:val="single" w:sz="4" w:space="0" w:color="auto"/>
            </w:tcBorders>
            <w:shd w:val="clear" w:color="auto" w:fill="C6EFCE"/>
            <w:noWrap/>
            <w:vAlign w:val="center"/>
          </w:tcPr>
          <w:p w14:paraId="0C0B5713" w14:textId="77777777" w:rsidR="00C45D59" w:rsidRDefault="009B0962">
            <w:pPr>
              <w:pStyle w:val="P68B1DB1-Normal55"/>
              <w:keepNext/>
              <w:spacing w:before="40" w:after="0" w:line="240" w:lineRule="auto"/>
              <w:jc w:val="both"/>
              <w:rPr>
                <w:rFonts w:eastAsia="Times New Roman" w:cs="Times New Roman"/>
                <w:noProof/>
                <w:szCs w:val="18"/>
              </w:rPr>
            </w:pPr>
            <w:r>
              <w:rPr>
                <w:noProof/>
              </w:rPr>
              <w:t>Țintă</w:t>
            </w:r>
          </w:p>
        </w:tc>
        <w:tc>
          <w:tcPr>
            <w:tcW w:w="2966" w:type="dxa"/>
            <w:tcBorders>
              <w:top w:val="nil"/>
              <w:left w:val="nil"/>
              <w:bottom w:val="single" w:sz="4" w:space="0" w:color="auto"/>
              <w:right w:val="single" w:sz="4" w:space="0" w:color="auto"/>
            </w:tcBorders>
            <w:shd w:val="clear" w:color="auto" w:fill="C6EFCE"/>
            <w:noWrap/>
            <w:vAlign w:val="center"/>
          </w:tcPr>
          <w:p w14:paraId="2A18183F" w14:textId="77777777" w:rsidR="00C45D59" w:rsidRDefault="009B0962">
            <w:pPr>
              <w:pStyle w:val="P68B1DB1-Normal55"/>
              <w:keepNext/>
              <w:spacing w:before="40" w:after="0" w:line="240" w:lineRule="auto"/>
              <w:jc w:val="both"/>
              <w:rPr>
                <w:rFonts w:eastAsia="Times New Roman" w:cs="Times New Roman"/>
                <w:noProof/>
                <w:szCs w:val="18"/>
              </w:rPr>
            </w:pPr>
            <w:r>
              <w:rPr>
                <w:noProof/>
              </w:rPr>
              <w:t>Contul SRE – obiectivul de creștere a capacității 1</w:t>
            </w:r>
          </w:p>
        </w:tc>
      </w:tr>
      <w:tr w:rsidR="00C45D59" w14:paraId="7CC8AB7B" w14:textId="77777777">
        <w:trPr>
          <w:trHeight w:val="302"/>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7AAD871E"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11</w:t>
            </w:r>
          </w:p>
        </w:tc>
        <w:tc>
          <w:tcPr>
            <w:tcW w:w="4962" w:type="dxa"/>
            <w:tcBorders>
              <w:top w:val="nil"/>
              <w:left w:val="nil"/>
              <w:bottom w:val="single" w:sz="4" w:space="0" w:color="auto"/>
              <w:right w:val="single" w:sz="4" w:space="0" w:color="auto"/>
            </w:tcBorders>
            <w:shd w:val="clear" w:color="auto" w:fill="C6EFCE"/>
            <w:noWrap/>
            <w:vAlign w:val="center"/>
          </w:tcPr>
          <w:p w14:paraId="6E257F9C"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1-1.1. Alimentare cu energie electrică – 16926_Sprijin pentru instalarea de sisteme de stocare pentru a îmbunătăți pătrunderea SRE</w:t>
            </w:r>
          </w:p>
        </w:tc>
        <w:tc>
          <w:tcPr>
            <w:tcW w:w="992" w:type="dxa"/>
            <w:tcBorders>
              <w:top w:val="nil"/>
              <w:left w:val="nil"/>
              <w:bottom w:val="single" w:sz="4" w:space="0" w:color="auto"/>
              <w:right w:val="single" w:sz="4" w:space="0" w:color="auto"/>
            </w:tcBorders>
            <w:shd w:val="clear" w:color="auto" w:fill="C6EFCE"/>
            <w:noWrap/>
            <w:vAlign w:val="center"/>
          </w:tcPr>
          <w:p w14:paraId="2F9D6B4D" w14:textId="77777777" w:rsidR="00C45D59" w:rsidRDefault="009B0962">
            <w:pPr>
              <w:pStyle w:val="P68B1DB1-Normal55"/>
              <w:keepNext/>
              <w:spacing w:before="40" w:after="0" w:line="240" w:lineRule="auto"/>
              <w:jc w:val="both"/>
              <w:rPr>
                <w:rFonts w:eastAsia="Times New Roman" w:cs="Times New Roman"/>
                <w:noProof/>
                <w:szCs w:val="18"/>
              </w:rPr>
            </w:pPr>
            <w:r>
              <w:rPr>
                <w:noProof/>
              </w:rPr>
              <w:t>Etapă</w:t>
            </w:r>
          </w:p>
        </w:tc>
        <w:tc>
          <w:tcPr>
            <w:tcW w:w="2966" w:type="dxa"/>
            <w:tcBorders>
              <w:top w:val="nil"/>
              <w:left w:val="nil"/>
              <w:bottom w:val="single" w:sz="4" w:space="0" w:color="auto"/>
              <w:right w:val="single" w:sz="4" w:space="0" w:color="auto"/>
            </w:tcBorders>
            <w:shd w:val="clear" w:color="auto" w:fill="C6EFCE"/>
            <w:noWrap/>
            <w:vAlign w:val="center"/>
          </w:tcPr>
          <w:p w14:paraId="452A248A" w14:textId="77777777" w:rsidR="00C45D59" w:rsidRDefault="009B0962">
            <w:pPr>
              <w:pStyle w:val="P68B1DB1-Normal55"/>
              <w:keepNext/>
              <w:spacing w:before="40" w:after="0" w:line="240" w:lineRule="auto"/>
              <w:jc w:val="both"/>
              <w:rPr>
                <w:rFonts w:eastAsia="Times New Roman" w:cs="Times New Roman"/>
                <w:noProof/>
                <w:szCs w:val="18"/>
              </w:rPr>
            </w:pPr>
            <w:r>
              <w:rPr>
                <w:noProof/>
              </w:rPr>
              <w:t>Depozitare – contracte</w:t>
            </w:r>
          </w:p>
        </w:tc>
      </w:tr>
      <w:tr w:rsidR="00C45D59" w14:paraId="7FD9A05B" w14:textId="77777777">
        <w:trPr>
          <w:trHeight w:val="302"/>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3967765C"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34</w:t>
            </w:r>
          </w:p>
        </w:tc>
        <w:tc>
          <w:tcPr>
            <w:tcW w:w="4962" w:type="dxa"/>
            <w:tcBorders>
              <w:top w:val="nil"/>
              <w:left w:val="nil"/>
              <w:bottom w:val="single" w:sz="4" w:space="0" w:color="auto"/>
              <w:right w:val="single" w:sz="4" w:space="0" w:color="auto"/>
            </w:tcBorders>
            <w:shd w:val="clear" w:color="auto" w:fill="C6EFCE"/>
            <w:noWrap/>
            <w:vAlign w:val="center"/>
          </w:tcPr>
          <w:p w14:paraId="513477D2"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 xml:space="preserve">2-1.2. Renovare – 16876_Modernizarea energetică a clădirilor din sectorul public </w:t>
            </w:r>
          </w:p>
        </w:tc>
        <w:tc>
          <w:tcPr>
            <w:tcW w:w="992" w:type="dxa"/>
            <w:tcBorders>
              <w:top w:val="nil"/>
              <w:left w:val="nil"/>
              <w:bottom w:val="single" w:sz="4" w:space="0" w:color="auto"/>
              <w:right w:val="single" w:sz="4" w:space="0" w:color="auto"/>
            </w:tcBorders>
            <w:shd w:val="clear" w:color="auto" w:fill="C6EFCE"/>
            <w:noWrap/>
            <w:vAlign w:val="center"/>
          </w:tcPr>
          <w:p w14:paraId="64E5894E" w14:textId="77777777" w:rsidR="00C45D59" w:rsidRDefault="009B0962">
            <w:pPr>
              <w:pStyle w:val="P68B1DB1-Normal55"/>
              <w:keepNext/>
              <w:spacing w:before="40" w:after="0" w:line="240" w:lineRule="auto"/>
              <w:jc w:val="both"/>
              <w:rPr>
                <w:rFonts w:eastAsia="Times New Roman" w:cs="Times New Roman"/>
                <w:noProof/>
                <w:szCs w:val="18"/>
              </w:rPr>
            </w:pPr>
            <w:r>
              <w:rPr>
                <w:noProof/>
              </w:rPr>
              <w:t>Etapă</w:t>
            </w:r>
          </w:p>
        </w:tc>
        <w:tc>
          <w:tcPr>
            <w:tcW w:w="2966" w:type="dxa"/>
            <w:tcBorders>
              <w:top w:val="nil"/>
              <w:left w:val="nil"/>
              <w:bottom w:val="single" w:sz="4" w:space="0" w:color="auto"/>
              <w:right w:val="single" w:sz="4" w:space="0" w:color="auto"/>
            </w:tcBorders>
            <w:shd w:val="clear" w:color="auto" w:fill="C6EFCE"/>
            <w:noWrap/>
            <w:vAlign w:val="center"/>
          </w:tcPr>
          <w:p w14:paraId="54D16341" w14:textId="77777777" w:rsidR="00C45D59" w:rsidRDefault="009B0962">
            <w:pPr>
              <w:pStyle w:val="P68B1DB1-Normal55"/>
              <w:keepNext/>
              <w:spacing w:before="40" w:after="0" w:line="240" w:lineRule="auto"/>
              <w:jc w:val="both"/>
              <w:rPr>
                <w:rFonts w:eastAsia="Times New Roman" w:cs="Times New Roman"/>
                <w:noProof/>
                <w:szCs w:val="18"/>
              </w:rPr>
            </w:pPr>
            <w:r>
              <w:rPr>
                <w:noProof/>
              </w:rPr>
              <w:t>Eficiența energetică a clădirilor publice – cereri aprobate</w:t>
            </w:r>
          </w:p>
        </w:tc>
      </w:tr>
      <w:tr w:rsidR="00C45D59" w14:paraId="5FFECD3C" w14:textId="77777777">
        <w:trPr>
          <w:trHeight w:val="302"/>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5AE9CAE7"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61</w:t>
            </w:r>
          </w:p>
        </w:tc>
        <w:tc>
          <w:tcPr>
            <w:tcW w:w="4962" w:type="dxa"/>
            <w:tcBorders>
              <w:top w:val="nil"/>
              <w:left w:val="nil"/>
              <w:bottom w:val="single" w:sz="4" w:space="0" w:color="auto"/>
              <w:right w:val="single" w:sz="4" w:space="0" w:color="auto"/>
            </w:tcBorders>
            <w:shd w:val="clear" w:color="auto" w:fill="C6EFCE"/>
            <w:noWrap/>
            <w:vAlign w:val="center"/>
          </w:tcPr>
          <w:p w14:paraId="5619E5E5" w14:textId="77777777" w:rsidR="00C45D59" w:rsidRDefault="009B0962">
            <w:pPr>
              <w:keepNext/>
              <w:spacing w:before="40" w:after="0" w:line="240" w:lineRule="auto"/>
              <w:jc w:val="both"/>
              <w:rPr>
                <w:rFonts w:ascii="Times New Roman" w:eastAsia="Times New Roman" w:hAnsi="Times New Roman" w:cs="Times New Roman"/>
                <w:bCs/>
                <w:noProof/>
                <w:sz w:val="18"/>
                <w:szCs w:val="18"/>
              </w:rPr>
            </w:pPr>
            <w:r>
              <w:rPr>
                <w:rFonts w:ascii="Times New Roman" w:hAnsi="Times New Roman"/>
                <w:noProof/>
                <w:sz w:val="18"/>
              </w:rPr>
              <w:t>4-1.4. Utilizarea durabilă a resurselor, reziliența la schimbările climatice și protecția mediului – 16849_Planul național de reîmpădurire, măsuri de refacere și prevenire („antiNERO”), de combatere a eroziunii și de protecție împotriva inundațiilor</w:t>
            </w:r>
          </w:p>
        </w:tc>
        <w:tc>
          <w:tcPr>
            <w:tcW w:w="992" w:type="dxa"/>
            <w:tcBorders>
              <w:top w:val="nil"/>
              <w:left w:val="nil"/>
              <w:bottom w:val="single" w:sz="4" w:space="0" w:color="auto"/>
              <w:right w:val="single" w:sz="4" w:space="0" w:color="auto"/>
            </w:tcBorders>
            <w:shd w:val="clear" w:color="auto" w:fill="C6EFCE"/>
            <w:noWrap/>
            <w:vAlign w:val="center"/>
          </w:tcPr>
          <w:p w14:paraId="3A956433" w14:textId="77777777" w:rsidR="00C45D59" w:rsidRDefault="009B0962">
            <w:pPr>
              <w:pStyle w:val="P68B1DB1-Normal55"/>
              <w:keepNext/>
              <w:spacing w:before="40" w:after="0" w:line="240" w:lineRule="auto"/>
              <w:jc w:val="both"/>
              <w:rPr>
                <w:rFonts w:eastAsia="Times New Roman" w:cs="Times New Roman"/>
                <w:noProof/>
                <w:szCs w:val="18"/>
              </w:rPr>
            </w:pPr>
            <w:r>
              <w:rPr>
                <w:noProof/>
              </w:rPr>
              <w:t>Etapă</w:t>
            </w:r>
          </w:p>
        </w:tc>
        <w:tc>
          <w:tcPr>
            <w:tcW w:w="2966" w:type="dxa"/>
            <w:tcBorders>
              <w:top w:val="nil"/>
              <w:left w:val="nil"/>
              <w:bottom w:val="single" w:sz="4" w:space="0" w:color="auto"/>
              <w:right w:val="single" w:sz="4" w:space="0" w:color="auto"/>
            </w:tcBorders>
            <w:shd w:val="clear" w:color="auto" w:fill="C6EFCE"/>
            <w:noWrap/>
            <w:vAlign w:val="center"/>
          </w:tcPr>
          <w:p w14:paraId="1031C27C" w14:textId="77777777" w:rsidR="00C45D59" w:rsidRDefault="009B0962">
            <w:pPr>
              <w:pStyle w:val="P68B1DB1-Normal55"/>
              <w:keepNext/>
              <w:spacing w:before="40" w:after="0" w:line="240" w:lineRule="auto"/>
              <w:jc w:val="both"/>
              <w:rPr>
                <w:rFonts w:eastAsia="Times New Roman" w:cs="Times New Roman"/>
                <w:noProof/>
                <w:szCs w:val="18"/>
              </w:rPr>
            </w:pPr>
            <w:r>
              <w:rPr>
                <w:noProof/>
              </w:rPr>
              <w:t>Reîmpădurire, refacere și prevenire – contracte 1</w:t>
            </w:r>
          </w:p>
        </w:tc>
      </w:tr>
      <w:tr w:rsidR="00C45D59" w14:paraId="0143D2AF" w14:textId="77777777">
        <w:trPr>
          <w:trHeight w:val="302"/>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4D146DDC"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66</w:t>
            </w:r>
          </w:p>
        </w:tc>
        <w:tc>
          <w:tcPr>
            <w:tcW w:w="4962" w:type="dxa"/>
            <w:tcBorders>
              <w:top w:val="nil"/>
              <w:left w:val="nil"/>
              <w:bottom w:val="single" w:sz="4" w:space="0" w:color="auto"/>
              <w:right w:val="single" w:sz="4" w:space="0" w:color="auto"/>
            </w:tcBorders>
            <w:shd w:val="clear" w:color="auto" w:fill="C6EFCE"/>
            <w:noWrap/>
            <w:vAlign w:val="center"/>
          </w:tcPr>
          <w:p w14:paraId="23C75C74"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4-1.4. Utilizarea durabilă a resurselor, reziliența la schimbările climatice și protecția mediului – 16850_Infrastructuri de alimentare cu apă potabilă și de economisire a acesteia</w:t>
            </w:r>
          </w:p>
        </w:tc>
        <w:tc>
          <w:tcPr>
            <w:tcW w:w="992" w:type="dxa"/>
            <w:tcBorders>
              <w:top w:val="nil"/>
              <w:left w:val="nil"/>
              <w:bottom w:val="single" w:sz="4" w:space="0" w:color="auto"/>
              <w:right w:val="single" w:sz="4" w:space="0" w:color="auto"/>
            </w:tcBorders>
            <w:shd w:val="clear" w:color="auto" w:fill="C6EFCE"/>
            <w:noWrap/>
            <w:vAlign w:val="center"/>
          </w:tcPr>
          <w:p w14:paraId="32328537" w14:textId="77777777" w:rsidR="00C45D59" w:rsidRDefault="009B0962">
            <w:pPr>
              <w:pStyle w:val="P68B1DB1-Normal55"/>
              <w:keepNext/>
              <w:spacing w:before="40" w:after="0" w:line="240" w:lineRule="auto"/>
              <w:jc w:val="both"/>
              <w:rPr>
                <w:rFonts w:eastAsia="Times New Roman" w:cs="Times New Roman"/>
                <w:noProof/>
                <w:szCs w:val="18"/>
              </w:rPr>
            </w:pPr>
            <w:r>
              <w:rPr>
                <w:noProof/>
              </w:rPr>
              <w:t>Etapă</w:t>
            </w:r>
          </w:p>
        </w:tc>
        <w:tc>
          <w:tcPr>
            <w:tcW w:w="2966" w:type="dxa"/>
            <w:tcBorders>
              <w:top w:val="nil"/>
              <w:left w:val="nil"/>
              <w:bottom w:val="single" w:sz="4" w:space="0" w:color="auto"/>
              <w:right w:val="single" w:sz="4" w:space="0" w:color="auto"/>
            </w:tcBorders>
            <w:shd w:val="clear" w:color="auto" w:fill="C6EFCE"/>
            <w:noWrap/>
            <w:vAlign w:val="center"/>
          </w:tcPr>
          <w:p w14:paraId="572D55DD" w14:textId="77777777" w:rsidR="00C45D59" w:rsidRDefault="009B0962">
            <w:pPr>
              <w:pStyle w:val="P68B1DB1-Normal55"/>
              <w:keepNext/>
              <w:spacing w:before="40" w:after="0" w:line="240" w:lineRule="auto"/>
              <w:jc w:val="both"/>
              <w:rPr>
                <w:rFonts w:eastAsia="Times New Roman" w:cs="Times New Roman"/>
                <w:noProof/>
                <w:szCs w:val="18"/>
              </w:rPr>
            </w:pPr>
            <w:r>
              <w:rPr>
                <w:noProof/>
              </w:rPr>
              <w:t>Aprobarea cererilor pentru infrastructurile de apă</w:t>
            </w:r>
          </w:p>
        </w:tc>
      </w:tr>
      <w:tr w:rsidR="00C45D59" w14:paraId="5D3EEBD4" w14:textId="77777777">
        <w:trPr>
          <w:trHeight w:val="302"/>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21F63D6C"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87</w:t>
            </w:r>
          </w:p>
        </w:tc>
        <w:tc>
          <w:tcPr>
            <w:tcW w:w="4962" w:type="dxa"/>
            <w:tcBorders>
              <w:top w:val="nil"/>
              <w:left w:val="nil"/>
              <w:bottom w:val="single" w:sz="4" w:space="0" w:color="auto"/>
              <w:right w:val="single" w:sz="4" w:space="0" w:color="auto"/>
            </w:tcBorders>
            <w:shd w:val="clear" w:color="auto" w:fill="C6EFCE"/>
            <w:noWrap/>
            <w:vAlign w:val="center"/>
          </w:tcPr>
          <w:p w14:paraId="7E9F1466"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5-2.1. Connect – 16855_Sateliți de mici dimensiuni</w:t>
            </w:r>
          </w:p>
        </w:tc>
        <w:tc>
          <w:tcPr>
            <w:tcW w:w="992" w:type="dxa"/>
            <w:tcBorders>
              <w:top w:val="nil"/>
              <w:left w:val="nil"/>
              <w:bottom w:val="single" w:sz="4" w:space="0" w:color="auto"/>
              <w:right w:val="single" w:sz="4" w:space="0" w:color="auto"/>
            </w:tcBorders>
            <w:shd w:val="clear" w:color="auto" w:fill="C6EFCE"/>
            <w:noWrap/>
            <w:vAlign w:val="center"/>
          </w:tcPr>
          <w:p w14:paraId="37DE934A" w14:textId="77777777" w:rsidR="00C45D59" w:rsidRDefault="009B0962">
            <w:pPr>
              <w:pStyle w:val="P68B1DB1-Normal55"/>
              <w:keepNext/>
              <w:spacing w:before="40" w:after="0" w:line="240" w:lineRule="auto"/>
              <w:jc w:val="both"/>
              <w:rPr>
                <w:rFonts w:eastAsia="Times New Roman" w:cs="Times New Roman"/>
                <w:noProof/>
                <w:szCs w:val="18"/>
              </w:rPr>
            </w:pPr>
            <w:r>
              <w:rPr>
                <w:noProof/>
              </w:rPr>
              <w:t>Etapă</w:t>
            </w:r>
          </w:p>
        </w:tc>
        <w:tc>
          <w:tcPr>
            <w:tcW w:w="2966" w:type="dxa"/>
            <w:tcBorders>
              <w:top w:val="nil"/>
              <w:left w:val="nil"/>
              <w:bottom w:val="single" w:sz="4" w:space="0" w:color="auto"/>
              <w:right w:val="single" w:sz="4" w:space="0" w:color="auto"/>
            </w:tcBorders>
            <w:shd w:val="clear" w:color="auto" w:fill="C6EFCE"/>
            <w:noWrap/>
            <w:vAlign w:val="center"/>
          </w:tcPr>
          <w:p w14:paraId="70C55446" w14:textId="77777777" w:rsidR="00C45D59" w:rsidRDefault="009B0962">
            <w:pPr>
              <w:pStyle w:val="P68B1DB1-Normal55"/>
              <w:keepNext/>
              <w:spacing w:before="40" w:after="0" w:line="240" w:lineRule="auto"/>
              <w:jc w:val="both"/>
              <w:rPr>
                <w:rFonts w:eastAsia="Times New Roman" w:cs="Times New Roman"/>
                <w:noProof/>
                <w:szCs w:val="18"/>
              </w:rPr>
            </w:pPr>
            <w:r>
              <w:rPr>
                <w:noProof/>
              </w:rPr>
              <w:t>Atribuirea contractului (contractelor) pentru proiectul „Small Satellites”</w:t>
            </w:r>
          </w:p>
        </w:tc>
      </w:tr>
      <w:tr w:rsidR="00C45D59" w14:paraId="67C16234" w14:textId="77777777">
        <w:trPr>
          <w:trHeight w:val="302"/>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51E9FB28" w14:textId="77777777" w:rsidR="00C45D59" w:rsidRDefault="009B0962">
            <w:pPr>
              <w:pStyle w:val="P68B1DB1-Normal55"/>
              <w:keepNext/>
              <w:spacing w:before="40" w:after="0" w:line="240" w:lineRule="auto"/>
              <w:jc w:val="both"/>
              <w:rPr>
                <w:noProof/>
              </w:rPr>
            </w:pPr>
            <w:r>
              <w:rPr>
                <w:noProof/>
              </w:rPr>
              <w:t>135</w:t>
            </w:r>
          </w:p>
        </w:tc>
        <w:tc>
          <w:tcPr>
            <w:tcW w:w="4962" w:type="dxa"/>
            <w:tcBorders>
              <w:top w:val="nil"/>
              <w:left w:val="nil"/>
              <w:bottom w:val="single" w:sz="4" w:space="0" w:color="auto"/>
              <w:right w:val="single" w:sz="4" w:space="0" w:color="auto"/>
            </w:tcBorders>
            <w:shd w:val="clear" w:color="auto" w:fill="C6EFCE"/>
            <w:noWrap/>
            <w:vAlign w:val="center"/>
          </w:tcPr>
          <w:p w14:paraId="185510E4" w14:textId="77777777" w:rsidR="00C45D59" w:rsidRDefault="009B0962">
            <w:pPr>
              <w:pStyle w:val="P68B1DB1-Normal55"/>
              <w:keepNext/>
              <w:spacing w:before="40" w:after="0" w:line="240" w:lineRule="auto"/>
              <w:jc w:val="both"/>
              <w:rPr>
                <w:noProof/>
              </w:rPr>
            </w:pPr>
            <w:r>
              <w:rPr>
                <w:noProof/>
              </w:rPr>
              <w:t>8-3.1. Promovarea creării de locuri de muncă și a participării pe piața forței de muncă – 16942_Transformarea digitală a serviciului public de ocupare a forței de muncă (DYPA)</w:t>
            </w:r>
          </w:p>
        </w:tc>
        <w:tc>
          <w:tcPr>
            <w:tcW w:w="992" w:type="dxa"/>
            <w:tcBorders>
              <w:top w:val="nil"/>
              <w:left w:val="nil"/>
              <w:bottom w:val="single" w:sz="4" w:space="0" w:color="auto"/>
              <w:right w:val="single" w:sz="4" w:space="0" w:color="auto"/>
            </w:tcBorders>
            <w:shd w:val="clear" w:color="auto" w:fill="C6EFCE"/>
            <w:noWrap/>
            <w:vAlign w:val="center"/>
          </w:tcPr>
          <w:p w14:paraId="1275A8C3" w14:textId="77777777" w:rsidR="00C45D59" w:rsidRDefault="009B0962">
            <w:pPr>
              <w:pStyle w:val="P68B1DB1-Normal11"/>
              <w:keepNext/>
              <w:spacing w:before="40" w:after="0" w:line="240" w:lineRule="auto"/>
              <w:jc w:val="both"/>
              <w:rPr>
                <w:noProof/>
              </w:rPr>
            </w:pPr>
            <w:r>
              <w:rPr>
                <w:noProof/>
              </w:rPr>
              <w:t>Etapă</w:t>
            </w:r>
          </w:p>
        </w:tc>
        <w:tc>
          <w:tcPr>
            <w:tcW w:w="2966" w:type="dxa"/>
            <w:tcBorders>
              <w:top w:val="nil"/>
              <w:left w:val="nil"/>
              <w:bottom w:val="single" w:sz="4" w:space="0" w:color="auto"/>
              <w:right w:val="single" w:sz="4" w:space="0" w:color="auto"/>
            </w:tcBorders>
            <w:shd w:val="clear" w:color="auto" w:fill="C6EFCE"/>
            <w:noWrap/>
            <w:vAlign w:val="center"/>
          </w:tcPr>
          <w:p w14:paraId="46D80194" w14:textId="77777777" w:rsidR="00C45D59" w:rsidRDefault="009B0962">
            <w:pPr>
              <w:pStyle w:val="P68B1DB1-Normal16"/>
              <w:keepNext/>
              <w:spacing w:before="40" w:after="0" w:line="240" w:lineRule="auto"/>
              <w:jc w:val="both"/>
              <w:rPr>
                <w:noProof/>
              </w:rPr>
            </w:pPr>
            <w:r>
              <w:rPr>
                <w:noProof/>
              </w:rPr>
              <w:t>DYPA Digitalizarea, stocarea și arhivarea arhivelor</w:t>
            </w:r>
          </w:p>
        </w:tc>
      </w:tr>
      <w:tr w:rsidR="00C45D59" w14:paraId="22915BB6" w14:textId="77777777">
        <w:trPr>
          <w:trHeight w:val="302"/>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00E1641F"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143</w:t>
            </w:r>
          </w:p>
        </w:tc>
        <w:tc>
          <w:tcPr>
            <w:tcW w:w="4962" w:type="dxa"/>
            <w:tcBorders>
              <w:top w:val="nil"/>
              <w:left w:val="nil"/>
              <w:bottom w:val="single" w:sz="4" w:space="0" w:color="auto"/>
              <w:right w:val="single" w:sz="4" w:space="0" w:color="auto"/>
            </w:tcBorders>
            <w:shd w:val="clear" w:color="auto" w:fill="C6EFCE"/>
            <w:noWrap/>
            <w:vAlign w:val="center"/>
          </w:tcPr>
          <w:p w14:paraId="61CABD12"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9-3.2. Educație, educație și formare profesională și competențe – 16792_Calificarea, recalificarea și perfecționarea forței de muncă prin intermediul unui model de formare reformat (Educație și formare profesională &amp; Reforma formării)</w:t>
            </w:r>
          </w:p>
        </w:tc>
        <w:tc>
          <w:tcPr>
            <w:tcW w:w="992" w:type="dxa"/>
            <w:tcBorders>
              <w:top w:val="nil"/>
              <w:left w:val="nil"/>
              <w:bottom w:val="single" w:sz="4" w:space="0" w:color="auto"/>
              <w:right w:val="single" w:sz="4" w:space="0" w:color="auto"/>
            </w:tcBorders>
            <w:shd w:val="clear" w:color="auto" w:fill="C6EFCE"/>
            <w:noWrap/>
            <w:vAlign w:val="center"/>
          </w:tcPr>
          <w:p w14:paraId="39C44424" w14:textId="77777777" w:rsidR="00C45D59" w:rsidRDefault="009B0962">
            <w:pPr>
              <w:pStyle w:val="P68B1DB1-Normal55"/>
              <w:keepNext/>
              <w:spacing w:before="40" w:after="0" w:line="240" w:lineRule="auto"/>
              <w:jc w:val="both"/>
              <w:rPr>
                <w:rFonts w:eastAsia="Times New Roman" w:cs="Times New Roman"/>
                <w:noProof/>
                <w:szCs w:val="18"/>
              </w:rPr>
            </w:pPr>
            <w:r>
              <w:rPr>
                <w:noProof/>
              </w:rPr>
              <w:t>Etapă</w:t>
            </w:r>
          </w:p>
        </w:tc>
        <w:tc>
          <w:tcPr>
            <w:tcW w:w="2966" w:type="dxa"/>
            <w:tcBorders>
              <w:top w:val="nil"/>
              <w:left w:val="nil"/>
              <w:bottom w:val="single" w:sz="4" w:space="0" w:color="auto"/>
              <w:right w:val="single" w:sz="4" w:space="0" w:color="auto"/>
            </w:tcBorders>
            <w:shd w:val="clear" w:color="auto" w:fill="C6EFCE"/>
            <w:noWrap/>
            <w:vAlign w:val="center"/>
          </w:tcPr>
          <w:p w14:paraId="3976EDE6" w14:textId="77777777" w:rsidR="00C45D59" w:rsidRDefault="009B0962">
            <w:pPr>
              <w:pStyle w:val="P68B1DB1-Normal55"/>
              <w:keepNext/>
              <w:spacing w:before="40" w:after="0" w:line="240" w:lineRule="auto"/>
              <w:jc w:val="both"/>
              <w:rPr>
                <w:rFonts w:eastAsia="Times New Roman" w:cs="Times New Roman"/>
                <w:noProof/>
                <w:szCs w:val="18"/>
              </w:rPr>
            </w:pPr>
            <w:r>
              <w:rPr>
                <w:noProof/>
              </w:rPr>
              <w:t>Atribuirea contractelor pentru sistemul de control al calității EFP</w:t>
            </w:r>
          </w:p>
        </w:tc>
      </w:tr>
      <w:tr w:rsidR="00C45D59" w14:paraId="2F7866D9" w14:textId="77777777">
        <w:trPr>
          <w:trHeight w:val="302"/>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3D780FB6"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154</w:t>
            </w:r>
          </w:p>
        </w:tc>
        <w:tc>
          <w:tcPr>
            <w:tcW w:w="4962" w:type="dxa"/>
            <w:tcBorders>
              <w:top w:val="nil"/>
              <w:left w:val="nil"/>
              <w:bottom w:val="single" w:sz="4" w:space="0" w:color="auto"/>
              <w:right w:val="single" w:sz="4" w:space="0" w:color="auto"/>
            </w:tcBorders>
            <w:shd w:val="clear" w:color="auto" w:fill="C6EFCE"/>
            <w:noWrap/>
            <w:vAlign w:val="center"/>
          </w:tcPr>
          <w:p w14:paraId="41FF949B"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10-3.3. Îmbunătățirea rezilienței, a accesibilității și a sustenabilității asistenței medicale – 16816_Reducerea și raționalizarea cheltuielilor cu asistența medicală</w:t>
            </w:r>
          </w:p>
        </w:tc>
        <w:tc>
          <w:tcPr>
            <w:tcW w:w="992" w:type="dxa"/>
            <w:tcBorders>
              <w:top w:val="nil"/>
              <w:left w:val="nil"/>
              <w:bottom w:val="single" w:sz="4" w:space="0" w:color="auto"/>
              <w:right w:val="single" w:sz="4" w:space="0" w:color="auto"/>
            </w:tcBorders>
            <w:shd w:val="clear" w:color="auto" w:fill="C6EFCE"/>
            <w:noWrap/>
            <w:vAlign w:val="center"/>
          </w:tcPr>
          <w:p w14:paraId="04F4CFD6" w14:textId="77777777" w:rsidR="00C45D59" w:rsidRDefault="009B0962">
            <w:pPr>
              <w:pStyle w:val="P68B1DB1-Normal55"/>
              <w:keepNext/>
              <w:spacing w:before="40" w:after="0" w:line="240" w:lineRule="auto"/>
              <w:jc w:val="both"/>
              <w:rPr>
                <w:rFonts w:eastAsia="Times New Roman" w:cs="Times New Roman"/>
                <w:noProof/>
                <w:szCs w:val="18"/>
              </w:rPr>
            </w:pPr>
            <w:r>
              <w:rPr>
                <w:noProof/>
              </w:rPr>
              <w:t>Țintă</w:t>
            </w:r>
          </w:p>
        </w:tc>
        <w:tc>
          <w:tcPr>
            <w:tcW w:w="2966" w:type="dxa"/>
            <w:tcBorders>
              <w:top w:val="nil"/>
              <w:left w:val="nil"/>
              <w:bottom w:val="single" w:sz="4" w:space="0" w:color="auto"/>
              <w:right w:val="single" w:sz="4" w:space="0" w:color="auto"/>
            </w:tcBorders>
            <w:shd w:val="clear" w:color="auto" w:fill="C6EFCE"/>
            <w:noWrap/>
            <w:vAlign w:val="center"/>
          </w:tcPr>
          <w:p w14:paraId="3ED5E9D5" w14:textId="77777777" w:rsidR="00C45D59" w:rsidRDefault="009B0962">
            <w:pPr>
              <w:pStyle w:val="P68B1DB1-Normal55"/>
              <w:keepNext/>
              <w:spacing w:before="40" w:after="0" w:line="240" w:lineRule="auto"/>
              <w:jc w:val="both"/>
              <w:rPr>
                <w:rFonts w:eastAsia="Times New Roman" w:cs="Times New Roman"/>
                <w:noProof/>
                <w:szCs w:val="18"/>
              </w:rPr>
            </w:pPr>
            <w:r>
              <w:rPr>
                <w:noProof/>
              </w:rPr>
              <w:t>Reducerea recuperării 50 000 000 – etapa 1</w:t>
            </w:r>
          </w:p>
        </w:tc>
      </w:tr>
      <w:tr w:rsidR="00C45D59" w14:paraId="6DF08800" w14:textId="77777777">
        <w:trPr>
          <w:trHeight w:val="302"/>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390E5DD6"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203</w:t>
            </w:r>
          </w:p>
        </w:tc>
        <w:tc>
          <w:tcPr>
            <w:tcW w:w="4962" w:type="dxa"/>
            <w:tcBorders>
              <w:top w:val="nil"/>
              <w:left w:val="nil"/>
              <w:bottom w:val="single" w:sz="4" w:space="0" w:color="auto"/>
              <w:right w:val="single" w:sz="4" w:space="0" w:color="auto"/>
            </w:tcBorders>
            <w:shd w:val="clear" w:color="auto" w:fill="C6EFCE"/>
            <w:noWrap/>
            <w:vAlign w:val="center"/>
          </w:tcPr>
          <w:p w14:paraId="7732ADC2"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12-4.1. O fiscalitate mai favorabilă creșterii economice și o mai bună administrare fiscală și colectare a impozitelor – 16643_Codificarea și simplificarea legislației fiscale</w:t>
            </w:r>
          </w:p>
        </w:tc>
        <w:tc>
          <w:tcPr>
            <w:tcW w:w="992" w:type="dxa"/>
            <w:tcBorders>
              <w:top w:val="nil"/>
              <w:left w:val="nil"/>
              <w:bottom w:val="single" w:sz="4" w:space="0" w:color="auto"/>
              <w:right w:val="single" w:sz="4" w:space="0" w:color="auto"/>
            </w:tcBorders>
            <w:shd w:val="clear" w:color="auto" w:fill="C6EFCE"/>
            <w:noWrap/>
            <w:vAlign w:val="center"/>
          </w:tcPr>
          <w:p w14:paraId="6E40F591" w14:textId="77777777" w:rsidR="00C45D59" w:rsidRDefault="009B0962">
            <w:pPr>
              <w:pStyle w:val="P68B1DB1-Normal55"/>
              <w:keepNext/>
              <w:spacing w:before="40" w:after="0" w:line="240" w:lineRule="auto"/>
              <w:jc w:val="both"/>
              <w:rPr>
                <w:rFonts w:eastAsia="Times New Roman" w:cs="Times New Roman"/>
                <w:noProof/>
                <w:szCs w:val="18"/>
              </w:rPr>
            </w:pPr>
            <w:r>
              <w:rPr>
                <w:noProof/>
              </w:rPr>
              <w:t>Etapă</w:t>
            </w:r>
          </w:p>
        </w:tc>
        <w:tc>
          <w:tcPr>
            <w:tcW w:w="2966" w:type="dxa"/>
            <w:tcBorders>
              <w:top w:val="nil"/>
              <w:left w:val="nil"/>
              <w:bottom w:val="single" w:sz="4" w:space="0" w:color="auto"/>
              <w:right w:val="single" w:sz="4" w:space="0" w:color="auto"/>
            </w:tcBorders>
            <w:shd w:val="clear" w:color="auto" w:fill="C6EFCE"/>
            <w:noWrap/>
            <w:vAlign w:val="center"/>
          </w:tcPr>
          <w:p w14:paraId="4D19B2E3" w14:textId="77777777" w:rsidR="00C45D59" w:rsidRDefault="009B0962">
            <w:pPr>
              <w:pStyle w:val="P68B1DB1-Normal55"/>
              <w:keepNext/>
              <w:spacing w:before="40" w:after="0" w:line="240" w:lineRule="auto"/>
              <w:jc w:val="both"/>
              <w:rPr>
                <w:rFonts w:eastAsia="Times New Roman" w:cs="Times New Roman"/>
                <w:noProof/>
                <w:szCs w:val="18"/>
              </w:rPr>
            </w:pPr>
            <w:r>
              <w:rPr>
                <w:noProof/>
              </w:rPr>
              <w:t>Recuperarea impozitelor pe venit și a codurilor de procedură fiscală</w:t>
            </w:r>
          </w:p>
        </w:tc>
      </w:tr>
      <w:tr w:rsidR="00C45D59" w14:paraId="212701FF" w14:textId="77777777">
        <w:trPr>
          <w:trHeight w:val="302"/>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3F9E6A87"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229</w:t>
            </w:r>
          </w:p>
        </w:tc>
        <w:tc>
          <w:tcPr>
            <w:tcW w:w="4962" w:type="dxa"/>
            <w:tcBorders>
              <w:top w:val="nil"/>
              <w:left w:val="nil"/>
              <w:bottom w:val="single" w:sz="4" w:space="0" w:color="auto"/>
              <w:right w:val="single" w:sz="4" w:space="0" w:color="auto"/>
            </w:tcBorders>
            <w:shd w:val="clear" w:color="auto" w:fill="C6EFCE"/>
            <w:noWrap/>
            <w:vAlign w:val="center"/>
          </w:tcPr>
          <w:p w14:paraId="3B6980B4" w14:textId="4004472F" w:rsidR="00C45D59" w:rsidRDefault="009B0962">
            <w:pPr>
              <w:pStyle w:val="P68B1DB1-Normal55"/>
              <w:keepNext/>
              <w:spacing w:before="40" w:after="0" w:line="240" w:lineRule="auto"/>
              <w:jc w:val="both"/>
              <w:rPr>
                <w:rFonts w:eastAsia="Times New Roman" w:cs="Times New Roman"/>
                <w:bCs/>
                <w:noProof/>
                <w:szCs w:val="18"/>
              </w:rPr>
            </w:pPr>
            <w:r>
              <w:rPr>
                <w:noProof/>
              </w:rPr>
              <w:t>14-4.3. Îmbunătățirea eficienței sistemului de justiție – 16727 Transformarea digitală a justiției (e-justiție)</w:t>
            </w:r>
          </w:p>
        </w:tc>
        <w:tc>
          <w:tcPr>
            <w:tcW w:w="992" w:type="dxa"/>
            <w:tcBorders>
              <w:top w:val="nil"/>
              <w:left w:val="nil"/>
              <w:bottom w:val="single" w:sz="4" w:space="0" w:color="auto"/>
              <w:right w:val="single" w:sz="4" w:space="0" w:color="auto"/>
            </w:tcBorders>
            <w:shd w:val="clear" w:color="auto" w:fill="C6EFCE"/>
            <w:noWrap/>
            <w:vAlign w:val="center"/>
          </w:tcPr>
          <w:p w14:paraId="597B540D" w14:textId="77777777" w:rsidR="00C45D59" w:rsidRDefault="009B0962">
            <w:pPr>
              <w:pStyle w:val="P68B1DB1-Normal55"/>
              <w:keepNext/>
              <w:spacing w:before="40" w:after="0" w:line="240" w:lineRule="auto"/>
              <w:jc w:val="both"/>
              <w:rPr>
                <w:rFonts w:eastAsia="Times New Roman" w:cs="Times New Roman"/>
                <w:noProof/>
                <w:szCs w:val="18"/>
              </w:rPr>
            </w:pPr>
            <w:r>
              <w:rPr>
                <w:noProof/>
              </w:rPr>
              <w:t>Etapă</w:t>
            </w:r>
          </w:p>
        </w:tc>
        <w:tc>
          <w:tcPr>
            <w:tcW w:w="2966" w:type="dxa"/>
            <w:tcBorders>
              <w:top w:val="nil"/>
              <w:left w:val="nil"/>
              <w:bottom w:val="single" w:sz="4" w:space="0" w:color="auto"/>
              <w:right w:val="single" w:sz="4" w:space="0" w:color="auto"/>
            </w:tcBorders>
            <w:shd w:val="clear" w:color="auto" w:fill="C6EFCE"/>
            <w:noWrap/>
            <w:vAlign w:val="center"/>
          </w:tcPr>
          <w:p w14:paraId="6B546EAE" w14:textId="77777777" w:rsidR="00C45D59" w:rsidRDefault="009B0962">
            <w:pPr>
              <w:pStyle w:val="P68B1DB1-Normal55"/>
              <w:keepNext/>
              <w:spacing w:before="40" w:after="0" w:line="240" w:lineRule="auto"/>
              <w:jc w:val="both"/>
              <w:rPr>
                <w:rFonts w:eastAsia="Times New Roman" w:cs="Times New Roman"/>
                <w:noProof/>
                <w:szCs w:val="18"/>
              </w:rPr>
            </w:pPr>
            <w:r>
              <w:rPr>
                <w:noProof/>
              </w:rPr>
              <w:t>Modernizarea sistemelor de înregistrare &amp; a sistemelor informatice din domeniul justiției</w:t>
            </w:r>
          </w:p>
        </w:tc>
      </w:tr>
      <w:tr w:rsidR="00C45D59" w14:paraId="66767854" w14:textId="77777777">
        <w:trPr>
          <w:trHeight w:val="302"/>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708465FB"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230</w:t>
            </w:r>
          </w:p>
        </w:tc>
        <w:tc>
          <w:tcPr>
            <w:tcW w:w="4962" w:type="dxa"/>
            <w:tcBorders>
              <w:top w:val="nil"/>
              <w:left w:val="nil"/>
              <w:bottom w:val="single" w:sz="4" w:space="0" w:color="auto"/>
              <w:right w:val="single" w:sz="4" w:space="0" w:color="auto"/>
            </w:tcBorders>
            <w:shd w:val="clear" w:color="auto" w:fill="C6EFCE"/>
            <w:noWrap/>
            <w:vAlign w:val="center"/>
          </w:tcPr>
          <w:p w14:paraId="22493FED" w14:textId="7F2BAAE4" w:rsidR="00C45D59" w:rsidRDefault="009B0962">
            <w:pPr>
              <w:pStyle w:val="P68B1DB1-Normal55"/>
              <w:keepNext/>
              <w:spacing w:before="40" w:after="0" w:line="240" w:lineRule="auto"/>
              <w:jc w:val="both"/>
              <w:rPr>
                <w:rFonts w:eastAsia="Times New Roman" w:cs="Times New Roman"/>
                <w:bCs/>
                <w:noProof/>
                <w:szCs w:val="18"/>
              </w:rPr>
            </w:pPr>
            <w:r>
              <w:rPr>
                <w:noProof/>
              </w:rPr>
              <w:t>14-4.3. Îmbunătățirea eficienței sistemului de justiție – 16575 Accelerarea administrării justiției</w:t>
            </w:r>
          </w:p>
        </w:tc>
        <w:tc>
          <w:tcPr>
            <w:tcW w:w="992" w:type="dxa"/>
            <w:tcBorders>
              <w:top w:val="nil"/>
              <w:left w:val="nil"/>
              <w:bottom w:val="single" w:sz="4" w:space="0" w:color="auto"/>
              <w:right w:val="single" w:sz="4" w:space="0" w:color="auto"/>
            </w:tcBorders>
            <w:shd w:val="clear" w:color="auto" w:fill="C6EFCE"/>
            <w:noWrap/>
            <w:vAlign w:val="center"/>
          </w:tcPr>
          <w:p w14:paraId="6F2636BE" w14:textId="77777777" w:rsidR="00C45D59" w:rsidRDefault="009B0962">
            <w:pPr>
              <w:pStyle w:val="P68B1DB1-Normal55"/>
              <w:keepNext/>
              <w:spacing w:before="40" w:after="0" w:line="240" w:lineRule="auto"/>
              <w:jc w:val="both"/>
              <w:rPr>
                <w:rFonts w:eastAsia="Times New Roman" w:cs="Times New Roman"/>
                <w:noProof/>
                <w:szCs w:val="18"/>
              </w:rPr>
            </w:pPr>
            <w:r>
              <w:rPr>
                <w:noProof/>
              </w:rPr>
              <w:t>Etapă</w:t>
            </w:r>
          </w:p>
        </w:tc>
        <w:tc>
          <w:tcPr>
            <w:tcW w:w="2966" w:type="dxa"/>
            <w:tcBorders>
              <w:top w:val="nil"/>
              <w:left w:val="nil"/>
              <w:bottom w:val="single" w:sz="4" w:space="0" w:color="auto"/>
              <w:right w:val="single" w:sz="4" w:space="0" w:color="auto"/>
            </w:tcBorders>
            <w:shd w:val="clear" w:color="auto" w:fill="C6EFCE"/>
            <w:noWrap/>
            <w:vAlign w:val="center"/>
          </w:tcPr>
          <w:p w14:paraId="280F1A73" w14:textId="77777777" w:rsidR="00C45D59" w:rsidRDefault="009B0962">
            <w:pPr>
              <w:pStyle w:val="P68B1DB1-Normal55"/>
              <w:keepNext/>
              <w:spacing w:before="40" w:after="0" w:line="240" w:lineRule="auto"/>
              <w:jc w:val="both"/>
              <w:rPr>
                <w:rFonts w:eastAsia="Times New Roman" w:cs="Times New Roman"/>
                <w:noProof/>
                <w:szCs w:val="18"/>
              </w:rPr>
            </w:pPr>
            <w:r>
              <w:rPr>
                <w:noProof/>
              </w:rPr>
              <w:t>Intrare în vigoare – Instrumentul de performanță pentru funcționarii judiciari</w:t>
            </w:r>
          </w:p>
        </w:tc>
      </w:tr>
      <w:tr w:rsidR="00C45D59" w14:paraId="5E963970" w14:textId="77777777">
        <w:trPr>
          <w:trHeight w:val="302"/>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69F32473"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231</w:t>
            </w:r>
          </w:p>
        </w:tc>
        <w:tc>
          <w:tcPr>
            <w:tcW w:w="4962" w:type="dxa"/>
            <w:tcBorders>
              <w:top w:val="nil"/>
              <w:left w:val="nil"/>
              <w:bottom w:val="single" w:sz="4" w:space="0" w:color="auto"/>
              <w:right w:val="single" w:sz="4" w:space="0" w:color="auto"/>
            </w:tcBorders>
            <w:shd w:val="clear" w:color="auto" w:fill="C6EFCE"/>
            <w:noWrap/>
            <w:vAlign w:val="center"/>
          </w:tcPr>
          <w:p w14:paraId="2FCA4C3C" w14:textId="4947DE58" w:rsidR="00C45D59" w:rsidRDefault="009B0962">
            <w:pPr>
              <w:pStyle w:val="P68B1DB1-Normal55"/>
              <w:keepNext/>
              <w:spacing w:before="40" w:after="0" w:line="240" w:lineRule="auto"/>
              <w:jc w:val="both"/>
              <w:rPr>
                <w:rFonts w:eastAsia="Times New Roman" w:cs="Times New Roman"/>
                <w:bCs/>
                <w:noProof/>
                <w:szCs w:val="18"/>
              </w:rPr>
            </w:pPr>
            <w:r>
              <w:rPr>
                <w:noProof/>
              </w:rPr>
              <w:t>14-4.3. Îmbunătățirea eficienței sistemului de justiție – 16292_Noi clădiri judiciare</w:t>
            </w:r>
          </w:p>
        </w:tc>
        <w:tc>
          <w:tcPr>
            <w:tcW w:w="992" w:type="dxa"/>
            <w:tcBorders>
              <w:top w:val="nil"/>
              <w:left w:val="nil"/>
              <w:bottom w:val="single" w:sz="4" w:space="0" w:color="auto"/>
              <w:right w:val="single" w:sz="4" w:space="0" w:color="auto"/>
            </w:tcBorders>
            <w:shd w:val="clear" w:color="auto" w:fill="C6EFCE"/>
            <w:noWrap/>
            <w:vAlign w:val="center"/>
          </w:tcPr>
          <w:p w14:paraId="7EDB6851" w14:textId="77777777" w:rsidR="00C45D59" w:rsidRDefault="009B0962">
            <w:pPr>
              <w:pStyle w:val="P68B1DB1-Normal55"/>
              <w:keepNext/>
              <w:spacing w:before="40" w:after="0" w:line="240" w:lineRule="auto"/>
              <w:jc w:val="both"/>
              <w:rPr>
                <w:rFonts w:eastAsia="Times New Roman" w:cs="Times New Roman"/>
                <w:noProof/>
                <w:szCs w:val="18"/>
              </w:rPr>
            </w:pPr>
            <w:r>
              <w:rPr>
                <w:noProof/>
              </w:rPr>
              <w:t>Etapă</w:t>
            </w:r>
          </w:p>
        </w:tc>
        <w:tc>
          <w:tcPr>
            <w:tcW w:w="2966" w:type="dxa"/>
            <w:tcBorders>
              <w:top w:val="nil"/>
              <w:left w:val="nil"/>
              <w:bottom w:val="single" w:sz="4" w:space="0" w:color="auto"/>
              <w:right w:val="single" w:sz="4" w:space="0" w:color="auto"/>
            </w:tcBorders>
            <w:shd w:val="clear" w:color="auto" w:fill="C6EFCE"/>
            <w:noWrap/>
            <w:vAlign w:val="center"/>
          </w:tcPr>
          <w:p w14:paraId="423DF96A" w14:textId="77777777" w:rsidR="00C45D59" w:rsidRDefault="009B0962">
            <w:pPr>
              <w:pStyle w:val="P68B1DB1-Normal55"/>
              <w:keepNext/>
              <w:spacing w:before="40" w:after="0" w:line="240" w:lineRule="auto"/>
              <w:jc w:val="both"/>
              <w:rPr>
                <w:rFonts w:eastAsia="Times New Roman" w:cs="Times New Roman"/>
                <w:noProof/>
                <w:szCs w:val="18"/>
              </w:rPr>
            </w:pPr>
            <w:r>
              <w:rPr>
                <w:noProof/>
              </w:rPr>
              <w:t xml:space="preserve">Contracte </w:t>
            </w:r>
          </w:p>
        </w:tc>
      </w:tr>
      <w:tr w:rsidR="00C45D59" w14:paraId="69473A4B" w14:textId="77777777">
        <w:trPr>
          <w:trHeight w:val="302"/>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44266709"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257</w:t>
            </w:r>
          </w:p>
        </w:tc>
        <w:tc>
          <w:tcPr>
            <w:tcW w:w="4962" w:type="dxa"/>
            <w:tcBorders>
              <w:top w:val="single" w:sz="4" w:space="0" w:color="auto"/>
              <w:left w:val="nil"/>
              <w:bottom w:val="single" w:sz="4" w:space="0" w:color="auto"/>
              <w:right w:val="single" w:sz="4" w:space="0" w:color="auto"/>
            </w:tcBorders>
            <w:shd w:val="clear" w:color="auto" w:fill="C6EFCE"/>
            <w:noWrap/>
            <w:vAlign w:val="center"/>
          </w:tcPr>
          <w:p w14:paraId="104BACF3"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17-4.6. Modernizarea și îmbunătățirea rezilienței sectoarelor economice esențiale – 16631_Actualizarea siguranței rutiere</w:t>
            </w:r>
          </w:p>
        </w:tc>
        <w:tc>
          <w:tcPr>
            <w:tcW w:w="992" w:type="dxa"/>
            <w:tcBorders>
              <w:top w:val="nil"/>
              <w:left w:val="nil"/>
              <w:bottom w:val="single" w:sz="4" w:space="0" w:color="auto"/>
              <w:right w:val="single" w:sz="4" w:space="0" w:color="auto"/>
            </w:tcBorders>
            <w:shd w:val="clear" w:color="auto" w:fill="C6EFCE"/>
            <w:noWrap/>
            <w:vAlign w:val="center"/>
          </w:tcPr>
          <w:p w14:paraId="4236903D" w14:textId="77777777" w:rsidR="00C45D59" w:rsidRDefault="009B0962">
            <w:pPr>
              <w:pStyle w:val="P68B1DB1-Normal55"/>
              <w:keepNext/>
              <w:spacing w:before="40" w:after="0" w:line="240" w:lineRule="auto"/>
              <w:jc w:val="both"/>
              <w:rPr>
                <w:rFonts w:eastAsia="Times New Roman" w:cs="Times New Roman"/>
                <w:noProof/>
                <w:szCs w:val="18"/>
              </w:rPr>
            </w:pPr>
            <w:r>
              <w:rPr>
                <w:noProof/>
              </w:rPr>
              <w:t>Etapă</w:t>
            </w:r>
          </w:p>
        </w:tc>
        <w:tc>
          <w:tcPr>
            <w:tcW w:w="2966" w:type="dxa"/>
            <w:tcBorders>
              <w:top w:val="nil"/>
              <w:left w:val="nil"/>
              <w:bottom w:val="single" w:sz="4" w:space="0" w:color="auto"/>
              <w:right w:val="single" w:sz="4" w:space="0" w:color="auto"/>
            </w:tcBorders>
            <w:shd w:val="clear" w:color="auto" w:fill="C6EFCE"/>
            <w:noWrap/>
            <w:vAlign w:val="center"/>
          </w:tcPr>
          <w:p w14:paraId="42484336" w14:textId="77777777" w:rsidR="00C45D59" w:rsidRDefault="009B0962">
            <w:pPr>
              <w:pStyle w:val="P68B1DB1-Normal55"/>
              <w:keepNext/>
              <w:spacing w:before="40" w:after="0" w:line="240" w:lineRule="auto"/>
              <w:jc w:val="both"/>
              <w:rPr>
                <w:rFonts w:eastAsia="Times New Roman" w:cs="Times New Roman"/>
                <w:noProof/>
                <w:szCs w:val="18"/>
              </w:rPr>
            </w:pPr>
            <w:r>
              <w:rPr>
                <w:noProof/>
              </w:rPr>
              <w:t>Atribuirea contractelor pentru siguranța rutieră – primul lot de contracte</w:t>
            </w:r>
          </w:p>
        </w:tc>
      </w:tr>
      <w:tr w:rsidR="00C45D59" w14:paraId="2E969001" w14:textId="77777777">
        <w:trPr>
          <w:trHeight w:val="302"/>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6C943A9E"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260</w:t>
            </w:r>
          </w:p>
        </w:tc>
        <w:tc>
          <w:tcPr>
            <w:tcW w:w="4962" w:type="dxa"/>
            <w:tcBorders>
              <w:top w:val="nil"/>
              <w:left w:val="nil"/>
              <w:bottom w:val="single" w:sz="4" w:space="0" w:color="auto"/>
              <w:right w:val="single" w:sz="4" w:space="0" w:color="auto"/>
            </w:tcBorders>
            <w:shd w:val="clear" w:color="auto" w:fill="C6EFCE"/>
            <w:noWrap/>
            <w:vAlign w:val="center"/>
          </w:tcPr>
          <w:p w14:paraId="0D99A468"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17-4.6. Modernizarea și îmbunătățirea rezilienței sectoarelor economice esențiale – autostrada nordică 16630_Cretan (Β.Ο.Α.Κ.)</w:t>
            </w:r>
          </w:p>
        </w:tc>
        <w:tc>
          <w:tcPr>
            <w:tcW w:w="992" w:type="dxa"/>
            <w:tcBorders>
              <w:top w:val="nil"/>
              <w:left w:val="nil"/>
              <w:bottom w:val="single" w:sz="4" w:space="0" w:color="auto"/>
              <w:right w:val="single" w:sz="4" w:space="0" w:color="auto"/>
            </w:tcBorders>
            <w:shd w:val="clear" w:color="auto" w:fill="C6EFCE"/>
            <w:noWrap/>
            <w:vAlign w:val="center"/>
          </w:tcPr>
          <w:p w14:paraId="5A44D790" w14:textId="77777777" w:rsidR="00C45D59" w:rsidRDefault="009B0962">
            <w:pPr>
              <w:pStyle w:val="P68B1DB1-Normal55"/>
              <w:keepNext/>
              <w:spacing w:before="40" w:after="0" w:line="240" w:lineRule="auto"/>
              <w:jc w:val="both"/>
              <w:rPr>
                <w:rFonts w:eastAsia="Times New Roman" w:cs="Times New Roman"/>
                <w:noProof/>
                <w:szCs w:val="18"/>
              </w:rPr>
            </w:pPr>
            <w:r>
              <w:rPr>
                <w:noProof/>
              </w:rPr>
              <w:t>Etapă</w:t>
            </w:r>
          </w:p>
        </w:tc>
        <w:tc>
          <w:tcPr>
            <w:tcW w:w="2966" w:type="dxa"/>
            <w:tcBorders>
              <w:top w:val="nil"/>
              <w:left w:val="nil"/>
              <w:bottom w:val="single" w:sz="4" w:space="0" w:color="auto"/>
              <w:right w:val="single" w:sz="4" w:space="0" w:color="auto"/>
            </w:tcBorders>
            <w:shd w:val="clear" w:color="auto" w:fill="C6EFCE"/>
            <w:noWrap/>
            <w:vAlign w:val="center"/>
          </w:tcPr>
          <w:p w14:paraId="1E0E887B" w14:textId="77777777" w:rsidR="00C45D59" w:rsidRDefault="009B0962">
            <w:pPr>
              <w:pStyle w:val="P68B1DB1-Normal55"/>
              <w:keepNext/>
              <w:spacing w:before="40" w:after="0" w:line="240" w:lineRule="auto"/>
              <w:jc w:val="both"/>
              <w:rPr>
                <w:rFonts w:eastAsia="Times New Roman" w:cs="Times New Roman"/>
                <w:noProof/>
                <w:szCs w:val="18"/>
              </w:rPr>
            </w:pPr>
            <w:r>
              <w:rPr>
                <w:noProof/>
              </w:rPr>
              <w:t>Notificarea atribuirii contractelor pentru trei subproiecte ale BOAK</w:t>
            </w:r>
          </w:p>
        </w:tc>
      </w:tr>
      <w:tr w:rsidR="00C45D59" w14:paraId="6C365BA9" w14:textId="77777777">
        <w:trPr>
          <w:trHeight w:val="302"/>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611F4E7A"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267</w:t>
            </w:r>
          </w:p>
        </w:tc>
        <w:tc>
          <w:tcPr>
            <w:tcW w:w="4962" w:type="dxa"/>
            <w:tcBorders>
              <w:top w:val="nil"/>
              <w:left w:val="nil"/>
              <w:bottom w:val="single" w:sz="4" w:space="0" w:color="auto"/>
              <w:right w:val="single" w:sz="4" w:space="0" w:color="auto"/>
            </w:tcBorders>
            <w:shd w:val="clear" w:color="auto" w:fill="C6EFCE"/>
            <w:noWrap/>
            <w:vAlign w:val="center"/>
          </w:tcPr>
          <w:p w14:paraId="09128F8A"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17-4.6. Modernizarea și îmbunătățirea rezilienței sectoarelor economice esențiale – 16833_Punerea în aplicare a lucrărilor AESA de rectificare a conformității</w:t>
            </w:r>
          </w:p>
        </w:tc>
        <w:tc>
          <w:tcPr>
            <w:tcW w:w="992" w:type="dxa"/>
            <w:tcBorders>
              <w:top w:val="nil"/>
              <w:left w:val="nil"/>
              <w:bottom w:val="single" w:sz="4" w:space="0" w:color="auto"/>
              <w:right w:val="single" w:sz="4" w:space="0" w:color="auto"/>
            </w:tcBorders>
            <w:shd w:val="clear" w:color="auto" w:fill="C6EFCE"/>
            <w:noWrap/>
            <w:vAlign w:val="center"/>
          </w:tcPr>
          <w:p w14:paraId="28196638" w14:textId="77777777" w:rsidR="00C45D59" w:rsidRDefault="009B0962">
            <w:pPr>
              <w:pStyle w:val="P68B1DB1-Normal55"/>
              <w:keepNext/>
              <w:spacing w:before="40" w:after="0" w:line="240" w:lineRule="auto"/>
              <w:jc w:val="both"/>
              <w:rPr>
                <w:rFonts w:eastAsia="Times New Roman" w:cs="Times New Roman"/>
                <w:noProof/>
                <w:szCs w:val="18"/>
              </w:rPr>
            </w:pPr>
            <w:r>
              <w:rPr>
                <w:noProof/>
              </w:rPr>
              <w:t>Etapă</w:t>
            </w:r>
          </w:p>
        </w:tc>
        <w:tc>
          <w:tcPr>
            <w:tcW w:w="2966" w:type="dxa"/>
            <w:tcBorders>
              <w:top w:val="nil"/>
              <w:left w:val="nil"/>
              <w:bottom w:val="single" w:sz="4" w:space="0" w:color="auto"/>
              <w:right w:val="single" w:sz="4" w:space="0" w:color="auto"/>
            </w:tcBorders>
            <w:shd w:val="clear" w:color="auto" w:fill="C6EFCE"/>
            <w:noWrap/>
            <w:vAlign w:val="center"/>
          </w:tcPr>
          <w:p w14:paraId="717337F3" w14:textId="77777777" w:rsidR="00C45D59" w:rsidRDefault="009B0962">
            <w:pPr>
              <w:pStyle w:val="P68B1DB1-Normal55"/>
              <w:keepNext/>
              <w:spacing w:before="40" w:after="0" w:line="240" w:lineRule="auto"/>
              <w:jc w:val="both"/>
              <w:rPr>
                <w:rFonts w:eastAsia="Times New Roman" w:cs="Times New Roman"/>
                <w:noProof/>
                <w:szCs w:val="18"/>
              </w:rPr>
            </w:pPr>
            <w:r>
              <w:rPr>
                <w:noProof/>
              </w:rPr>
              <w:t>Notificarea atribuirii lucrărilor Agenției Uniunii Europene pentru Siguranța Aviației (AESA) în aeroporturile regionale</w:t>
            </w:r>
          </w:p>
        </w:tc>
      </w:tr>
      <w:tr w:rsidR="00C45D59" w14:paraId="1816B93A" w14:textId="77777777">
        <w:trPr>
          <w:trHeight w:val="302"/>
          <w:jc w:val="center"/>
        </w:trPr>
        <w:tc>
          <w:tcPr>
            <w:tcW w:w="675"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7C67624B" w14:textId="77777777" w:rsidR="00C45D59" w:rsidRDefault="00C45D59">
            <w:pPr>
              <w:keepNext/>
              <w:spacing w:before="40" w:after="0" w:line="259" w:lineRule="auto"/>
              <w:jc w:val="both"/>
              <w:rPr>
                <w:rFonts w:ascii="Times New Roman" w:eastAsia="Times New Roman" w:hAnsi="Times New Roman" w:cs="Times New Roman"/>
                <w:bCs/>
                <w:noProof/>
                <w:sz w:val="18"/>
                <w:szCs w:val="18"/>
              </w:rPr>
            </w:pPr>
          </w:p>
        </w:tc>
        <w:tc>
          <w:tcPr>
            <w:tcW w:w="4962" w:type="dxa"/>
            <w:tcBorders>
              <w:top w:val="single" w:sz="4" w:space="0" w:color="auto"/>
              <w:left w:val="nil"/>
              <w:bottom w:val="single" w:sz="4" w:space="0" w:color="auto"/>
              <w:right w:val="single" w:sz="4" w:space="0" w:color="auto"/>
            </w:tcBorders>
            <w:shd w:val="clear" w:color="auto" w:fill="C6EFCE"/>
            <w:noWrap/>
            <w:vAlign w:val="bottom"/>
          </w:tcPr>
          <w:p w14:paraId="2532D9D9" w14:textId="77777777" w:rsidR="00C45D59" w:rsidRDefault="00C45D59">
            <w:pPr>
              <w:keepNext/>
              <w:spacing w:before="40" w:after="0" w:line="259" w:lineRule="auto"/>
              <w:jc w:val="both"/>
              <w:rPr>
                <w:rFonts w:ascii="Times New Roman" w:eastAsia="Times New Roman" w:hAnsi="Times New Roman" w:cs="Times New Roman"/>
                <w:bCs/>
                <w:noProof/>
                <w:sz w:val="18"/>
                <w:szCs w:val="18"/>
              </w:rPr>
            </w:pPr>
          </w:p>
        </w:tc>
        <w:tc>
          <w:tcPr>
            <w:tcW w:w="992" w:type="dxa"/>
            <w:tcBorders>
              <w:top w:val="single" w:sz="4" w:space="0" w:color="auto"/>
              <w:left w:val="nil"/>
              <w:bottom w:val="single" w:sz="4" w:space="0" w:color="auto"/>
              <w:right w:val="single" w:sz="4" w:space="0" w:color="auto"/>
            </w:tcBorders>
            <w:shd w:val="clear" w:color="auto" w:fill="C6EFCE"/>
            <w:noWrap/>
            <w:vAlign w:val="bottom"/>
          </w:tcPr>
          <w:p w14:paraId="2ADC2463" w14:textId="77777777" w:rsidR="00C45D59" w:rsidRDefault="009B0962">
            <w:pPr>
              <w:pStyle w:val="P68B1DB1-Normal55"/>
              <w:keepNext/>
              <w:spacing w:before="40" w:after="0" w:line="259" w:lineRule="auto"/>
              <w:jc w:val="both"/>
              <w:rPr>
                <w:rFonts w:eastAsia="Times New Roman" w:cs="Times New Roman"/>
                <w:noProof/>
                <w:szCs w:val="18"/>
              </w:rPr>
            </w:pPr>
            <w:r>
              <w:rPr>
                <w:noProof/>
              </w:rPr>
              <w:t>Cuantumul tranșei</w:t>
            </w:r>
          </w:p>
        </w:tc>
        <w:tc>
          <w:tcPr>
            <w:tcW w:w="2966" w:type="dxa"/>
            <w:tcBorders>
              <w:top w:val="single" w:sz="4" w:space="0" w:color="auto"/>
              <w:left w:val="nil"/>
              <w:bottom w:val="single" w:sz="4" w:space="0" w:color="auto"/>
              <w:right w:val="single" w:sz="4" w:space="0" w:color="auto"/>
            </w:tcBorders>
            <w:shd w:val="clear" w:color="auto" w:fill="C6EFCE"/>
            <w:noWrap/>
            <w:vAlign w:val="bottom"/>
          </w:tcPr>
          <w:p w14:paraId="5A6CB98A" w14:textId="7613DF6E" w:rsidR="00C45D59" w:rsidRDefault="009B0962">
            <w:pPr>
              <w:pStyle w:val="P68B1DB1-Normal55"/>
              <w:keepNext/>
              <w:spacing w:before="40" w:after="0" w:line="259" w:lineRule="auto"/>
              <w:jc w:val="both"/>
              <w:rPr>
                <w:rFonts w:eastAsia="Times New Roman" w:cs="Times New Roman"/>
                <w:noProof/>
                <w:szCs w:val="18"/>
              </w:rPr>
            </w:pPr>
            <w:r>
              <w:rPr>
                <w:noProof/>
              </w:rPr>
              <w:t>1 155 362 463 MIL.</w:t>
            </w:r>
          </w:p>
        </w:tc>
      </w:tr>
    </w:tbl>
    <w:p w14:paraId="3ACCB499" w14:textId="77777777" w:rsidR="00C45D59" w:rsidRDefault="00C45D59">
      <w:pPr>
        <w:keepNext/>
        <w:spacing w:before="40" w:after="0" w:line="259" w:lineRule="auto"/>
        <w:jc w:val="both"/>
        <w:rPr>
          <w:rFonts w:ascii="Times New Roman" w:eastAsia="Times New Roman" w:hAnsi="Times New Roman" w:cs="Times New Roman"/>
          <w:bCs/>
          <w:noProof/>
          <w:sz w:val="24"/>
          <w:szCs w:val="26"/>
        </w:rPr>
      </w:pPr>
    </w:p>
    <w:p w14:paraId="5A3912D8" w14:textId="77777777" w:rsidR="00C45D59" w:rsidRDefault="009B0962">
      <w:pPr>
        <w:pStyle w:val="P68B1DB1-Normal5"/>
        <w:keepNext/>
        <w:numPr>
          <w:ilvl w:val="1"/>
          <w:numId w:val="93"/>
        </w:numPr>
        <w:spacing w:before="40" w:after="160" w:line="259" w:lineRule="auto"/>
        <w:ind w:left="0"/>
        <w:contextualSpacing/>
        <w:jc w:val="both"/>
        <w:rPr>
          <w:rFonts w:eastAsia="Times New Roman" w:cs="Times New Roman"/>
          <w:noProof/>
        </w:rPr>
      </w:pPr>
      <w:bookmarkStart w:id="8" w:name="_Hlk234259007"/>
      <w:r>
        <w:rPr>
          <w:noProof/>
        </w:rPr>
        <w:t xml:space="preserve">A cincea cerere de plată </w:t>
      </w:r>
      <w:bookmarkEnd w:id="8"/>
      <w:r>
        <w:rPr>
          <w:noProof/>
        </w:rPr>
        <w:t>(sprijin nerambursabil):</w:t>
      </w:r>
    </w:p>
    <w:p w14:paraId="5A94CA53" w14:textId="77777777" w:rsidR="00C45D59" w:rsidRDefault="00C45D59">
      <w:pPr>
        <w:keepNext/>
        <w:spacing w:before="40" w:after="160" w:line="259" w:lineRule="auto"/>
        <w:contextualSpacing/>
        <w:jc w:val="both"/>
        <w:rPr>
          <w:rFonts w:ascii="Times New Roman" w:eastAsia="Times New Roman" w:hAnsi="Times New Roman" w:cs="Times New Roman"/>
          <w:noProof/>
          <w:sz w:val="24"/>
        </w:rPr>
      </w:pPr>
    </w:p>
    <w:tbl>
      <w:tblPr>
        <w:tblW w:w="9595" w:type="dxa"/>
        <w:jc w:val="center"/>
        <w:tblLayout w:type="fixed"/>
        <w:tblLook w:val="04A0" w:firstRow="1" w:lastRow="0" w:firstColumn="1" w:lastColumn="0" w:noHBand="0" w:noVBand="1"/>
      </w:tblPr>
      <w:tblGrid>
        <w:gridCol w:w="675"/>
        <w:gridCol w:w="5440"/>
        <w:gridCol w:w="1680"/>
        <w:gridCol w:w="1800"/>
      </w:tblGrid>
      <w:tr w:rsidR="00C45D59" w14:paraId="5B35D321" w14:textId="77777777">
        <w:trPr>
          <w:trHeight w:val="990"/>
          <w:tblHeader/>
          <w:jc w:val="center"/>
        </w:trPr>
        <w:tc>
          <w:tcPr>
            <w:tcW w:w="675"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1922B489" w14:textId="66CE48B7" w:rsidR="00C45D59" w:rsidRDefault="009B0962">
            <w:pPr>
              <w:pStyle w:val="P68B1DB1-Normal15"/>
              <w:keepNext/>
              <w:spacing w:before="40" w:after="0" w:line="259" w:lineRule="auto"/>
              <w:jc w:val="center"/>
              <w:rPr>
                <w:rFonts w:eastAsia="Times New Roman"/>
                <w:bCs/>
                <w:noProof/>
              </w:rPr>
            </w:pPr>
            <w:r>
              <w:rPr>
                <w:noProof/>
              </w:rPr>
              <w:t>Nr</w:t>
            </w:r>
            <w:r w:rsidR="00D15349">
              <w:rPr>
                <w:noProof/>
              </w:rPr>
              <w:t>.</w:t>
            </w:r>
            <w:r>
              <w:rPr>
                <w:noProof/>
              </w:rPr>
              <w:t xml:space="preserve"> </w:t>
            </w:r>
            <w:r>
              <w:rPr>
                <w:noProof/>
              </w:rPr>
              <w:br/>
            </w:r>
            <w:r w:rsidR="00D15349">
              <w:rPr>
                <w:noProof/>
              </w:rPr>
              <w:t>crt</w:t>
            </w:r>
            <w:r>
              <w:rPr>
                <w:noProof/>
              </w:rPr>
              <w:t>.</w:t>
            </w:r>
          </w:p>
        </w:tc>
        <w:tc>
          <w:tcPr>
            <w:tcW w:w="5440"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6374B233" w14:textId="77777777" w:rsidR="00C45D59" w:rsidRDefault="009B0962">
            <w:pPr>
              <w:pStyle w:val="P68B1DB1-Normal10"/>
              <w:keepNext/>
              <w:spacing w:before="40" w:after="0" w:line="259" w:lineRule="auto"/>
              <w:jc w:val="center"/>
              <w:rPr>
                <w:rFonts w:eastAsia="Times New Roman" w:cs="Times New Roman"/>
                <w:bCs/>
                <w:noProof/>
                <w:szCs w:val="18"/>
              </w:rPr>
            </w:pPr>
            <w:r>
              <w:rPr>
                <w:noProof/>
              </w:rPr>
              <w:t>Măsură conexă (reformă sau investiții)</w:t>
            </w:r>
          </w:p>
        </w:tc>
        <w:tc>
          <w:tcPr>
            <w:tcW w:w="1680"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0EE544D8" w14:textId="77777777" w:rsidR="00C45D59" w:rsidRDefault="009B0962">
            <w:pPr>
              <w:pStyle w:val="P68B1DB1-Normal10"/>
              <w:keepNext/>
              <w:spacing w:before="40" w:after="0" w:line="259" w:lineRule="auto"/>
              <w:jc w:val="center"/>
              <w:rPr>
                <w:rFonts w:eastAsia="Times New Roman" w:cs="Times New Roman"/>
                <w:bCs/>
                <w:noProof/>
                <w:szCs w:val="18"/>
              </w:rPr>
            </w:pPr>
            <w:r>
              <w:rPr>
                <w:noProof/>
              </w:rPr>
              <w:t>Etapă/Obiectiv</w:t>
            </w:r>
          </w:p>
        </w:tc>
        <w:tc>
          <w:tcPr>
            <w:tcW w:w="1800"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0C8EBEAE" w14:textId="2F11C7E4" w:rsidR="00C45D59" w:rsidRDefault="00D15349">
            <w:pPr>
              <w:pStyle w:val="P68B1DB1-Normal10"/>
              <w:keepNext/>
              <w:spacing w:before="40" w:after="0" w:line="259" w:lineRule="auto"/>
              <w:jc w:val="center"/>
              <w:rPr>
                <w:rFonts w:eastAsia="Times New Roman" w:cs="Times New Roman"/>
                <w:bCs/>
                <w:noProof/>
                <w:szCs w:val="18"/>
              </w:rPr>
            </w:pPr>
            <w:r>
              <w:rPr>
                <w:noProof/>
              </w:rPr>
              <w:t>Denumire</w:t>
            </w:r>
          </w:p>
        </w:tc>
      </w:tr>
      <w:tr w:rsidR="00C45D59" w14:paraId="72762DE5" w14:textId="77777777">
        <w:trPr>
          <w:trHeight w:val="302"/>
          <w:tblHeader/>
          <w:jc w:val="center"/>
        </w:trPr>
        <w:tc>
          <w:tcPr>
            <w:tcW w:w="67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AF1827D" w14:textId="77777777" w:rsidR="00C45D59" w:rsidRDefault="009B0962">
            <w:pPr>
              <w:pStyle w:val="P68B1DB1-Normal55"/>
              <w:keepNext/>
              <w:spacing w:before="40" w:after="0" w:line="240" w:lineRule="auto"/>
              <w:jc w:val="both"/>
              <w:rPr>
                <w:rFonts w:eastAsia="Times New Roman" w:cs="Times New Roman"/>
                <w:noProof/>
                <w:szCs w:val="18"/>
              </w:rPr>
            </w:pPr>
            <w:r>
              <w:rPr>
                <w:noProof/>
              </w:rPr>
              <w:t>12</w:t>
            </w:r>
          </w:p>
        </w:tc>
        <w:tc>
          <w:tcPr>
            <w:tcW w:w="5440" w:type="dxa"/>
            <w:tcBorders>
              <w:top w:val="single" w:sz="4" w:space="0" w:color="auto"/>
              <w:left w:val="nil"/>
              <w:bottom w:val="single" w:sz="4" w:space="0" w:color="auto"/>
              <w:right w:val="single" w:sz="4" w:space="0" w:color="auto"/>
            </w:tcBorders>
            <w:shd w:val="clear" w:color="auto" w:fill="C6EFCE"/>
            <w:noWrap/>
            <w:vAlign w:val="center"/>
          </w:tcPr>
          <w:p w14:paraId="5E27C5A8"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1-1.1. Accelerarea – 16901_Modernizarea rețelei HEDNO cu scopul de a spori reziliența și de a proteja mediul</w:t>
            </w:r>
          </w:p>
        </w:tc>
        <w:tc>
          <w:tcPr>
            <w:tcW w:w="1680" w:type="dxa"/>
            <w:tcBorders>
              <w:top w:val="single" w:sz="4" w:space="0" w:color="auto"/>
              <w:left w:val="nil"/>
              <w:bottom w:val="single" w:sz="4" w:space="0" w:color="auto"/>
              <w:right w:val="single" w:sz="4" w:space="0" w:color="auto"/>
            </w:tcBorders>
            <w:shd w:val="clear" w:color="auto" w:fill="C6EFCE"/>
            <w:noWrap/>
            <w:vAlign w:val="center"/>
          </w:tcPr>
          <w:p w14:paraId="36D6AC7A"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Etapă</w:t>
            </w:r>
          </w:p>
        </w:tc>
        <w:tc>
          <w:tcPr>
            <w:tcW w:w="1800" w:type="dxa"/>
            <w:tcBorders>
              <w:top w:val="single" w:sz="4" w:space="0" w:color="auto"/>
              <w:left w:val="nil"/>
              <w:bottom w:val="single" w:sz="4" w:space="0" w:color="auto"/>
              <w:right w:val="single" w:sz="4" w:space="0" w:color="auto"/>
            </w:tcBorders>
            <w:shd w:val="clear" w:color="auto" w:fill="C6EFCE"/>
            <w:noWrap/>
            <w:vAlign w:val="center"/>
          </w:tcPr>
          <w:p w14:paraId="64A3941E"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HEDNO – contracte 1</w:t>
            </w:r>
          </w:p>
        </w:tc>
      </w:tr>
      <w:tr w:rsidR="00C45D59" w14:paraId="5E0B85C1" w14:textId="77777777">
        <w:trPr>
          <w:trHeight w:val="302"/>
          <w:tblHeader/>
          <w:jc w:val="center"/>
        </w:trPr>
        <w:tc>
          <w:tcPr>
            <w:tcW w:w="67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ACB92B8" w14:textId="77777777" w:rsidR="00C45D59" w:rsidRDefault="009B0962">
            <w:pPr>
              <w:pStyle w:val="P68B1DB1-Normal55"/>
              <w:keepNext/>
              <w:spacing w:before="40" w:after="0" w:line="240" w:lineRule="auto"/>
              <w:jc w:val="both"/>
              <w:rPr>
                <w:rFonts w:eastAsia="Times New Roman" w:cs="Times New Roman"/>
                <w:noProof/>
                <w:szCs w:val="18"/>
              </w:rPr>
            </w:pPr>
            <w:r>
              <w:rPr>
                <w:noProof/>
              </w:rPr>
              <w:t>13</w:t>
            </w:r>
          </w:p>
        </w:tc>
        <w:tc>
          <w:tcPr>
            <w:tcW w:w="5440" w:type="dxa"/>
            <w:tcBorders>
              <w:top w:val="single" w:sz="4" w:space="0" w:color="auto"/>
              <w:left w:val="nil"/>
              <w:bottom w:val="single" w:sz="4" w:space="0" w:color="auto"/>
              <w:right w:val="single" w:sz="4" w:space="0" w:color="auto"/>
            </w:tcBorders>
            <w:shd w:val="clear" w:color="auto" w:fill="C6EFCE"/>
            <w:noWrap/>
            <w:vAlign w:val="center"/>
          </w:tcPr>
          <w:p w14:paraId="2EC85F4E" w14:textId="7E3563E6" w:rsidR="00C45D59" w:rsidRDefault="009B0962">
            <w:pPr>
              <w:keepNext/>
              <w:spacing w:before="40" w:after="0" w:line="240" w:lineRule="auto"/>
              <w:jc w:val="both"/>
              <w:rPr>
                <w:rFonts w:ascii="Times New Roman" w:eastAsia="Times New Roman" w:hAnsi="Times New Roman" w:cs="Times New Roman"/>
                <w:bCs/>
                <w:noProof/>
                <w:sz w:val="18"/>
                <w:szCs w:val="18"/>
              </w:rPr>
            </w:pPr>
            <w:r>
              <w:rPr>
                <w:rFonts w:ascii="Times New Roman" w:hAnsi="Times New Roman"/>
                <w:noProof/>
                <w:sz w:val="18"/>
              </w:rPr>
              <w:t>1-1.1. Modernizarea rețelei HEDNO – 16900_</w:t>
            </w:r>
          </w:p>
        </w:tc>
        <w:tc>
          <w:tcPr>
            <w:tcW w:w="1680" w:type="dxa"/>
            <w:tcBorders>
              <w:top w:val="single" w:sz="4" w:space="0" w:color="auto"/>
              <w:left w:val="nil"/>
              <w:bottom w:val="single" w:sz="4" w:space="0" w:color="auto"/>
              <w:right w:val="single" w:sz="4" w:space="0" w:color="auto"/>
            </w:tcBorders>
            <w:shd w:val="clear" w:color="auto" w:fill="C6EFCE"/>
            <w:noWrap/>
            <w:vAlign w:val="center"/>
          </w:tcPr>
          <w:p w14:paraId="57FD1198"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Etapă</w:t>
            </w:r>
          </w:p>
        </w:tc>
        <w:tc>
          <w:tcPr>
            <w:tcW w:w="1800" w:type="dxa"/>
            <w:tcBorders>
              <w:top w:val="single" w:sz="4" w:space="0" w:color="auto"/>
              <w:left w:val="nil"/>
              <w:bottom w:val="single" w:sz="4" w:space="0" w:color="auto"/>
              <w:right w:val="single" w:sz="4" w:space="0" w:color="auto"/>
            </w:tcBorders>
            <w:shd w:val="clear" w:color="auto" w:fill="C6EFCE"/>
            <w:noWrap/>
            <w:vAlign w:val="center"/>
          </w:tcPr>
          <w:p w14:paraId="2298E164"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HEDNO – contracte 2</w:t>
            </w:r>
          </w:p>
        </w:tc>
      </w:tr>
      <w:tr w:rsidR="00C45D59" w14:paraId="1D6CD358" w14:textId="77777777">
        <w:trPr>
          <w:trHeight w:val="302"/>
          <w:tblHeader/>
          <w:jc w:val="center"/>
        </w:trPr>
        <w:tc>
          <w:tcPr>
            <w:tcW w:w="675" w:type="dxa"/>
            <w:tcBorders>
              <w:top w:val="nil"/>
              <w:left w:val="single" w:sz="4" w:space="0" w:color="auto"/>
              <w:bottom w:val="single" w:sz="4" w:space="0" w:color="auto"/>
              <w:right w:val="single" w:sz="4" w:space="0" w:color="auto"/>
            </w:tcBorders>
            <w:shd w:val="clear" w:color="auto" w:fill="C6EFCE"/>
            <w:noWrap/>
            <w:vAlign w:val="center"/>
            <w:hideMark/>
          </w:tcPr>
          <w:p w14:paraId="7B172170" w14:textId="77777777" w:rsidR="00C45D59" w:rsidRDefault="009B0962">
            <w:pPr>
              <w:pStyle w:val="P68B1DB1-Normal55"/>
              <w:keepNext/>
              <w:spacing w:before="40" w:after="0" w:line="240" w:lineRule="auto"/>
              <w:jc w:val="both"/>
              <w:rPr>
                <w:rFonts w:eastAsia="Times New Roman" w:cs="Times New Roman"/>
                <w:noProof/>
                <w:szCs w:val="18"/>
              </w:rPr>
            </w:pPr>
            <w:r>
              <w:rPr>
                <w:noProof/>
              </w:rPr>
              <w:t>14</w:t>
            </w:r>
          </w:p>
        </w:tc>
        <w:tc>
          <w:tcPr>
            <w:tcW w:w="5440" w:type="dxa"/>
            <w:tcBorders>
              <w:top w:val="nil"/>
              <w:left w:val="nil"/>
              <w:bottom w:val="single" w:sz="4" w:space="0" w:color="auto"/>
              <w:right w:val="single" w:sz="4" w:space="0" w:color="auto"/>
            </w:tcBorders>
            <w:shd w:val="clear" w:color="auto" w:fill="C6EFCE"/>
            <w:noWrap/>
            <w:vAlign w:val="center"/>
          </w:tcPr>
          <w:p w14:paraId="416ACE35"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1-1.1. Creșterea puterii – 16899_Creșterea capacității instalate a substațiilor HV/MV ale operatorului elen al rețelei de distribuție a energiei electrice (HEDNO) pentru noua conexiune SRE</w:t>
            </w:r>
          </w:p>
        </w:tc>
        <w:tc>
          <w:tcPr>
            <w:tcW w:w="1680" w:type="dxa"/>
            <w:tcBorders>
              <w:top w:val="nil"/>
              <w:left w:val="nil"/>
              <w:bottom w:val="single" w:sz="4" w:space="0" w:color="auto"/>
              <w:right w:val="single" w:sz="4" w:space="0" w:color="auto"/>
            </w:tcBorders>
            <w:shd w:val="clear" w:color="auto" w:fill="C6EFCE"/>
            <w:noWrap/>
            <w:vAlign w:val="center"/>
          </w:tcPr>
          <w:p w14:paraId="39759F4C"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Etapă</w:t>
            </w:r>
          </w:p>
        </w:tc>
        <w:tc>
          <w:tcPr>
            <w:tcW w:w="1800" w:type="dxa"/>
            <w:tcBorders>
              <w:top w:val="nil"/>
              <w:left w:val="nil"/>
              <w:bottom w:val="single" w:sz="4" w:space="0" w:color="auto"/>
              <w:right w:val="single" w:sz="4" w:space="0" w:color="auto"/>
            </w:tcBorders>
            <w:shd w:val="clear" w:color="auto" w:fill="C6EFCE"/>
            <w:noWrap/>
            <w:vAlign w:val="center"/>
          </w:tcPr>
          <w:p w14:paraId="706CEA7E"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HEDNO – contracte 3</w:t>
            </w:r>
          </w:p>
        </w:tc>
      </w:tr>
      <w:tr w:rsidR="00C45D59" w14:paraId="3E756D97" w14:textId="77777777">
        <w:trPr>
          <w:trHeight w:val="302"/>
          <w:tblHeader/>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72F49C46"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23</w:t>
            </w:r>
          </w:p>
        </w:tc>
        <w:tc>
          <w:tcPr>
            <w:tcW w:w="5440" w:type="dxa"/>
            <w:tcBorders>
              <w:top w:val="nil"/>
              <w:left w:val="nil"/>
              <w:bottom w:val="single" w:sz="4" w:space="0" w:color="auto"/>
              <w:right w:val="single" w:sz="4" w:space="0" w:color="auto"/>
            </w:tcBorders>
            <w:shd w:val="clear" w:color="auto" w:fill="C6EFCE"/>
            <w:noWrap/>
            <w:vAlign w:val="center"/>
          </w:tcPr>
          <w:p w14:paraId="2D1C2A4F"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2-1.2. Renovare – 16872_Renovarea energetică a clădirilor rezidențiale</w:t>
            </w:r>
          </w:p>
        </w:tc>
        <w:tc>
          <w:tcPr>
            <w:tcW w:w="1680" w:type="dxa"/>
            <w:tcBorders>
              <w:top w:val="nil"/>
              <w:left w:val="nil"/>
              <w:bottom w:val="single" w:sz="4" w:space="0" w:color="auto"/>
              <w:right w:val="single" w:sz="4" w:space="0" w:color="auto"/>
            </w:tcBorders>
            <w:shd w:val="clear" w:color="auto" w:fill="C6EFCE"/>
            <w:noWrap/>
            <w:vAlign w:val="center"/>
          </w:tcPr>
          <w:p w14:paraId="2C8FDC5C" w14:textId="77777777" w:rsidR="00C45D59" w:rsidRDefault="009B0962">
            <w:pPr>
              <w:pStyle w:val="P68B1DB1-Normal55"/>
              <w:keepNext/>
              <w:spacing w:before="40" w:after="0" w:line="240" w:lineRule="auto"/>
              <w:jc w:val="both"/>
              <w:rPr>
                <w:rFonts w:eastAsia="Times New Roman" w:cs="Times New Roman"/>
                <w:noProof/>
                <w:szCs w:val="18"/>
              </w:rPr>
            </w:pPr>
            <w:r>
              <w:rPr>
                <w:noProof/>
              </w:rPr>
              <w:t>Țintă</w:t>
            </w:r>
          </w:p>
        </w:tc>
        <w:tc>
          <w:tcPr>
            <w:tcW w:w="1800" w:type="dxa"/>
            <w:tcBorders>
              <w:top w:val="nil"/>
              <w:left w:val="nil"/>
              <w:bottom w:val="single" w:sz="4" w:space="0" w:color="auto"/>
              <w:right w:val="single" w:sz="4" w:space="0" w:color="auto"/>
            </w:tcBorders>
            <w:shd w:val="clear" w:color="auto" w:fill="C6EFCE"/>
            <w:noWrap/>
            <w:vAlign w:val="center"/>
          </w:tcPr>
          <w:p w14:paraId="26059016" w14:textId="77777777" w:rsidR="00C45D59" w:rsidRDefault="009B0962">
            <w:pPr>
              <w:pStyle w:val="P68B1DB1-Normal55"/>
              <w:keepNext/>
              <w:spacing w:before="40" w:after="0" w:line="240" w:lineRule="auto"/>
              <w:jc w:val="both"/>
              <w:rPr>
                <w:rFonts w:eastAsia="Times New Roman" w:cs="Times New Roman"/>
                <w:noProof/>
                <w:szCs w:val="18"/>
              </w:rPr>
            </w:pPr>
            <w:r>
              <w:rPr>
                <w:noProof/>
              </w:rPr>
              <w:t>Renovarea locuințelor – renovarea locuințelor # 1</w:t>
            </w:r>
          </w:p>
        </w:tc>
      </w:tr>
      <w:tr w:rsidR="00C45D59" w14:paraId="0277B77E" w14:textId="77777777">
        <w:trPr>
          <w:trHeight w:val="302"/>
          <w:tblHeader/>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39FA0C47"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28</w:t>
            </w:r>
          </w:p>
        </w:tc>
        <w:tc>
          <w:tcPr>
            <w:tcW w:w="5440" w:type="dxa"/>
            <w:tcBorders>
              <w:top w:val="nil"/>
              <w:left w:val="nil"/>
              <w:bottom w:val="single" w:sz="4" w:space="0" w:color="auto"/>
              <w:right w:val="single" w:sz="4" w:space="0" w:color="auto"/>
            </w:tcBorders>
            <w:shd w:val="clear" w:color="auto" w:fill="C6EFCE"/>
            <w:noWrap/>
            <w:vAlign w:val="center"/>
          </w:tcPr>
          <w:p w14:paraId="48B5D224"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2-1.2. Renovare – 16879_Pregătirea planurilor urbane pentru punerea în aplicare a reformei politicii urbane</w:t>
            </w:r>
          </w:p>
        </w:tc>
        <w:tc>
          <w:tcPr>
            <w:tcW w:w="1680" w:type="dxa"/>
            <w:tcBorders>
              <w:top w:val="nil"/>
              <w:left w:val="nil"/>
              <w:bottom w:val="single" w:sz="4" w:space="0" w:color="auto"/>
              <w:right w:val="single" w:sz="4" w:space="0" w:color="auto"/>
            </w:tcBorders>
            <w:shd w:val="clear" w:color="auto" w:fill="C6EFCE"/>
            <w:noWrap/>
            <w:vAlign w:val="center"/>
          </w:tcPr>
          <w:p w14:paraId="024B7A76" w14:textId="77777777" w:rsidR="00C45D59" w:rsidRDefault="009B0962">
            <w:pPr>
              <w:pStyle w:val="P68B1DB1-Normal55"/>
              <w:keepNext/>
              <w:spacing w:before="40" w:after="0" w:line="240" w:lineRule="auto"/>
              <w:jc w:val="both"/>
              <w:rPr>
                <w:rFonts w:eastAsia="Times New Roman" w:cs="Times New Roman"/>
                <w:noProof/>
                <w:szCs w:val="18"/>
              </w:rPr>
            </w:pPr>
            <w:r>
              <w:rPr>
                <w:noProof/>
              </w:rPr>
              <w:t>Etapă</w:t>
            </w:r>
          </w:p>
        </w:tc>
        <w:tc>
          <w:tcPr>
            <w:tcW w:w="1800" w:type="dxa"/>
            <w:tcBorders>
              <w:top w:val="nil"/>
              <w:left w:val="nil"/>
              <w:bottom w:val="single" w:sz="4" w:space="0" w:color="auto"/>
              <w:right w:val="single" w:sz="4" w:space="0" w:color="auto"/>
            </w:tcBorders>
            <w:shd w:val="clear" w:color="auto" w:fill="C6EFCE"/>
            <w:noWrap/>
            <w:vAlign w:val="center"/>
          </w:tcPr>
          <w:p w14:paraId="24A5AA01" w14:textId="77777777" w:rsidR="00C45D59" w:rsidRDefault="009B0962">
            <w:pPr>
              <w:pStyle w:val="P68B1DB1-Normal55"/>
              <w:keepNext/>
              <w:spacing w:before="40" w:after="0" w:line="240" w:lineRule="auto"/>
              <w:jc w:val="both"/>
              <w:rPr>
                <w:rFonts w:eastAsia="Times New Roman" w:cs="Times New Roman"/>
                <w:noProof/>
                <w:szCs w:val="18"/>
              </w:rPr>
            </w:pPr>
            <w:r>
              <w:rPr>
                <w:noProof/>
              </w:rPr>
              <w:t>Premiul pentru planuri urbane</w:t>
            </w:r>
          </w:p>
        </w:tc>
      </w:tr>
      <w:tr w:rsidR="00C45D59" w14:paraId="0C64E93F" w14:textId="77777777">
        <w:trPr>
          <w:trHeight w:val="302"/>
          <w:tblHeader/>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45C7200F" w14:textId="77777777" w:rsidR="00C45D59" w:rsidRDefault="009B0962">
            <w:pPr>
              <w:pStyle w:val="P68B1DB1-Normal55"/>
              <w:keepNext/>
              <w:spacing w:before="40" w:after="0" w:line="240" w:lineRule="auto"/>
              <w:jc w:val="both"/>
              <w:rPr>
                <w:noProof/>
              </w:rPr>
            </w:pPr>
            <w:r>
              <w:rPr>
                <w:noProof/>
              </w:rPr>
              <w:t>33</w:t>
            </w:r>
          </w:p>
        </w:tc>
        <w:tc>
          <w:tcPr>
            <w:tcW w:w="5440" w:type="dxa"/>
            <w:tcBorders>
              <w:top w:val="nil"/>
              <w:left w:val="nil"/>
              <w:bottom w:val="single" w:sz="4" w:space="0" w:color="auto"/>
              <w:right w:val="single" w:sz="4" w:space="0" w:color="auto"/>
            </w:tcBorders>
            <w:shd w:val="clear" w:color="auto" w:fill="C6EFCE"/>
            <w:noWrap/>
            <w:vAlign w:val="center"/>
          </w:tcPr>
          <w:p w14:paraId="0325BDA4" w14:textId="77777777" w:rsidR="00C45D59" w:rsidRDefault="009B0962">
            <w:pPr>
              <w:pStyle w:val="P68B1DB1-Normal55"/>
              <w:keepNext/>
              <w:spacing w:before="40" w:after="0" w:line="240" w:lineRule="auto"/>
              <w:jc w:val="both"/>
              <w:rPr>
                <w:noProof/>
              </w:rPr>
            </w:pPr>
            <w:r>
              <w:rPr>
                <w:noProof/>
              </w:rPr>
              <w:t>2-1.2. Renovare – 16874_Energie și antreprenoriat</w:t>
            </w:r>
          </w:p>
        </w:tc>
        <w:tc>
          <w:tcPr>
            <w:tcW w:w="1680" w:type="dxa"/>
            <w:tcBorders>
              <w:top w:val="nil"/>
              <w:left w:val="nil"/>
              <w:bottom w:val="single" w:sz="4" w:space="0" w:color="auto"/>
              <w:right w:val="single" w:sz="4" w:space="0" w:color="auto"/>
            </w:tcBorders>
            <w:shd w:val="clear" w:color="auto" w:fill="C6EFCE"/>
            <w:noWrap/>
            <w:vAlign w:val="center"/>
          </w:tcPr>
          <w:p w14:paraId="59E8ED0E" w14:textId="77777777" w:rsidR="00C45D59" w:rsidRDefault="009B0962">
            <w:pPr>
              <w:pStyle w:val="P68B1DB1-Normal55"/>
              <w:keepNext/>
              <w:spacing w:before="40" w:after="0" w:line="240" w:lineRule="auto"/>
              <w:jc w:val="both"/>
              <w:rPr>
                <w:noProof/>
              </w:rPr>
            </w:pPr>
            <w:r>
              <w:rPr>
                <w:noProof/>
              </w:rPr>
              <w:t>Etapă</w:t>
            </w:r>
          </w:p>
        </w:tc>
        <w:tc>
          <w:tcPr>
            <w:tcW w:w="1800" w:type="dxa"/>
            <w:tcBorders>
              <w:top w:val="nil"/>
              <w:left w:val="nil"/>
              <w:bottom w:val="single" w:sz="4" w:space="0" w:color="auto"/>
              <w:right w:val="single" w:sz="4" w:space="0" w:color="auto"/>
            </w:tcBorders>
            <w:shd w:val="clear" w:color="auto" w:fill="C6EFCE"/>
            <w:noWrap/>
            <w:vAlign w:val="center"/>
          </w:tcPr>
          <w:p w14:paraId="57DB1FEF" w14:textId="77777777" w:rsidR="00C45D59" w:rsidRDefault="009B0962">
            <w:pPr>
              <w:pStyle w:val="P68B1DB1-Normal55"/>
              <w:keepNext/>
              <w:spacing w:before="40" w:after="0" w:line="240" w:lineRule="auto"/>
              <w:jc w:val="both"/>
              <w:rPr>
                <w:noProof/>
              </w:rPr>
            </w:pPr>
            <w:r>
              <w:rPr>
                <w:noProof/>
              </w:rPr>
              <w:t>Eficiența energetică în sectorul privat – cereri aprobate</w:t>
            </w:r>
          </w:p>
        </w:tc>
      </w:tr>
      <w:tr w:rsidR="00C45D59" w14:paraId="794F67E7" w14:textId="77777777">
        <w:trPr>
          <w:trHeight w:val="302"/>
          <w:tblHeader/>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1654CC10" w14:textId="77777777" w:rsidR="00C45D59" w:rsidRDefault="009B0962">
            <w:pPr>
              <w:pStyle w:val="P68B1DB1-Normal55"/>
              <w:keepNext/>
              <w:spacing w:before="40" w:after="0" w:line="240" w:lineRule="auto"/>
              <w:jc w:val="both"/>
              <w:rPr>
                <w:noProof/>
              </w:rPr>
            </w:pPr>
            <w:r>
              <w:rPr>
                <w:noProof/>
              </w:rPr>
              <w:t>38</w:t>
            </w:r>
          </w:p>
        </w:tc>
        <w:tc>
          <w:tcPr>
            <w:tcW w:w="5440" w:type="dxa"/>
            <w:tcBorders>
              <w:top w:val="nil"/>
              <w:left w:val="nil"/>
              <w:bottom w:val="single" w:sz="4" w:space="0" w:color="auto"/>
              <w:right w:val="single" w:sz="4" w:space="0" w:color="auto"/>
            </w:tcBorders>
            <w:shd w:val="clear" w:color="auto" w:fill="C6EFCE"/>
            <w:noWrap/>
            <w:vAlign w:val="center"/>
          </w:tcPr>
          <w:p w14:paraId="4E2541CD" w14:textId="77777777" w:rsidR="00C45D59" w:rsidRDefault="009B0962">
            <w:pPr>
              <w:pStyle w:val="P68B1DB1-Normal55"/>
              <w:keepNext/>
              <w:spacing w:before="40" w:after="0" w:line="240" w:lineRule="auto"/>
              <w:jc w:val="both"/>
              <w:rPr>
                <w:noProof/>
              </w:rPr>
            </w:pPr>
            <w:r>
              <w:rPr>
                <w:noProof/>
              </w:rPr>
              <w:t>2-1.2. Renovare – 16873_ Intervenții în zonele rezidențiale și în parcul imobiliar</w:t>
            </w:r>
          </w:p>
        </w:tc>
        <w:tc>
          <w:tcPr>
            <w:tcW w:w="1680" w:type="dxa"/>
            <w:tcBorders>
              <w:top w:val="nil"/>
              <w:left w:val="nil"/>
              <w:bottom w:val="single" w:sz="4" w:space="0" w:color="auto"/>
              <w:right w:val="single" w:sz="4" w:space="0" w:color="auto"/>
            </w:tcBorders>
            <w:shd w:val="clear" w:color="auto" w:fill="C6EFCE"/>
            <w:noWrap/>
            <w:vAlign w:val="center"/>
          </w:tcPr>
          <w:p w14:paraId="065A33F6" w14:textId="77777777" w:rsidR="00C45D59" w:rsidRDefault="009B0962">
            <w:pPr>
              <w:pStyle w:val="P68B1DB1-Normal55"/>
              <w:keepNext/>
              <w:spacing w:before="40" w:after="0" w:line="240" w:lineRule="auto"/>
              <w:jc w:val="both"/>
              <w:rPr>
                <w:noProof/>
              </w:rPr>
            </w:pPr>
            <w:r>
              <w:rPr>
                <w:noProof/>
              </w:rPr>
              <w:t>Etapă</w:t>
            </w:r>
          </w:p>
        </w:tc>
        <w:tc>
          <w:tcPr>
            <w:tcW w:w="1800" w:type="dxa"/>
            <w:tcBorders>
              <w:top w:val="nil"/>
              <w:left w:val="nil"/>
              <w:bottom w:val="single" w:sz="4" w:space="0" w:color="auto"/>
              <w:right w:val="single" w:sz="4" w:space="0" w:color="auto"/>
            </w:tcBorders>
            <w:shd w:val="clear" w:color="auto" w:fill="C6EFCE"/>
            <w:noWrap/>
            <w:vAlign w:val="center"/>
          </w:tcPr>
          <w:p w14:paraId="4D8819B7" w14:textId="77777777" w:rsidR="00C45D59" w:rsidRDefault="009B0962">
            <w:pPr>
              <w:pStyle w:val="P68B1DB1-Normal55"/>
              <w:keepNext/>
              <w:spacing w:before="40" w:after="0" w:line="240" w:lineRule="auto"/>
              <w:jc w:val="both"/>
              <w:rPr>
                <w:noProof/>
              </w:rPr>
            </w:pPr>
            <w:r>
              <w:rPr>
                <w:noProof/>
              </w:rPr>
              <w:t>Intervenții urbane – atribuirea contractelor</w:t>
            </w:r>
          </w:p>
        </w:tc>
      </w:tr>
      <w:tr w:rsidR="00C45D59" w14:paraId="4E9AAAA5" w14:textId="77777777">
        <w:trPr>
          <w:trHeight w:val="302"/>
          <w:tblHeader/>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765214BB"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50</w:t>
            </w:r>
          </w:p>
        </w:tc>
        <w:tc>
          <w:tcPr>
            <w:tcW w:w="5440" w:type="dxa"/>
            <w:tcBorders>
              <w:top w:val="nil"/>
              <w:left w:val="nil"/>
              <w:bottom w:val="single" w:sz="4" w:space="0" w:color="auto"/>
              <w:right w:val="single" w:sz="4" w:space="0" w:color="auto"/>
            </w:tcBorders>
            <w:shd w:val="clear" w:color="auto" w:fill="C6EFCE"/>
            <w:noWrap/>
            <w:vAlign w:val="center"/>
          </w:tcPr>
          <w:p w14:paraId="45F2480A"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3-1.3. Reîncărcare și realimentare – 16831_Produc- E verde</w:t>
            </w:r>
          </w:p>
        </w:tc>
        <w:tc>
          <w:tcPr>
            <w:tcW w:w="1680" w:type="dxa"/>
            <w:tcBorders>
              <w:top w:val="nil"/>
              <w:left w:val="nil"/>
              <w:bottom w:val="single" w:sz="4" w:space="0" w:color="auto"/>
              <w:right w:val="single" w:sz="4" w:space="0" w:color="auto"/>
            </w:tcBorders>
            <w:shd w:val="clear" w:color="auto" w:fill="C6EFCE"/>
            <w:noWrap/>
            <w:vAlign w:val="center"/>
          </w:tcPr>
          <w:p w14:paraId="7AC27614" w14:textId="77777777" w:rsidR="00C45D59" w:rsidRDefault="009B0962">
            <w:pPr>
              <w:pStyle w:val="P68B1DB1-Normal55"/>
              <w:keepNext/>
              <w:spacing w:before="40" w:after="0" w:line="240" w:lineRule="auto"/>
              <w:jc w:val="both"/>
              <w:rPr>
                <w:rFonts w:eastAsia="Times New Roman" w:cs="Times New Roman"/>
                <w:noProof/>
                <w:szCs w:val="18"/>
              </w:rPr>
            </w:pPr>
            <w:r>
              <w:rPr>
                <w:noProof/>
              </w:rPr>
              <w:t>Etapă</w:t>
            </w:r>
          </w:p>
        </w:tc>
        <w:tc>
          <w:tcPr>
            <w:tcW w:w="1800" w:type="dxa"/>
            <w:tcBorders>
              <w:top w:val="nil"/>
              <w:left w:val="nil"/>
              <w:bottom w:val="single" w:sz="4" w:space="0" w:color="auto"/>
              <w:right w:val="single" w:sz="4" w:space="0" w:color="auto"/>
            </w:tcBorders>
            <w:shd w:val="clear" w:color="auto" w:fill="C6EFCE"/>
            <w:noWrap/>
            <w:vAlign w:val="center"/>
          </w:tcPr>
          <w:p w14:paraId="1138E44A" w14:textId="77777777" w:rsidR="00C45D59" w:rsidRDefault="009B0962">
            <w:pPr>
              <w:pStyle w:val="P68B1DB1-Normal55"/>
              <w:keepNext/>
              <w:spacing w:before="40" w:after="0" w:line="240" w:lineRule="auto"/>
              <w:jc w:val="both"/>
              <w:rPr>
                <w:rFonts w:eastAsia="Times New Roman" w:cs="Times New Roman"/>
                <w:noProof/>
                <w:szCs w:val="18"/>
              </w:rPr>
            </w:pPr>
            <w:r>
              <w:rPr>
                <w:noProof/>
              </w:rPr>
              <w:t>Unități industriale – societăți selectate</w:t>
            </w:r>
          </w:p>
        </w:tc>
      </w:tr>
      <w:tr w:rsidR="00C45D59" w14:paraId="0ED6FCD6" w14:textId="77777777">
        <w:trPr>
          <w:trHeight w:val="302"/>
          <w:tblHeader/>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1E916BE3" w14:textId="77777777" w:rsidR="00C45D59" w:rsidRDefault="009B0962">
            <w:pPr>
              <w:pStyle w:val="P68B1DB1-Normal55"/>
              <w:keepNext/>
              <w:spacing w:before="40" w:after="0" w:line="240" w:lineRule="auto"/>
              <w:jc w:val="both"/>
              <w:rPr>
                <w:rFonts w:cs="Times New Roman"/>
                <w:noProof/>
                <w:szCs w:val="18"/>
              </w:rPr>
            </w:pPr>
            <w:r>
              <w:rPr>
                <w:noProof/>
              </w:rPr>
              <w:t>59</w:t>
            </w:r>
          </w:p>
        </w:tc>
        <w:tc>
          <w:tcPr>
            <w:tcW w:w="5440" w:type="dxa"/>
            <w:tcBorders>
              <w:top w:val="nil"/>
              <w:left w:val="nil"/>
              <w:bottom w:val="single" w:sz="4" w:space="0" w:color="auto"/>
              <w:right w:val="single" w:sz="4" w:space="0" w:color="auto"/>
            </w:tcBorders>
            <w:shd w:val="clear" w:color="auto" w:fill="C6EFCE"/>
            <w:noWrap/>
            <w:vAlign w:val="center"/>
          </w:tcPr>
          <w:p w14:paraId="4BE4A52D" w14:textId="77777777" w:rsidR="00C45D59" w:rsidRDefault="009B0962">
            <w:pPr>
              <w:pStyle w:val="P68B1DB1-Normal55"/>
              <w:keepNext/>
              <w:spacing w:before="40" w:after="0" w:line="240" w:lineRule="auto"/>
              <w:jc w:val="both"/>
              <w:rPr>
                <w:rFonts w:cs="Times New Roman"/>
                <w:noProof/>
                <w:szCs w:val="18"/>
              </w:rPr>
            </w:pPr>
            <w:r>
              <w:rPr>
                <w:noProof/>
              </w:rPr>
              <w:t>4-1.4. Utilizarea durabilă a resurselor, reziliența la schimbările climatice și protecția mediului – 16772_Legea privind gestionarea deșeurilor pentru punerea în aplicare a depozitării și reciclării durabile a deșeurilor</w:t>
            </w:r>
          </w:p>
        </w:tc>
        <w:tc>
          <w:tcPr>
            <w:tcW w:w="1680" w:type="dxa"/>
            <w:tcBorders>
              <w:top w:val="nil"/>
              <w:left w:val="nil"/>
              <w:bottom w:val="single" w:sz="4" w:space="0" w:color="auto"/>
              <w:right w:val="single" w:sz="4" w:space="0" w:color="auto"/>
            </w:tcBorders>
            <w:shd w:val="clear" w:color="auto" w:fill="C6EFCE"/>
            <w:noWrap/>
            <w:vAlign w:val="center"/>
          </w:tcPr>
          <w:p w14:paraId="1DA194A7" w14:textId="77777777" w:rsidR="00C45D59" w:rsidRDefault="009B0962">
            <w:pPr>
              <w:pStyle w:val="P68B1DB1-Normal55"/>
              <w:keepNext/>
              <w:spacing w:before="40" w:after="0" w:line="240" w:lineRule="auto"/>
              <w:jc w:val="both"/>
              <w:rPr>
                <w:rFonts w:cs="Times New Roman"/>
                <w:noProof/>
                <w:szCs w:val="18"/>
              </w:rPr>
            </w:pPr>
            <w:r>
              <w:rPr>
                <w:noProof/>
              </w:rPr>
              <w:t>Etapă</w:t>
            </w:r>
          </w:p>
        </w:tc>
        <w:tc>
          <w:tcPr>
            <w:tcW w:w="1800" w:type="dxa"/>
            <w:tcBorders>
              <w:top w:val="nil"/>
              <w:left w:val="nil"/>
              <w:bottom w:val="single" w:sz="4" w:space="0" w:color="auto"/>
              <w:right w:val="single" w:sz="4" w:space="0" w:color="auto"/>
            </w:tcBorders>
            <w:shd w:val="clear" w:color="auto" w:fill="C6EFCE"/>
            <w:noWrap/>
            <w:vAlign w:val="center"/>
          </w:tcPr>
          <w:p w14:paraId="5AD09452" w14:textId="77777777" w:rsidR="00C45D59" w:rsidRDefault="009B0962">
            <w:pPr>
              <w:pStyle w:val="P68B1DB1-Normal55"/>
              <w:keepNext/>
              <w:spacing w:before="40" w:after="0" w:line="240" w:lineRule="auto"/>
              <w:jc w:val="both"/>
              <w:rPr>
                <w:rFonts w:cs="Times New Roman"/>
                <w:noProof/>
                <w:szCs w:val="18"/>
              </w:rPr>
            </w:pPr>
            <w:r>
              <w:rPr>
                <w:noProof/>
              </w:rPr>
              <w:t>Instituirea și funcționarea autorității de reglementare în domeniul gestionării deșeurilor</w:t>
            </w:r>
          </w:p>
        </w:tc>
      </w:tr>
      <w:tr w:rsidR="00C45D59" w14:paraId="45E49794" w14:textId="77777777">
        <w:trPr>
          <w:trHeight w:val="302"/>
          <w:tblHeader/>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68AE588F"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60</w:t>
            </w:r>
          </w:p>
        </w:tc>
        <w:tc>
          <w:tcPr>
            <w:tcW w:w="5440" w:type="dxa"/>
            <w:tcBorders>
              <w:top w:val="nil"/>
              <w:left w:val="nil"/>
              <w:bottom w:val="single" w:sz="4" w:space="0" w:color="auto"/>
              <w:right w:val="single" w:sz="4" w:space="0" w:color="auto"/>
            </w:tcBorders>
            <w:shd w:val="clear" w:color="auto" w:fill="C6EFCE"/>
            <w:noWrap/>
            <w:vAlign w:val="center"/>
          </w:tcPr>
          <w:p w14:paraId="03885658"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4-1.4. Utilizarea durabilă a resurselor, reziliența la schimbările climatice și protecția mediului – 16979_Instituirea unei noi autorități de reglementare în domeniul apei și al apelor uzate</w:t>
            </w:r>
          </w:p>
        </w:tc>
        <w:tc>
          <w:tcPr>
            <w:tcW w:w="1680" w:type="dxa"/>
            <w:tcBorders>
              <w:top w:val="nil"/>
              <w:left w:val="nil"/>
              <w:bottom w:val="single" w:sz="4" w:space="0" w:color="auto"/>
              <w:right w:val="single" w:sz="4" w:space="0" w:color="auto"/>
            </w:tcBorders>
            <w:shd w:val="clear" w:color="auto" w:fill="C6EFCE"/>
            <w:noWrap/>
            <w:vAlign w:val="center"/>
          </w:tcPr>
          <w:p w14:paraId="20653321" w14:textId="77777777" w:rsidR="00C45D59" w:rsidRDefault="009B0962">
            <w:pPr>
              <w:pStyle w:val="P68B1DB1-Normal55"/>
              <w:keepNext/>
              <w:spacing w:before="40" w:after="0" w:line="240" w:lineRule="auto"/>
              <w:jc w:val="both"/>
              <w:rPr>
                <w:rFonts w:eastAsia="Times New Roman" w:cs="Times New Roman"/>
                <w:noProof/>
                <w:szCs w:val="18"/>
              </w:rPr>
            </w:pPr>
            <w:r>
              <w:rPr>
                <w:noProof/>
              </w:rPr>
              <w:t>Etapă</w:t>
            </w:r>
          </w:p>
        </w:tc>
        <w:tc>
          <w:tcPr>
            <w:tcW w:w="1800" w:type="dxa"/>
            <w:tcBorders>
              <w:top w:val="nil"/>
              <w:left w:val="nil"/>
              <w:bottom w:val="single" w:sz="4" w:space="0" w:color="auto"/>
              <w:right w:val="single" w:sz="4" w:space="0" w:color="auto"/>
            </w:tcBorders>
            <w:shd w:val="clear" w:color="auto" w:fill="C6EFCE"/>
            <w:noWrap/>
            <w:vAlign w:val="center"/>
          </w:tcPr>
          <w:p w14:paraId="65674590" w14:textId="77777777" w:rsidR="00C45D59" w:rsidRDefault="009B0962">
            <w:pPr>
              <w:pStyle w:val="P68B1DB1-Normal55"/>
              <w:keepNext/>
              <w:spacing w:before="40" w:after="0" w:line="240" w:lineRule="auto"/>
              <w:jc w:val="both"/>
              <w:rPr>
                <w:rFonts w:eastAsia="Times New Roman" w:cs="Times New Roman"/>
                <w:noProof/>
                <w:szCs w:val="18"/>
              </w:rPr>
            </w:pPr>
            <w:r>
              <w:rPr>
                <w:noProof/>
              </w:rPr>
              <w:t>Instituirea și funcționarea autorității de reglementare în domeniul gestionării apei</w:t>
            </w:r>
          </w:p>
        </w:tc>
      </w:tr>
      <w:tr w:rsidR="00C45D59" w14:paraId="534ACD5F" w14:textId="77777777">
        <w:trPr>
          <w:trHeight w:val="302"/>
          <w:tblHeader/>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6D97E2AD" w14:textId="77777777" w:rsidR="00C45D59" w:rsidRDefault="009B0962">
            <w:pPr>
              <w:pStyle w:val="P68B1DB1-Normal55"/>
              <w:keepNext/>
              <w:spacing w:before="40" w:after="0" w:line="240" w:lineRule="auto"/>
              <w:jc w:val="both"/>
              <w:rPr>
                <w:rFonts w:cs="Times New Roman"/>
                <w:noProof/>
                <w:szCs w:val="18"/>
              </w:rPr>
            </w:pPr>
            <w:r>
              <w:rPr>
                <w:noProof/>
              </w:rPr>
              <w:t>62</w:t>
            </w:r>
          </w:p>
        </w:tc>
        <w:tc>
          <w:tcPr>
            <w:tcW w:w="5440" w:type="dxa"/>
            <w:tcBorders>
              <w:top w:val="nil"/>
              <w:left w:val="nil"/>
              <w:bottom w:val="single" w:sz="4" w:space="0" w:color="auto"/>
              <w:right w:val="single" w:sz="4" w:space="0" w:color="auto"/>
            </w:tcBorders>
            <w:shd w:val="clear" w:color="auto" w:fill="C6EFCE"/>
            <w:noWrap/>
            <w:vAlign w:val="center"/>
          </w:tcPr>
          <w:p w14:paraId="76E005D9" w14:textId="77777777" w:rsidR="00C45D59" w:rsidRDefault="009B0962">
            <w:pPr>
              <w:pStyle w:val="P68B1DB1-Normal55"/>
              <w:keepNext/>
              <w:spacing w:before="40" w:after="0" w:line="240" w:lineRule="auto"/>
              <w:jc w:val="both"/>
              <w:rPr>
                <w:rFonts w:cs="Times New Roman"/>
                <w:noProof/>
                <w:szCs w:val="18"/>
              </w:rPr>
            </w:pPr>
            <w:r>
              <w:rPr>
                <w:noProof/>
              </w:rPr>
              <w:t>4-1.4. Utilizarea durabilă a resurselor, reziliența la schimbările climatice și protecția mediului – 16849_Planul național de reîmpădurire, măsuri de refacere și prevenire („antiNERO”), de combatere a eroziunii și de protecție împotriva inundațiilor</w:t>
            </w:r>
          </w:p>
        </w:tc>
        <w:tc>
          <w:tcPr>
            <w:tcW w:w="1680" w:type="dxa"/>
            <w:tcBorders>
              <w:top w:val="nil"/>
              <w:left w:val="nil"/>
              <w:bottom w:val="single" w:sz="4" w:space="0" w:color="auto"/>
              <w:right w:val="single" w:sz="4" w:space="0" w:color="auto"/>
            </w:tcBorders>
            <w:shd w:val="clear" w:color="auto" w:fill="C6EFCE"/>
            <w:noWrap/>
            <w:vAlign w:val="center"/>
          </w:tcPr>
          <w:p w14:paraId="0B4D518B" w14:textId="77777777" w:rsidR="00C45D59" w:rsidRDefault="009B0962">
            <w:pPr>
              <w:pStyle w:val="P68B1DB1-Normal55"/>
              <w:keepNext/>
              <w:spacing w:before="40" w:after="0" w:line="240" w:lineRule="auto"/>
              <w:jc w:val="both"/>
              <w:rPr>
                <w:rFonts w:cs="Times New Roman"/>
                <w:noProof/>
                <w:szCs w:val="18"/>
              </w:rPr>
            </w:pPr>
            <w:r>
              <w:rPr>
                <w:noProof/>
              </w:rPr>
              <w:t>Etapă</w:t>
            </w:r>
          </w:p>
        </w:tc>
        <w:tc>
          <w:tcPr>
            <w:tcW w:w="1800" w:type="dxa"/>
            <w:tcBorders>
              <w:top w:val="nil"/>
              <w:left w:val="nil"/>
              <w:bottom w:val="single" w:sz="4" w:space="0" w:color="auto"/>
              <w:right w:val="single" w:sz="4" w:space="0" w:color="auto"/>
            </w:tcBorders>
            <w:shd w:val="clear" w:color="auto" w:fill="C6EFCE"/>
            <w:noWrap/>
            <w:vAlign w:val="center"/>
          </w:tcPr>
          <w:p w14:paraId="303DF0C7" w14:textId="77777777" w:rsidR="00C45D59" w:rsidRDefault="009B0962">
            <w:pPr>
              <w:pStyle w:val="P68B1DB1-Normal55"/>
              <w:keepNext/>
              <w:spacing w:before="40" w:after="0" w:line="240" w:lineRule="auto"/>
              <w:jc w:val="both"/>
              <w:rPr>
                <w:rFonts w:cs="Times New Roman"/>
                <w:noProof/>
                <w:szCs w:val="18"/>
              </w:rPr>
            </w:pPr>
            <w:r>
              <w:rPr>
                <w:noProof/>
              </w:rPr>
              <w:t>Reîmpădurire, refacere și prevenire – contracte 2</w:t>
            </w:r>
          </w:p>
        </w:tc>
      </w:tr>
      <w:tr w:rsidR="00C45D59" w14:paraId="045D82CB" w14:textId="77777777">
        <w:trPr>
          <w:trHeight w:val="302"/>
          <w:tblHeader/>
          <w:jc w:val="center"/>
        </w:trPr>
        <w:tc>
          <w:tcPr>
            <w:tcW w:w="6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FB608E1"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68</w:t>
            </w:r>
          </w:p>
        </w:tc>
        <w:tc>
          <w:tcPr>
            <w:tcW w:w="544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57F7C46" w14:textId="27EE16CF" w:rsidR="00C45D59" w:rsidRDefault="009B0962">
            <w:pPr>
              <w:pStyle w:val="P68B1DB1-Normal11"/>
              <w:keepNext/>
              <w:spacing w:before="40" w:after="0" w:line="240" w:lineRule="auto"/>
              <w:jc w:val="both"/>
              <w:rPr>
                <w:noProof/>
                <w:highlight w:val="yellow"/>
              </w:rPr>
            </w:pPr>
            <w:r>
              <w:rPr>
                <w:noProof/>
              </w:rPr>
              <w:t>4-1.4. Utilizarea durabilă a resurselor, reziliența la schimbările climatice și protecția mediului – 16846_ Infrastructuri de gestionare a apelor urbane reziduale și a nămolurilor de epurare și achiziționarea de echipamente municipale de gestionare a deșeurilor</w:t>
            </w:r>
          </w:p>
        </w:tc>
        <w:tc>
          <w:tcPr>
            <w:tcW w:w="168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6CF6FC8" w14:textId="77777777" w:rsidR="00C45D59" w:rsidRDefault="009B0962">
            <w:pPr>
              <w:pStyle w:val="P68B1DB1-Normal55"/>
              <w:keepNext/>
              <w:spacing w:before="40" w:after="0" w:line="240" w:lineRule="auto"/>
              <w:jc w:val="both"/>
              <w:rPr>
                <w:rFonts w:eastAsia="Times New Roman" w:cs="Times New Roman"/>
                <w:noProof/>
                <w:szCs w:val="18"/>
              </w:rPr>
            </w:pPr>
            <w:r>
              <w:rPr>
                <w:noProof/>
              </w:rPr>
              <w:t>Etapă</w:t>
            </w:r>
          </w:p>
        </w:tc>
        <w:tc>
          <w:tcPr>
            <w:tcW w:w="18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F002A24" w14:textId="77777777" w:rsidR="00C45D59" w:rsidRDefault="009B0962">
            <w:pPr>
              <w:pStyle w:val="P68B1DB1-Normal55"/>
              <w:keepNext/>
              <w:spacing w:before="40" w:after="0" w:line="240" w:lineRule="auto"/>
              <w:jc w:val="both"/>
              <w:rPr>
                <w:rFonts w:eastAsia="Times New Roman" w:cs="Times New Roman"/>
                <w:noProof/>
                <w:szCs w:val="18"/>
              </w:rPr>
            </w:pPr>
            <w:r>
              <w:rPr>
                <w:noProof/>
              </w:rPr>
              <w:t>Notificarea atribuirii contractului pentru proiectele privind apele uzate</w:t>
            </w:r>
          </w:p>
        </w:tc>
      </w:tr>
      <w:tr w:rsidR="00C45D59" w14:paraId="6F4F6B39" w14:textId="77777777">
        <w:trPr>
          <w:trHeight w:val="302"/>
          <w:tblHeader/>
          <w:jc w:val="center"/>
        </w:trPr>
        <w:tc>
          <w:tcPr>
            <w:tcW w:w="6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26F65D0"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79</w:t>
            </w:r>
          </w:p>
        </w:tc>
        <w:tc>
          <w:tcPr>
            <w:tcW w:w="5440" w:type="dxa"/>
            <w:tcBorders>
              <w:top w:val="single" w:sz="4" w:space="0" w:color="auto"/>
              <w:left w:val="nil"/>
              <w:bottom w:val="single" w:sz="4" w:space="0" w:color="auto"/>
              <w:right w:val="single" w:sz="4" w:space="0" w:color="auto"/>
            </w:tcBorders>
            <w:shd w:val="clear" w:color="auto" w:fill="C6EFCE"/>
            <w:noWrap/>
            <w:vAlign w:val="center"/>
          </w:tcPr>
          <w:p w14:paraId="56A19BA7"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4-1.4. Utilizarea durabilă a resurselor, reziliența la schimbările climatice și protecția mediului – 16911_Mijloace aeriene de gestionare a crizelor</w:t>
            </w:r>
          </w:p>
        </w:tc>
        <w:tc>
          <w:tcPr>
            <w:tcW w:w="1680" w:type="dxa"/>
            <w:tcBorders>
              <w:top w:val="single" w:sz="4" w:space="0" w:color="auto"/>
              <w:left w:val="nil"/>
              <w:bottom w:val="single" w:sz="4" w:space="0" w:color="auto"/>
              <w:right w:val="single" w:sz="4" w:space="0" w:color="auto"/>
            </w:tcBorders>
            <w:shd w:val="clear" w:color="auto" w:fill="C6EFCE"/>
            <w:noWrap/>
            <w:vAlign w:val="center"/>
          </w:tcPr>
          <w:p w14:paraId="10DD2D43" w14:textId="77777777" w:rsidR="00C45D59" w:rsidRDefault="009B0962">
            <w:pPr>
              <w:pStyle w:val="P68B1DB1-Normal55"/>
              <w:keepNext/>
              <w:spacing w:before="40" w:after="0" w:line="240" w:lineRule="auto"/>
              <w:jc w:val="both"/>
              <w:rPr>
                <w:rFonts w:eastAsia="Times New Roman" w:cs="Times New Roman"/>
                <w:noProof/>
                <w:szCs w:val="18"/>
              </w:rPr>
            </w:pPr>
            <w:r>
              <w:rPr>
                <w:noProof/>
              </w:rPr>
              <w:t>Etapă</w:t>
            </w:r>
          </w:p>
        </w:tc>
        <w:tc>
          <w:tcPr>
            <w:tcW w:w="1800" w:type="dxa"/>
            <w:tcBorders>
              <w:top w:val="single" w:sz="4" w:space="0" w:color="auto"/>
              <w:left w:val="nil"/>
              <w:bottom w:val="single" w:sz="4" w:space="0" w:color="auto"/>
              <w:right w:val="single" w:sz="4" w:space="0" w:color="auto"/>
            </w:tcBorders>
            <w:shd w:val="clear" w:color="auto" w:fill="C6EFCE"/>
            <w:noWrap/>
            <w:vAlign w:val="center"/>
          </w:tcPr>
          <w:p w14:paraId="101E23C8" w14:textId="77777777" w:rsidR="00C45D59" w:rsidRDefault="009B0962">
            <w:pPr>
              <w:pStyle w:val="P68B1DB1-Normal55"/>
              <w:keepNext/>
              <w:spacing w:before="40" w:after="0" w:line="240" w:lineRule="auto"/>
              <w:jc w:val="both"/>
              <w:rPr>
                <w:rFonts w:eastAsia="Times New Roman" w:cs="Times New Roman"/>
                <w:noProof/>
                <w:szCs w:val="18"/>
              </w:rPr>
            </w:pPr>
            <w:r>
              <w:rPr>
                <w:noProof/>
              </w:rPr>
              <w:t>Achiziționarea a două elicoptere de dimensiuni medii pentru stingerea incendiilor</w:t>
            </w:r>
          </w:p>
        </w:tc>
      </w:tr>
      <w:tr w:rsidR="00C45D59" w14:paraId="4B864D86" w14:textId="77777777">
        <w:trPr>
          <w:trHeight w:val="302"/>
          <w:tblHeader/>
          <w:jc w:val="center"/>
        </w:trPr>
        <w:tc>
          <w:tcPr>
            <w:tcW w:w="675" w:type="dxa"/>
            <w:tcBorders>
              <w:top w:val="nil"/>
              <w:left w:val="single" w:sz="4" w:space="0" w:color="auto"/>
              <w:bottom w:val="single" w:sz="4" w:space="0" w:color="auto"/>
              <w:right w:val="single" w:sz="4" w:space="0" w:color="auto"/>
            </w:tcBorders>
            <w:shd w:val="clear" w:color="auto" w:fill="C6EFCE"/>
            <w:noWrap/>
          </w:tcPr>
          <w:p w14:paraId="54D1530E" w14:textId="77777777" w:rsidR="00C45D59" w:rsidRDefault="009B0962">
            <w:pPr>
              <w:pStyle w:val="P68B1DB1-Normal55"/>
              <w:keepNext/>
              <w:spacing w:before="40" w:after="0" w:line="240" w:lineRule="auto"/>
              <w:jc w:val="both"/>
              <w:rPr>
                <w:noProof/>
              </w:rPr>
            </w:pPr>
            <w:r>
              <w:rPr>
                <w:noProof/>
              </w:rPr>
              <w:t>334</w:t>
            </w:r>
          </w:p>
        </w:tc>
        <w:tc>
          <w:tcPr>
            <w:tcW w:w="5440" w:type="dxa"/>
            <w:tcBorders>
              <w:top w:val="nil"/>
              <w:left w:val="nil"/>
              <w:bottom w:val="single" w:sz="4" w:space="0" w:color="auto"/>
              <w:right w:val="single" w:sz="4" w:space="0" w:color="auto"/>
            </w:tcBorders>
            <w:shd w:val="clear" w:color="auto" w:fill="C6EFCE"/>
            <w:noWrap/>
          </w:tcPr>
          <w:p w14:paraId="7D6C28E8" w14:textId="47BE478D" w:rsidR="00C45D59" w:rsidRDefault="009B0962">
            <w:pPr>
              <w:pStyle w:val="P68B1DB1-Normal55"/>
              <w:keepNext/>
              <w:spacing w:before="40" w:after="0" w:line="240" w:lineRule="auto"/>
              <w:jc w:val="both"/>
              <w:rPr>
                <w:noProof/>
              </w:rPr>
            </w:pPr>
            <w:r>
              <w:rPr>
                <w:noProof/>
              </w:rPr>
              <w:t>5-21. Conectare – 16857_Schimbarea conexiunilor în bandă largă la nivel de gigabit – Tranziția către conexiuni în bandă largă la nivel de gigabit și consolidarea cererii de bandă largă la nivel de gigabit</w:t>
            </w:r>
          </w:p>
        </w:tc>
        <w:tc>
          <w:tcPr>
            <w:tcW w:w="1680" w:type="dxa"/>
            <w:tcBorders>
              <w:top w:val="nil"/>
              <w:left w:val="nil"/>
              <w:bottom w:val="single" w:sz="4" w:space="0" w:color="auto"/>
              <w:right w:val="single" w:sz="4" w:space="0" w:color="auto"/>
            </w:tcBorders>
            <w:shd w:val="clear" w:color="auto" w:fill="C6EFCE"/>
            <w:noWrap/>
          </w:tcPr>
          <w:p w14:paraId="396A50E8" w14:textId="77777777" w:rsidR="00C45D59" w:rsidRDefault="009B0962">
            <w:pPr>
              <w:pStyle w:val="P68B1DB1-Normal55"/>
              <w:keepNext/>
              <w:spacing w:before="40" w:after="0" w:line="240" w:lineRule="auto"/>
              <w:jc w:val="both"/>
              <w:rPr>
                <w:noProof/>
              </w:rPr>
            </w:pPr>
            <w:r>
              <w:rPr>
                <w:noProof/>
              </w:rPr>
              <w:t>Etapă</w:t>
            </w:r>
          </w:p>
        </w:tc>
        <w:tc>
          <w:tcPr>
            <w:tcW w:w="1800" w:type="dxa"/>
            <w:tcBorders>
              <w:top w:val="nil"/>
              <w:left w:val="nil"/>
              <w:bottom w:val="single" w:sz="4" w:space="0" w:color="auto"/>
              <w:right w:val="single" w:sz="4" w:space="0" w:color="auto"/>
            </w:tcBorders>
            <w:shd w:val="clear" w:color="auto" w:fill="C6EFCE"/>
            <w:noWrap/>
          </w:tcPr>
          <w:p w14:paraId="3EAE9B3D" w14:textId="77777777" w:rsidR="00C45D59" w:rsidRDefault="009B0962">
            <w:pPr>
              <w:pStyle w:val="P68B1DB1-Normal55"/>
              <w:keepNext/>
              <w:spacing w:before="40" w:after="0" w:line="240" w:lineRule="auto"/>
              <w:jc w:val="both"/>
              <w:rPr>
                <w:noProof/>
              </w:rPr>
            </w:pPr>
            <w:r>
              <w:rPr>
                <w:noProof/>
              </w:rPr>
              <w:t>Intrarea în vigoare a reformei privind trecerea la conexiuni în bandă largă de ordinul gigabiților</w:t>
            </w:r>
          </w:p>
        </w:tc>
      </w:tr>
      <w:tr w:rsidR="00C45D59" w14:paraId="3A09125A" w14:textId="77777777">
        <w:trPr>
          <w:trHeight w:val="302"/>
          <w:tblHeader/>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7A58E9C3"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97</w:t>
            </w:r>
          </w:p>
        </w:tc>
        <w:tc>
          <w:tcPr>
            <w:tcW w:w="5440" w:type="dxa"/>
            <w:tcBorders>
              <w:top w:val="nil"/>
              <w:left w:val="nil"/>
              <w:bottom w:val="single" w:sz="4" w:space="0" w:color="auto"/>
              <w:right w:val="single" w:sz="4" w:space="0" w:color="auto"/>
            </w:tcBorders>
            <w:shd w:val="clear" w:color="auto" w:fill="C6EFCE"/>
            <w:noWrap/>
            <w:vAlign w:val="center"/>
          </w:tcPr>
          <w:p w14:paraId="400CE71C"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6-2.2. Modernizare – 16929_Către servicii orientate către client ale administrației publice prin simplificarea și îmbunătățirea proceselor, a îmbunătățirilor sistemelor și a conformității cu strategiile și politicile europene</w:t>
            </w:r>
          </w:p>
        </w:tc>
        <w:tc>
          <w:tcPr>
            <w:tcW w:w="1680" w:type="dxa"/>
            <w:tcBorders>
              <w:top w:val="nil"/>
              <w:left w:val="nil"/>
              <w:bottom w:val="single" w:sz="4" w:space="0" w:color="auto"/>
              <w:right w:val="single" w:sz="4" w:space="0" w:color="auto"/>
            </w:tcBorders>
            <w:shd w:val="clear" w:color="auto" w:fill="C6EFCE"/>
            <w:noWrap/>
            <w:vAlign w:val="center"/>
          </w:tcPr>
          <w:p w14:paraId="4A0AEE05" w14:textId="77777777" w:rsidR="00C45D59" w:rsidRDefault="009B0962">
            <w:pPr>
              <w:pStyle w:val="P68B1DB1-Normal55"/>
              <w:keepNext/>
              <w:spacing w:before="40" w:after="0" w:line="240" w:lineRule="auto"/>
              <w:jc w:val="both"/>
              <w:rPr>
                <w:rFonts w:eastAsia="Times New Roman" w:cs="Times New Roman"/>
                <w:noProof/>
                <w:szCs w:val="18"/>
              </w:rPr>
            </w:pPr>
            <w:r>
              <w:rPr>
                <w:noProof/>
              </w:rPr>
              <w:t>Etapă</w:t>
            </w:r>
          </w:p>
        </w:tc>
        <w:tc>
          <w:tcPr>
            <w:tcW w:w="1800" w:type="dxa"/>
            <w:tcBorders>
              <w:top w:val="nil"/>
              <w:left w:val="nil"/>
              <w:bottom w:val="single" w:sz="4" w:space="0" w:color="auto"/>
              <w:right w:val="single" w:sz="4" w:space="0" w:color="auto"/>
            </w:tcBorders>
            <w:shd w:val="clear" w:color="auto" w:fill="C6EFCE"/>
            <w:noWrap/>
            <w:vAlign w:val="center"/>
          </w:tcPr>
          <w:p w14:paraId="205A0F48" w14:textId="77777777" w:rsidR="00C45D59" w:rsidRDefault="009B0962">
            <w:pPr>
              <w:pStyle w:val="P68B1DB1-Normal55"/>
              <w:keepNext/>
              <w:spacing w:before="40" w:after="0" w:line="240" w:lineRule="auto"/>
              <w:jc w:val="both"/>
              <w:rPr>
                <w:rFonts w:eastAsia="Times New Roman" w:cs="Times New Roman"/>
                <w:noProof/>
                <w:szCs w:val="18"/>
              </w:rPr>
            </w:pPr>
            <w:r>
              <w:rPr>
                <w:noProof/>
              </w:rPr>
              <w:t>Punerea în aplicare a planului național de simplificare a proceselor (a doua etapă)</w:t>
            </w:r>
          </w:p>
        </w:tc>
      </w:tr>
      <w:tr w:rsidR="00C45D59" w14:paraId="1C374EE2" w14:textId="77777777">
        <w:trPr>
          <w:trHeight w:val="302"/>
          <w:tblHeader/>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0911CE55" w14:textId="77777777" w:rsidR="00C45D59" w:rsidRDefault="009B0962">
            <w:pPr>
              <w:pStyle w:val="P68B1DB1-Normal11"/>
              <w:keepNext/>
              <w:spacing w:before="40" w:after="0" w:line="240" w:lineRule="auto"/>
              <w:jc w:val="both"/>
              <w:rPr>
                <w:rFonts w:eastAsia="Times New Roman" w:cs="Times New Roman"/>
                <w:bCs/>
                <w:noProof/>
              </w:rPr>
            </w:pPr>
            <w:r>
              <w:rPr>
                <w:noProof/>
              </w:rPr>
              <w:t>147</w:t>
            </w:r>
          </w:p>
        </w:tc>
        <w:tc>
          <w:tcPr>
            <w:tcW w:w="5440" w:type="dxa"/>
            <w:tcBorders>
              <w:top w:val="nil"/>
              <w:left w:val="nil"/>
              <w:bottom w:val="single" w:sz="4" w:space="0" w:color="auto"/>
              <w:right w:val="single" w:sz="4" w:space="0" w:color="auto"/>
            </w:tcBorders>
            <w:shd w:val="clear" w:color="auto" w:fill="C6EFCE"/>
            <w:noWrap/>
            <w:vAlign w:val="center"/>
          </w:tcPr>
          <w:p w14:paraId="0B2538DF"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9-3.2. Educație, educație și formare profesională și competențe – 16289_Strategie pentru excelență în universități &amp; inovare</w:t>
            </w:r>
          </w:p>
        </w:tc>
        <w:tc>
          <w:tcPr>
            <w:tcW w:w="1680" w:type="dxa"/>
            <w:tcBorders>
              <w:top w:val="nil"/>
              <w:left w:val="nil"/>
              <w:bottom w:val="single" w:sz="4" w:space="0" w:color="auto"/>
              <w:right w:val="single" w:sz="4" w:space="0" w:color="auto"/>
            </w:tcBorders>
            <w:shd w:val="clear" w:color="auto" w:fill="C6EFCE"/>
            <w:noWrap/>
            <w:vAlign w:val="center"/>
          </w:tcPr>
          <w:p w14:paraId="2E037A03" w14:textId="77777777" w:rsidR="00C45D59" w:rsidRDefault="009B0962">
            <w:pPr>
              <w:pStyle w:val="P68B1DB1-Normal55"/>
              <w:keepNext/>
              <w:spacing w:before="40" w:after="0" w:line="240" w:lineRule="auto"/>
              <w:jc w:val="both"/>
              <w:rPr>
                <w:rFonts w:eastAsia="Times New Roman" w:cs="Times New Roman"/>
                <w:noProof/>
                <w:szCs w:val="18"/>
              </w:rPr>
            </w:pPr>
            <w:r>
              <w:rPr>
                <w:noProof/>
              </w:rPr>
              <w:t>Etapă</w:t>
            </w:r>
          </w:p>
        </w:tc>
        <w:tc>
          <w:tcPr>
            <w:tcW w:w="1800" w:type="dxa"/>
            <w:tcBorders>
              <w:top w:val="nil"/>
              <w:left w:val="nil"/>
              <w:bottom w:val="single" w:sz="4" w:space="0" w:color="auto"/>
              <w:right w:val="single" w:sz="4" w:space="0" w:color="auto"/>
            </w:tcBorders>
            <w:shd w:val="clear" w:color="auto" w:fill="C6EFCE"/>
            <w:noWrap/>
            <w:vAlign w:val="center"/>
          </w:tcPr>
          <w:p w14:paraId="566C8501" w14:textId="77777777" w:rsidR="00C45D59" w:rsidRDefault="009B0962">
            <w:pPr>
              <w:pStyle w:val="P68B1DB1-Normal55"/>
              <w:keepNext/>
              <w:spacing w:before="40" w:after="0" w:line="240" w:lineRule="auto"/>
              <w:jc w:val="both"/>
              <w:rPr>
                <w:rFonts w:eastAsia="Times New Roman" w:cs="Times New Roman"/>
                <w:noProof/>
                <w:szCs w:val="18"/>
              </w:rPr>
            </w:pPr>
            <w:r>
              <w:rPr>
                <w:noProof/>
              </w:rPr>
              <w:t>Decizii de aprobare a universităților de excelență și a clusterelor de excelență în cercetare</w:t>
            </w:r>
          </w:p>
        </w:tc>
      </w:tr>
      <w:tr w:rsidR="00C45D59" w14:paraId="3D2A380C" w14:textId="77777777">
        <w:trPr>
          <w:trHeight w:val="302"/>
          <w:tblHeader/>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10D9ED93"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162</w:t>
            </w:r>
          </w:p>
        </w:tc>
        <w:tc>
          <w:tcPr>
            <w:tcW w:w="5440" w:type="dxa"/>
            <w:tcBorders>
              <w:top w:val="nil"/>
              <w:left w:val="nil"/>
              <w:bottom w:val="single" w:sz="4" w:space="0" w:color="auto"/>
              <w:right w:val="single" w:sz="4" w:space="0" w:color="auto"/>
            </w:tcBorders>
            <w:shd w:val="clear" w:color="auto" w:fill="C6EFCE"/>
            <w:noWrap/>
            <w:vAlign w:val="center"/>
          </w:tcPr>
          <w:p w14:paraId="137BE018"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10-3.3. Îmbunătățirea rezilienței, a accesibilității și a sustenabilității asistenței medicale – 16820_Reforma în domeniul sănătății mintale și al dependenței</w:t>
            </w:r>
          </w:p>
        </w:tc>
        <w:tc>
          <w:tcPr>
            <w:tcW w:w="1680" w:type="dxa"/>
            <w:tcBorders>
              <w:top w:val="nil"/>
              <w:left w:val="nil"/>
              <w:bottom w:val="single" w:sz="4" w:space="0" w:color="auto"/>
              <w:right w:val="single" w:sz="4" w:space="0" w:color="auto"/>
            </w:tcBorders>
            <w:shd w:val="clear" w:color="auto" w:fill="C6EFCE"/>
            <w:noWrap/>
            <w:vAlign w:val="center"/>
          </w:tcPr>
          <w:p w14:paraId="1250BB55" w14:textId="77777777" w:rsidR="00C45D59" w:rsidRDefault="009B0962">
            <w:pPr>
              <w:pStyle w:val="P68B1DB1-Normal55"/>
              <w:keepNext/>
              <w:spacing w:before="40" w:after="0" w:line="240" w:lineRule="auto"/>
              <w:jc w:val="both"/>
              <w:rPr>
                <w:rFonts w:eastAsia="Times New Roman" w:cs="Times New Roman"/>
                <w:noProof/>
                <w:szCs w:val="18"/>
              </w:rPr>
            </w:pPr>
            <w:r>
              <w:rPr>
                <w:noProof/>
              </w:rPr>
              <w:t>Țintă</w:t>
            </w:r>
          </w:p>
        </w:tc>
        <w:tc>
          <w:tcPr>
            <w:tcW w:w="1800" w:type="dxa"/>
            <w:tcBorders>
              <w:top w:val="nil"/>
              <w:left w:val="nil"/>
              <w:bottom w:val="single" w:sz="4" w:space="0" w:color="auto"/>
              <w:right w:val="single" w:sz="4" w:space="0" w:color="auto"/>
            </w:tcBorders>
            <w:shd w:val="clear" w:color="auto" w:fill="C6EFCE"/>
            <w:noWrap/>
            <w:vAlign w:val="center"/>
          </w:tcPr>
          <w:p w14:paraId="3E2F71B6" w14:textId="77777777" w:rsidR="00C45D59" w:rsidRDefault="009B0962">
            <w:pPr>
              <w:pStyle w:val="P68B1DB1-Normal55"/>
              <w:keepNext/>
              <w:spacing w:before="40" w:after="0" w:line="240" w:lineRule="auto"/>
              <w:jc w:val="both"/>
              <w:rPr>
                <w:rFonts w:eastAsia="Times New Roman" w:cs="Times New Roman"/>
                <w:noProof/>
                <w:szCs w:val="18"/>
              </w:rPr>
            </w:pPr>
            <w:r>
              <w:rPr>
                <w:noProof/>
              </w:rPr>
              <w:t>Sănătate mintală – 106 unități deschise – etapa 2 din 2</w:t>
            </w:r>
          </w:p>
        </w:tc>
      </w:tr>
      <w:tr w:rsidR="00C45D59" w14:paraId="15102E0D" w14:textId="77777777">
        <w:trPr>
          <w:trHeight w:val="302"/>
          <w:tblHeader/>
          <w:jc w:val="center"/>
        </w:trPr>
        <w:tc>
          <w:tcPr>
            <w:tcW w:w="6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7B4F18A" w14:textId="77777777" w:rsidR="00C45D59" w:rsidRDefault="009B0962">
            <w:pPr>
              <w:pStyle w:val="P68B1DB1-Normal55"/>
              <w:keepNext/>
              <w:spacing w:before="40" w:after="0" w:line="240" w:lineRule="auto"/>
              <w:jc w:val="both"/>
              <w:rPr>
                <w:rFonts w:cs="Times New Roman"/>
                <w:noProof/>
                <w:szCs w:val="18"/>
              </w:rPr>
            </w:pPr>
            <w:r>
              <w:rPr>
                <w:noProof/>
              </w:rPr>
              <w:t>192</w:t>
            </w:r>
          </w:p>
        </w:tc>
        <w:tc>
          <w:tcPr>
            <w:tcW w:w="5440" w:type="dxa"/>
            <w:tcBorders>
              <w:top w:val="single" w:sz="4" w:space="0" w:color="auto"/>
              <w:left w:val="nil"/>
              <w:bottom w:val="single" w:sz="4" w:space="0" w:color="auto"/>
              <w:right w:val="single" w:sz="4" w:space="0" w:color="auto"/>
            </w:tcBorders>
            <w:shd w:val="clear" w:color="auto" w:fill="C6EFCE"/>
            <w:noWrap/>
            <w:vAlign w:val="center"/>
          </w:tcPr>
          <w:p w14:paraId="13A2F20F" w14:textId="77777777" w:rsidR="00C45D59" w:rsidRDefault="009B0962">
            <w:pPr>
              <w:pStyle w:val="P68B1DB1-Normal55"/>
              <w:keepNext/>
              <w:spacing w:before="40" w:after="0" w:line="240" w:lineRule="auto"/>
              <w:jc w:val="both"/>
              <w:rPr>
                <w:rFonts w:cs="Times New Roman"/>
                <w:noProof/>
                <w:szCs w:val="18"/>
              </w:rPr>
            </w:pPr>
            <w:r>
              <w:rPr>
                <w:noProof/>
              </w:rPr>
              <w:t>12-4.1. O fiscalitate mai favorabilă creșterii economice și o mai bună administrare fiscală și colectare a impozitelor – 16611_Transformarea digitală a auditurilor fiscale</w:t>
            </w:r>
          </w:p>
        </w:tc>
        <w:tc>
          <w:tcPr>
            <w:tcW w:w="1680" w:type="dxa"/>
            <w:tcBorders>
              <w:top w:val="single" w:sz="4" w:space="0" w:color="auto"/>
              <w:left w:val="nil"/>
              <w:bottom w:val="single" w:sz="4" w:space="0" w:color="auto"/>
              <w:right w:val="single" w:sz="4" w:space="0" w:color="auto"/>
            </w:tcBorders>
            <w:shd w:val="clear" w:color="auto" w:fill="C6EFCE"/>
            <w:noWrap/>
            <w:vAlign w:val="center"/>
          </w:tcPr>
          <w:p w14:paraId="6D2CE264" w14:textId="77777777" w:rsidR="00C45D59" w:rsidRDefault="009B0962">
            <w:pPr>
              <w:pStyle w:val="P68B1DB1-Normal55"/>
              <w:keepNext/>
              <w:spacing w:before="40" w:after="0" w:line="240" w:lineRule="auto"/>
              <w:jc w:val="both"/>
              <w:rPr>
                <w:rFonts w:cs="Times New Roman"/>
                <w:noProof/>
                <w:szCs w:val="18"/>
              </w:rPr>
            </w:pPr>
            <w:r>
              <w:rPr>
                <w:noProof/>
              </w:rPr>
              <w:t>Etapă</w:t>
            </w:r>
          </w:p>
        </w:tc>
        <w:tc>
          <w:tcPr>
            <w:tcW w:w="1800" w:type="dxa"/>
            <w:tcBorders>
              <w:top w:val="single" w:sz="4" w:space="0" w:color="auto"/>
              <w:left w:val="nil"/>
              <w:bottom w:val="single" w:sz="4" w:space="0" w:color="auto"/>
              <w:right w:val="single" w:sz="4" w:space="0" w:color="auto"/>
            </w:tcBorders>
            <w:shd w:val="clear" w:color="auto" w:fill="C6EFCE"/>
            <w:noWrap/>
            <w:vAlign w:val="center"/>
          </w:tcPr>
          <w:p w14:paraId="6DF61854" w14:textId="77777777" w:rsidR="00C45D59" w:rsidRDefault="009B0962">
            <w:pPr>
              <w:pStyle w:val="P68B1DB1-Normal55"/>
              <w:keepNext/>
              <w:spacing w:before="40" w:after="0" w:line="240" w:lineRule="auto"/>
              <w:jc w:val="both"/>
              <w:rPr>
                <w:rFonts w:cs="Times New Roman"/>
                <w:noProof/>
                <w:szCs w:val="18"/>
              </w:rPr>
            </w:pPr>
            <w:r>
              <w:rPr>
                <w:noProof/>
              </w:rPr>
              <w:t>Audituri fiscale – Mydata și informații bancare</w:t>
            </w:r>
          </w:p>
        </w:tc>
      </w:tr>
      <w:tr w:rsidR="00C45D59" w14:paraId="48CDB961" w14:textId="77777777">
        <w:trPr>
          <w:trHeight w:val="302"/>
          <w:tblHeader/>
          <w:jc w:val="center"/>
        </w:trPr>
        <w:tc>
          <w:tcPr>
            <w:tcW w:w="6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8C372FA"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193</w:t>
            </w:r>
          </w:p>
        </w:tc>
        <w:tc>
          <w:tcPr>
            <w:tcW w:w="544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D1EBAE2"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12-4.1. O fiscalitate mai favorabilă creșterii economice și o mai bună administrare fiscală și colectare a impozitelor – 16610_Promovarea accelerării rambursărilor de TVA</w:t>
            </w:r>
          </w:p>
        </w:tc>
        <w:tc>
          <w:tcPr>
            <w:tcW w:w="1680" w:type="dxa"/>
            <w:tcBorders>
              <w:top w:val="single" w:sz="4" w:space="0" w:color="auto"/>
              <w:left w:val="nil"/>
              <w:bottom w:val="single" w:sz="4" w:space="0" w:color="auto"/>
              <w:right w:val="single" w:sz="4" w:space="0" w:color="auto"/>
            </w:tcBorders>
            <w:shd w:val="clear" w:color="auto" w:fill="C6EFCE"/>
            <w:noWrap/>
            <w:vAlign w:val="center"/>
          </w:tcPr>
          <w:p w14:paraId="4EF456AE" w14:textId="77777777" w:rsidR="00C45D59" w:rsidRDefault="009B0962">
            <w:pPr>
              <w:pStyle w:val="P68B1DB1-Normal55"/>
              <w:keepNext/>
              <w:spacing w:before="40" w:after="0" w:line="240" w:lineRule="auto"/>
              <w:jc w:val="both"/>
              <w:rPr>
                <w:rFonts w:eastAsia="Times New Roman" w:cs="Times New Roman"/>
                <w:noProof/>
                <w:szCs w:val="18"/>
              </w:rPr>
            </w:pPr>
            <w:r>
              <w:rPr>
                <w:noProof/>
              </w:rPr>
              <w:t>Etapă</w:t>
            </w:r>
          </w:p>
        </w:tc>
        <w:tc>
          <w:tcPr>
            <w:tcW w:w="1800" w:type="dxa"/>
            <w:tcBorders>
              <w:top w:val="single" w:sz="4" w:space="0" w:color="auto"/>
              <w:left w:val="nil"/>
              <w:bottom w:val="single" w:sz="4" w:space="0" w:color="auto"/>
              <w:right w:val="single" w:sz="4" w:space="0" w:color="auto"/>
            </w:tcBorders>
            <w:shd w:val="clear" w:color="auto" w:fill="C6EFCE"/>
            <w:noWrap/>
            <w:vAlign w:val="center"/>
          </w:tcPr>
          <w:p w14:paraId="0EAE1E51" w14:textId="77777777" w:rsidR="00C45D59" w:rsidRDefault="009B0962">
            <w:pPr>
              <w:pStyle w:val="P68B1DB1-Normal55"/>
              <w:keepNext/>
              <w:spacing w:before="40" w:after="0" w:line="240" w:lineRule="auto"/>
              <w:jc w:val="both"/>
              <w:rPr>
                <w:rFonts w:eastAsia="Times New Roman" w:cs="Times New Roman"/>
                <w:noProof/>
                <w:szCs w:val="18"/>
              </w:rPr>
            </w:pPr>
            <w:r>
              <w:rPr>
                <w:noProof/>
              </w:rPr>
              <w:t>Rambursarea TVA complet automatizată – lansarea sistemului informatic</w:t>
            </w:r>
          </w:p>
        </w:tc>
      </w:tr>
      <w:tr w:rsidR="00C45D59" w14:paraId="1BC93243" w14:textId="77777777">
        <w:trPr>
          <w:trHeight w:val="302"/>
          <w:tblHeader/>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174DA1AC"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207</w:t>
            </w:r>
          </w:p>
        </w:tc>
        <w:tc>
          <w:tcPr>
            <w:tcW w:w="544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83FF863"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13-4.2. Modernizarea administrației publice, inclusiv prin accelerarea punerii în aplicare a investițiilor publice, îmbunătățirea cadrului privind achizițiile publice, măsuri de consolidare a capacităților și combaterea corupției – 16972_Reformarea administrației publice</w:t>
            </w:r>
          </w:p>
        </w:tc>
        <w:tc>
          <w:tcPr>
            <w:tcW w:w="1680" w:type="dxa"/>
            <w:tcBorders>
              <w:top w:val="single" w:sz="4" w:space="0" w:color="auto"/>
              <w:left w:val="nil"/>
              <w:bottom w:val="single" w:sz="4" w:space="0" w:color="auto"/>
              <w:right w:val="single" w:sz="4" w:space="0" w:color="auto"/>
            </w:tcBorders>
            <w:shd w:val="clear" w:color="auto" w:fill="C6EFCE"/>
            <w:noWrap/>
            <w:vAlign w:val="center"/>
          </w:tcPr>
          <w:p w14:paraId="6928AA94" w14:textId="77777777" w:rsidR="00C45D59" w:rsidRDefault="009B0962">
            <w:pPr>
              <w:pStyle w:val="P68B1DB1-Normal55"/>
              <w:keepNext/>
              <w:spacing w:before="40" w:after="0" w:line="240" w:lineRule="auto"/>
              <w:jc w:val="both"/>
              <w:rPr>
                <w:rFonts w:eastAsia="Times New Roman" w:cs="Times New Roman"/>
                <w:noProof/>
                <w:szCs w:val="18"/>
              </w:rPr>
            </w:pPr>
            <w:r>
              <w:rPr>
                <w:noProof/>
              </w:rPr>
              <w:t>Etapă</w:t>
            </w:r>
          </w:p>
        </w:tc>
        <w:tc>
          <w:tcPr>
            <w:tcW w:w="1800" w:type="dxa"/>
            <w:tcBorders>
              <w:top w:val="single" w:sz="4" w:space="0" w:color="auto"/>
              <w:left w:val="nil"/>
              <w:bottom w:val="single" w:sz="4" w:space="0" w:color="auto"/>
              <w:right w:val="single" w:sz="4" w:space="0" w:color="auto"/>
            </w:tcBorders>
            <w:shd w:val="clear" w:color="auto" w:fill="C6EFCE"/>
            <w:noWrap/>
            <w:vAlign w:val="center"/>
          </w:tcPr>
          <w:p w14:paraId="5824EDF2" w14:textId="77777777" w:rsidR="00C45D59" w:rsidRDefault="009B0962">
            <w:pPr>
              <w:pStyle w:val="P68B1DB1-Normal55"/>
              <w:keepNext/>
              <w:spacing w:before="40" w:after="0" w:line="240" w:lineRule="auto"/>
              <w:jc w:val="both"/>
              <w:rPr>
                <w:rFonts w:eastAsia="Times New Roman" w:cs="Times New Roman"/>
                <w:noProof/>
                <w:szCs w:val="18"/>
              </w:rPr>
            </w:pPr>
            <w:r>
              <w:rPr>
                <w:noProof/>
              </w:rPr>
              <w:t>Administrația publică – un nou sistem de recompensare</w:t>
            </w:r>
          </w:p>
        </w:tc>
      </w:tr>
      <w:tr w:rsidR="00C45D59" w14:paraId="1B0FB35F" w14:textId="77777777">
        <w:trPr>
          <w:trHeight w:val="302"/>
          <w:tblHeader/>
          <w:jc w:val="center"/>
        </w:trPr>
        <w:tc>
          <w:tcPr>
            <w:tcW w:w="675" w:type="dxa"/>
            <w:tcBorders>
              <w:top w:val="nil"/>
              <w:left w:val="single" w:sz="4" w:space="0" w:color="auto"/>
              <w:bottom w:val="single" w:sz="4" w:space="0" w:color="auto"/>
              <w:right w:val="single" w:sz="4" w:space="0" w:color="auto"/>
            </w:tcBorders>
            <w:shd w:val="clear" w:color="auto" w:fill="C6EFCE"/>
            <w:noWrap/>
          </w:tcPr>
          <w:p w14:paraId="1099E38C" w14:textId="77777777" w:rsidR="00C45D59" w:rsidRDefault="009B0962">
            <w:pPr>
              <w:pStyle w:val="P68B1DB1-Normal55"/>
              <w:keepNext/>
              <w:spacing w:before="40" w:after="0" w:line="240" w:lineRule="auto"/>
              <w:jc w:val="both"/>
              <w:rPr>
                <w:rFonts w:cs="Times New Roman"/>
                <w:noProof/>
                <w:szCs w:val="18"/>
              </w:rPr>
            </w:pPr>
            <w:r>
              <w:rPr>
                <w:noProof/>
              </w:rPr>
              <w:t>216a</w:t>
            </w:r>
          </w:p>
        </w:tc>
        <w:tc>
          <w:tcPr>
            <w:tcW w:w="5440" w:type="dxa"/>
            <w:tcBorders>
              <w:top w:val="single" w:sz="4" w:space="0" w:color="auto"/>
              <w:left w:val="single" w:sz="4" w:space="0" w:color="auto"/>
              <w:bottom w:val="single" w:sz="4" w:space="0" w:color="auto"/>
              <w:right w:val="single" w:sz="4" w:space="0" w:color="auto"/>
            </w:tcBorders>
            <w:shd w:val="clear" w:color="auto" w:fill="C6EFCE"/>
            <w:noWrap/>
          </w:tcPr>
          <w:p w14:paraId="7ABB35F7" w14:textId="2E17CAAA" w:rsidR="00C45D59" w:rsidRDefault="009B0962">
            <w:pPr>
              <w:pStyle w:val="P68B1DB1-Normal11"/>
              <w:keepNext/>
              <w:spacing w:before="40" w:after="0" w:line="240" w:lineRule="auto"/>
              <w:jc w:val="both"/>
              <w:rPr>
                <w:rFonts w:cs="Times New Roman"/>
                <w:noProof/>
              </w:rPr>
            </w:pPr>
            <w:r>
              <w:rPr>
                <w:noProof/>
              </w:rPr>
              <w:t xml:space="preserve">13-4.2. Modernizarea administrației publice, inclusiv prin accelerarea punerii în aplicare a investițiilor publice, îmbunătățirea cadrului privind achizițiile publice, măsuri de consolidare a capacităților și combaterea corupției – 16711_Profesionalizarea domeniului achizițiilor publice </w:t>
            </w:r>
          </w:p>
        </w:tc>
        <w:tc>
          <w:tcPr>
            <w:tcW w:w="1680" w:type="dxa"/>
            <w:tcBorders>
              <w:top w:val="single" w:sz="4" w:space="0" w:color="auto"/>
              <w:left w:val="nil"/>
              <w:bottom w:val="single" w:sz="4" w:space="0" w:color="auto"/>
              <w:right w:val="single" w:sz="4" w:space="0" w:color="auto"/>
            </w:tcBorders>
            <w:shd w:val="clear" w:color="auto" w:fill="C6EFCE"/>
            <w:noWrap/>
          </w:tcPr>
          <w:p w14:paraId="7B124933" w14:textId="77777777" w:rsidR="00C45D59" w:rsidRDefault="009B0962">
            <w:pPr>
              <w:pStyle w:val="P68B1DB1-Normal55"/>
              <w:keepNext/>
              <w:spacing w:before="40" w:after="0" w:line="240" w:lineRule="auto"/>
              <w:jc w:val="both"/>
              <w:rPr>
                <w:rFonts w:cs="Times New Roman"/>
                <w:noProof/>
                <w:szCs w:val="18"/>
              </w:rPr>
            </w:pPr>
            <w:r>
              <w:rPr>
                <w:noProof/>
              </w:rPr>
              <w:t>Etapă</w:t>
            </w:r>
          </w:p>
        </w:tc>
        <w:tc>
          <w:tcPr>
            <w:tcW w:w="1800" w:type="dxa"/>
            <w:tcBorders>
              <w:top w:val="single" w:sz="4" w:space="0" w:color="auto"/>
              <w:left w:val="nil"/>
              <w:bottom w:val="single" w:sz="4" w:space="0" w:color="auto"/>
              <w:right w:val="single" w:sz="4" w:space="0" w:color="auto"/>
            </w:tcBorders>
            <w:shd w:val="clear" w:color="auto" w:fill="C6EFCE"/>
            <w:noWrap/>
          </w:tcPr>
          <w:p w14:paraId="078F2F21" w14:textId="77777777" w:rsidR="00C45D59" w:rsidRDefault="009B0962">
            <w:pPr>
              <w:pStyle w:val="P68B1DB1-Normal55"/>
              <w:keepNext/>
              <w:spacing w:before="40" w:after="0" w:line="240" w:lineRule="auto"/>
              <w:jc w:val="both"/>
              <w:rPr>
                <w:rFonts w:cs="Times New Roman"/>
                <w:noProof/>
                <w:szCs w:val="18"/>
              </w:rPr>
            </w:pPr>
            <w:r>
              <w:rPr>
                <w:noProof/>
              </w:rPr>
              <w:t>Modificarea Strategiei naționale privind achizițiile publice 2021-2025</w:t>
            </w:r>
          </w:p>
        </w:tc>
      </w:tr>
      <w:tr w:rsidR="00C45D59" w14:paraId="53195989" w14:textId="77777777">
        <w:trPr>
          <w:trHeight w:val="302"/>
          <w:tblHeader/>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446107B2"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232</w:t>
            </w:r>
          </w:p>
        </w:tc>
        <w:tc>
          <w:tcPr>
            <w:tcW w:w="544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9711CBE" w14:textId="77777777" w:rsidR="00C45D59" w:rsidRDefault="009B0962">
            <w:pPr>
              <w:pStyle w:val="P68B1DB1-Normal11"/>
              <w:keepNext/>
              <w:spacing w:before="40" w:after="0" w:line="240" w:lineRule="auto"/>
              <w:jc w:val="both"/>
              <w:rPr>
                <w:rFonts w:eastAsia="Times New Roman" w:cs="Times New Roman"/>
                <w:bCs/>
                <w:noProof/>
              </w:rPr>
            </w:pPr>
            <w:r>
              <w:rPr>
                <w:noProof/>
              </w:rPr>
              <w:t>14-4.3. Îmbunătățirea eficienței sistemului de justiție – 16575 Accelerarea administrării justiției</w:t>
            </w:r>
          </w:p>
        </w:tc>
        <w:tc>
          <w:tcPr>
            <w:tcW w:w="1680" w:type="dxa"/>
            <w:tcBorders>
              <w:top w:val="single" w:sz="4" w:space="0" w:color="auto"/>
              <w:left w:val="nil"/>
              <w:bottom w:val="single" w:sz="4" w:space="0" w:color="auto"/>
              <w:right w:val="single" w:sz="4" w:space="0" w:color="auto"/>
            </w:tcBorders>
            <w:shd w:val="clear" w:color="auto" w:fill="C6EFCE"/>
            <w:noWrap/>
            <w:vAlign w:val="center"/>
          </w:tcPr>
          <w:p w14:paraId="63688022" w14:textId="77777777" w:rsidR="00C45D59" w:rsidRDefault="009B0962">
            <w:pPr>
              <w:pStyle w:val="P68B1DB1-Normal55"/>
              <w:keepNext/>
              <w:spacing w:before="40" w:after="0" w:line="240" w:lineRule="auto"/>
              <w:jc w:val="both"/>
              <w:rPr>
                <w:rFonts w:eastAsia="Times New Roman" w:cs="Times New Roman"/>
                <w:noProof/>
                <w:szCs w:val="18"/>
              </w:rPr>
            </w:pPr>
            <w:r>
              <w:rPr>
                <w:noProof/>
              </w:rPr>
              <w:t>Etapă</w:t>
            </w:r>
          </w:p>
        </w:tc>
        <w:tc>
          <w:tcPr>
            <w:tcW w:w="1800" w:type="dxa"/>
            <w:tcBorders>
              <w:top w:val="single" w:sz="4" w:space="0" w:color="auto"/>
              <w:left w:val="nil"/>
              <w:bottom w:val="single" w:sz="4" w:space="0" w:color="auto"/>
              <w:right w:val="single" w:sz="4" w:space="0" w:color="auto"/>
            </w:tcBorders>
            <w:shd w:val="clear" w:color="auto" w:fill="C6EFCE"/>
            <w:noWrap/>
            <w:vAlign w:val="center"/>
          </w:tcPr>
          <w:p w14:paraId="3B0893C2" w14:textId="77777777" w:rsidR="00C45D59" w:rsidRDefault="009B0962">
            <w:pPr>
              <w:pStyle w:val="P68B1DB1-Normal55"/>
              <w:keepNext/>
              <w:spacing w:before="40" w:after="0" w:line="240" w:lineRule="auto"/>
              <w:jc w:val="both"/>
              <w:rPr>
                <w:rFonts w:eastAsia="Times New Roman" w:cs="Times New Roman"/>
                <w:noProof/>
                <w:szCs w:val="18"/>
              </w:rPr>
            </w:pPr>
            <w:r>
              <w:rPr>
                <w:noProof/>
              </w:rPr>
              <w:t>Revizuirea hărții judiciare – legislație primară – civilă și penală</w:t>
            </w:r>
          </w:p>
        </w:tc>
      </w:tr>
      <w:tr w:rsidR="00C45D59" w14:paraId="1033443B" w14:textId="77777777">
        <w:trPr>
          <w:trHeight w:val="302"/>
          <w:tblHeader/>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0E8CB15E"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233</w:t>
            </w:r>
          </w:p>
        </w:tc>
        <w:tc>
          <w:tcPr>
            <w:tcW w:w="544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67D1965" w14:textId="77777777" w:rsidR="00C45D59" w:rsidRDefault="009B0962">
            <w:pPr>
              <w:pStyle w:val="P68B1DB1-Normal11"/>
              <w:keepNext/>
              <w:spacing w:before="40" w:after="0" w:line="240" w:lineRule="auto"/>
              <w:jc w:val="both"/>
              <w:rPr>
                <w:rFonts w:eastAsia="Times New Roman" w:cs="Times New Roman"/>
                <w:bCs/>
                <w:noProof/>
              </w:rPr>
            </w:pPr>
            <w:r>
              <w:rPr>
                <w:noProof/>
              </w:rPr>
              <w:t>14-4.3. Îmbunătățirea eficienței sistemului de justiție – 16292_Noi clădiri judiciare</w:t>
            </w:r>
          </w:p>
        </w:tc>
        <w:tc>
          <w:tcPr>
            <w:tcW w:w="1680" w:type="dxa"/>
            <w:tcBorders>
              <w:top w:val="single" w:sz="4" w:space="0" w:color="auto"/>
              <w:left w:val="nil"/>
              <w:bottom w:val="single" w:sz="4" w:space="0" w:color="auto"/>
              <w:right w:val="single" w:sz="4" w:space="0" w:color="auto"/>
            </w:tcBorders>
            <w:shd w:val="clear" w:color="auto" w:fill="C6EFCE"/>
            <w:noWrap/>
            <w:vAlign w:val="center"/>
          </w:tcPr>
          <w:p w14:paraId="48442503" w14:textId="77777777" w:rsidR="00C45D59" w:rsidRDefault="009B0962">
            <w:pPr>
              <w:pStyle w:val="P68B1DB1-Normal55"/>
              <w:keepNext/>
              <w:spacing w:before="40" w:after="0" w:line="240" w:lineRule="auto"/>
              <w:jc w:val="both"/>
              <w:rPr>
                <w:rFonts w:eastAsia="Times New Roman" w:cs="Times New Roman"/>
                <w:noProof/>
                <w:szCs w:val="18"/>
              </w:rPr>
            </w:pPr>
            <w:r>
              <w:rPr>
                <w:noProof/>
              </w:rPr>
              <w:t>Etapă</w:t>
            </w:r>
          </w:p>
        </w:tc>
        <w:tc>
          <w:tcPr>
            <w:tcW w:w="1800" w:type="dxa"/>
            <w:tcBorders>
              <w:top w:val="single" w:sz="4" w:space="0" w:color="auto"/>
              <w:left w:val="nil"/>
              <w:bottom w:val="single" w:sz="4" w:space="0" w:color="auto"/>
              <w:right w:val="single" w:sz="4" w:space="0" w:color="auto"/>
            </w:tcBorders>
            <w:shd w:val="clear" w:color="auto" w:fill="C6EFCE"/>
            <w:noWrap/>
            <w:vAlign w:val="center"/>
          </w:tcPr>
          <w:p w14:paraId="794CBE73" w14:textId="77777777" w:rsidR="00C45D59" w:rsidRDefault="009B0962">
            <w:pPr>
              <w:pStyle w:val="P68B1DB1-Normal55"/>
              <w:keepNext/>
              <w:spacing w:before="40" w:after="0" w:line="240" w:lineRule="auto"/>
              <w:jc w:val="both"/>
              <w:rPr>
                <w:rFonts w:eastAsia="Times New Roman" w:cs="Times New Roman"/>
                <w:noProof/>
                <w:szCs w:val="18"/>
              </w:rPr>
            </w:pPr>
            <w:r>
              <w:rPr>
                <w:noProof/>
              </w:rPr>
              <w:t>Construcția și renovarea clădirilor judiciare – lansarea licitațiilor</w:t>
            </w:r>
          </w:p>
        </w:tc>
      </w:tr>
      <w:tr w:rsidR="00C45D59" w14:paraId="177DECD0" w14:textId="77777777">
        <w:trPr>
          <w:trHeight w:val="302"/>
          <w:tblHeader/>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19CD480E"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279</w:t>
            </w:r>
          </w:p>
        </w:tc>
        <w:tc>
          <w:tcPr>
            <w:tcW w:w="544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351F289" w14:textId="77777777" w:rsidR="00C45D59" w:rsidRDefault="009B0962">
            <w:pPr>
              <w:pStyle w:val="P68B1DB1-Normal11"/>
              <w:keepNext/>
              <w:spacing w:before="40" w:after="0" w:line="240" w:lineRule="auto"/>
              <w:jc w:val="both"/>
              <w:rPr>
                <w:rFonts w:eastAsia="Times New Roman" w:cs="Times New Roman"/>
                <w:bCs/>
                <w:noProof/>
              </w:rPr>
            </w:pPr>
            <w:r>
              <w:rPr>
                <w:noProof/>
              </w:rPr>
              <w:t>17-4.6. Modernizarea și îmbunătățirea rezilienței sectoarelor economice esențiale – 16486_Muzeul antichităților subacvatice</w:t>
            </w:r>
          </w:p>
        </w:tc>
        <w:tc>
          <w:tcPr>
            <w:tcW w:w="1680" w:type="dxa"/>
            <w:tcBorders>
              <w:top w:val="single" w:sz="4" w:space="0" w:color="auto"/>
              <w:left w:val="nil"/>
              <w:bottom w:val="single" w:sz="4" w:space="0" w:color="auto"/>
              <w:right w:val="single" w:sz="4" w:space="0" w:color="auto"/>
            </w:tcBorders>
            <w:shd w:val="clear" w:color="auto" w:fill="C6EFCE"/>
            <w:noWrap/>
            <w:vAlign w:val="center"/>
          </w:tcPr>
          <w:p w14:paraId="29D26D7A" w14:textId="77777777" w:rsidR="00C45D59" w:rsidRDefault="009B0962">
            <w:pPr>
              <w:pStyle w:val="P68B1DB1-Normal55"/>
              <w:keepNext/>
              <w:spacing w:before="40" w:after="0" w:line="240" w:lineRule="auto"/>
              <w:jc w:val="both"/>
              <w:rPr>
                <w:rFonts w:eastAsia="Times New Roman" w:cs="Times New Roman"/>
                <w:noProof/>
                <w:szCs w:val="18"/>
              </w:rPr>
            </w:pPr>
            <w:r>
              <w:rPr>
                <w:noProof/>
              </w:rPr>
              <w:t>Etapă</w:t>
            </w:r>
          </w:p>
        </w:tc>
        <w:tc>
          <w:tcPr>
            <w:tcW w:w="1800" w:type="dxa"/>
            <w:tcBorders>
              <w:top w:val="single" w:sz="4" w:space="0" w:color="auto"/>
              <w:left w:val="nil"/>
              <w:bottom w:val="single" w:sz="4" w:space="0" w:color="auto"/>
              <w:right w:val="single" w:sz="4" w:space="0" w:color="auto"/>
            </w:tcBorders>
            <w:shd w:val="clear" w:color="auto" w:fill="C6EFCE"/>
            <w:noWrap/>
            <w:vAlign w:val="center"/>
          </w:tcPr>
          <w:p w14:paraId="08BEB6F8" w14:textId="77777777" w:rsidR="00C45D59" w:rsidRDefault="009B0962">
            <w:pPr>
              <w:pStyle w:val="P68B1DB1-Normal55"/>
              <w:keepNext/>
              <w:spacing w:before="40" w:after="0" w:line="240" w:lineRule="auto"/>
              <w:jc w:val="both"/>
              <w:rPr>
                <w:rFonts w:eastAsia="Times New Roman" w:cs="Times New Roman"/>
                <w:noProof/>
                <w:szCs w:val="18"/>
              </w:rPr>
            </w:pPr>
            <w:r>
              <w:rPr>
                <w:noProof/>
              </w:rPr>
              <w:t>Atribuirea contractului pentru Muzeul de antichități subacvatice</w:t>
            </w:r>
          </w:p>
        </w:tc>
      </w:tr>
      <w:tr w:rsidR="00C45D59" w14:paraId="7A4A7678" w14:textId="77777777">
        <w:trPr>
          <w:trHeight w:val="302"/>
          <w:tblHeader/>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54F29B30"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303</w:t>
            </w:r>
          </w:p>
        </w:tc>
        <w:tc>
          <w:tcPr>
            <w:tcW w:w="544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A38600B"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17-4.6. Modernizarea și îmbunătățirea rezilienței sectoarelor economice esențiale – 16593_Modificarea cadrului juridic pentru atragerea de investiții strategice</w:t>
            </w:r>
          </w:p>
        </w:tc>
        <w:tc>
          <w:tcPr>
            <w:tcW w:w="1680" w:type="dxa"/>
            <w:tcBorders>
              <w:top w:val="single" w:sz="4" w:space="0" w:color="auto"/>
              <w:left w:val="nil"/>
              <w:bottom w:val="single" w:sz="4" w:space="0" w:color="auto"/>
              <w:right w:val="single" w:sz="4" w:space="0" w:color="auto"/>
            </w:tcBorders>
            <w:shd w:val="clear" w:color="auto" w:fill="C6EFCE"/>
            <w:noWrap/>
            <w:vAlign w:val="center"/>
          </w:tcPr>
          <w:p w14:paraId="5FC97D81" w14:textId="77777777" w:rsidR="00C45D59" w:rsidRDefault="009B0962">
            <w:pPr>
              <w:pStyle w:val="P68B1DB1-Normal55"/>
              <w:keepNext/>
              <w:spacing w:before="40" w:after="0" w:line="240" w:lineRule="auto"/>
              <w:jc w:val="both"/>
              <w:rPr>
                <w:rFonts w:eastAsia="Times New Roman" w:cs="Times New Roman"/>
                <w:noProof/>
                <w:szCs w:val="18"/>
              </w:rPr>
            </w:pPr>
            <w:r>
              <w:rPr>
                <w:noProof/>
              </w:rPr>
              <w:t>Etapă</w:t>
            </w:r>
          </w:p>
        </w:tc>
        <w:tc>
          <w:tcPr>
            <w:tcW w:w="1800" w:type="dxa"/>
            <w:tcBorders>
              <w:top w:val="single" w:sz="4" w:space="0" w:color="auto"/>
              <w:left w:val="nil"/>
              <w:bottom w:val="single" w:sz="4" w:space="0" w:color="auto"/>
              <w:right w:val="single" w:sz="4" w:space="0" w:color="auto"/>
            </w:tcBorders>
            <w:shd w:val="clear" w:color="auto" w:fill="C6EFCE"/>
            <w:noWrap/>
            <w:vAlign w:val="center"/>
          </w:tcPr>
          <w:p w14:paraId="4FE0B346" w14:textId="77777777" w:rsidR="00C45D59" w:rsidRDefault="009B0962">
            <w:pPr>
              <w:pStyle w:val="P68B1DB1-Normal55"/>
              <w:keepNext/>
              <w:spacing w:before="40" w:after="0" w:line="240" w:lineRule="auto"/>
              <w:jc w:val="both"/>
              <w:rPr>
                <w:rFonts w:eastAsia="Times New Roman" w:cs="Times New Roman"/>
                <w:noProof/>
                <w:szCs w:val="18"/>
              </w:rPr>
            </w:pPr>
            <w:r>
              <w:rPr>
                <w:noProof/>
              </w:rPr>
              <w:t>Investiții strategice – selectarea proiectelor eligibile</w:t>
            </w:r>
          </w:p>
        </w:tc>
      </w:tr>
      <w:tr w:rsidR="00C45D59" w14:paraId="25A8A1F2" w14:textId="77777777">
        <w:trPr>
          <w:trHeight w:val="302"/>
          <w:tblHeader/>
          <w:jc w:val="center"/>
        </w:trPr>
        <w:tc>
          <w:tcPr>
            <w:tcW w:w="675" w:type="dxa"/>
            <w:tcBorders>
              <w:top w:val="nil"/>
              <w:left w:val="single" w:sz="4" w:space="0" w:color="auto"/>
              <w:bottom w:val="single" w:sz="4" w:space="0" w:color="auto"/>
              <w:right w:val="single" w:sz="4" w:space="0" w:color="auto"/>
            </w:tcBorders>
            <w:shd w:val="clear" w:color="auto" w:fill="C6EFCE"/>
            <w:noWrap/>
          </w:tcPr>
          <w:p w14:paraId="15AFC4F8" w14:textId="77777777" w:rsidR="00C45D59" w:rsidRDefault="009B0962">
            <w:pPr>
              <w:pStyle w:val="P68B1DB1-Normal55"/>
              <w:keepNext/>
              <w:spacing w:before="40" w:after="0" w:line="240" w:lineRule="auto"/>
              <w:jc w:val="both"/>
              <w:rPr>
                <w:rFonts w:cs="Times New Roman"/>
                <w:noProof/>
                <w:szCs w:val="18"/>
              </w:rPr>
            </w:pPr>
            <w:r>
              <w:rPr>
                <w:noProof/>
              </w:rPr>
              <w:t>337</w:t>
            </w:r>
          </w:p>
        </w:tc>
        <w:tc>
          <w:tcPr>
            <w:tcW w:w="5440" w:type="dxa"/>
            <w:tcBorders>
              <w:top w:val="single" w:sz="4" w:space="0" w:color="auto"/>
              <w:left w:val="single" w:sz="4" w:space="0" w:color="auto"/>
              <w:bottom w:val="single" w:sz="4" w:space="0" w:color="auto"/>
              <w:right w:val="single" w:sz="4" w:space="0" w:color="auto"/>
            </w:tcBorders>
            <w:shd w:val="clear" w:color="auto" w:fill="C6EFCE"/>
            <w:noWrap/>
          </w:tcPr>
          <w:p w14:paraId="13241CD0" w14:textId="77777777" w:rsidR="00C45D59" w:rsidRDefault="009B0962">
            <w:pPr>
              <w:pStyle w:val="P68B1DB1-Normal55"/>
              <w:keepNext/>
              <w:spacing w:before="40" w:after="0" w:line="240" w:lineRule="auto"/>
              <w:jc w:val="both"/>
              <w:rPr>
                <w:rFonts w:cs="Times New Roman"/>
                <w:noProof/>
                <w:szCs w:val="18"/>
              </w:rPr>
            </w:pPr>
            <w:r>
              <w:rPr>
                <w:noProof/>
              </w:rPr>
              <w:t>12-4.1. O fiscalitate mai favorabilă creșterii economice și o mai bună administrare fiscală și colectare a impozitelor – 16985_Modificări ale cadrului de politică fiscală al Greciei</w:t>
            </w:r>
          </w:p>
        </w:tc>
        <w:tc>
          <w:tcPr>
            <w:tcW w:w="1680" w:type="dxa"/>
            <w:tcBorders>
              <w:top w:val="single" w:sz="4" w:space="0" w:color="auto"/>
              <w:left w:val="nil"/>
              <w:bottom w:val="single" w:sz="4" w:space="0" w:color="auto"/>
              <w:right w:val="single" w:sz="4" w:space="0" w:color="auto"/>
            </w:tcBorders>
            <w:shd w:val="clear" w:color="auto" w:fill="C6EFCE"/>
            <w:noWrap/>
          </w:tcPr>
          <w:p w14:paraId="6B720C4F" w14:textId="77777777" w:rsidR="00C45D59" w:rsidRDefault="009B0962">
            <w:pPr>
              <w:pStyle w:val="P68B1DB1-Normal55"/>
              <w:keepNext/>
              <w:spacing w:before="40" w:after="0" w:line="240" w:lineRule="auto"/>
              <w:jc w:val="both"/>
              <w:rPr>
                <w:rFonts w:cs="Times New Roman"/>
                <w:noProof/>
                <w:szCs w:val="18"/>
              </w:rPr>
            </w:pPr>
            <w:r>
              <w:rPr>
                <w:noProof/>
              </w:rPr>
              <w:t>Etapă</w:t>
            </w:r>
          </w:p>
        </w:tc>
        <w:tc>
          <w:tcPr>
            <w:tcW w:w="1800" w:type="dxa"/>
            <w:tcBorders>
              <w:top w:val="single" w:sz="4" w:space="0" w:color="auto"/>
              <w:left w:val="nil"/>
              <w:bottom w:val="single" w:sz="4" w:space="0" w:color="auto"/>
              <w:right w:val="single" w:sz="4" w:space="0" w:color="auto"/>
            </w:tcBorders>
            <w:shd w:val="clear" w:color="auto" w:fill="C6EFCE"/>
            <w:noWrap/>
          </w:tcPr>
          <w:p w14:paraId="114F2E1C" w14:textId="77777777" w:rsidR="00C45D59" w:rsidRDefault="009B0962">
            <w:pPr>
              <w:pStyle w:val="P68B1DB1-Normal55"/>
              <w:keepNext/>
              <w:spacing w:before="40" w:after="0" w:line="240" w:lineRule="auto"/>
              <w:jc w:val="both"/>
              <w:rPr>
                <w:rFonts w:cs="Times New Roman"/>
                <w:noProof/>
                <w:szCs w:val="18"/>
              </w:rPr>
            </w:pPr>
            <w:r>
              <w:rPr>
                <w:noProof/>
              </w:rPr>
              <w:t>Combaterea evaziunii fiscale și promovarea plăților electronice</w:t>
            </w:r>
          </w:p>
        </w:tc>
      </w:tr>
      <w:tr w:rsidR="00C45D59" w14:paraId="3F23E9E7" w14:textId="77777777">
        <w:trPr>
          <w:trHeight w:val="302"/>
          <w:tblHeader/>
          <w:jc w:val="center"/>
        </w:trPr>
        <w:tc>
          <w:tcPr>
            <w:tcW w:w="675" w:type="dxa"/>
            <w:tcBorders>
              <w:top w:val="single" w:sz="4" w:space="0" w:color="auto"/>
              <w:left w:val="single" w:sz="4" w:space="0" w:color="auto"/>
              <w:bottom w:val="single" w:sz="4" w:space="0" w:color="auto"/>
              <w:right w:val="single" w:sz="4" w:space="0" w:color="auto"/>
            </w:tcBorders>
            <w:shd w:val="clear" w:color="auto" w:fill="C6EFCE"/>
            <w:noWrap/>
          </w:tcPr>
          <w:p w14:paraId="5159761D" w14:textId="77777777" w:rsidR="00C45D59" w:rsidRDefault="009B0962">
            <w:pPr>
              <w:pStyle w:val="P68B1DB1-Normal55"/>
              <w:keepNext/>
              <w:spacing w:before="40" w:after="0" w:line="240" w:lineRule="auto"/>
              <w:jc w:val="both"/>
              <w:rPr>
                <w:noProof/>
              </w:rPr>
            </w:pPr>
            <w:r>
              <w:rPr>
                <w:noProof/>
              </w:rPr>
              <w:t>338</w:t>
            </w:r>
          </w:p>
        </w:tc>
        <w:tc>
          <w:tcPr>
            <w:tcW w:w="5440" w:type="dxa"/>
            <w:tcBorders>
              <w:top w:val="single" w:sz="4" w:space="0" w:color="auto"/>
              <w:left w:val="single" w:sz="4" w:space="0" w:color="auto"/>
              <w:bottom w:val="single" w:sz="4" w:space="0" w:color="auto"/>
              <w:right w:val="single" w:sz="4" w:space="0" w:color="auto"/>
            </w:tcBorders>
            <w:shd w:val="clear" w:color="auto" w:fill="C6EFCE"/>
            <w:noWrap/>
          </w:tcPr>
          <w:p w14:paraId="70150F06" w14:textId="77777777" w:rsidR="00C45D59" w:rsidRDefault="009B0962">
            <w:pPr>
              <w:pStyle w:val="P68B1DB1-Normal55"/>
              <w:keepNext/>
              <w:spacing w:before="40" w:after="0" w:line="240" w:lineRule="auto"/>
              <w:jc w:val="both"/>
              <w:rPr>
                <w:noProof/>
              </w:rPr>
            </w:pPr>
            <w:r>
              <w:rPr>
                <w:noProof/>
              </w:rPr>
              <w:t>12-4.1. O fiscalitate mai favorabilă creșterii economice și o mai bună administrare fiscală și colectare a impozitelor – 16985_Modificări ale cadrului de politică fiscală al Greciei</w:t>
            </w:r>
          </w:p>
        </w:tc>
        <w:tc>
          <w:tcPr>
            <w:tcW w:w="1680" w:type="dxa"/>
            <w:tcBorders>
              <w:top w:val="single" w:sz="4" w:space="0" w:color="auto"/>
              <w:left w:val="single" w:sz="4" w:space="0" w:color="auto"/>
              <w:bottom w:val="single" w:sz="4" w:space="0" w:color="auto"/>
              <w:right w:val="single" w:sz="4" w:space="0" w:color="auto"/>
            </w:tcBorders>
            <w:shd w:val="clear" w:color="auto" w:fill="C6EFCE"/>
            <w:noWrap/>
          </w:tcPr>
          <w:p w14:paraId="72EE46DF" w14:textId="77777777" w:rsidR="00C45D59" w:rsidRDefault="009B0962">
            <w:pPr>
              <w:pStyle w:val="P68B1DB1-Normal55"/>
              <w:keepNext/>
              <w:spacing w:before="40" w:after="0" w:line="240" w:lineRule="auto"/>
              <w:jc w:val="both"/>
              <w:rPr>
                <w:noProof/>
              </w:rPr>
            </w:pPr>
            <w:r>
              <w:rPr>
                <w:noProof/>
              </w:rPr>
              <w:t>Etapă</w:t>
            </w:r>
          </w:p>
        </w:tc>
        <w:tc>
          <w:tcPr>
            <w:tcW w:w="1800" w:type="dxa"/>
            <w:tcBorders>
              <w:top w:val="single" w:sz="4" w:space="0" w:color="auto"/>
              <w:left w:val="single" w:sz="4" w:space="0" w:color="auto"/>
              <w:bottom w:val="single" w:sz="4" w:space="0" w:color="auto"/>
              <w:right w:val="single" w:sz="4" w:space="0" w:color="auto"/>
            </w:tcBorders>
            <w:shd w:val="clear" w:color="auto" w:fill="C6EFCE"/>
            <w:noWrap/>
          </w:tcPr>
          <w:p w14:paraId="3A21D638" w14:textId="77777777" w:rsidR="00C45D59" w:rsidRDefault="009B0962">
            <w:pPr>
              <w:pStyle w:val="P68B1DB1-Normal55"/>
              <w:keepNext/>
              <w:spacing w:before="40" w:after="0" w:line="240" w:lineRule="auto"/>
              <w:jc w:val="both"/>
              <w:rPr>
                <w:noProof/>
              </w:rPr>
            </w:pPr>
            <w:r>
              <w:rPr>
                <w:noProof/>
              </w:rPr>
              <w:t>Reformarea impozitării persoanelor care desfășoară o activitate independentă și a taxei de timbru</w:t>
            </w:r>
          </w:p>
        </w:tc>
      </w:tr>
      <w:tr w:rsidR="00C45D59" w14:paraId="14592B59" w14:textId="77777777">
        <w:trPr>
          <w:trHeight w:val="302"/>
          <w:tblHeader/>
          <w:jc w:val="center"/>
        </w:trPr>
        <w:tc>
          <w:tcPr>
            <w:tcW w:w="675" w:type="dxa"/>
            <w:tcBorders>
              <w:top w:val="single" w:sz="4" w:space="0" w:color="auto"/>
              <w:left w:val="single" w:sz="4" w:space="0" w:color="auto"/>
              <w:bottom w:val="single" w:sz="4" w:space="0" w:color="auto"/>
              <w:right w:val="single" w:sz="4" w:space="0" w:color="auto"/>
            </w:tcBorders>
            <w:shd w:val="clear" w:color="auto" w:fill="C6EFCE"/>
            <w:noWrap/>
          </w:tcPr>
          <w:p w14:paraId="5FD1084D" w14:textId="77777777" w:rsidR="00C45D59" w:rsidRDefault="009B0962">
            <w:pPr>
              <w:pStyle w:val="P68B1DB1-Normal55"/>
              <w:keepNext/>
              <w:spacing w:before="40" w:after="0" w:line="259" w:lineRule="auto"/>
              <w:jc w:val="both"/>
              <w:rPr>
                <w:rFonts w:eastAsia="Times New Roman" w:cs="Times New Roman"/>
                <w:bCs/>
                <w:noProof/>
                <w:szCs w:val="18"/>
              </w:rPr>
            </w:pPr>
            <w:r>
              <w:rPr>
                <w:noProof/>
              </w:rPr>
              <w:t>341</w:t>
            </w:r>
          </w:p>
        </w:tc>
        <w:tc>
          <w:tcPr>
            <w:tcW w:w="5440" w:type="dxa"/>
            <w:tcBorders>
              <w:top w:val="single" w:sz="4" w:space="0" w:color="auto"/>
              <w:left w:val="single" w:sz="4" w:space="0" w:color="auto"/>
              <w:bottom w:val="single" w:sz="4" w:space="0" w:color="auto"/>
              <w:right w:val="single" w:sz="4" w:space="0" w:color="auto"/>
            </w:tcBorders>
            <w:shd w:val="clear" w:color="auto" w:fill="C6EFCE"/>
            <w:noWrap/>
          </w:tcPr>
          <w:p w14:paraId="71385374" w14:textId="77777777" w:rsidR="00C45D59" w:rsidRDefault="009B0962">
            <w:pPr>
              <w:pStyle w:val="P68B1DB1-Normal16"/>
              <w:keepNext/>
              <w:spacing w:before="40" w:after="0" w:line="259" w:lineRule="auto"/>
              <w:jc w:val="both"/>
              <w:rPr>
                <w:rFonts w:eastAsia="Times New Roman"/>
                <w:bCs/>
                <w:noProof/>
              </w:rPr>
            </w:pPr>
            <w:r>
              <w:rPr>
                <w:noProof/>
              </w:rPr>
              <w:t>13-4.2. Modernizarea administrației publice, inclusiv prin accelerarea punerii în aplicare a investițiilor publice, îmbunătățirea cadrului privind achizițiile publice, măsuri de consolidare a capacităților și combaterea corupției – 16986_Finalizarea cadastrului național</w:t>
            </w:r>
          </w:p>
        </w:tc>
        <w:tc>
          <w:tcPr>
            <w:tcW w:w="1680" w:type="dxa"/>
            <w:tcBorders>
              <w:top w:val="single" w:sz="4" w:space="0" w:color="auto"/>
              <w:left w:val="nil"/>
              <w:bottom w:val="single" w:sz="4" w:space="0" w:color="auto"/>
              <w:right w:val="single" w:sz="4" w:space="0" w:color="auto"/>
            </w:tcBorders>
            <w:shd w:val="clear" w:color="auto" w:fill="C6EFCE"/>
            <w:noWrap/>
          </w:tcPr>
          <w:p w14:paraId="18E66F0C" w14:textId="77777777" w:rsidR="00C45D59" w:rsidRDefault="009B0962">
            <w:pPr>
              <w:pStyle w:val="P68B1DB1-Normal16"/>
              <w:keepNext/>
              <w:spacing w:before="40" w:after="0" w:line="259" w:lineRule="auto"/>
              <w:jc w:val="both"/>
              <w:rPr>
                <w:rFonts w:eastAsia="Times New Roman"/>
                <w:noProof/>
              </w:rPr>
            </w:pPr>
            <w:r>
              <w:rPr>
                <w:noProof/>
              </w:rPr>
              <w:t>Țintă</w:t>
            </w:r>
          </w:p>
        </w:tc>
        <w:tc>
          <w:tcPr>
            <w:tcW w:w="1800" w:type="dxa"/>
            <w:tcBorders>
              <w:top w:val="single" w:sz="4" w:space="0" w:color="auto"/>
              <w:left w:val="nil"/>
              <w:bottom w:val="single" w:sz="4" w:space="0" w:color="auto"/>
              <w:right w:val="single" w:sz="4" w:space="0" w:color="auto"/>
            </w:tcBorders>
            <w:shd w:val="clear" w:color="auto" w:fill="C6EFCE"/>
            <w:noWrap/>
          </w:tcPr>
          <w:p w14:paraId="5B3ED408" w14:textId="77777777" w:rsidR="00C45D59" w:rsidRDefault="009B0962">
            <w:pPr>
              <w:pStyle w:val="P68B1DB1-Normal16"/>
              <w:keepNext/>
              <w:spacing w:before="40" w:after="0" w:line="259" w:lineRule="auto"/>
              <w:jc w:val="both"/>
              <w:rPr>
                <w:rFonts w:eastAsia="Times New Roman"/>
                <w:noProof/>
              </w:rPr>
            </w:pPr>
            <w:r>
              <w:rPr>
                <w:noProof/>
              </w:rPr>
              <w:t>Cartografiere cadastrală – finalizare 85 %</w:t>
            </w:r>
          </w:p>
        </w:tc>
      </w:tr>
      <w:tr w:rsidR="00C45D59" w14:paraId="62BD819D" w14:textId="77777777">
        <w:trPr>
          <w:trHeight w:val="302"/>
          <w:tblHeader/>
          <w:jc w:val="center"/>
        </w:trPr>
        <w:tc>
          <w:tcPr>
            <w:tcW w:w="675" w:type="dxa"/>
            <w:tcBorders>
              <w:top w:val="single" w:sz="4" w:space="0" w:color="auto"/>
              <w:left w:val="single" w:sz="4" w:space="0" w:color="auto"/>
              <w:bottom w:val="single" w:sz="4" w:space="0" w:color="auto"/>
              <w:right w:val="single" w:sz="4" w:space="0" w:color="auto"/>
            </w:tcBorders>
            <w:shd w:val="clear" w:color="auto" w:fill="C6EFCE"/>
            <w:noWrap/>
          </w:tcPr>
          <w:p w14:paraId="3BE0B326" w14:textId="77777777" w:rsidR="00C45D59" w:rsidRDefault="009B0962">
            <w:pPr>
              <w:pStyle w:val="P68B1DB1-Normal56"/>
              <w:keepNext/>
              <w:spacing w:before="40" w:after="0" w:line="259" w:lineRule="auto"/>
              <w:jc w:val="both"/>
              <w:rPr>
                <w:rFonts w:eastAsia="Times New Roman" w:cs="Times New Roman"/>
                <w:bCs/>
                <w:noProof/>
                <w:szCs w:val="18"/>
              </w:rPr>
            </w:pPr>
            <w:r>
              <w:rPr>
                <w:noProof/>
              </w:rPr>
              <w:t>367</w:t>
            </w:r>
          </w:p>
        </w:tc>
        <w:tc>
          <w:tcPr>
            <w:tcW w:w="5440" w:type="dxa"/>
            <w:tcBorders>
              <w:top w:val="single" w:sz="4" w:space="0" w:color="auto"/>
              <w:left w:val="single" w:sz="4" w:space="0" w:color="auto"/>
              <w:bottom w:val="single" w:sz="4" w:space="0" w:color="auto"/>
              <w:right w:val="single" w:sz="4" w:space="0" w:color="auto"/>
            </w:tcBorders>
            <w:shd w:val="clear" w:color="auto" w:fill="C6EFCE"/>
            <w:noWrap/>
          </w:tcPr>
          <w:p w14:paraId="36458D06" w14:textId="77777777" w:rsidR="00C45D59" w:rsidRDefault="009B0962">
            <w:pPr>
              <w:pStyle w:val="P68B1DB1-Normal16"/>
              <w:keepNext/>
              <w:spacing w:before="40" w:after="0" w:line="259" w:lineRule="auto"/>
              <w:jc w:val="both"/>
              <w:rPr>
                <w:rFonts w:eastAsia="Times New Roman"/>
                <w:bCs/>
                <w:noProof/>
              </w:rPr>
            </w:pPr>
            <w:r>
              <w:rPr>
                <w:noProof/>
              </w:rPr>
              <w:t xml:space="preserve">21-5.2 investiții REPowerEU – 16994_Eficiența energetică și promovarea surselor regenerabile de energie pentru autoconsum </w:t>
            </w:r>
          </w:p>
        </w:tc>
        <w:tc>
          <w:tcPr>
            <w:tcW w:w="1680" w:type="dxa"/>
            <w:tcBorders>
              <w:top w:val="single" w:sz="4" w:space="0" w:color="auto"/>
              <w:left w:val="nil"/>
              <w:bottom w:val="single" w:sz="4" w:space="0" w:color="auto"/>
              <w:right w:val="single" w:sz="4" w:space="0" w:color="auto"/>
            </w:tcBorders>
            <w:shd w:val="clear" w:color="auto" w:fill="C6EFCE"/>
            <w:noWrap/>
          </w:tcPr>
          <w:p w14:paraId="253FFF51" w14:textId="77777777" w:rsidR="00C45D59" w:rsidRDefault="009B0962">
            <w:pPr>
              <w:pStyle w:val="P68B1DB1-Normal16"/>
              <w:keepNext/>
              <w:spacing w:before="40" w:after="0" w:line="259" w:lineRule="auto"/>
              <w:jc w:val="both"/>
              <w:rPr>
                <w:rFonts w:eastAsia="Times New Roman"/>
                <w:noProof/>
              </w:rPr>
            </w:pPr>
            <w:r>
              <w:rPr>
                <w:noProof/>
              </w:rPr>
              <w:t>Etapă</w:t>
            </w:r>
          </w:p>
        </w:tc>
        <w:tc>
          <w:tcPr>
            <w:tcW w:w="1800" w:type="dxa"/>
            <w:tcBorders>
              <w:top w:val="single" w:sz="4" w:space="0" w:color="auto"/>
              <w:left w:val="nil"/>
              <w:bottom w:val="single" w:sz="4" w:space="0" w:color="auto"/>
              <w:right w:val="single" w:sz="4" w:space="0" w:color="auto"/>
            </w:tcBorders>
            <w:shd w:val="clear" w:color="auto" w:fill="C6EFCE"/>
            <w:noWrap/>
          </w:tcPr>
          <w:p w14:paraId="23327BA1" w14:textId="77777777" w:rsidR="00C45D59" w:rsidRDefault="009B0962">
            <w:pPr>
              <w:pStyle w:val="P68B1DB1-Normal16"/>
              <w:keepNext/>
              <w:spacing w:before="40" w:after="0" w:line="259" w:lineRule="auto"/>
              <w:jc w:val="both"/>
              <w:rPr>
                <w:rFonts w:eastAsia="Times New Roman"/>
                <w:noProof/>
              </w:rPr>
            </w:pPr>
            <w:r>
              <w:rPr>
                <w:noProof/>
              </w:rPr>
              <w:t>Lansarea programelor de sprijin</w:t>
            </w:r>
          </w:p>
        </w:tc>
      </w:tr>
      <w:tr w:rsidR="00C45D59" w14:paraId="16ACE35C" w14:textId="77777777">
        <w:trPr>
          <w:trHeight w:val="302"/>
          <w:tblHeader/>
          <w:jc w:val="center"/>
        </w:trPr>
        <w:tc>
          <w:tcPr>
            <w:tcW w:w="675"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1B2251BC" w14:textId="77777777" w:rsidR="00C45D59" w:rsidRDefault="00C45D59">
            <w:pPr>
              <w:keepNext/>
              <w:spacing w:before="40" w:after="0" w:line="259" w:lineRule="auto"/>
              <w:jc w:val="both"/>
              <w:rPr>
                <w:rFonts w:ascii="Times New Roman" w:eastAsia="Times New Roman" w:hAnsi="Times New Roman" w:cs="Times New Roman"/>
                <w:bCs/>
                <w:noProof/>
                <w:sz w:val="18"/>
                <w:szCs w:val="18"/>
              </w:rPr>
            </w:pPr>
          </w:p>
        </w:tc>
        <w:tc>
          <w:tcPr>
            <w:tcW w:w="544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0EA649C7" w14:textId="77777777" w:rsidR="00C45D59" w:rsidRDefault="00C45D59">
            <w:pPr>
              <w:keepNext/>
              <w:spacing w:before="40" w:after="0" w:line="259" w:lineRule="auto"/>
              <w:jc w:val="both"/>
              <w:rPr>
                <w:rFonts w:ascii="Times New Roman" w:eastAsia="Times New Roman" w:hAnsi="Times New Roman" w:cs="Times New Roman"/>
                <w:bCs/>
                <w:noProof/>
                <w:sz w:val="18"/>
                <w:szCs w:val="18"/>
              </w:rPr>
            </w:pPr>
          </w:p>
        </w:tc>
        <w:tc>
          <w:tcPr>
            <w:tcW w:w="1680" w:type="dxa"/>
            <w:tcBorders>
              <w:top w:val="single" w:sz="4" w:space="0" w:color="auto"/>
              <w:left w:val="nil"/>
              <w:bottom w:val="single" w:sz="4" w:space="0" w:color="auto"/>
              <w:right w:val="single" w:sz="4" w:space="0" w:color="auto"/>
            </w:tcBorders>
            <w:shd w:val="clear" w:color="auto" w:fill="C6EFCE"/>
            <w:noWrap/>
            <w:vAlign w:val="bottom"/>
          </w:tcPr>
          <w:p w14:paraId="1C691EC7" w14:textId="77777777" w:rsidR="00C45D59" w:rsidRDefault="009B0962">
            <w:pPr>
              <w:pStyle w:val="P68B1DB1-Normal16"/>
              <w:keepNext/>
              <w:spacing w:before="40" w:after="0" w:line="259" w:lineRule="auto"/>
              <w:jc w:val="both"/>
              <w:rPr>
                <w:rFonts w:eastAsia="Times New Roman"/>
                <w:noProof/>
              </w:rPr>
            </w:pPr>
            <w:r>
              <w:rPr>
                <w:noProof/>
              </w:rPr>
              <w:t>Cuantumul tranșei</w:t>
            </w:r>
          </w:p>
        </w:tc>
        <w:tc>
          <w:tcPr>
            <w:tcW w:w="1800" w:type="dxa"/>
            <w:tcBorders>
              <w:top w:val="single" w:sz="4" w:space="0" w:color="auto"/>
              <w:left w:val="nil"/>
              <w:bottom w:val="single" w:sz="4" w:space="0" w:color="auto"/>
              <w:right w:val="single" w:sz="4" w:space="0" w:color="auto"/>
            </w:tcBorders>
            <w:shd w:val="clear" w:color="auto" w:fill="C6EFCE"/>
            <w:noWrap/>
            <w:vAlign w:val="bottom"/>
          </w:tcPr>
          <w:p w14:paraId="07CE76B6" w14:textId="77777777" w:rsidR="00C45D59" w:rsidRDefault="009B0962">
            <w:pPr>
              <w:pStyle w:val="P68B1DB1-Normal16"/>
              <w:keepNext/>
              <w:spacing w:before="40" w:after="0" w:line="259" w:lineRule="auto"/>
              <w:jc w:val="both"/>
              <w:rPr>
                <w:rFonts w:eastAsia="Times New Roman"/>
                <w:noProof/>
              </w:rPr>
            </w:pPr>
            <w:r>
              <w:rPr>
                <w:noProof/>
              </w:rPr>
              <w:t>1 557 198 947 MIL.</w:t>
            </w:r>
          </w:p>
        </w:tc>
      </w:tr>
    </w:tbl>
    <w:p w14:paraId="019AFF97" w14:textId="196264BD" w:rsidR="00C45D59" w:rsidRDefault="00C45D59">
      <w:pPr>
        <w:keepNext/>
        <w:spacing w:before="40" w:line="259" w:lineRule="auto"/>
        <w:jc w:val="both"/>
        <w:rPr>
          <w:rFonts w:eastAsia="Times New Roman"/>
          <w:i/>
          <w:noProof/>
          <w:color w:val="4F81BD"/>
        </w:rPr>
      </w:pPr>
    </w:p>
    <w:p w14:paraId="2D9DCA30" w14:textId="38366E9D" w:rsidR="00C45D59" w:rsidRDefault="00C45D59">
      <w:pPr>
        <w:rPr>
          <w:noProof/>
        </w:rPr>
      </w:pPr>
    </w:p>
    <w:p w14:paraId="324BFC0E" w14:textId="77777777" w:rsidR="00C45D59" w:rsidRDefault="009B0962">
      <w:pPr>
        <w:pStyle w:val="P68B1DB1-Normal5"/>
        <w:keepNext/>
        <w:numPr>
          <w:ilvl w:val="1"/>
          <w:numId w:val="93"/>
        </w:numPr>
        <w:spacing w:before="40" w:after="160" w:line="259" w:lineRule="auto"/>
        <w:ind w:left="0"/>
        <w:contextualSpacing/>
        <w:jc w:val="both"/>
        <w:rPr>
          <w:rFonts w:eastAsia="Times New Roman" w:cs="Times New Roman"/>
          <w:noProof/>
        </w:rPr>
      </w:pPr>
      <w:r>
        <w:rPr>
          <w:noProof/>
        </w:rPr>
        <w:t xml:space="preserve"> A șasea cerere de plată (sprijin nerambursabil): </w:t>
      </w:r>
    </w:p>
    <w:p w14:paraId="28116168" w14:textId="77777777" w:rsidR="00C45D59" w:rsidRDefault="00C45D59">
      <w:pPr>
        <w:keepNext/>
        <w:spacing w:before="40" w:after="160" w:line="259" w:lineRule="auto"/>
        <w:contextualSpacing/>
        <w:jc w:val="both"/>
        <w:rPr>
          <w:rFonts w:ascii="Times New Roman" w:eastAsia="Times New Roman" w:hAnsi="Times New Roman" w:cs="Times New Roman"/>
          <w:noProof/>
          <w:sz w:val="24"/>
        </w:rPr>
      </w:pPr>
    </w:p>
    <w:tbl>
      <w:tblPr>
        <w:tblW w:w="9595" w:type="dxa"/>
        <w:jc w:val="center"/>
        <w:tblLook w:val="04A0" w:firstRow="1" w:lastRow="0" w:firstColumn="1" w:lastColumn="0" w:noHBand="0" w:noVBand="1"/>
      </w:tblPr>
      <w:tblGrid>
        <w:gridCol w:w="675"/>
        <w:gridCol w:w="5171"/>
        <w:gridCol w:w="22"/>
        <w:gridCol w:w="1658"/>
        <w:gridCol w:w="22"/>
        <w:gridCol w:w="2047"/>
      </w:tblGrid>
      <w:tr w:rsidR="00C45D59" w14:paraId="040BE15E" w14:textId="77777777">
        <w:trPr>
          <w:trHeight w:val="906"/>
          <w:tblHeader/>
          <w:jc w:val="center"/>
        </w:trPr>
        <w:tc>
          <w:tcPr>
            <w:tcW w:w="67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DD29A3A" w14:textId="1C047DB6" w:rsidR="00C45D59" w:rsidRDefault="009B0962">
            <w:pPr>
              <w:pStyle w:val="P68B1DB1-Normal15"/>
              <w:keepNext/>
              <w:spacing w:before="40" w:after="0" w:line="259" w:lineRule="auto"/>
              <w:jc w:val="center"/>
              <w:rPr>
                <w:rFonts w:eastAsia="Times New Roman"/>
                <w:bCs/>
                <w:noProof/>
              </w:rPr>
            </w:pPr>
            <w:r>
              <w:rPr>
                <w:noProof/>
              </w:rPr>
              <w:t>Nr</w:t>
            </w:r>
            <w:r w:rsidR="00D15349">
              <w:rPr>
                <w:noProof/>
              </w:rPr>
              <w:t>.</w:t>
            </w:r>
            <w:r>
              <w:rPr>
                <w:noProof/>
              </w:rPr>
              <w:t xml:space="preserve"> </w:t>
            </w:r>
            <w:r>
              <w:rPr>
                <w:noProof/>
              </w:rPr>
              <w:br/>
            </w:r>
            <w:r w:rsidR="00D15349">
              <w:rPr>
                <w:noProof/>
              </w:rPr>
              <w:t>crt</w:t>
            </w:r>
            <w:r>
              <w:rPr>
                <w:noProof/>
              </w:rPr>
              <w:t>.</w:t>
            </w:r>
          </w:p>
        </w:tc>
        <w:tc>
          <w:tcPr>
            <w:tcW w:w="517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373712F" w14:textId="77777777" w:rsidR="00C45D59" w:rsidRDefault="009B0962">
            <w:pPr>
              <w:pStyle w:val="P68B1DB1-Normal10"/>
              <w:keepNext/>
              <w:spacing w:before="40" w:after="0" w:line="259" w:lineRule="auto"/>
              <w:jc w:val="center"/>
              <w:rPr>
                <w:rFonts w:eastAsia="Times New Roman" w:cs="Times New Roman"/>
                <w:bCs/>
                <w:noProof/>
                <w:szCs w:val="18"/>
              </w:rPr>
            </w:pPr>
            <w:r>
              <w:rPr>
                <w:noProof/>
              </w:rPr>
              <w:t>Măsură conexă (reformă sau investiții)</w:t>
            </w:r>
          </w:p>
        </w:tc>
        <w:tc>
          <w:tcPr>
            <w:tcW w:w="1680" w:type="dxa"/>
            <w:gridSpan w:val="2"/>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EC9EC99" w14:textId="77777777" w:rsidR="00C45D59" w:rsidRDefault="009B0962">
            <w:pPr>
              <w:pStyle w:val="P68B1DB1-Normal10"/>
              <w:keepNext/>
              <w:spacing w:before="40" w:after="0" w:line="259" w:lineRule="auto"/>
              <w:jc w:val="center"/>
              <w:rPr>
                <w:rFonts w:eastAsia="Times New Roman" w:cs="Times New Roman"/>
                <w:bCs/>
                <w:noProof/>
                <w:szCs w:val="18"/>
              </w:rPr>
            </w:pPr>
            <w:r>
              <w:rPr>
                <w:noProof/>
              </w:rPr>
              <w:t>Etapă/Obiectiv</w:t>
            </w:r>
          </w:p>
        </w:tc>
        <w:tc>
          <w:tcPr>
            <w:tcW w:w="2069" w:type="dxa"/>
            <w:gridSpan w:val="2"/>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38658DC" w14:textId="7DC10C9B" w:rsidR="00C45D59" w:rsidRDefault="00D15349">
            <w:pPr>
              <w:pStyle w:val="P68B1DB1-Normal10"/>
              <w:keepNext/>
              <w:spacing w:before="40" w:after="0" w:line="259" w:lineRule="auto"/>
              <w:jc w:val="center"/>
              <w:rPr>
                <w:rFonts w:eastAsia="Times New Roman" w:cs="Times New Roman"/>
                <w:bCs/>
                <w:noProof/>
                <w:szCs w:val="18"/>
              </w:rPr>
            </w:pPr>
            <w:r>
              <w:rPr>
                <w:noProof/>
              </w:rPr>
              <w:t>Denumire</w:t>
            </w:r>
          </w:p>
        </w:tc>
      </w:tr>
      <w:tr w:rsidR="00C45D59" w14:paraId="0D10F4CD" w14:textId="77777777">
        <w:trPr>
          <w:trHeight w:val="269"/>
          <w:tblHeader/>
          <w:jc w:val="center"/>
        </w:trPr>
        <w:tc>
          <w:tcPr>
            <w:tcW w:w="675" w:type="dxa"/>
            <w:vMerge/>
            <w:tcBorders>
              <w:top w:val="single" w:sz="4" w:space="0" w:color="auto"/>
              <w:left w:val="single" w:sz="4" w:space="0" w:color="auto"/>
              <w:bottom w:val="single" w:sz="4" w:space="0" w:color="auto"/>
              <w:right w:val="single" w:sz="4" w:space="0" w:color="auto"/>
            </w:tcBorders>
            <w:vAlign w:val="center"/>
            <w:hideMark/>
          </w:tcPr>
          <w:p w14:paraId="56D186EC" w14:textId="77777777" w:rsidR="00C45D59" w:rsidRDefault="00C45D59">
            <w:pPr>
              <w:keepNext/>
              <w:spacing w:before="40" w:after="0" w:line="259" w:lineRule="auto"/>
              <w:rPr>
                <w:rFonts w:ascii="Times New Roman" w:eastAsia="Times New Roman" w:hAnsi="Times New Roman" w:cs="Times New Roman"/>
                <w:bCs/>
                <w:noProof/>
                <w:sz w:val="18"/>
                <w:szCs w:val="18"/>
              </w:rPr>
            </w:pPr>
          </w:p>
        </w:tc>
        <w:tc>
          <w:tcPr>
            <w:tcW w:w="5171" w:type="dxa"/>
            <w:vMerge/>
            <w:tcBorders>
              <w:top w:val="single" w:sz="4" w:space="0" w:color="auto"/>
              <w:left w:val="single" w:sz="4" w:space="0" w:color="auto"/>
              <w:bottom w:val="single" w:sz="4" w:space="0" w:color="auto"/>
              <w:right w:val="single" w:sz="4" w:space="0" w:color="auto"/>
            </w:tcBorders>
            <w:vAlign w:val="center"/>
            <w:hideMark/>
          </w:tcPr>
          <w:p w14:paraId="3F31F948" w14:textId="77777777" w:rsidR="00C45D59" w:rsidRDefault="00C45D59">
            <w:pPr>
              <w:keepNext/>
              <w:spacing w:before="40" w:after="0" w:line="259" w:lineRule="auto"/>
              <w:rPr>
                <w:rFonts w:ascii="Times New Roman" w:eastAsia="Times New Roman" w:hAnsi="Times New Roman" w:cs="Times New Roman"/>
                <w:bCs/>
                <w:noProof/>
                <w:sz w:val="18"/>
                <w:szCs w:val="18"/>
              </w:rPr>
            </w:pPr>
          </w:p>
        </w:tc>
        <w:tc>
          <w:tcPr>
            <w:tcW w:w="1680" w:type="dxa"/>
            <w:gridSpan w:val="2"/>
            <w:vMerge/>
            <w:tcBorders>
              <w:top w:val="single" w:sz="4" w:space="0" w:color="auto"/>
              <w:left w:val="single" w:sz="4" w:space="0" w:color="auto"/>
              <w:bottom w:val="single" w:sz="4" w:space="0" w:color="auto"/>
              <w:right w:val="single" w:sz="4" w:space="0" w:color="auto"/>
            </w:tcBorders>
            <w:vAlign w:val="center"/>
            <w:hideMark/>
          </w:tcPr>
          <w:p w14:paraId="7B35080F" w14:textId="77777777" w:rsidR="00C45D59" w:rsidRDefault="00C45D59">
            <w:pPr>
              <w:keepNext/>
              <w:spacing w:before="40" w:after="0" w:line="259" w:lineRule="auto"/>
              <w:rPr>
                <w:rFonts w:ascii="Times New Roman" w:eastAsia="Times New Roman" w:hAnsi="Times New Roman" w:cs="Times New Roman"/>
                <w:bCs/>
                <w:noProof/>
                <w:sz w:val="18"/>
                <w:szCs w:val="18"/>
              </w:rPr>
            </w:pPr>
          </w:p>
        </w:tc>
        <w:tc>
          <w:tcPr>
            <w:tcW w:w="2069" w:type="dxa"/>
            <w:gridSpan w:val="2"/>
            <w:vMerge/>
            <w:tcBorders>
              <w:top w:val="single" w:sz="4" w:space="0" w:color="auto"/>
              <w:left w:val="single" w:sz="4" w:space="0" w:color="auto"/>
              <w:bottom w:val="single" w:sz="4" w:space="0" w:color="auto"/>
              <w:right w:val="single" w:sz="4" w:space="0" w:color="auto"/>
            </w:tcBorders>
            <w:vAlign w:val="center"/>
            <w:hideMark/>
          </w:tcPr>
          <w:p w14:paraId="3C831D89" w14:textId="77777777" w:rsidR="00C45D59" w:rsidRDefault="00C45D59">
            <w:pPr>
              <w:keepNext/>
              <w:spacing w:before="40" w:after="0" w:line="259" w:lineRule="auto"/>
              <w:rPr>
                <w:rFonts w:ascii="Times New Roman" w:eastAsia="Times New Roman" w:hAnsi="Times New Roman" w:cs="Times New Roman"/>
                <w:bCs/>
                <w:noProof/>
                <w:sz w:val="18"/>
                <w:szCs w:val="18"/>
              </w:rPr>
            </w:pPr>
          </w:p>
        </w:tc>
      </w:tr>
      <w:tr w:rsidR="00C45D59" w14:paraId="6AAB42B3" w14:textId="77777777">
        <w:trPr>
          <w:trHeight w:val="302"/>
          <w:tblHeader/>
          <w:jc w:val="center"/>
        </w:trPr>
        <w:tc>
          <w:tcPr>
            <w:tcW w:w="6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E8C22C1" w14:textId="77777777" w:rsidR="00C45D59" w:rsidRDefault="009B0962">
            <w:pPr>
              <w:pStyle w:val="P68B1DB1-Normal55"/>
              <w:keepNext/>
              <w:spacing w:before="40" w:after="0" w:line="240" w:lineRule="auto"/>
              <w:rPr>
                <w:noProof/>
              </w:rPr>
            </w:pPr>
            <w:r>
              <w:rPr>
                <w:noProof/>
              </w:rPr>
              <w:t>8</w:t>
            </w:r>
          </w:p>
        </w:tc>
        <w:tc>
          <w:tcPr>
            <w:tcW w:w="5193" w:type="dxa"/>
            <w:gridSpan w:val="2"/>
            <w:tcBorders>
              <w:top w:val="single" w:sz="4" w:space="0" w:color="auto"/>
              <w:left w:val="nil"/>
              <w:bottom w:val="single" w:sz="4" w:space="0" w:color="auto"/>
              <w:right w:val="single" w:sz="4" w:space="0" w:color="auto"/>
            </w:tcBorders>
            <w:shd w:val="clear" w:color="auto" w:fill="C6EFCE"/>
            <w:noWrap/>
            <w:vAlign w:val="center"/>
          </w:tcPr>
          <w:p w14:paraId="411E2E7D" w14:textId="77777777" w:rsidR="00C45D59" w:rsidRDefault="009B0962">
            <w:pPr>
              <w:pStyle w:val="P68B1DB1-Normal55"/>
              <w:keepNext/>
              <w:spacing w:before="40" w:after="0" w:line="240" w:lineRule="auto"/>
              <w:rPr>
                <w:noProof/>
              </w:rPr>
            </w:pPr>
            <w:r>
              <w:rPr>
                <w:noProof/>
              </w:rPr>
              <w:t>1-1.1. Accelerarea – 16865_Restructurarea și consolidarea veniturilor din contul de cogenerare SRE</w:t>
            </w:r>
          </w:p>
        </w:tc>
        <w:tc>
          <w:tcPr>
            <w:tcW w:w="1680" w:type="dxa"/>
            <w:gridSpan w:val="2"/>
            <w:tcBorders>
              <w:top w:val="single" w:sz="4" w:space="0" w:color="auto"/>
              <w:left w:val="nil"/>
              <w:bottom w:val="single" w:sz="4" w:space="0" w:color="auto"/>
              <w:right w:val="single" w:sz="4" w:space="0" w:color="auto"/>
            </w:tcBorders>
            <w:shd w:val="clear" w:color="auto" w:fill="C6EFCE"/>
            <w:noWrap/>
            <w:vAlign w:val="center"/>
          </w:tcPr>
          <w:p w14:paraId="3DEA4C39" w14:textId="77777777" w:rsidR="00C45D59" w:rsidRDefault="009B0962">
            <w:pPr>
              <w:pStyle w:val="P68B1DB1-Normal55"/>
              <w:keepNext/>
              <w:spacing w:before="40" w:after="0" w:line="240" w:lineRule="auto"/>
              <w:rPr>
                <w:noProof/>
              </w:rPr>
            </w:pPr>
            <w:r>
              <w:rPr>
                <w:noProof/>
              </w:rPr>
              <w:t>Țintă</w:t>
            </w:r>
          </w:p>
        </w:tc>
        <w:tc>
          <w:tcPr>
            <w:tcW w:w="2047" w:type="dxa"/>
            <w:tcBorders>
              <w:top w:val="single" w:sz="4" w:space="0" w:color="auto"/>
              <w:left w:val="nil"/>
              <w:bottom w:val="single" w:sz="4" w:space="0" w:color="auto"/>
              <w:right w:val="single" w:sz="4" w:space="0" w:color="auto"/>
            </w:tcBorders>
            <w:shd w:val="clear" w:color="auto" w:fill="C6EFCE"/>
            <w:noWrap/>
            <w:vAlign w:val="center"/>
          </w:tcPr>
          <w:p w14:paraId="607B063D" w14:textId="77777777" w:rsidR="00C45D59" w:rsidRDefault="009B0962">
            <w:pPr>
              <w:pStyle w:val="P68B1DB1-Normal55"/>
              <w:keepNext/>
              <w:spacing w:before="40" w:after="0" w:line="240" w:lineRule="auto"/>
              <w:rPr>
                <w:noProof/>
              </w:rPr>
            </w:pPr>
            <w:r>
              <w:rPr>
                <w:noProof/>
              </w:rPr>
              <w:t>Contul SRE – obiectivul de creștere a capacității 3 </w:t>
            </w:r>
          </w:p>
        </w:tc>
      </w:tr>
      <w:tr w:rsidR="00C45D59" w14:paraId="6B2CE1A7" w14:textId="77777777">
        <w:trPr>
          <w:trHeight w:val="302"/>
          <w:tblHeader/>
          <w:jc w:val="center"/>
        </w:trPr>
        <w:tc>
          <w:tcPr>
            <w:tcW w:w="6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2AC67C" w14:textId="77777777" w:rsidR="00C45D59" w:rsidRDefault="009B0962">
            <w:pPr>
              <w:pStyle w:val="P68B1DB1-Normal55"/>
              <w:keepNext/>
              <w:spacing w:before="40" w:after="0" w:line="240" w:lineRule="auto"/>
              <w:rPr>
                <w:rFonts w:cs="Times New Roman"/>
                <w:noProof/>
                <w:szCs w:val="18"/>
              </w:rPr>
            </w:pPr>
            <w:r>
              <w:rPr>
                <w:noProof/>
              </w:rPr>
              <w:t>10</w:t>
            </w:r>
          </w:p>
        </w:tc>
        <w:tc>
          <w:tcPr>
            <w:tcW w:w="5193" w:type="dxa"/>
            <w:gridSpan w:val="2"/>
            <w:tcBorders>
              <w:top w:val="single" w:sz="4" w:space="0" w:color="auto"/>
              <w:left w:val="nil"/>
              <w:bottom w:val="single" w:sz="4" w:space="0" w:color="auto"/>
              <w:right w:val="single" w:sz="4" w:space="0" w:color="auto"/>
            </w:tcBorders>
            <w:shd w:val="clear" w:color="auto" w:fill="C6EFCE"/>
            <w:noWrap/>
            <w:vAlign w:val="center"/>
          </w:tcPr>
          <w:p w14:paraId="4F0D6DBF" w14:textId="77777777" w:rsidR="00C45D59" w:rsidRDefault="009B0962">
            <w:pPr>
              <w:pStyle w:val="P68B1DB1-Normal55"/>
              <w:keepNext/>
              <w:spacing w:before="40" w:after="0" w:line="240" w:lineRule="auto"/>
              <w:rPr>
                <w:rFonts w:cs="Times New Roman"/>
                <w:noProof/>
                <w:szCs w:val="18"/>
              </w:rPr>
            </w:pPr>
            <w:r>
              <w:rPr>
                <w:noProof/>
              </w:rPr>
              <w:t>1-1.1. Accelerarea – 16871_Acțiuni de revitalizare a celor mai afectate teritorii (teritorii aflate în tranziție justă)</w:t>
            </w:r>
          </w:p>
        </w:tc>
        <w:tc>
          <w:tcPr>
            <w:tcW w:w="1680" w:type="dxa"/>
            <w:gridSpan w:val="2"/>
            <w:tcBorders>
              <w:top w:val="single" w:sz="4" w:space="0" w:color="auto"/>
              <w:left w:val="nil"/>
              <w:bottom w:val="single" w:sz="4" w:space="0" w:color="auto"/>
              <w:right w:val="single" w:sz="4" w:space="0" w:color="auto"/>
            </w:tcBorders>
            <w:shd w:val="clear" w:color="auto" w:fill="C6EFCE"/>
            <w:noWrap/>
            <w:vAlign w:val="center"/>
          </w:tcPr>
          <w:p w14:paraId="5138050A" w14:textId="77777777" w:rsidR="00C45D59" w:rsidRDefault="009B0962">
            <w:pPr>
              <w:pStyle w:val="P68B1DB1-Normal55"/>
              <w:keepNext/>
              <w:spacing w:before="40" w:after="0" w:line="240" w:lineRule="auto"/>
              <w:rPr>
                <w:rFonts w:cs="Times New Roman"/>
                <w:noProof/>
                <w:szCs w:val="18"/>
              </w:rPr>
            </w:pPr>
            <w:r>
              <w:rPr>
                <w:noProof/>
              </w:rPr>
              <w:t>Etapă</w:t>
            </w:r>
          </w:p>
        </w:tc>
        <w:tc>
          <w:tcPr>
            <w:tcW w:w="2047" w:type="dxa"/>
            <w:tcBorders>
              <w:top w:val="single" w:sz="4" w:space="0" w:color="auto"/>
              <w:left w:val="nil"/>
              <w:bottom w:val="single" w:sz="4" w:space="0" w:color="auto"/>
              <w:right w:val="single" w:sz="4" w:space="0" w:color="auto"/>
            </w:tcBorders>
            <w:shd w:val="clear" w:color="auto" w:fill="C6EFCE"/>
            <w:noWrap/>
            <w:vAlign w:val="center"/>
          </w:tcPr>
          <w:p w14:paraId="6D262380" w14:textId="77777777" w:rsidR="00C45D59" w:rsidRDefault="009B0962">
            <w:pPr>
              <w:pStyle w:val="P68B1DB1-Normal55"/>
              <w:keepNext/>
              <w:spacing w:before="40" w:after="0" w:line="240" w:lineRule="auto"/>
              <w:rPr>
                <w:rFonts w:cs="Times New Roman"/>
                <w:noProof/>
                <w:szCs w:val="18"/>
              </w:rPr>
            </w:pPr>
            <w:r>
              <w:rPr>
                <w:noProof/>
              </w:rPr>
              <w:t>Reabilitarea terenurilor – planuri urbane</w:t>
            </w:r>
          </w:p>
        </w:tc>
      </w:tr>
      <w:tr w:rsidR="00C45D59" w14:paraId="274FD746" w14:textId="77777777">
        <w:trPr>
          <w:trHeight w:val="302"/>
          <w:tblHeader/>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33D9C31F" w14:textId="77777777" w:rsidR="00C45D59" w:rsidRDefault="009B0962">
            <w:pPr>
              <w:pStyle w:val="P68B1DB1-Normal11"/>
              <w:keepNext/>
              <w:spacing w:before="40" w:after="0" w:line="240" w:lineRule="auto"/>
              <w:rPr>
                <w:noProof/>
              </w:rPr>
            </w:pPr>
            <w:r>
              <w:rPr>
                <w:noProof/>
              </w:rPr>
              <w:t>31</w:t>
            </w:r>
          </w:p>
        </w:tc>
        <w:tc>
          <w:tcPr>
            <w:tcW w:w="5193" w:type="dxa"/>
            <w:gridSpan w:val="2"/>
            <w:tcBorders>
              <w:top w:val="nil"/>
              <w:left w:val="nil"/>
              <w:bottom w:val="single" w:sz="4" w:space="0" w:color="auto"/>
              <w:right w:val="single" w:sz="4" w:space="0" w:color="auto"/>
            </w:tcBorders>
            <w:shd w:val="clear" w:color="auto" w:fill="C6EFCE"/>
            <w:noWrap/>
            <w:vAlign w:val="center"/>
          </w:tcPr>
          <w:p w14:paraId="441F550D" w14:textId="77777777" w:rsidR="00C45D59" w:rsidRDefault="009B0962">
            <w:pPr>
              <w:pStyle w:val="P68B1DB1-Normal55"/>
              <w:keepNext/>
              <w:spacing w:before="40" w:after="0" w:line="240" w:lineRule="auto"/>
              <w:rPr>
                <w:noProof/>
              </w:rPr>
            </w:pPr>
            <w:r>
              <w:rPr>
                <w:noProof/>
              </w:rPr>
              <w:t>2-1.2. Renovare – 16891_Elaborarea de noi amenajări ale spațiului maritim</w:t>
            </w:r>
          </w:p>
        </w:tc>
        <w:tc>
          <w:tcPr>
            <w:tcW w:w="1680" w:type="dxa"/>
            <w:gridSpan w:val="2"/>
            <w:tcBorders>
              <w:top w:val="nil"/>
              <w:left w:val="nil"/>
              <w:bottom w:val="single" w:sz="4" w:space="0" w:color="auto"/>
              <w:right w:val="single" w:sz="4" w:space="0" w:color="auto"/>
            </w:tcBorders>
            <w:shd w:val="clear" w:color="auto" w:fill="C6EFCE"/>
            <w:noWrap/>
            <w:vAlign w:val="center"/>
          </w:tcPr>
          <w:p w14:paraId="010EB6EF" w14:textId="77777777" w:rsidR="00C45D59" w:rsidRDefault="009B0962">
            <w:pPr>
              <w:pStyle w:val="P68B1DB1-Normal55"/>
              <w:keepNext/>
              <w:spacing w:before="40" w:after="0" w:line="240" w:lineRule="auto"/>
              <w:rPr>
                <w:noProof/>
              </w:rPr>
            </w:pPr>
            <w:r>
              <w:rPr>
                <w:noProof/>
              </w:rPr>
              <w:t>Etapă</w:t>
            </w:r>
          </w:p>
        </w:tc>
        <w:tc>
          <w:tcPr>
            <w:tcW w:w="2047" w:type="dxa"/>
            <w:tcBorders>
              <w:top w:val="nil"/>
              <w:left w:val="nil"/>
              <w:bottom w:val="single" w:sz="4" w:space="0" w:color="auto"/>
              <w:right w:val="single" w:sz="4" w:space="0" w:color="auto"/>
            </w:tcBorders>
            <w:shd w:val="clear" w:color="auto" w:fill="C6EFCE"/>
            <w:noWrap/>
            <w:vAlign w:val="center"/>
          </w:tcPr>
          <w:p w14:paraId="2C8C8ED2" w14:textId="77777777" w:rsidR="00C45D59" w:rsidRDefault="009B0962">
            <w:pPr>
              <w:pStyle w:val="P68B1DB1-Normal11"/>
              <w:keepNext/>
              <w:spacing w:before="40" w:after="0" w:line="240" w:lineRule="auto"/>
              <w:rPr>
                <w:noProof/>
              </w:rPr>
            </w:pPr>
            <w:r>
              <w:rPr>
                <w:noProof/>
              </w:rPr>
              <w:t>Adoptarea strategiei maritime</w:t>
            </w:r>
          </w:p>
        </w:tc>
      </w:tr>
      <w:tr w:rsidR="00C45D59" w14:paraId="38A937CD" w14:textId="77777777">
        <w:trPr>
          <w:trHeight w:val="302"/>
          <w:tblHeader/>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3D025443" w14:textId="77777777" w:rsidR="00C45D59" w:rsidRDefault="009B0962">
            <w:pPr>
              <w:pStyle w:val="P68B1DB1-Normal11"/>
              <w:keepNext/>
              <w:spacing w:before="40" w:after="0" w:line="240" w:lineRule="auto"/>
              <w:rPr>
                <w:rFonts w:eastAsia="Times New Roman" w:cs="Times New Roman"/>
                <w:noProof/>
              </w:rPr>
            </w:pPr>
            <w:r>
              <w:rPr>
                <w:noProof/>
              </w:rPr>
              <w:t>113</w:t>
            </w:r>
          </w:p>
        </w:tc>
        <w:tc>
          <w:tcPr>
            <w:tcW w:w="5193" w:type="dxa"/>
            <w:gridSpan w:val="2"/>
            <w:tcBorders>
              <w:top w:val="nil"/>
              <w:left w:val="nil"/>
              <w:bottom w:val="single" w:sz="4" w:space="0" w:color="auto"/>
              <w:right w:val="single" w:sz="4" w:space="0" w:color="auto"/>
            </w:tcBorders>
            <w:shd w:val="clear" w:color="auto" w:fill="C6EFCE"/>
            <w:noWrap/>
            <w:vAlign w:val="center"/>
          </w:tcPr>
          <w:p w14:paraId="1D675689" w14:textId="77777777" w:rsidR="00C45D59" w:rsidRDefault="009B0962">
            <w:pPr>
              <w:pStyle w:val="P68B1DB1-Normal11"/>
              <w:keepNext/>
              <w:spacing w:before="40" w:after="0" w:line="240" w:lineRule="auto"/>
              <w:rPr>
                <w:rFonts w:eastAsia="Times New Roman" w:cs="Times New Roman"/>
                <w:noProof/>
              </w:rPr>
            </w:pPr>
            <w:r>
              <w:rPr>
                <w:noProof/>
              </w:rPr>
              <w:t>6-2.2. Modernizare – 16738_Sistemul central de gestionare a documentelor</w:t>
            </w:r>
          </w:p>
        </w:tc>
        <w:tc>
          <w:tcPr>
            <w:tcW w:w="1680" w:type="dxa"/>
            <w:gridSpan w:val="2"/>
            <w:tcBorders>
              <w:top w:val="nil"/>
              <w:left w:val="nil"/>
              <w:bottom w:val="single" w:sz="4" w:space="0" w:color="auto"/>
              <w:right w:val="single" w:sz="4" w:space="0" w:color="auto"/>
            </w:tcBorders>
            <w:shd w:val="clear" w:color="auto" w:fill="C6EFCE"/>
            <w:noWrap/>
            <w:vAlign w:val="center"/>
          </w:tcPr>
          <w:p w14:paraId="206F8CCE" w14:textId="77777777" w:rsidR="00C45D59" w:rsidRDefault="009B0962">
            <w:pPr>
              <w:pStyle w:val="P68B1DB1-Normal11"/>
              <w:keepNext/>
              <w:spacing w:before="40" w:after="0" w:line="240" w:lineRule="auto"/>
              <w:rPr>
                <w:rFonts w:eastAsia="Times New Roman" w:cs="Times New Roman"/>
                <w:noProof/>
              </w:rPr>
            </w:pPr>
            <w:r>
              <w:rPr>
                <w:noProof/>
              </w:rPr>
              <w:t>Etapă</w:t>
            </w:r>
          </w:p>
        </w:tc>
        <w:tc>
          <w:tcPr>
            <w:tcW w:w="2047" w:type="dxa"/>
            <w:tcBorders>
              <w:top w:val="nil"/>
              <w:left w:val="nil"/>
              <w:bottom w:val="single" w:sz="4" w:space="0" w:color="auto"/>
              <w:right w:val="single" w:sz="4" w:space="0" w:color="auto"/>
            </w:tcBorders>
            <w:shd w:val="clear" w:color="auto" w:fill="C6EFCE"/>
            <w:noWrap/>
            <w:vAlign w:val="center"/>
          </w:tcPr>
          <w:p w14:paraId="727975CD" w14:textId="77777777" w:rsidR="00C45D59" w:rsidRDefault="009B0962">
            <w:pPr>
              <w:pStyle w:val="P68B1DB1-Normal11"/>
              <w:keepNext/>
              <w:spacing w:before="40" w:after="0" w:line="240" w:lineRule="auto"/>
              <w:rPr>
                <w:rFonts w:eastAsia="Times New Roman" w:cs="Times New Roman"/>
                <w:noProof/>
              </w:rPr>
            </w:pPr>
            <w:r>
              <w:rPr>
                <w:noProof/>
              </w:rPr>
              <w:t xml:space="preserve">Finalizarea proiectului privind sistemul central de gestionare a documentelor </w:t>
            </w:r>
          </w:p>
        </w:tc>
      </w:tr>
      <w:tr w:rsidR="00C45D59" w14:paraId="343C8C3E" w14:textId="77777777">
        <w:trPr>
          <w:trHeight w:val="302"/>
          <w:tblHeader/>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4ECE96E7" w14:textId="77777777" w:rsidR="00C45D59" w:rsidRDefault="009B0962">
            <w:pPr>
              <w:pStyle w:val="P68B1DB1-Normal55"/>
              <w:keepNext/>
              <w:spacing w:before="40" w:after="0" w:line="240" w:lineRule="auto"/>
              <w:rPr>
                <w:rFonts w:eastAsia="Times New Roman" w:cs="Times New Roman"/>
                <w:bCs/>
                <w:noProof/>
                <w:szCs w:val="18"/>
              </w:rPr>
            </w:pPr>
            <w:r>
              <w:rPr>
                <w:noProof/>
              </w:rPr>
              <w:t>122</w:t>
            </w:r>
          </w:p>
        </w:tc>
        <w:tc>
          <w:tcPr>
            <w:tcW w:w="5193" w:type="dxa"/>
            <w:gridSpan w:val="2"/>
            <w:tcBorders>
              <w:top w:val="nil"/>
              <w:left w:val="nil"/>
              <w:bottom w:val="single" w:sz="4" w:space="0" w:color="auto"/>
              <w:right w:val="single" w:sz="4" w:space="0" w:color="auto"/>
            </w:tcBorders>
            <w:shd w:val="clear" w:color="auto" w:fill="C6EFCE"/>
            <w:noWrap/>
            <w:vAlign w:val="center"/>
          </w:tcPr>
          <w:p w14:paraId="667FF72E" w14:textId="77777777" w:rsidR="00C45D59" w:rsidRDefault="009B0962">
            <w:pPr>
              <w:pStyle w:val="P68B1DB1-Normal55"/>
              <w:keepNext/>
              <w:spacing w:before="40" w:after="0" w:line="240" w:lineRule="auto"/>
              <w:rPr>
                <w:rFonts w:eastAsia="Times New Roman" w:cs="Times New Roman"/>
                <w:bCs/>
                <w:noProof/>
                <w:szCs w:val="18"/>
              </w:rPr>
            </w:pPr>
            <w:r>
              <w:rPr>
                <w:noProof/>
              </w:rPr>
              <w:t>6-2.2. Modernizare – 16853 Furnizarea infrastructurii și a serviciilor de cloud computing central</w:t>
            </w:r>
          </w:p>
        </w:tc>
        <w:tc>
          <w:tcPr>
            <w:tcW w:w="1680" w:type="dxa"/>
            <w:gridSpan w:val="2"/>
            <w:tcBorders>
              <w:top w:val="nil"/>
              <w:left w:val="nil"/>
              <w:bottom w:val="single" w:sz="4" w:space="0" w:color="auto"/>
              <w:right w:val="single" w:sz="4" w:space="0" w:color="auto"/>
            </w:tcBorders>
            <w:shd w:val="clear" w:color="auto" w:fill="C6EFCE"/>
            <w:noWrap/>
            <w:vAlign w:val="center"/>
          </w:tcPr>
          <w:p w14:paraId="563A82B1" w14:textId="77777777" w:rsidR="00C45D59" w:rsidRDefault="009B0962">
            <w:pPr>
              <w:pStyle w:val="P68B1DB1-Normal55"/>
              <w:keepNext/>
              <w:spacing w:before="40" w:after="0" w:line="240" w:lineRule="auto"/>
              <w:rPr>
                <w:rFonts w:eastAsia="Times New Roman" w:cs="Times New Roman"/>
                <w:noProof/>
                <w:szCs w:val="18"/>
              </w:rPr>
            </w:pPr>
            <w:r>
              <w:rPr>
                <w:noProof/>
              </w:rPr>
              <w:t>Etapă</w:t>
            </w:r>
          </w:p>
        </w:tc>
        <w:tc>
          <w:tcPr>
            <w:tcW w:w="2047" w:type="dxa"/>
            <w:tcBorders>
              <w:top w:val="nil"/>
              <w:left w:val="nil"/>
              <w:bottom w:val="single" w:sz="4" w:space="0" w:color="auto"/>
              <w:right w:val="single" w:sz="4" w:space="0" w:color="auto"/>
            </w:tcBorders>
            <w:shd w:val="clear" w:color="auto" w:fill="C6EFCE"/>
            <w:noWrap/>
            <w:vAlign w:val="center"/>
          </w:tcPr>
          <w:p w14:paraId="1DB4981F" w14:textId="77777777" w:rsidR="00C45D59" w:rsidRDefault="009B0962">
            <w:pPr>
              <w:pStyle w:val="P68B1DB1-Normal55"/>
              <w:keepNext/>
              <w:spacing w:before="40" w:after="0" w:line="240" w:lineRule="auto"/>
              <w:rPr>
                <w:rFonts w:eastAsia="Times New Roman" w:cs="Times New Roman"/>
                <w:noProof/>
                <w:szCs w:val="18"/>
              </w:rPr>
            </w:pPr>
            <w:r>
              <w:rPr>
                <w:noProof/>
              </w:rPr>
              <w:t>Finalizarea infrastructurii și a serviciului de cloud computing central</w:t>
            </w:r>
          </w:p>
        </w:tc>
      </w:tr>
      <w:tr w:rsidR="00C45D59" w14:paraId="19371198" w14:textId="77777777">
        <w:trPr>
          <w:trHeight w:val="302"/>
          <w:tblHeader/>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11DCFC18" w14:textId="77777777" w:rsidR="00C45D59" w:rsidRDefault="009B0962">
            <w:pPr>
              <w:pStyle w:val="P68B1DB1-Normal55"/>
              <w:keepNext/>
              <w:spacing w:before="40" w:after="0" w:line="240" w:lineRule="auto"/>
              <w:rPr>
                <w:rFonts w:eastAsia="Times New Roman" w:cs="Times New Roman"/>
                <w:bCs/>
                <w:noProof/>
                <w:szCs w:val="18"/>
              </w:rPr>
            </w:pPr>
            <w:r>
              <w:rPr>
                <w:noProof/>
              </w:rPr>
              <w:t>155</w:t>
            </w:r>
          </w:p>
        </w:tc>
        <w:tc>
          <w:tcPr>
            <w:tcW w:w="5193" w:type="dxa"/>
            <w:gridSpan w:val="2"/>
            <w:tcBorders>
              <w:top w:val="nil"/>
              <w:left w:val="nil"/>
              <w:bottom w:val="single" w:sz="4" w:space="0" w:color="auto"/>
              <w:right w:val="single" w:sz="4" w:space="0" w:color="auto"/>
            </w:tcBorders>
            <w:shd w:val="clear" w:color="auto" w:fill="C6EFCE"/>
            <w:noWrap/>
            <w:vAlign w:val="center"/>
          </w:tcPr>
          <w:p w14:paraId="65BFE8D4" w14:textId="77777777" w:rsidR="00C45D59" w:rsidRDefault="009B0962">
            <w:pPr>
              <w:pStyle w:val="P68B1DB1-Normal55"/>
              <w:keepNext/>
              <w:spacing w:before="40" w:after="0" w:line="240" w:lineRule="auto"/>
              <w:rPr>
                <w:rFonts w:eastAsia="Times New Roman" w:cs="Times New Roman"/>
                <w:bCs/>
                <w:noProof/>
                <w:szCs w:val="18"/>
              </w:rPr>
            </w:pPr>
            <w:r>
              <w:rPr>
                <w:noProof/>
              </w:rPr>
              <w:t>10-3.3. Îmbunătățirea rezilienței, a accesibilității și a sustenabilității asistenței medicale – 16816_Reducerea și raționalizarea cheltuielilor cu asistența medicală</w:t>
            </w:r>
          </w:p>
        </w:tc>
        <w:tc>
          <w:tcPr>
            <w:tcW w:w="1680" w:type="dxa"/>
            <w:gridSpan w:val="2"/>
            <w:tcBorders>
              <w:top w:val="nil"/>
              <w:left w:val="nil"/>
              <w:bottom w:val="single" w:sz="4" w:space="0" w:color="auto"/>
              <w:right w:val="single" w:sz="4" w:space="0" w:color="auto"/>
            </w:tcBorders>
            <w:shd w:val="clear" w:color="auto" w:fill="C6EFCE"/>
            <w:noWrap/>
            <w:vAlign w:val="center"/>
          </w:tcPr>
          <w:p w14:paraId="0E53EB21" w14:textId="77777777" w:rsidR="00C45D59" w:rsidRDefault="009B0962">
            <w:pPr>
              <w:pStyle w:val="P68B1DB1-Normal55"/>
              <w:keepNext/>
              <w:spacing w:before="40" w:after="0" w:line="240" w:lineRule="auto"/>
              <w:rPr>
                <w:rFonts w:eastAsia="Times New Roman" w:cs="Times New Roman"/>
                <w:noProof/>
                <w:szCs w:val="18"/>
              </w:rPr>
            </w:pPr>
            <w:r>
              <w:rPr>
                <w:noProof/>
              </w:rPr>
              <w:t>Țintă</w:t>
            </w:r>
          </w:p>
        </w:tc>
        <w:tc>
          <w:tcPr>
            <w:tcW w:w="2047" w:type="dxa"/>
            <w:tcBorders>
              <w:top w:val="nil"/>
              <w:left w:val="nil"/>
              <w:bottom w:val="single" w:sz="4" w:space="0" w:color="auto"/>
              <w:right w:val="single" w:sz="4" w:space="0" w:color="auto"/>
            </w:tcBorders>
            <w:shd w:val="clear" w:color="auto" w:fill="C6EFCE"/>
            <w:noWrap/>
            <w:vAlign w:val="center"/>
          </w:tcPr>
          <w:p w14:paraId="447009DC" w14:textId="77777777" w:rsidR="00C45D59" w:rsidRDefault="009B0962">
            <w:pPr>
              <w:pStyle w:val="P68B1DB1-Normal55"/>
              <w:keepNext/>
              <w:spacing w:before="40" w:after="0" w:line="240" w:lineRule="auto"/>
              <w:rPr>
                <w:rFonts w:eastAsia="Times New Roman" w:cs="Times New Roman"/>
                <w:noProof/>
                <w:szCs w:val="18"/>
              </w:rPr>
            </w:pPr>
            <w:r>
              <w:rPr>
                <w:noProof/>
              </w:rPr>
              <w:t>Reducerea recuperării 150 000 000 – etapa 2</w:t>
            </w:r>
          </w:p>
        </w:tc>
      </w:tr>
      <w:tr w:rsidR="00C45D59" w14:paraId="220D32FD" w14:textId="77777777">
        <w:trPr>
          <w:trHeight w:val="302"/>
          <w:tblHeader/>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70AAB16F" w14:textId="77777777" w:rsidR="00C45D59" w:rsidRDefault="009B0962">
            <w:pPr>
              <w:pStyle w:val="P68B1DB1-Normal55"/>
              <w:keepNext/>
              <w:spacing w:before="40" w:after="0" w:line="240" w:lineRule="auto"/>
              <w:rPr>
                <w:noProof/>
              </w:rPr>
            </w:pPr>
            <w:r>
              <w:rPr>
                <w:noProof/>
              </w:rPr>
              <w:t>148</w:t>
            </w:r>
          </w:p>
        </w:tc>
        <w:tc>
          <w:tcPr>
            <w:tcW w:w="5193" w:type="dxa"/>
            <w:gridSpan w:val="2"/>
            <w:tcBorders>
              <w:top w:val="nil"/>
              <w:left w:val="nil"/>
              <w:bottom w:val="single" w:sz="4" w:space="0" w:color="auto"/>
              <w:right w:val="single" w:sz="4" w:space="0" w:color="auto"/>
            </w:tcBorders>
            <w:shd w:val="clear" w:color="auto" w:fill="C6EFCE"/>
            <w:noWrap/>
            <w:vAlign w:val="center"/>
          </w:tcPr>
          <w:p w14:paraId="5F65D886" w14:textId="77777777" w:rsidR="00C45D59" w:rsidRDefault="009B0962">
            <w:pPr>
              <w:pStyle w:val="P68B1DB1-Normal55"/>
              <w:keepNext/>
              <w:spacing w:before="40" w:after="0" w:line="240" w:lineRule="auto"/>
              <w:rPr>
                <w:noProof/>
              </w:rPr>
            </w:pPr>
            <w:r>
              <w:rPr>
                <w:noProof/>
              </w:rPr>
              <w:t>9-3.2. Educație, educație și formare profesională și competențe – 16676_Transformarea digitală a educației</w:t>
            </w:r>
          </w:p>
        </w:tc>
        <w:tc>
          <w:tcPr>
            <w:tcW w:w="1680" w:type="dxa"/>
            <w:gridSpan w:val="2"/>
            <w:tcBorders>
              <w:top w:val="nil"/>
              <w:left w:val="nil"/>
              <w:bottom w:val="single" w:sz="4" w:space="0" w:color="auto"/>
              <w:right w:val="single" w:sz="4" w:space="0" w:color="auto"/>
            </w:tcBorders>
            <w:shd w:val="clear" w:color="auto" w:fill="C6EFCE"/>
            <w:noWrap/>
            <w:vAlign w:val="center"/>
          </w:tcPr>
          <w:p w14:paraId="6130676B" w14:textId="77777777" w:rsidR="00C45D59" w:rsidRDefault="009B0962">
            <w:pPr>
              <w:pStyle w:val="P68B1DB1-Normal55"/>
              <w:keepNext/>
              <w:spacing w:before="40" w:after="0" w:line="240" w:lineRule="auto"/>
              <w:rPr>
                <w:noProof/>
              </w:rPr>
            </w:pPr>
            <w:r>
              <w:rPr>
                <w:noProof/>
              </w:rPr>
              <w:t>Țintă</w:t>
            </w:r>
          </w:p>
        </w:tc>
        <w:tc>
          <w:tcPr>
            <w:tcW w:w="2047" w:type="dxa"/>
            <w:tcBorders>
              <w:top w:val="nil"/>
              <w:left w:val="nil"/>
              <w:bottom w:val="single" w:sz="4" w:space="0" w:color="auto"/>
              <w:right w:val="single" w:sz="4" w:space="0" w:color="auto"/>
            </w:tcBorders>
            <w:shd w:val="clear" w:color="auto" w:fill="C6EFCE"/>
            <w:noWrap/>
            <w:vAlign w:val="center"/>
          </w:tcPr>
          <w:p w14:paraId="18FC4C70" w14:textId="77777777" w:rsidR="00C45D59" w:rsidRDefault="009B0962">
            <w:pPr>
              <w:pStyle w:val="P68B1DB1-Normal55"/>
              <w:keepNext/>
              <w:spacing w:before="40" w:after="0" w:line="240" w:lineRule="auto"/>
              <w:rPr>
                <w:noProof/>
              </w:rPr>
            </w:pPr>
            <w:r>
              <w:rPr>
                <w:noProof/>
              </w:rPr>
              <w:t>Finalizarea instalării sistemelor interactive</w:t>
            </w:r>
          </w:p>
        </w:tc>
      </w:tr>
      <w:tr w:rsidR="00C45D59" w14:paraId="450E2649" w14:textId="77777777">
        <w:trPr>
          <w:trHeight w:val="302"/>
          <w:tblHeader/>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6F69E6A1" w14:textId="77777777" w:rsidR="00C45D59" w:rsidRDefault="009B0962">
            <w:pPr>
              <w:pStyle w:val="P68B1DB1-Normal55"/>
              <w:keepNext/>
              <w:spacing w:before="40" w:after="0" w:line="240" w:lineRule="auto"/>
              <w:rPr>
                <w:rFonts w:eastAsia="Times New Roman" w:cs="Times New Roman"/>
                <w:bCs/>
                <w:noProof/>
                <w:szCs w:val="18"/>
              </w:rPr>
            </w:pPr>
            <w:r>
              <w:rPr>
                <w:noProof/>
              </w:rPr>
              <w:t>156</w:t>
            </w:r>
          </w:p>
        </w:tc>
        <w:tc>
          <w:tcPr>
            <w:tcW w:w="5193" w:type="dxa"/>
            <w:gridSpan w:val="2"/>
            <w:tcBorders>
              <w:top w:val="nil"/>
              <w:left w:val="nil"/>
              <w:bottom w:val="single" w:sz="4" w:space="0" w:color="auto"/>
              <w:right w:val="single" w:sz="4" w:space="0" w:color="auto"/>
            </w:tcBorders>
            <w:shd w:val="clear" w:color="auto" w:fill="C6EFCE"/>
            <w:noWrap/>
            <w:vAlign w:val="center"/>
          </w:tcPr>
          <w:p w14:paraId="4CC19CB5" w14:textId="77777777" w:rsidR="00C45D59" w:rsidRDefault="009B0962">
            <w:pPr>
              <w:pStyle w:val="P68B1DB1-Normal55"/>
              <w:keepNext/>
              <w:spacing w:before="40" w:after="0" w:line="240" w:lineRule="auto"/>
              <w:rPr>
                <w:rFonts w:eastAsia="Times New Roman" w:cs="Times New Roman"/>
                <w:bCs/>
                <w:noProof/>
                <w:szCs w:val="18"/>
              </w:rPr>
            </w:pPr>
            <w:r>
              <w:rPr>
                <w:noProof/>
              </w:rPr>
              <w:t>10-3.3. Îmbunătățirea rezilienței, a accesibilității și a sustenabilității asistenței medicale – 16816_Reducerea și raționalizarea cheltuielilor cu asistența medicală</w:t>
            </w:r>
          </w:p>
        </w:tc>
        <w:tc>
          <w:tcPr>
            <w:tcW w:w="1680" w:type="dxa"/>
            <w:gridSpan w:val="2"/>
            <w:tcBorders>
              <w:top w:val="nil"/>
              <w:left w:val="nil"/>
              <w:bottom w:val="single" w:sz="4" w:space="0" w:color="auto"/>
              <w:right w:val="single" w:sz="4" w:space="0" w:color="auto"/>
            </w:tcBorders>
            <w:shd w:val="clear" w:color="auto" w:fill="C6EFCE"/>
            <w:noWrap/>
            <w:vAlign w:val="center"/>
          </w:tcPr>
          <w:p w14:paraId="3AA5AD16" w14:textId="77777777" w:rsidR="00C45D59" w:rsidRDefault="009B0962">
            <w:pPr>
              <w:pStyle w:val="P68B1DB1-Normal55"/>
              <w:keepNext/>
              <w:spacing w:before="40" w:after="0" w:line="240" w:lineRule="auto"/>
              <w:rPr>
                <w:rFonts w:eastAsia="Times New Roman" w:cs="Times New Roman"/>
                <w:noProof/>
                <w:szCs w:val="18"/>
              </w:rPr>
            </w:pPr>
            <w:r>
              <w:rPr>
                <w:noProof/>
              </w:rPr>
              <w:t>Țintă</w:t>
            </w:r>
          </w:p>
        </w:tc>
        <w:tc>
          <w:tcPr>
            <w:tcW w:w="2047" w:type="dxa"/>
            <w:tcBorders>
              <w:top w:val="nil"/>
              <w:left w:val="nil"/>
              <w:bottom w:val="single" w:sz="4" w:space="0" w:color="auto"/>
              <w:right w:val="single" w:sz="4" w:space="0" w:color="auto"/>
            </w:tcBorders>
            <w:shd w:val="clear" w:color="auto" w:fill="C6EFCE"/>
            <w:noWrap/>
            <w:vAlign w:val="center"/>
          </w:tcPr>
          <w:p w14:paraId="00EDFCF6" w14:textId="77777777" w:rsidR="00C45D59" w:rsidRDefault="009B0962">
            <w:pPr>
              <w:pStyle w:val="P68B1DB1-Normal55"/>
              <w:keepNext/>
              <w:spacing w:before="40" w:after="0" w:line="240" w:lineRule="auto"/>
              <w:rPr>
                <w:rFonts w:cs="Times New Roman"/>
                <w:noProof/>
                <w:szCs w:val="18"/>
              </w:rPr>
            </w:pPr>
            <w:r>
              <w:rPr>
                <w:noProof/>
              </w:rPr>
              <w:t xml:space="preserve">C &amp; D privind </w:t>
            </w:r>
            <w:r>
              <w:rPr>
                <w:noProof/>
                <w:szCs w:val="18"/>
              </w:rPr>
              <w:t>investițiile farmaceutice – etapa 1</w:t>
            </w:r>
          </w:p>
        </w:tc>
      </w:tr>
      <w:tr w:rsidR="00C45D59" w14:paraId="365F0614" w14:textId="77777777">
        <w:trPr>
          <w:trHeight w:val="302"/>
          <w:tblHeader/>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4ADF8BD9" w14:textId="77777777" w:rsidR="00C45D59" w:rsidRDefault="009B0962">
            <w:pPr>
              <w:pStyle w:val="P68B1DB1-Normal55"/>
              <w:keepNext/>
              <w:spacing w:before="40" w:after="0" w:line="240" w:lineRule="auto"/>
              <w:rPr>
                <w:rFonts w:cs="Times New Roman"/>
                <w:noProof/>
                <w:szCs w:val="18"/>
              </w:rPr>
            </w:pPr>
            <w:r>
              <w:rPr>
                <w:noProof/>
              </w:rPr>
              <w:t>167</w:t>
            </w:r>
          </w:p>
        </w:tc>
        <w:tc>
          <w:tcPr>
            <w:tcW w:w="5193" w:type="dxa"/>
            <w:gridSpan w:val="2"/>
            <w:tcBorders>
              <w:top w:val="nil"/>
              <w:left w:val="nil"/>
              <w:bottom w:val="single" w:sz="4" w:space="0" w:color="auto"/>
              <w:right w:val="single" w:sz="4" w:space="0" w:color="auto"/>
            </w:tcBorders>
            <w:shd w:val="clear" w:color="auto" w:fill="C6EFCE"/>
            <w:noWrap/>
            <w:vAlign w:val="center"/>
          </w:tcPr>
          <w:p w14:paraId="7D04D427" w14:textId="77777777" w:rsidR="00C45D59" w:rsidRDefault="009B0962">
            <w:pPr>
              <w:pStyle w:val="P68B1DB1-Normal55"/>
              <w:keepNext/>
              <w:spacing w:before="40" w:after="0" w:line="240" w:lineRule="auto"/>
              <w:rPr>
                <w:rFonts w:cs="Times New Roman"/>
                <w:noProof/>
                <w:szCs w:val="18"/>
              </w:rPr>
            </w:pPr>
            <w:r>
              <w:rPr>
                <w:noProof/>
              </w:rPr>
              <w:t>10-3.3. Îmbunătățirea rezilienței, a accesibilității și a sustenabilității asistenței medicale – 16752_Transformarea digitală a sănătății (DigHealth)</w:t>
            </w:r>
          </w:p>
        </w:tc>
        <w:tc>
          <w:tcPr>
            <w:tcW w:w="1680" w:type="dxa"/>
            <w:gridSpan w:val="2"/>
            <w:tcBorders>
              <w:top w:val="nil"/>
              <w:left w:val="nil"/>
              <w:bottom w:val="single" w:sz="4" w:space="0" w:color="auto"/>
              <w:right w:val="single" w:sz="4" w:space="0" w:color="auto"/>
            </w:tcBorders>
            <w:shd w:val="clear" w:color="auto" w:fill="C6EFCE"/>
            <w:noWrap/>
            <w:vAlign w:val="center"/>
          </w:tcPr>
          <w:p w14:paraId="3D4BD195" w14:textId="77777777" w:rsidR="00C45D59" w:rsidRDefault="009B0962">
            <w:pPr>
              <w:pStyle w:val="P68B1DB1-Normal55"/>
              <w:keepNext/>
              <w:spacing w:before="40" w:after="0" w:line="240" w:lineRule="auto"/>
              <w:rPr>
                <w:rFonts w:cs="Times New Roman"/>
                <w:noProof/>
                <w:szCs w:val="18"/>
              </w:rPr>
            </w:pPr>
            <w:r>
              <w:rPr>
                <w:noProof/>
              </w:rPr>
              <w:t>Etapă</w:t>
            </w:r>
          </w:p>
        </w:tc>
        <w:tc>
          <w:tcPr>
            <w:tcW w:w="2047" w:type="dxa"/>
            <w:tcBorders>
              <w:top w:val="nil"/>
              <w:left w:val="nil"/>
              <w:bottom w:val="single" w:sz="4" w:space="0" w:color="auto"/>
              <w:right w:val="single" w:sz="4" w:space="0" w:color="auto"/>
            </w:tcBorders>
            <w:shd w:val="clear" w:color="auto" w:fill="C6EFCE"/>
            <w:noWrap/>
            <w:vAlign w:val="center"/>
          </w:tcPr>
          <w:p w14:paraId="20B40CE2" w14:textId="77777777" w:rsidR="00C45D59" w:rsidRDefault="009B0962">
            <w:pPr>
              <w:pStyle w:val="P68B1DB1-Normal55"/>
              <w:keepNext/>
              <w:spacing w:before="40" w:after="0" w:line="240" w:lineRule="auto"/>
              <w:rPr>
                <w:rFonts w:cs="Times New Roman"/>
                <w:noProof/>
                <w:szCs w:val="18"/>
              </w:rPr>
            </w:pPr>
            <w:r>
              <w:rPr>
                <w:noProof/>
              </w:rPr>
              <w:t>Transformarea digitală a asistenței medicale – Registrul național digital de sănătate (subproiectul 1)</w:t>
            </w:r>
          </w:p>
        </w:tc>
      </w:tr>
      <w:tr w:rsidR="00C45D59" w14:paraId="72EE0D6C" w14:textId="77777777">
        <w:trPr>
          <w:trHeight w:val="302"/>
          <w:tblHeader/>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76790E25" w14:textId="77777777" w:rsidR="00C45D59" w:rsidRDefault="009B0962">
            <w:pPr>
              <w:pStyle w:val="P68B1DB1-Normal55"/>
              <w:keepNext/>
              <w:spacing w:before="40" w:after="0" w:line="240" w:lineRule="auto"/>
              <w:rPr>
                <w:rFonts w:cs="Times New Roman"/>
                <w:noProof/>
                <w:szCs w:val="18"/>
              </w:rPr>
            </w:pPr>
            <w:r>
              <w:rPr>
                <w:noProof/>
              </w:rPr>
              <w:t>175a</w:t>
            </w:r>
          </w:p>
        </w:tc>
        <w:tc>
          <w:tcPr>
            <w:tcW w:w="5193" w:type="dxa"/>
            <w:gridSpan w:val="2"/>
            <w:tcBorders>
              <w:top w:val="nil"/>
              <w:left w:val="nil"/>
              <w:bottom w:val="single" w:sz="4" w:space="0" w:color="auto"/>
              <w:right w:val="single" w:sz="4" w:space="0" w:color="auto"/>
            </w:tcBorders>
            <w:shd w:val="clear" w:color="auto" w:fill="C6EFCE"/>
            <w:noWrap/>
            <w:vAlign w:val="center"/>
          </w:tcPr>
          <w:p w14:paraId="1D209C54" w14:textId="77777777" w:rsidR="00C45D59" w:rsidRDefault="009B0962">
            <w:pPr>
              <w:pStyle w:val="P68B1DB1-Normal55"/>
              <w:keepNext/>
              <w:spacing w:before="40" w:after="0" w:line="240" w:lineRule="auto"/>
              <w:rPr>
                <w:rFonts w:cs="Times New Roman"/>
                <w:noProof/>
                <w:szCs w:val="18"/>
              </w:rPr>
            </w:pPr>
            <w:r>
              <w:rPr>
                <w:noProof/>
              </w:rPr>
              <w:t>11-3.4. Creșterea accesului la politici sociale eficace și favorabile incluziunii – Optimizarea prestațiilor sociale 16726</w:t>
            </w:r>
          </w:p>
        </w:tc>
        <w:tc>
          <w:tcPr>
            <w:tcW w:w="1680" w:type="dxa"/>
            <w:gridSpan w:val="2"/>
            <w:tcBorders>
              <w:top w:val="nil"/>
              <w:left w:val="nil"/>
              <w:bottom w:val="single" w:sz="4" w:space="0" w:color="auto"/>
              <w:right w:val="single" w:sz="4" w:space="0" w:color="auto"/>
            </w:tcBorders>
            <w:shd w:val="clear" w:color="auto" w:fill="C6EFCE"/>
            <w:noWrap/>
            <w:vAlign w:val="center"/>
          </w:tcPr>
          <w:p w14:paraId="0719F1CD" w14:textId="77777777" w:rsidR="00C45D59" w:rsidRDefault="009B0962">
            <w:pPr>
              <w:pStyle w:val="P68B1DB1-Normal55"/>
              <w:keepNext/>
              <w:spacing w:before="40" w:after="0" w:line="240" w:lineRule="auto"/>
              <w:rPr>
                <w:rFonts w:cs="Times New Roman"/>
                <w:noProof/>
                <w:szCs w:val="18"/>
              </w:rPr>
            </w:pPr>
            <w:r>
              <w:rPr>
                <w:noProof/>
              </w:rPr>
              <w:t>Etapă</w:t>
            </w:r>
          </w:p>
        </w:tc>
        <w:tc>
          <w:tcPr>
            <w:tcW w:w="2047" w:type="dxa"/>
            <w:tcBorders>
              <w:top w:val="nil"/>
              <w:left w:val="nil"/>
              <w:bottom w:val="single" w:sz="4" w:space="0" w:color="auto"/>
              <w:right w:val="single" w:sz="4" w:space="0" w:color="auto"/>
            </w:tcBorders>
            <w:shd w:val="clear" w:color="auto" w:fill="C6EFCE"/>
            <w:noWrap/>
            <w:vAlign w:val="center"/>
          </w:tcPr>
          <w:p w14:paraId="095DEA31" w14:textId="77777777" w:rsidR="00C45D59" w:rsidRDefault="009B0962">
            <w:pPr>
              <w:pStyle w:val="P68B1DB1-Normal55"/>
              <w:keepNext/>
              <w:spacing w:before="40" w:after="0" w:line="240" w:lineRule="auto"/>
              <w:rPr>
                <w:rFonts w:cs="Times New Roman"/>
                <w:noProof/>
                <w:szCs w:val="18"/>
              </w:rPr>
            </w:pPr>
            <w:r>
              <w:rPr>
                <w:noProof/>
              </w:rPr>
              <w:t>Carduri preplătite pentru optimizarea prestațiilor sociale</w:t>
            </w:r>
          </w:p>
        </w:tc>
      </w:tr>
      <w:tr w:rsidR="00C45D59" w14:paraId="3392A94A" w14:textId="77777777">
        <w:trPr>
          <w:trHeight w:val="302"/>
          <w:tblHeader/>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3185EE35" w14:textId="77777777" w:rsidR="00C45D59" w:rsidRDefault="009B0962">
            <w:pPr>
              <w:pStyle w:val="P68B1DB1-Normal55"/>
              <w:keepNext/>
              <w:spacing w:before="40" w:after="0" w:line="240" w:lineRule="auto"/>
              <w:rPr>
                <w:rFonts w:eastAsia="Times New Roman" w:cs="Times New Roman"/>
                <w:bCs/>
                <w:noProof/>
                <w:szCs w:val="18"/>
              </w:rPr>
            </w:pPr>
            <w:r>
              <w:rPr>
                <w:noProof/>
              </w:rPr>
              <w:t>189</w:t>
            </w:r>
          </w:p>
        </w:tc>
        <w:tc>
          <w:tcPr>
            <w:tcW w:w="5193" w:type="dxa"/>
            <w:gridSpan w:val="2"/>
            <w:tcBorders>
              <w:top w:val="nil"/>
              <w:left w:val="nil"/>
              <w:bottom w:val="single" w:sz="4" w:space="0" w:color="auto"/>
              <w:right w:val="single" w:sz="4" w:space="0" w:color="auto"/>
            </w:tcBorders>
            <w:shd w:val="clear" w:color="auto" w:fill="C6EFCE"/>
            <w:noWrap/>
            <w:vAlign w:val="center"/>
          </w:tcPr>
          <w:p w14:paraId="7A103866" w14:textId="77777777" w:rsidR="00C45D59" w:rsidRDefault="009B0962">
            <w:pPr>
              <w:pStyle w:val="P68B1DB1-Normal55"/>
              <w:keepNext/>
              <w:spacing w:before="40" w:after="0" w:line="240" w:lineRule="auto"/>
              <w:rPr>
                <w:rFonts w:eastAsia="Times New Roman" w:cs="Times New Roman"/>
                <w:bCs/>
                <w:noProof/>
                <w:szCs w:val="18"/>
              </w:rPr>
            </w:pPr>
            <w:r>
              <w:rPr>
                <w:noProof/>
              </w:rPr>
              <w:t>12-4.1. O fiscalitate mai favorabilă creșterii economice și o mai bună administrare fiscală și colectare a impozitelor – 16614_Casele de marcat online &amp; POS (reformă)</w:t>
            </w:r>
          </w:p>
        </w:tc>
        <w:tc>
          <w:tcPr>
            <w:tcW w:w="1680" w:type="dxa"/>
            <w:gridSpan w:val="2"/>
            <w:tcBorders>
              <w:top w:val="nil"/>
              <w:left w:val="nil"/>
              <w:bottom w:val="single" w:sz="4" w:space="0" w:color="auto"/>
              <w:right w:val="single" w:sz="4" w:space="0" w:color="auto"/>
            </w:tcBorders>
            <w:shd w:val="clear" w:color="auto" w:fill="C6EFCE"/>
            <w:noWrap/>
            <w:vAlign w:val="center"/>
          </w:tcPr>
          <w:p w14:paraId="5B509664" w14:textId="77777777" w:rsidR="00C45D59" w:rsidRDefault="009B0962">
            <w:pPr>
              <w:pStyle w:val="P68B1DB1-Normal55"/>
              <w:keepNext/>
              <w:spacing w:before="40" w:after="0" w:line="240" w:lineRule="auto"/>
              <w:rPr>
                <w:rFonts w:eastAsia="Times New Roman" w:cs="Times New Roman"/>
                <w:noProof/>
                <w:szCs w:val="18"/>
              </w:rPr>
            </w:pPr>
            <w:r>
              <w:rPr>
                <w:noProof/>
              </w:rPr>
              <w:t>Țintă</w:t>
            </w:r>
          </w:p>
        </w:tc>
        <w:tc>
          <w:tcPr>
            <w:tcW w:w="2047" w:type="dxa"/>
            <w:tcBorders>
              <w:top w:val="nil"/>
              <w:left w:val="nil"/>
              <w:bottom w:val="single" w:sz="4" w:space="0" w:color="auto"/>
              <w:right w:val="single" w:sz="4" w:space="0" w:color="auto"/>
            </w:tcBorders>
            <w:shd w:val="clear" w:color="auto" w:fill="C6EFCE"/>
            <w:noWrap/>
            <w:vAlign w:val="center"/>
          </w:tcPr>
          <w:p w14:paraId="3DA6658D" w14:textId="77777777" w:rsidR="00C45D59" w:rsidRDefault="009B0962">
            <w:pPr>
              <w:pStyle w:val="P68B1DB1-Normal55"/>
              <w:keepNext/>
              <w:spacing w:before="40" w:after="0" w:line="240" w:lineRule="auto"/>
              <w:rPr>
                <w:rFonts w:eastAsia="Times New Roman" w:cs="Times New Roman"/>
                <w:noProof/>
                <w:szCs w:val="18"/>
              </w:rPr>
            </w:pPr>
            <w:r>
              <w:rPr>
                <w:noProof/>
              </w:rPr>
              <w:t xml:space="preserve">Autoritatea independentă pentru venituri publice: Case de marcat online &amp; Point-of-Sale (POS) – </w:t>
            </w:r>
            <w:r>
              <w:rPr>
                <w:noProof/>
                <w:szCs w:val="18"/>
              </w:rPr>
              <w:t xml:space="preserve">integrare </w:t>
            </w:r>
            <w:r>
              <w:rPr>
                <w:noProof/>
              </w:rPr>
              <w:t xml:space="preserve">și interconectare </w:t>
            </w:r>
          </w:p>
        </w:tc>
      </w:tr>
      <w:tr w:rsidR="00C45D59" w14:paraId="5E995447" w14:textId="77777777">
        <w:trPr>
          <w:trHeight w:val="302"/>
          <w:tblHeader/>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1C755846" w14:textId="77777777" w:rsidR="00C45D59" w:rsidRDefault="009B0962">
            <w:pPr>
              <w:pStyle w:val="P68B1DB1-Normal55"/>
              <w:keepNext/>
              <w:spacing w:before="40" w:after="0" w:line="240" w:lineRule="auto"/>
              <w:rPr>
                <w:rFonts w:eastAsia="Times New Roman" w:cs="Times New Roman"/>
                <w:bCs/>
                <w:noProof/>
                <w:szCs w:val="18"/>
              </w:rPr>
            </w:pPr>
            <w:r>
              <w:rPr>
                <w:noProof/>
              </w:rPr>
              <w:t>204</w:t>
            </w:r>
          </w:p>
        </w:tc>
        <w:tc>
          <w:tcPr>
            <w:tcW w:w="5193" w:type="dxa"/>
            <w:gridSpan w:val="2"/>
            <w:tcBorders>
              <w:top w:val="nil"/>
              <w:left w:val="nil"/>
              <w:bottom w:val="single" w:sz="4" w:space="0" w:color="auto"/>
              <w:right w:val="single" w:sz="4" w:space="0" w:color="auto"/>
            </w:tcBorders>
            <w:shd w:val="clear" w:color="auto" w:fill="C6EFCE"/>
            <w:noWrap/>
            <w:vAlign w:val="center"/>
          </w:tcPr>
          <w:p w14:paraId="5CC8277B" w14:textId="77777777" w:rsidR="00C45D59" w:rsidRDefault="009B0962">
            <w:pPr>
              <w:pStyle w:val="P68B1DB1-Normal55"/>
              <w:keepNext/>
              <w:spacing w:before="40" w:after="0" w:line="240" w:lineRule="auto"/>
              <w:rPr>
                <w:rFonts w:eastAsia="Times New Roman" w:cs="Times New Roman"/>
                <w:bCs/>
                <w:noProof/>
                <w:szCs w:val="18"/>
              </w:rPr>
            </w:pPr>
            <w:r>
              <w:rPr>
                <w:noProof/>
              </w:rPr>
              <w:t>12-4.1. O fiscalitate mai favorabilă creșterii economice și o mai bună administrare fiscală și colectare a impozitelor – 16643_Codificarea și simplificarea legislației fiscale</w:t>
            </w:r>
          </w:p>
        </w:tc>
        <w:tc>
          <w:tcPr>
            <w:tcW w:w="1680" w:type="dxa"/>
            <w:gridSpan w:val="2"/>
            <w:tcBorders>
              <w:top w:val="nil"/>
              <w:left w:val="nil"/>
              <w:bottom w:val="single" w:sz="4" w:space="0" w:color="auto"/>
              <w:right w:val="single" w:sz="4" w:space="0" w:color="auto"/>
            </w:tcBorders>
            <w:shd w:val="clear" w:color="auto" w:fill="C6EFCE"/>
            <w:noWrap/>
            <w:vAlign w:val="center"/>
          </w:tcPr>
          <w:p w14:paraId="059F806A" w14:textId="77777777" w:rsidR="00C45D59" w:rsidRDefault="009B0962">
            <w:pPr>
              <w:pStyle w:val="P68B1DB1-Normal55"/>
              <w:keepNext/>
              <w:spacing w:before="40" w:after="0" w:line="240" w:lineRule="auto"/>
              <w:rPr>
                <w:rFonts w:eastAsia="Times New Roman" w:cs="Times New Roman"/>
                <w:noProof/>
                <w:szCs w:val="18"/>
              </w:rPr>
            </w:pPr>
            <w:r>
              <w:rPr>
                <w:noProof/>
              </w:rPr>
              <w:t>Etapă</w:t>
            </w:r>
          </w:p>
        </w:tc>
        <w:tc>
          <w:tcPr>
            <w:tcW w:w="2047" w:type="dxa"/>
            <w:tcBorders>
              <w:top w:val="nil"/>
              <w:left w:val="nil"/>
              <w:bottom w:val="single" w:sz="4" w:space="0" w:color="auto"/>
              <w:right w:val="single" w:sz="4" w:space="0" w:color="auto"/>
            </w:tcBorders>
            <w:shd w:val="clear" w:color="auto" w:fill="C6EFCE"/>
            <w:noWrap/>
            <w:vAlign w:val="center"/>
          </w:tcPr>
          <w:p w14:paraId="530E171B" w14:textId="77777777" w:rsidR="00C45D59" w:rsidRDefault="009B0962">
            <w:pPr>
              <w:pStyle w:val="P68B1DB1-Normal55"/>
              <w:keepNext/>
              <w:spacing w:before="40" w:after="0" w:line="240" w:lineRule="auto"/>
              <w:rPr>
                <w:rFonts w:eastAsia="Times New Roman" w:cs="Times New Roman"/>
                <w:noProof/>
                <w:szCs w:val="18"/>
              </w:rPr>
            </w:pPr>
            <w:r>
              <w:rPr>
                <w:noProof/>
              </w:rPr>
              <w:t>Finalizarea codificării fiscale inițiale și a sistemului de informare a contribuabililor</w:t>
            </w:r>
          </w:p>
        </w:tc>
      </w:tr>
      <w:tr w:rsidR="00C45D59" w14:paraId="2C33302C" w14:textId="77777777">
        <w:trPr>
          <w:trHeight w:val="302"/>
          <w:tblHeader/>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3B431018" w14:textId="77777777" w:rsidR="00C45D59" w:rsidRDefault="009B0962">
            <w:pPr>
              <w:pStyle w:val="P68B1DB1-Normal55"/>
              <w:keepNext/>
              <w:spacing w:before="40" w:after="0" w:line="240" w:lineRule="auto"/>
              <w:rPr>
                <w:noProof/>
              </w:rPr>
            </w:pPr>
            <w:r>
              <w:rPr>
                <w:noProof/>
              </w:rPr>
              <w:t>340</w:t>
            </w:r>
          </w:p>
        </w:tc>
        <w:tc>
          <w:tcPr>
            <w:tcW w:w="5193" w:type="dxa"/>
            <w:gridSpan w:val="2"/>
            <w:tcBorders>
              <w:top w:val="nil"/>
              <w:left w:val="nil"/>
              <w:bottom w:val="single" w:sz="4" w:space="0" w:color="auto"/>
              <w:right w:val="single" w:sz="4" w:space="0" w:color="auto"/>
            </w:tcBorders>
            <w:shd w:val="clear" w:color="auto" w:fill="C6EFCE"/>
            <w:noWrap/>
            <w:vAlign w:val="center"/>
          </w:tcPr>
          <w:p w14:paraId="16CD3C91" w14:textId="77777777" w:rsidR="00C45D59" w:rsidRDefault="009B0962">
            <w:pPr>
              <w:pStyle w:val="P68B1DB1-Normal55"/>
              <w:keepNext/>
              <w:spacing w:before="40" w:after="0" w:line="240" w:lineRule="auto"/>
              <w:rPr>
                <w:noProof/>
              </w:rPr>
            </w:pPr>
            <w:r>
              <w:rPr>
                <w:noProof/>
              </w:rPr>
              <w:t>12-4.1. O fiscalitate mai favorabilă creșterii economice și o mai bună administrare fiscală și colectare a impozitelor – 16985_Modificări ale cadrului de politică fiscală al Greciei</w:t>
            </w:r>
          </w:p>
        </w:tc>
        <w:tc>
          <w:tcPr>
            <w:tcW w:w="1680" w:type="dxa"/>
            <w:gridSpan w:val="2"/>
            <w:tcBorders>
              <w:top w:val="nil"/>
              <w:left w:val="nil"/>
              <w:bottom w:val="single" w:sz="4" w:space="0" w:color="auto"/>
              <w:right w:val="single" w:sz="4" w:space="0" w:color="auto"/>
            </w:tcBorders>
            <w:shd w:val="clear" w:color="auto" w:fill="C6EFCE"/>
            <w:noWrap/>
            <w:vAlign w:val="center"/>
          </w:tcPr>
          <w:p w14:paraId="5A9943F7" w14:textId="77777777" w:rsidR="00C45D59" w:rsidRDefault="009B0962">
            <w:pPr>
              <w:pStyle w:val="P68B1DB1-Normal55"/>
              <w:keepNext/>
              <w:spacing w:before="40" w:after="0" w:line="240" w:lineRule="auto"/>
              <w:rPr>
                <w:noProof/>
              </w:rPr>
            </w:pPr>
            <w:r>
              <w:rPr>
                <w:noProof/>
              </w:rPr>
              <w:t>Etapă</w:t>
            </w:r>
          </w:p>
        </w:tc>
        <w:tc>
          <w:tcPr>
            <w:tcW w:w="2047" w:type="dxa"/>
            <w:tcBorders>
              <w:top w:val="nil"/>
              <w:left w:val="nil"/>
              <w:bottom w:val="single" w:sz="4" w:space="0" w:color="auto"/>
              <w:right w:val="single" w:sz="4" w:space="0" w:color="auto"/>
            </w:tcBorders>
            <w:shd w:val="clear" w:color="auto" w:fill="C6EFCE"/>
            <w:noWrap/>
            <w:vAlign w:val="center"/>
          </w:tcPr>
          <w:p w14:paraId="44D14AE6" w14:textId="77777777" w:rsidR="00C45D59" w:rsidRDefault="009B0962">
            <w:pPr>
              <w:pStyle w:val="P68B1DB1-Normal55"/>
              <w:keepNext/>
              <w:spacing w:before="40" w:after="0" w:line="240" w:lineRule="auto"/>
              <w:rPr>
                <w:noProof/>
              </w:rPr>
            </w:pPr>
            <w:r>
              <w:rPr>
                <w:noProof/>
              </w:rPr>
              <w:t>Combaterea evaziunii fiscale prin utilizarea myDATA în scopul impozitării veniturilor</w:t>
            </w:r>
          </w:p>
        </w:tc>
      </w:tr>
      <w:tr w:rsidR="00C45D59" w14:paraId="4CF97888" w14:textId="77777777">
        <w:trPr>
          <w:trHeight w:val="302"/>
          <w:tblHeader/>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42CBE0ED" w14:textId="77777777" w:rsidR="00C45D59" w:rsidRDefault="009B0962">
            <w:pPr>
              <w:pStyle w:val="P68B1DB1-Normal55"/>
              <w:keepNext/>
              <w:spacing w:before="40" w:after="0" w:line="240" w:lineRule="auto"/>
              <w:rPr>
                <w:rFonts w:cs="Times New Roman"/>
                <w:noProof/>
                <w:szCs w:val="18"/>
              </w:rPr>
            </w:pPr>
            <w:r>
              <w:rPr>
                <w:noProof/>
              </w:rPr>
              <w:t>212</w:t>
            </w:r>
          </w:p>
        </w:tc>
        <w:tc>
          <w:tcPr>
            <w:tcW w:w="5193" w:type="dxa"/>
            <w:gridSpan w:val="2"/>
            <w:tcBorders>
              <w:top w:val="nil"/>
              <w:left w:val="nil"/>
              <w:bottom w:val="single" w:sz="4" w:space="0" w:color="auto"/>
              <w:right w:val="single" w:sz="4" w:space="0" w:color="auto"/>
            </w:tcBorders>
            <w:shd w:val="clear" w:color="auto" w:fill="C6EFCE"/>
            <w:noWrap/>
            <w:vAlign w:val="center"/>
          </w:tcPr>
          <w:p w14:paraId="2280AEE1" w14:textId="77777777" w:rsidR="00C45D59" w:rsidRDefault="009B0962">
            <w:pPr>
              <w:pStyle w:val="P68B1DB1-Normal55"/>
              <w:keepNext/>
              <w:spacing w:before="40" w:after="0" w:line="240" w:lineRule="auto"/>
              <w:rPr>
                <w:rFonts w:cs="Times New Roman"/>
                <w:noProof/>
                <w:szCs w:val="18"/>
              </w:rPr>
            </w:pPr>
            <w:r>
              <w:rPr>
                <w:noProof/>
              </w:rPr>
              <w:t>13-4.2. Modernizarea administrației publice, inclusiv prin accelerarea punerii în aplicare a investițiilor publice, îmbunătățirea cadrului privind achizițiile publice, măsuri de consolidare a capacităților și combaterea corupției – 16702_Consolidarea cadrului privind combaterea spălării banilor și a finanțării terorismului</w:t>
            </w:r>
          </w:p>
        </w:tc>
        <w:tc>
          <w:tcPr>
            <w:tcW w:w="1680" w:type="dxa"/>
            <w:gridSpan w:val="2"/>
            <w:tcBorders>
              <w:top w:val="nil"/>
              <w:left w:val="nil"/>
              <w:bottom w:val="single" w:sz="4" w:space="0" w:color="auto"/>
              <w:right w:val="single" w:sz="4" w:space="0" w:color="auto"/>
            </w:tcBorders>
            <w:shd w:val="clear" w:color="auto" w:fill="C6EFCE"/>
            <w:noWrap/>
            <w:vAlign w:val="center"/>
          </w:tcPr>
          <w:p w14:paraId="3DC1ABDB" w14:textId="77777777" w:rsidR="00C45D59" w:rsidRDefault="009B0962">
            <w:pPr>
              <w:pStyle w:val="P68B1DB1-Normal55"/>
              <w:keepNext/>
              <w:spacing w:before="40" w:after="0" w:line="240" w:lineRule="auto"/>
              <w:rPr>
                <w:rFonts w:cs="Times New Roman"/>
                <w:noProof/>
                <w:szCs w:val="18"/>
              </w:rPr>
            </w:pPr>
            <w:r>
              <w:rPr>
                <w:noProof/>
              </w:rPr>
              <w:t>Etapă</w:t>
            </w:r>
          </w:p>
        </w:tc>
        <w:tc>
          <w:tcPr>
            <w:tcW w:w="2047" w:type="dxa"/>
            <w:tcBorders>
              <w:top w:val="nil"/>
              <w:left w:val="nil"/>
              <w:bottom w:val="single" w:sz="4" w:space="0" w:color="auto"/>
              <w:right w:val="single" w:sz="4" w:space="0" w:color="auto"/>
            </w:tcBorders>
            <w:shd w:val="clear" w:color="auto" w:fill="C6EFCE"/>
            <w:noWrap/>
            <w:vAlign w:val="center"/>
          </w:tcPr>
          <w:p w14:paraId="49EABA4A" w14:textId="77777777" w:rsidR="00C45D59" w:rsidRDefault="009B0962">
            <w:pPr>
              <w:pStyle w:val="P68B1DB1-Normal55"/>
              <w:keepNext/>
              <w:spacing w:before="40" w:after="0" w:line="240" w:lineRule="auto"/>
              <w:rPr>
                <w:rFonts w:cs="Times New Roman"/>
                <w:noProof/>
                <w:szCs w:val="18"/>
              </w:rPr>
            </w:pPr>
            <w:r>
              <w:rPr>
                <w:noProof/>
              </w:rPr>
              <w:t>Cadrul consolidat de combatere a spălării banilor (CSB) și a finanțării terorismului (CFT)</w:t>
            </w:r>
          </w:p>
        </w:tc>
      </w:tr>
      <w:tr w:rsidR="00C45D59" w14:paraId="38C44B13" w14:textId="77777777">
        <w:trPr>
          <w:trHeight w:val="302"/>
          <w:tblHeader/>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1991D678" w14:textId="77777777" w:rsidR="00C45D59" w:rsidRDefault="009B0962">
            <w:pPr>
              <w:pStyle w:val="P68B1DB1-Normal55"/>
              <w:keepNext/>
              <w:spacing w:before="40" w:after="0" w:line="240" w:lineRule="auto"/>
              <w:rPr>
                <w:rFonts w:eastAsia="Times New Roman" w:cs="Times New Roman"/>
                <w:bCs/>
                <w:noProof/>
                <w:szCs w:val="18"/>
              </w:rPr>
            </w:pPr>
            <w:r>
              <w:rPr>
                <w:noProof/>
              </w:rPr>
              <w:t>216</w:t>
            </w:r>
          </w:p>
        </w:tc>
        <w:tc>
          <w:tcPr>
            <w:tcW w:w="5193" w:type="dxa"/>
            <w:gridSpan w:val="2"/>
            <w:tcBorders>
              <w:top w:val="nil"/>
              <w:left w:val="nil"/>
              <w:bottom w:val="single" w:sz="4" w:space="0" w:color="auto"/>
              <w:right w:val="single" w:sz="4" w:space="0" w:color="auto"/>
            </w:tcBorders>
            <w:shd w:val="clear" w:color="auto" w:fill="C6EFCE"/>
            <w:noWrap/>
            <w:vAlign w:val="center"/>
          </w:tcPr>
          <w:p w14:paraId="0ADD8400" w14:textId="77777777" w:rsidR="00C45D59" w:rsidRDefault="009B0962">
            <w:pPr>
              <w:pStyle w:val="P68B1DB1-Normal55"/>
              <w:keepNext/>
              <w:spacing w:before="40" w:after="0" w:line="240" w:lineRule="auto"/>
              <w:rPr>
                <w:rFonts w:eastAsia="Times New Roman" w:cs="Times New Roman"/>
                <w:bCs/>
                <w:noProof/>
                <w:szCs w:val="18"/>
              </w:rPr>
            </w:pPr>
            <w:r>
              <w:rPr>
                <w:noProof/>
              </w:rPr>
              <w:t>13-4.2. Modernizarea administrației publice, inclusiv prin accelerarea punerii în aplicare a investițiilor publice, îmbunătățirea cadrului privind achizițiile publice, măsuri de consolidare a capacităților și combaterea corupției – 16711_Profesionalizarea domeniului achizițiilor publice</w:t>
            </w:r>
          </w:p>
        </w:tc>
        <w:tc>
          <w:tcPr>
            <w:tcW w:w="1680" w:type="dxa"/>
            <w:gridSpan w:val="2"/>
            <w:tcBorders>
              <w:top w:val="nil"/>
              <w:left w:val="nil"/>
              <w:bottom w:val="single" w:sz="4" w:space="0" w:color="auto"/>
              <w:right w:val="single" w:sz="4" w:space="0" w:color="auto"/>
            </w:tcBorders>
            <w:shd w:val="clear" w:color="auto" w:fill="C6EFCE"/>
            <w:noWrap/>
            <w:vAlign w:val="center"/>
          </w:tcPr>
          <w:p w14:paraId="6F1DB5A2" w14:textId="77777777" w:rsidR="00C45D59" w:rsidRDefault="009B0962">
            <w:pPr>
              <w:pStyle w:val="P68B1DB1-Normal55"/>
              <w:keepNext/>
              <w:spacing w:before="40" w:after="0" w:line="240" w:lineRule="auto"/>
              <w:rPr>
                <w:rFonts w:eastAsia="Times New Roman" w:cs="Times New Roman"/>
                <w:noProof/>
                <w:szCs w:val="18"/>
              </w:rPr>
            </w:pPr>
            <w:r>
              <w:rPr>
                <w:noProof/>
              </w:rPr>
              <w:t>Etapă</w:t>
            </w:r>
          </w:p>
        </w:tc>
        <w:tc>
          <w:tcPr>
            <w:tcW w:w="2047" w:type="dxa"/>
            <w:tcBorders>
              <w:top w:val="nil"/>
              <w:left w:val="nil"/>
              <w:bottom w:val="single" w:sz="4" w:space="0" w:color="auto"/>
              <w:right w:val="single" w:sz="4" w:space="0" w:color="auto"/>
            </w:tcBorders>
            <w:shd w:val="clear" w:color="auto" w:fill="C6EFCE"/>
            <w:noWrap/>
            <w:vAlign w:val="center"/>
          </w:tcPr>
          <w:p w14:paraId="61CE0C8C" w14:textId="77777777" w:rsidR="00C45D59" w:rsidRDefault="009B0962">
            <w:pPr>
              <w:pStyle w:val="P68B1DB1-Normal55"/>
              <w:keepNext/>
              <w:spacing w:before="40" w:after="0" w:line="240" w:lineRule="auto"/>
              <w:rPr>
                <w:rFonts w:eastAsia="Times New Roman" w:cs="Times New Roman"/>
                <w:noProof/>
                <w:szCs w:val="18"/>
              </w:rPr>
            </w:pPr>
            <w:r>
              <w:rPr>
                <w:noProof/>
              </w:rPr>
              <w:t>Profesionalizarea domeniului achizițiilor publice – legislație nouă</w:t>
            </w:r>
          </w:p>
        </w:tc>
      </w:tr>
      <w:tr w:rsidR="00C45D59" w14:paraId="18067DCA" w14:textId="77777777">
        <w:trPr>
          <w:trHeight w:val="302"/>
          <w:tblHeader/>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5D80E72D" w14:textId="77777777" w:rsidR="00C45D59" w:rsidRDefault="009B0962">
            <w:pPr>
              <w:pStyle w:val="P68B1DB1-Normal55"/>
              <w:keepNext/>
              <w:spacing w:before="40" w:after="0" w:line="240" w:lineRule="auto"/>
              <w:rPr>
                <w:noProof/>
              </w:rPr>
            </w:pPr>
            <w:r>
              <w:rPr>
                <w:noProof/>
              </w:rPr>
              <w:t>234</w:t>
            </w:r>
          </w:p>
        </w:tc>
        <w:tc>
          <w:tcPr>
            <w:tcW w:w="5193" w:type="dxa"/>
            <w:gridSpan w:val="2"/>
            <w:tcBorders>
              <w:top w:val="nil"/>
              <w:left w:val="nil"/>
              <w:bottom w:val="single" w:sz="4" w:space="0" w:color="auto"/>
              <w:right w:val="single" w:sz="4" w:space="0" w:color="auto"/>
            </w:tcBorders>
            <w:shd w:val="clear" w:color="auto" w:fill="C6EFCE"/>
            <w:noWrap/>
            <w:vAlign w:val="center"/>
          </w:tcPr>
          <w:p w14:paraId="353189EE" w14:textId="77777777" w:rsidR="00C45D59" w:rsidRDefault="009B0962">
            <w:pPr>
              <w:pStyle w:val="P68B1DB1-Normal55"/>
              <w:keepNext/>
              <w:spacing w:before="40" w:after="0" w:line="240" w:lineRule="auto"/>
              <w:rPr>
                <w:noProof/>
              </w:rPr>
            </w:pPr>
            <w:r>
              <w:rPr>
                <w:noProof/>
              </w:rPr>
              <w:t>14-4.3. Îmbunătățirea eficienței sistemului de justiție – 16575 Accelerarea administrării justiției</w:t>
            </w:r>
          </w:p>
        </w:tc>
        <w:tc>
          <w:tcPr>
            <w:tcW w:w="1680" w:type="dxa"/>
            <w:gridSpan w:val="2"/>
            <w:tcBorders>
              <w:top w:val="nil"/>
              <w:left w:val="nil"/>
              <w:bottom w:val="single" w:sz="4" w:space="0" w:color="auto"/>
              <w:right w:val="single" w:sz="4" w:space="0" w:color="auto"/>
            </w:tcBorders>
            <w:shd w:val="clear" w:color="auto" w:fill="C6EFCE"/>
            <w:noWrap/>
            <w:vAlign w:val="center"/>
          </w:tcPr>
          <w:p w14:paraId="48854E78" w14:textId="77777777" w:rsidR="00C45D59" w:rsidRDefault="009B0962">
            <w:pPr>
              <w:pStyle w:val="P68B1DB1-Normal55"/>
              <w:keepNext/>
              <w:spacing w:before="40" w:after="0" w:line="240" w:lineRule="auto"/>
              <w:rPr>
                <w:noProof/>
              </w:rPr>
            </w:pPr>
            <w:r>
              <w:rPr>
                <w:noProof/>
              </w:rPr>
              <w:t>Etapă</w:t>
            </w:r>
          </w:p>
        </w:tc>
        <w:tc>
          <w:tcPr>
            <w:tcW w:w="2047" w:type="dxa"/>
            <w:tcBorders>
              <w:top w:val="nil"/>
              <w:left w:val="nil"/>
              <w:bottom w:val="single" w:sz="4" w:space="0" w:color="auto"/>
              <w:right w:val="single" w:sz="4" w:space="0" w:color="auto"/>
            </w:tcBorders>
            <w:shd w:val="clear" w:color="auto" w:fill="C6EFCE"/>
            <w:noWrap/>
            <w:vAlign w:val="center"/>
          </w:tcPr>
          <w:p w14:paraId="3D2037B9" w14:textId="77777777" w:rsidR="00C45D59" w:rsidRDefault="009B0962">
            <w:pPr>
              <w:pStyle w:val="P68B1DB1-Normal55"/>
              <w:keepNext/>
              <w:spacing w:before="40" w:after="0" w:line="240" w:lineRule="auto"/>
              <w:rPr>
                <w:noProof/>
              </w:rPr>
            </w:pPr>
            <w:r>
              <w:rPr>
                <w:noProof/>
              </w:rPr>
              <w:t>Poliția judiciară operațională</w:t>
            </w:r>
          </w:p>
        </w:tc>
      </w:tr>
      <w:tr w:rsidR="00C45D59" w14:paraId="25378F6B" w14:textId="77777777">
        <w:trPr>
          <w:trHeight w:val="302"/>
          <w:tblHeader/>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4C147018" w14:textId="77777777" w:rsidR="00C45D59" w:rsidRDefault="009B0962">
            <w:pPr>
              <w:pStyle w:val="P68B1DB1-Normal55"/>
              <w:keepNext/>
              <w:spacing w:before="40" w:after="0" w:line="240" w:lineRule="auto"/>
              <w:rPr>
                <w:rFonts w:cs="Times New Roman"/>
                <w:noProof/>
                <w:szCs w:val="18"/>
              </w:rPr>
            </w:pPr>
            <w:r>
              <w:rPr>
                <w:noProof/>
              </w:rPr>
              <w:t>244a</w:t>
            </w:r>
          </w:p>
        </w:tc>
        <w:tc>
          <w:tcPr>
            <w:tcW w:w="5193" w:type="dxa"/>
            <w:gridSpan w:val="2"/>
            <w:tcBorders>
              <w:top w:val="nil"/>
              <w:left w:val="nil"/>
              <w:bottom w:val="single" w:sz="4" w:space="0" w:color="auto"/>
              <w:right w:val="single" w:sz="4" w:space="0" w:color="auto"/>
            </w:tcBorders>
            <w:shd w:val="clear" w:color="auto" w:fill="C6EFCE"/>
            <w:noWrap/>
            <w:vAlign w:val="center"/>
          </w:tcPr>
          <w:p w14:paraId="471D2E06" w14:textId="77777777" w:rsidR="00C45D59" w:rsidRDefault="009B0962">
            <w:pPr>
              <w:pStyle w:val="P68B1DB1-Normal55"/>
              <w:keepNext/>
              <w:spacing w:before="40" w:after="0" w:line="240" w:lineRule="auto"/>
              <w:rPr>
                <w:rFonts w:cs="Times New Roman"/>
                <w:noProof/>
                <w:szCs w:val="18"/>
              </w:rPr>
            </w:pPr>
            <w:r>
              <w:rPr>
                <w:noProof/>
              </w:rPr>
              <w:t>15-4.4. Consolidarea sectorului financiar și a piețelor de capital – 16957_Consolidarea capacității sistemului financiar de a depăși provocările moștenite și de a finanța economia reală</w:t>
            </w:r>
          </w:p>
        </w:tc>
        <w:tc>
          <w:tcPr>
            <w:tcW w:w="1680" w:type="dxa"/>
            <w:gridSpan w:val="2"/>
            <w:tcBorders>
              <w:top w:val="nil"/>
              <w:left w:val="nil"/>
              <w:bottom w:val="single" w:sz="4" w:space="0" w:color="auto"/>
              <w:right w:val="single" w:sz="4" w:space="0" w:color="auto"/>
            </w:tcBorders>
            <w:shd w:val="clear" w:color="auto" w:fill="C6EFCE"/>
            <w:noWrap/>
            <w:vAlign w:val="center"/>
          </w:tcPr>
          <w:p w14:paraId="457B65D6" w14:textId="77777777" w:rsidR="00C45D59" w:rsidRDefault="009B0962">
            <w:pPr>
              <w:pStyle w:val="P68B1DB1-Normal55"/>
              <w:keepNext/>
              <w:spacing w:before="40" w:after="0" w:line="240" w:lineRule="auto"/>
              <w:rPr>
                <w:rFonts w:cs="Times New Roman"/>
                <w:noProof/>
                <w:szCs w:val="18"/>
              </w:rPr>
            </w:pPr>
            <w:r>
              <w:rPr>
                <w:noProof/>
              </w:rPr>
              <w:t>Etapă</w:t>
            </w:r>
          </w:p>
        </w:tc>
        <w:tc>
          <w:tcPr>
            <w:tcW w:w="2047" w:type="dxa"/>
            <w:tcBorders>
              <w:top w:val="nil"/>
              <w:left w:val="nil"/>
              <w:bottom w:val="single" w:sz="4" w:space="0" w:color="auto"/>
              <w:right w:val="single" w:sz="4" w:space="0" w:color="auto"/>
            </w:tcBorders>
            <w:shd w:val="clear" w:color="auto" w:fill="C6EFCE"/>
            <w:noWrap/>
            <w:vAlign w:val="center"/>
          </w:tcPr>
          <w:p w14:paraId="29FE8B6D" w14:textId="77777777" w:rsidR="00C45D59" w:rsidRDefault="009B0962">
            <w:pPr>
              <w:pStyle w:val="P68B1DB1-Normal55"/>
              <w:keepNext/>
              <w:spacing w:before="40" w:after="0" w:line="240" w:lineRule="auto"/>
              <w:rPr>
                <w:rFonts w:cs="Times New Roman"/>
                <w:noProof/>
                <w:szCs w:val="18"/>
              </w:rPr>
            </w:pPr>
            <w:r>
              <w:rPr>
                <w:noProof/>
              </w:rPr>
              <w:t>Licitații electronice pentru executarea silită a datoriilor</w:t>
            </w:r>
          </w:p>
        </w:tc>
      </w:tr>
      <w:tr w:rsidR="00C45D59" w14:paraId="20C27F6E" w14:textId="77777777">
        <w:trPr>
          <w:trHeight w:val="302"/>
          <w:tblHeader/>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5F85C5E6" w14:textId="77777777" w:rsidR="00C45D59" w:rsidRDefault="009B0962">
            <w:pPr>
              <w:pStyle w:val="P68B1DB1-Normal55"/>
              <w:keepNext/>
              <w:spacing w:before="40" w:after="0" w:line="240" w:lineRule="auto"/>
              <w:rPr>
                <w:noProof/>
              </w:rPr>
            </w:pPr>
            <w:r>
              <w:rPr>
                <w:noProof/>
              </w:rPr>
              <w:t>235</w:t>
            </w:r>
          </w:p>
        </w:tc>
        <w:tc>
          <w:tcPr>
            <w:tcW w:w="5193" w:type="dxa"/>
            <w:gridSpan w:val="2"/>
            <w:tcBorders>
              <w:top w:val="nil"/>
              <w:left w:val="nil"/>
              <w:bottom w:val="single" w:sz="4" w:space="0" w:color="auto"/>
              <w:right w:val="single" w:sz="4" w:space="0" w:color="auto"/>
            </w:tcBorders>
            <w:shd w:val="clear" w:color="auto" w:fill="C6EFCE"/>
            <w:noWrap/>
            <w:vAlign w:val="center"/>
          </w:tcPr>
          <w:p w14:paraId="2A05F414" w14:textId="77777777" w:rsidR="00C45D59" w:rsidRDefault="009B0962">
            <w:pPr>
              <w:pStyle w:val="P68B1DB1-Normal55"/>
              <w:keepNext/>
              <w:spacing w:before="40" w:after="0" w:line="240" w:lineRule="auto"/>
              <w:rPr>
                <w:noProof/>
              </w:rPr>
            </w:pPr>
            <w:r>
              <w:rPr>
                <w:noProof/>
              </w:rPr>
              <w:t>14-4.3. Îmbunătățirea eficienței sistemului de justiție – 16733_Competențe și competențe digitale pentru judecători și angajații din sistemul judiciar (personalul din justiție)</w:t>
            </w:r>
          </w:p>
        </w:tc>
        <w:tc>
          <w:tcPr>
            <w:tcW w:w="1680" w:type="dxa"/>
            <w:gridSpan w:val="2"/>
            <w:tcBorders>
              <w:top w:val="nil"/>
              <w:left w:val="nil"/>
              <w:bottom w:val="single" w:sz="4" w:space="0" w:color="auto"/>
              <w:right w:val="single" w:sz="4" w:space="0" w:color="auto"/>
            </w:tcBorders>
            <w:shd w:val="clear" w:color="auto" w:fill="C6EFCE"/>
            <w:noWrap/>
            <w:vAlign w:val="center"/>
          </w:tcPr>
          <w:p w14:paraId="41716FD8" w14:textId="77777777" w:rsidR="00C45D59" w:rsidRDefault="009B0962">
            <w:pPr>
              <w:pStyle w:val="P68B1DB1-Normal55"/>
              <w:keepNext/>
              <w:spacing w:before="40" w:after="0" w:line="240" w:lineRule="auto"/>
              <w:rPr>
                <w:noProof/>
              </w:rPr>
            </w:pPr>
            <w:r>
              <w:rPr>
                <w:noProof/>
              </w:rPr>
              <w:t>Etapă</w:t>
            </w:r>
          </w:p>
        </w:tc>
        <w:tc>
          <w:tcPr>
            <w:tcW w:w="2047" w:type="dxa"/>
            <w:tcBorders>
              <w:top w:val="nil"/>
              <w:left w:val="nil"/>
              <w:bottom w:val="single" w:sz="4" w:space="0" w:color="auto"/>
              <w:right w:val="single" w:sz="4" w:space="0" w:color="auto"/>
            </w:tcBorders>
            <w:shd w:val="clear" w:color="auto" w:fill="C6EFCE"/>
            <w:noWrap/>
            <w:vAlign w:val="center"/>
          </w:tcPr>
          <w:p w14:paraId="37DC7D5F" w14:textId="77777777" w:rsidR="00C45D59" w:rsidRDefault="009B0962">
            <w:pPr>
              <w:pStyle w:val="P68B1DB1-Normal55"/>
              <w:keepNext/>
              <w:spacing w:before="40" w:after="0" w:line="240" w:lineRule="auto"/>
              <w:rPr>
                <w:noProof/>
              </w:rPr>
            </w:pPr>
            <w:r>
              <w:rPr>
                <w:noProof/>
              </w:rPr>
              <w:t>Formare – judecători și grefieri</w:t>
            </w:r>
          </w:p>
        </w:tc>
      </w:tr>
      <w:tr w:rsidR="00C45D59" w14:paraId="3884363B" w14:textId="77777777">
        <w:trPr>
          <w:trHeight w:val="302"/>
          <w:tblHeader/>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609F513C" w14:textId="77777777" w:rsidR="00C45D59" w:rsidRDefault="009B0962">
            <w:pPr>
              <w:pStyle w:val="P68B1DB1-Normal55"/>
              <w:keepNext/>
              <w:spacing w:before="40" w:after="0" w:line="240" w:lineRule="auto"/>
              <w:rPr>
                <w:rFonts w:cs="Times New Roman"/>
                <w:noProof/>
                <w:szCs w:val="18"/>
              </w:rPr>
            </w:pPr>
            <w:r>
              <w:rPr>
                <w:noProof/>
              </w:rPr>
              <w:t>244b</w:t>
            </w:r>
          </w:p>
        </w:tc>
        <w:tc>
          <w:tcPr>
            <w:tcW w:w="5193" w:type="dxa"/>
            <w:gridSpan w:val="2"/>
            <w:tcBorders>
              <w:top w:val="nil"/>
              <w:left w:val="nil"/>
              <w:bottom w:val="single" w:sz="4" w:space="0" w:color="auto"/>
              <w:right w:val="single" w:sz="4" w:space="0" w:color="auto"/>
            </w:tcBorders>
            <w:shd w:val="clear" w:color="auto" w:fill="C6EFCE"/>
            <w:noWrap/>
            <w:vAlign w:val="center"/>
          </w:tcPr>
          <w:p w14:paraId="5AFC666D" w14:textId="77777777" w:rsidR="00C45D59" w:rsidRDefault="009B0962">
            <w:pPr>
              <w:pStyle w:val="P68B1DB1-Normal55"/>
              <w:keepNext/>
              <w:spacing w:before="40" w:after="0" w:line="240" w:lineRule="auto"/>
              <w:rPr>
                <w:rFonts w:cs="Times New Roman"/>
                <w:noProof/>
                <w:szCs w:val="18"/>
              </w:rPr>
            </w:pPr>
            <w:r>
              <w:rPr>
                <w:noProof/>
              </w:rPr>
              <w:t>15-4.4. Consolidarea sectorului financiar și a piețelor de capital – 16957_Consolidarea capacității sistemului financiar de a depăși provocările moștenite și de a finanța economia reală</w:t>
            </w:r>
          </w:p>
        </w:tc>
        <w:tc>
          <w:tcPr>
            <w:tcW w:w="1680" w:type="dxa"/>
            <w:gridSpan w:val="2"/>
            <w:tcBorders>
              <w:top w:val="nil"/>
              <w:left w:val="nil"/>
              <w:bottom w:val="single" w:sz="4" w:space="0" w:color="auto"/>
              <w:right w:val="single" w:sz="4" w:space="0" w:color="auto"/>
            </w:tcBorders>
            <w:shd w:val="clear" w:color="auto" w:fill="C6EFCE"/>
            <w:noWrap/>
            <w:vAlign w:val="center"/>
          </w:tcPr>
          <w:p w14:paraId="1FF25890" w14:textId="77777777" w:rsidR="00C45D59" w:rsidRDefault="009B0962">
            <w:pPr>
              <w:pStyle w:val="P68B1DB1-Normal55"/>
              <w:keepNext/>
              <w:spacing w:before="40" w:after="0" w:line="240" w:lineRule="auto"/>
              <w:rPr>
                <w:rFonts w:cs="Times New Roman"/>
                <w:noProof/>
                <w:szCs w:val="18"/>
              </w:rPr>
            </w:pPr>
            <w:r>
              <w:rPr>
                <w:noProof/>
              </w:rPr>
              <w:t>Etapă</w:t>
            </w:r>
          </w:p>
        </w:tc>
        <w:tc>
          <w:tcPr>
            <w:tcW w:w="2047" w:type="dxa"/>
            <w:tcBorders>
              <w:top w:val="nil"/>
              <w:left w:val="nil"/>
              <w:bottom w:val="single" w:sz="4" w:space="0" w:color="auto"/>
              <w:right w:val="single" w:sz="4" w:space="0" w:color="auto"/>
            </w:tcBorders>
            <w:shd w:val="clear" w:color="auto" w:fill="C6EFCE"/>
            <w:noWrap/>
            <w:vAlign w:val="center"/>
          </w:tcPr>
          <w:p w14:paraId="2F3C548B" w14:textId="77777777" w:rsidR="00C45D59" w:rsidRDefault="009B0962">
            <w:pPr>
              <w:pStyle w:val="P68B1DB1-Normal55"/>
              <w:keepNext/>
              <w:spacing w:before="40" w:after="0" w:line="240" w:lineRule="auto"/>
              <w:rPr>
                <w:rFonts w:cs="Times New Roman"/>
                <w:noProof/>
                <w:szCs w:val="18"/>
              </w:rPr>
            </w:pPr>
            <w:r>
              <w:rPr>
                <w:noProof/>
              </w:rPr>
              <w:t xml:space="preserve">Atribuirea contractelor pentru măsurile din sectorul financiar </w:t>
            </w:r>
          </w:p>
        </w:tc>
      </w:tr>
      <w:tr w:rsidR="00C45D59" w14:paraId="05EF4DC3" w14:textId="77777777">
        <w:trPr>
          <w:trHeight w:val="302"/>
          <w:tblHeader/>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43215830" w14:textId="77777777" w:rsidR="00C45D59" w:rsidRDefault="009B0962">
            <w:pPr>
              <w:pStyle w:val="P68B1DB1-Normal55"/>
              <w:keepNext/>
              <w:spacing w:before="40" w:after="0" w:line="240" w:lineRule="auto"/>
              <w:rPr>
                <w:rFonts w:cs="Times New Roman"/>
                <w:noProof/>
                <w:szCs w:val="18"/>
              </w:rPr>
            </w:pPr>
            <w:r>
              <w:rPr>
                <w:noProof/>
              </w:rPr>
              <w:t>247</w:t>
            </w:r>
          </w:p>
        </w:tc>
        <w:tc>
          <w:tcPr>
            <w:tcW w:w="5193" w:type="dxa"/>
            <w:gridSpan w:val="2"/>
            <w:tcBorders>
              <w:top w:val="nil"/>
              <w:left w:val="nil"/>
              <w:bottom w:val="single" w:sz="4" w:space="0" w:color="auto"/>
              <w:right w:val="single" w:sz="4" w:space="0" w:color="auto"/>
            </w:tcBorders>
            <w:shd w:val="clear" w:color="auto" w:fill="C6EFCE"/>
            <w:noWrap/>
            <w:vAlign w:val="center"/>
          </w:tcPr>
          <w:p w14:paraId="714112B6" w14:textId="77777777" w:rsidR="00C45D59" w:rsidRDefault="009B0962">
            <w:pPr>
              <w:pStyle w:val="P68B1DB1-Normal55"/>
              <w:keepNext/>
              <w:spacing w:before="40" w:after="0" w:line="240" w:lineRule="auto"/>
              <w:rPr>
                <w:rFonts w:cs="Times New Roman"/>
                <w:noProof/>
                <w:szCs w:val="18"/>
              </w:rPr>
            </w:pPr>
            <w:r>
              <w:rPr>
                <w:noProof/>
              </w:rPr>
              <w:t>16-4.5. Promovarea cercetării și inovării – 16624_Creare – Extindere – Modernizarea infrastructurilor centrelor de cercetare sub supravegherea Secretariatului General pentru Cercetare și Inovare (GSRI)</w:t>
            </w:r>
          </w:p>
        </w:tc>
        <w:tc>
          <w:tcPr>
            <w:tcW w:w="1680" w:type="dxa"/>
            <w:gridSpan w:val="2"/>
            <w:tcBorders>
              <w:top w:val="nil"/>
              <w:left w:val="nil"/>
              <w:bottom w:val="single" w:sz="4" w:space="0" w:color="auto"/>
              <w:right w:val="single" w:sz="4" w:space="0" w:color="auto"/>
            </w:tcBorders>
            <w:shd w:val="clear" w:color="auto" w:fill="C6EFCE"/>
            <w:noWrap/>
            <w:vAlign w:val="center"/>
          </w:tcPr>
          <w:p w14:paraId="6877B1D2" w14:textId="77777777" w:rsidR="00C45D59" w:rsidRDefault="009B0962">
            <w:pPr>
              <w:pStyle w:val="P68B1DB1-Normal55"/>
              <w:keepNext/>
              <w:spacing w:before="40" w:after="0" w:line="240" w:lineRule="auto"/>
              <w:rPr>
                <w:rFonts w:cs="Times New Roman"/>
                <w:noProof/>
                <w:szCs w:val="18"/>
              </w:rPr>
            </w:pPr>
            <w:r>
              <w:rPr>
                <w:noProof/>
              </w:rPr>
              <w:t>Etapă</w:t>
            </w:r>
          </w:p>
        </w:tc>
        <w:tc>
          <w:tcPr>
            <w:tcW w:w="2047" w:type="dxa"/>
            <w:tcBorders>
              <w:top w:val="nil"/>
              <w:left w:val="nil"/>
              <w:bottom w:val="single" w:sz="4" w:space="0" w:color="auto"/>
              <w:right w:val="single" w:sz="4" w:space="0" w:color="auto"/>
            </w:tcBorders>
            <w:shd w:val="clear" w:color="auto" w:fill="C6EFCE"/>
            <w:noWrap/>
            <w:vAlign w:val="center"/>
          </w:tcPr>
          <w:p w14:paraId="52EDC018" w14:textId="77777777" w:rsidR="00C45D59" w:rsidRDefault="009B0962">
            <w:pPr>
              <w:pStyle w:val="P68B1DB1-Normal55"/>
              <w:keepNext/>
              <w:spacing w:before="40" w:after="0" w:line="240" w:lineRule="auto"/>
              <w:rPr>
                <w:rFonts w:cs="Times New Roman"/>
                <w:noProof/>
                <w:szCs w:val="18"/>
              </w:rPr>
            </w:pPr>
            <w:r>
              <w:rPr>
                <w:noProof/>
              </w:rPr>
              <w:t>Atribuirea contractelor pentru centrele de cercetare – lucrări de construcții</w:t>
            </w:r>
          </w:p>
        </w:tc>
      </w:tr>
      <w:tr w:rsidR="00C45D59" w14:paraId="5A24864C" w14:textId="77777777">
        <w:trPr>
          <w:trHeight w:val="302"/>
          <w:tblHeader/>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4886DAAD" w14:textId="77777777" w:rsidR="00C45D59" w:rsidRDefault="009B0962">
            <w:pPr>
              <w:pStyle w:val="P68B1DB1-Normal55"/>
              <w:keepNext/>
              <w:spacing w:before="40" w:after="0" w:line="240" w:lineRule="auto"/>
              <w:rPr>
                <w:rFonts w:cs="Times New Roman"/>
                <w:noProof/>
                <w:szCs w:val="18"/>
              </w:rPr>
            </w:pPr>
            <w:r>
              <w:rPr>
                <w:noProof/>
              </w:rPr>
              <w:t>248</w:t>
            </w:r>
          </w:p>
        </w:tc>
        <w:tc>
          <w:tcPr>
            <w:tcW w:w="5193" w:type="dxa"/>
            <w:gridSpan w:val="2"/>
            <w:tcBorders>
              <w:top w:val="nil"/>
              <w:left w:val="nil"/>
              <w:bottom w:val="single" w:sz="4" w:space="0" w:color="auto"/>
              <w:right w:val="single" w:sz="4" w:space="0" w:color="auto"/>
            </w:tcBorders>
            <w:shd w:val="clear" w:color="auto" w:fill="C6EFCE"/>
            <w:noWrap/>
            <w:vAlign w:val="center"/>
          </w:tcPr>
          <w:p w14:paraId="787FF875" w14:textId="77777777" w:rsidR="00C45D59" w:rsidRDefault="009B0962">
            <w:pPr>
              <w:pStyle w:val="P68B1DB1-Normal55"/>
              <w:keepNext/>
              <w:spacing w:before="40" w:after="0" w:line="240" w:lineRule="auto"/>
              <w:rPr>
                <w:rFonts w:cs="Times New Roman"/>
                <w:noProof/>
                <w:szCs w:val="18"/>
              </w:rPr>
            </w:pPr>
            <w:r>
              <w:rPr>
                <w:noProof/>
              </w:rPr>
              <w:t>16-4.5. Promovarea cercetării și inovării – 16654_TH 2 ORAX: Sistemul de eXemplare autonomă Ruggedizată operațională pe spaliere Holistic &amp; Hybrid</w:t>
            </w:r>
          </w:p>
        </w:tc>
        <w:tc>
          <w:tcPr>
            <w:tcW w:w="1680" w:type="dxa"/>
            <w:gridSpan w:val="2"/>
            <w:tcBorders>
              <w:top w:val="nil"/>
              <w:left w:val="nil"/>
              <w:bottom w:val="single" w:sz="4" w:space="0" w:color="auto"/>
              <w:right w:val="single" w:sz="4" w:space="0" w:color="auto"/>
            </w:tcBorders>
            <w:shd w:val="clear" w:color="auto" w:fill="C6EFCE"/>
            <w:noWrap/>
            <w:vAlign w:val="center"/>
          </w:tcPr>
          <w:p w14:paraId="606BA9FF" w14:textId="77777777" w:rsidR="00C45D59" w:rsidRDefault="009B0962">
            <w:pPr>
              <w:pStyle w:val="P68B1DB1-Normal55"/>
              <w:keepNext/>
              <w:spacing w:before="40" w:after="0" w:line="240" w:lineRule="auto"/>
              <w:rPr>
                <w:rFonts w:cs="Times New Roman"/>
                <w:noProof/>
                <w:szCs w:val="18"/>
              </w:rPr>
            </w:pPr>
            <w:r>
              <w:rPr>
                <w:noProof/>
              </w:rPr>
              <w:t>Etapă</w:t>
            </w:r>
          </w:p>
        </w:tc>
        <w:tc>
          <w:tcPr>
            <w:tcW w:w="2047" w:type="dxa"/>
            <w:tcBorders>
              <w:top w:val="nil"/>
              <w:left w:val="nil"/>
              <w:bottom w:val="single" w:sz="4" w:space="0" w:color="auto"/>
              <w:right w:val="single" w:sz="4" w:space="0" w:color="auto"/>
            </w:tcBorders>
            <w:shd w:val="clear" w:color="auto" w:fill="C6EFCE"/>
            <w:noWrap/>
            <w:vAlign w:val="center"/>
          </w:tcPr>
          <w:p w14:paraId="1D658177" w14:textId="77777777" w:rsidR="00C45D59" w:rsidRDefault="009B0962">
            <w:pPr>
              <w:pStyle w:val="P68B1DB1-Normal55"/>
              <w:keepNext/>
              <w:spacing w:before="40" w:after="0" w:line="240" w:lineRule="auto"/>
              <w:rPr>
                <w:rFonts w:cs="Times New Roman"/>
                <w:noProof/>
                <w:szCs w:val="18"/>
              </w:rPr>
            </w:pPr>
            <w:r>
              <w:rPr>
                <w:noProof/>
              </w:rPr>
              <w:t>Atribuirea contractelor pentru TH2ORAX</w:t>
            </w:r>
          </w:p>
        </w:tc>
      </w:tr>
      <w:tr w:rsidR="00C45D59" w14:paraId="2788BA06" w14:textId="77777777">
        <w:trPr>
          <w:trHeight w:val="302"/>
          <w:tblHeader/>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46410A2B" w14:textId="77777777" w:rsidR="00C45D59" w:rsidRDefault="009B0962">
            <w:pPr>
              <w:pStyle w:val="P68B1DB1-Normal55"/>
              <w:keepNext/>
              <w:spacing w:before="40" w:after="0" w:line="240" w:lineRule="auto"/>
              <w:rPr>
                <w:rFonts w:eastAsia="Times New Roman" w:cs="Times New Roman"/>
                <w:bCs/>
                <w:noProof/>
                <w:szCs w:val="18"/>
              </w:rPr>
            </w:pPr>
            <w:r>
              <w:rPr>
                <w:noProof/>
              </w:rPr>
              <w:t>258</w:t>
            </w:r>
          </w:p>
        </w:tc>
        <w:tc>
          <w:tcPr>
            <w:tcW w:w="5193" w:type="dxa"/>
            <w:gridSpan w:val="2"/>
            <w:tcBorders>
              <w:top w:val="nil"/>
              <w:left w:val="nil"/>
              <w:bottom w:val="single" w:sz="4" w:space="0" w:color="auto"/>
              <w:right w:val="single" w:sz="4" w:space="0" w:color="auto"/>
            </w:tcBorders>
            <w:shd w:val="clear" w:color="auto" w:fill="C6EFCE"/>
            <w:noWrap/>
            <w:vAlign w:val="center"/>
          </w:tcPr>
          <w:p w14:paraId="482FF76D" w14:textId="77777777" w:rsidR="00C45D59" w:rsidRDefault="009B0962">
            <w:pPr>
              <w:pStyle w:val="P68B1DB1-Normal55"/>
              <w:keepNext/>
              <w:spacing w:before="40" w:after="0" w:line="240" w:lineRule="auto"/>
              <w:rPr>
                <w:rFonts w:eastAsia="Times New Roman" w:cs="Times New Roman"/>
                <w:bCs/>
                <w:noProof/>
                <w:szCs w:val="18"/>
              </w:rPr>
            </w:pPr>
            <w:r>
              <w:rPr>
                <w:noProof/>
              </w:rPr>
              <w:t>17-4.6. Modernizarea și îmbunătățirea rezilienței sectoarelor economice esențiale – 16631_Actualizarea siguranței rutiere</w:t>
            </w:r>
          </w:p>
        </w:tc>
        <w:tc>
          <w:tcPr>
            <w:tcW w:w="1680" w:type="dxa"/>
            <w:gridSpan w:val="2"/>
            <w:tcBorders>
              <w:top w:val="nil"/>
              <w:left w:val="nil"/>
              <w:bottom w:val="single" w:sz="4" w:space="0" w:color="auto"/>
              <w:right w:val="single" w:sz="4" w:space="0" w:color="auto"/>
            </w:tcBorders>
            <w:shd w:val="clear" w:color="auto" w:fill="C6EFCE"/>
            <w:noWrap/>
            <w:vAlign w:val="center"/>
          </w:tcPr>
          <w:p w14:paraId="7333E856" w14:textId="77777777" w:rsidR="00C45D59" w:rsidRDefault="009B0962">
            <w:pPr>
              <w:pStyle w:val="P68B1DB1-Normal55"/>
              <w:keepNext/>
              <w:spacing w:before="40" w:after="0" w:line="240" w:lineRule="auto"/>
              <w:rPr>
                <w:rFonts w:eastAsia="Times New Roman" w:cs="Times New Roman"/>
                <w:noProof/>
                <w:szCs w:val="18"/>
              </w:rPr>
            </w:pPr>
            <w:r>
              <w:rPr>
                <w:noProof/>
              </w:rPr>
              <w:t>Etapă</w:t>
            </w:r>
          </w:p>
        </w:tc>
        <w:tc>
          <w:tcPr>
            <w:tcW w:w="2047" w:type="dxa"/>
            <w:tcBorders>
              <w:top w:val="nil"/>
              <w:left w:val="nil"/>
              <w:bottom w:val="single" w:sz="4" w:space="0" w:color="auto"/>
              <w:right w:val="single" w:sz="4" w:space="0" w:color="auto"/>
            </w:tcBorders>
            <w:shd w:val="clear" w:color="auto" w:fill="C6EFCE"/>
            <w:noWrap/>
            <w:vAlign w:val="center"/>
          </w:tcPr>
          <w:p w14:paraId="29651FFB" w14:textId="77777777" w:rsidR="00C45D59" w:rsidRDefault="009B0962">
            <w:pPr>
              <w:pStyle w:val="P68B1DB1-Normal55"/>
              <w:keepNext/>
              <w:spacing w:before="40" w:after="0" w:line="240" w:lineRule="auto"/>
              <w:rPr>
                <w:rFonts w:eastAsia="Times New Roman" w:cs="Times New Roman"/>
                <w:noProof/>
                <w:szCs w:val="18"/>
              </w:rPr>
            </w:pPr>
            <w:r>
              <w:rPr>
                <w:noProof/>
              </w:rPr>
              <w:t>Atribuirea contractelor pentru siguranța rutieră – toate contractele</w:t>
            </w:r>
          </w:p>
        </w:tc>
      </w:tr>
      <w:tr w:rsidR="00C45D59" w14:paraId="55A0948F" w14:textId="77777777">
        <w:trPr>
          <w:trHeight w:val="302"/>
          <w:tblHeader/>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435549DA" w14:textId="77777777" w:rsidR="00C45D59" w:rsidRDefault="009B0962">
            <w:pPr>
              <w:pStyle w:val="P68B1DB1-Normal55"/>
              <w:keepNext/>
              <w:spacing w:before="40" w:after="0" w:line="240" w:lineRule="auto"/>
              <w:rPr>
                <w:rFonts w:cs="Times New Roman"/>
                <w:noProof/>
                <w:szCs w:val="18"/>
              </w:rPr>
            </w:pPr>
            <w:r>
              <w:rPr>
                <w:noProof/>
              </w:rPr>
              <w:t>268</w:t>
            </w:r>
          </w:p>
        </w:tc>
        <w:tc>
          <w:tcPr>
            <w:tcW w:w="5193" w:type="dxa"/>
            <w:gridSpan w:val="2"/>
            <w:tcBorders>
              <w:top w:val="nil"/>
              <w:left w:val="nil"/>
              <w:bottom w:val="single" w:sz="4" w:space="0" w:color="auto"/>
              <w:right w:val="single" w:sz="4" w:space="0" w:color="auto"/>
            </w:tcBorders>
            <w:shd w:val="clear" w:color="auto" w:fill="C6EFCE"/>
            <w:noWrap/>
            <w:vAlign w:val="center"/>
          </w:tcPr>
          <w:p w14:paraId="39FF0996" w14:textId="77777777" w:rsidR="00C45D59" w:rsidRDefault="009B0962">
            <w:pPr>
              <w:pStyle w:val="P68B1DB1-Normal55"/>
              <w:keepNext/>
              <w:spacing w:before="40" w:after="0" w:line="240" w:lineRule="auto"/>
              <w:rPr>
                <w:rFonts w:cs="Times New Roman"/>
                <w:noProof/>
                <w:szCs w:val="18"/>
              </w:rPr>
            </w:pPr>
            <w:r>
              <w:rPr>
                <w:noProof/>
              </w:rPr>
              <w:t>17-4.6. Modernizarea și îmbunătățirea rezilienței sectoarelor economice cheie – 16982_Reforma organizațională în sectorul feroviar</w:t>
            </w:r>
          </w:p>
        </w:tc>
        <w:tc>
          <w:tcPr>
            <w:tcW w:w="1680" w:type="dxa"/>
            <w:gridSpan w:val="2"/>
            <w:tcBorders>
              <w:top w:val="nil"/>
              <w:left w:val="nil"/>
              <w:bottom w:val="single" w:sz="4" w:space="0" w:color="auto"/>
              <w:right w:val="single" w:sz="4" w:space="0" w:color="auto"/>
            </w:tcBorders>
            <w:shd w:val="clear" w:color="auto" w:fill="C6EFCE"/>
            <w:noWrap/>
            <w:vAlign w:val="center"/>
          </w:tcPr>
          <w:p w14:paraId="081F8DB9" w14:textId="77777777" w:rsidR="00C45D59" w:rsidRDefault="009B0962">
            <w:pPr>
              <w:pStyle w:val="P68B1DB1-Normal55"/>
              <w:keepNext/>
              <w:spacing w:before="40" w:after="0" w:line="240" w:lineRule="auto"/>
              <w:rPr>
                <w:rFonts w:cs="Times New Roman"/>
                <w:noProof/>
                <w:szCs w:val="18"/>
              </w:rPr>
            </w:pPr>
            <w:r>
              <w:rPr>
                <w:noProof/>
              </w:rPr>
              <w:t>Etapă</w:t>
            </w:r>
          </w:p>
        </w:tc>
        <w:tc>
          <w:tcPr>
            <w:tcW w:w="2047" w:type="dxa"/>
            <w:tcBorders>
              <w:top w:val="nil"/>
              <w:left w:val="nil"/>
              <w:bottom w:val="single" w:sz="4" w:space="0" w:color="auto"/>
              <w:right w:val="single" w:sz="4" w:space="0" w:color="auto"/>
            </w:tcBorders>
            <w:shd w:val="clear" w:color="auto" w:fill="C6EFCE"/>
            <w:noWrap/>
            <w:vAlign w:val="center"/>
          </w:tcPr>
          <w:p w14:paraId="3D8C9799" w14:textId="77777777" w:rsidR="00C45D59" w:rsidRDefault="009B0962">
            <w:pPr>
              <w:pStyle w:val="P68B1DB1-Normal11"/>
              <w:keepNext/>
              <w:spacing w:before="40" w:after="0" w:line="240" w:lineRule="auto"/>
              <w:rPr>
                <w:rFonts w:cs="Times New Roman"/>
                <w:noProof/>
              </w:rPr>
            </w:pPr>
            <w:r>
              <w:rPr>
                <w:noProof/>
              </w:rPr>
              <w:t xml:space="preserve">Planul de implementare a Căilor Ferate Elene </w:t>
            </w:r>
          </w:p>
        </w:tc>
      </w:tr>
      <w:tr w:rsidR="00C45D59" w14:paraId="19DB494D" w14:textId="77777777">
        <w:trPr>
          <w:trHeight w:val="302"/>
          <w:tblHeader/>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0C7012D6" w14:textId="77777777" w:rsidR="00C45D59" w:rsidRDefault="009B0962">
            <w:pPr>
              <w:pStyle w:val="P68B1DB1-Normal55"/>
              <w:keepNext/>
              <w:spacing w:before="40" w:after="0" w:line="240" w:lineRule="auto"/>
              <w:rPr>
                <w:rFonts w:cs="Times New Roman"/>
                <w:noProof/>
                <w:szCs w:val="18"/>
              </w:rPr>
            </w:pPr>
            <w:r>
              <w:rPr>
                <w:noProof/>
              </w:rPr>
              <w:t>295</w:t>
            </w:r>
          </w:p>
        </w:tc>
        <w:tc>
          <w:tcPr>
            <w:tcW w:w="5193" w:type="dxa"/>
            <w:gridSpan w:val="2"/>
            <w:tcBorders>
              <w:top w:val="nil"/>
              <w:left w:val="nil"/>
              <w:bottom w:val="single" w:sz="4" w:space="0" w:color="auto"/>
              <w:right w:val="single" w:sz="4" w:space="0" w:color="auto"/>
            </w:tcBorders>
            <w:shd w:val="clear" w:color="auto" w:fill="C6EFCE"/>
            <w:noWrap/>
            <w:vAlign w:val="center"/>
          </w:tcPr>
          <w:p w14:paraId="428F49E6" w14:textId="77777777" w:rsidR="00C45D59" w:rsidRDefault="009B0962">
            <w:pPr>
              <w:pStyle w:val="P68B1DB1-Normal55"/>
              <w:keepNext/>
              <w:spacing w:before="40" w:after="0" w:line="240" w:lineRule="auto"/>
              <w:rPr>
                <w:rFonts w:cs="Times New Roman"/>
                <w:noProof/>
                <w:szCs w:val="18"/>
              </w:rPr>
            </w:pPr>
            <w:r>
              <w:rPr>
                <w:noProof/>
              </w:rPr>
              <w:t>17-4.6. Modernizarea și îmbunătățirea rezilienței sectoarelor economice cheie – 16931_Dezvoltarea turismului</w:t>
            </w:r>
          </w:p>
        </w:tc>
        <w:tc>
          <w:tcPr>
            <w:tcW w:w="1680" w:type="dxa"/>
            <w:gridSpan w:val="2"/>
            <w:tcBorders>
              <w:top w:val="nil"/>
              <w:left w:val="nil"/>
              <w:bottom w:val="single" w:sz="4" w:space="0" w:color="auto"/>
              <w:right w:val="single" w:sz="4" w:space="0" w:color="auto"/>
            </w:tcBorders>
            <w:shd w:val="clear" w:color="auto" w:fill="C6EFCE"/>
            <w:noWrap/>
            <w:vAlign w:val="center"/>
          </w:tcPr>
          <w:p w14:paraId="0E12D233" w14:textId="77777777" w:rsidR="00C45D59" w:rsidRDefault="009B0962">
            <w:pPr>
              <w:pStyle w:val="P68B1DB1-Normal55"/>
              <w:keepNext/>
              <w:spacing w:before="40" w:after="0" w:line="240" w:lineRule="auto"/>
              <w:rPr>
                <w:rFonts w:cs="Times New Roman"/>
                <w:noProof/>
                <w:szCs w:val="18"/>
              </w:rPr>
            </w:pPr>
            <w:r>
              <w:rPr>
                <w:noProof/>
              </w:rPr>
              <w:t>Etapă</w:t>
            </w:r>
          </w:p>
        </w:tc>
        <w:tc>
          <w:tcPr>
            <w:tcW w:w="2047" w:type="dxa"/>
            <w:tcBorders>
              <w:top w:val="nil"/>
              <w:left w:val="nil"/>
              <w:bottom w:val="single" w:sz="4" w:space="0" w:color="auto"/>
              <w:right w:val="single" w:sz="4" w:space="0" w:color="auto"/>
            </w:tcBorders>
            <w:shd w:val="clear" w:color="auto" w:fill="C6EFCE"/>
            <w:noWrap/>
            <w:vAlign w:val="center"/>
          </w:tcPr>
          <w:p w14:paraId="0316B99C" w14:textId="649F40C0" w:rsidR="00C45D59" w:rsidRDefault="009B0962">
            <w:pPr>
              <w:pStyle w:val="P68B1DB1-Normal36"/>
              <w:keepNext/>
              <w:spacing w:before="40" w:after="0" w:line="240" w:lineRule="auto"/>
              <w:rPr>
                <w:rFonts w:ascii="Times New Roman" w:hAnsi="Times New Roman" w:cs="Times New Roman"/>
                <w:noProof/>
                <w:szCs w:val="18"/>
              </w:rPr>
            </w:pPr>
            <w:r>
              <w:rPr>
                <w:rFonts w:ascii="Times New Roman" w:hAnsi="Times New Roman"/>
                <w:noProof/>
              </w:rPr>
              <w:t xml:space="preserve">Dezvoltarea turismului: </w:t>
            </w:r>
            <w:r>
              <w:rPr>
                <w:rFonts w:ascii="Times New Roman" w:hAnsi="Times New Roman" w:cs="Times New Roman"/>
                <w:noProof/>
                <w:szCs w:val="18"/>
              </w:rPr>
              <w:t>Publicarea deciziilor de aprobare</w:t>
            </w:r>
            <w:r w:rsidR="00CD2DBD">
              <w:rPr>
                <w:rFonts w:ascii="Times New Roman" w:hAnsi="Times New Roman" w:cs="Times New Roman"/>
                <w:noProof/>
                <w:szCs w:val="18"/>
              </w:rPr>
              <w:t xml:space="preserve"> </w:t>
            </w:r>
            <w:r>
              <w:rPr>
                <w:rFonts w:ascii="Times New Roman" w:hAnsi="Times New Roman"/>
                <w:noProof/>
              </w:rPr>
              <w:t>a porturilor turistice</w:t>
            </w:r>
          </w:p>
        </w:tc>
      </w:tr>
      <w:tr w:rsidR="00C45D59" w14:paraId="3A3B493F" w14:textId="77777777">
        <w:trPr>
          <w:trHeight w:val="302"/>
          <w:tblHeader/>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0C97C839" w14:textId="77777777" w:rsidR="00C45D59" w:rsidRDefault="009B0962">
            <w:pPr>
              <w:pStyle w:val="P68B1DB1-Normal55"/>
              <w:keepNext/>
              <w:spacing w:before="40" w:after="0" w:line="240" w:lineRule="auto"/>
              <w:rPr>
                <w:rFonts w:cs="Times New Roman"/>
                <w:noProof/>
                <w:szCs w:val="18"/>
              </w:rPr>
            </w:pPr>
            <w:r>
              <w:rPr>
                <w:noProof/>
              </w:rPr>
              <w:t>304</w:t>
            </w:r>
          </w:p>
        </w:tc>
        <w:tc>
          <w:tcPr>
            <w:tcW w:w="5193" w:type="dxa"/>
            <w:gridSpan w:val="2"/>
            <w:tcBorders>
              <w:top w:val="nil"/>
              <w:left w:val="nil"/>
              <w:bottom w:val="single" w:sz="4" w:space="0" w:color="auto"/>
              <w:right w:val="single" w:sz="4" w:space="0" w:color="auto"/>
            </w:tcBorders>
            <w:shd w:val="clear" w:color="auto" w:fill="C6EFCE"/>
            <w:noWrap/>
            <w:vAlign w:val="center"/>
          </w:tcPr>
          <w:p w14:paraId="35E8F47F" w14:textId="77777777" w:rsidR="00C45D59" w:rsidRDefault="009B0962">
            <w:pPr>
              <w:pStyle w:val="P68B1DB1-Normal55"/>
              <w:keepNext/>
              <w:spacing w:before="40" w:after="0" w:line="240" w:lineRule="auto"/>
              <w:rPr>
                <w:rFonts w:cs="Times New Roman"/>
                <w:noProof/>
                <w:szCs w:val="18"/>
              </w:rPr>
            </w:pPr>
            <w:r>
              <w:rPr>
                <w:noProof/>
              </w:rPr>
              <w:t>17-4.6. Modernizarea și îmbunătățirea rezilienței sectoarelor economice esențiale – 16634_Noi parcuri industriale</w:t>
            </w:r>
          </w:p>
        </w:tc>
        <w:tc>
          <w:tcPr>
            <w:tcW w:w="1680" w:type="dxa"/>
            <w:gridSpan w:val="2"/>
            <w:tcBorders>
              <w:top w:val="nil"/>
              <w:left w:val="nil"/>
              <w:bottom w:val="single" w:sz="4" w:space="0" w:color="auto"/>
              <w:right w:val="single" w:sz="4" w:space="0" w:color="auto"/>
            </w:tcBorders>
            <w:shd w:val="clear" w:color="auto" w:fill="C6EFCE"/>
            <w:noWrap/>
            <w:vAlign w:val="center"/>
          </w:tcPr>
          <w:p w14:paraId="44F8720B" w14:textId="77777777" w:rsidR="00C45D59" w:rsidRDefault="009B0962">
            <w:pPr>
              <w:pStyle w:val="P68B1DB1-Normal55"/>
              <w:keepNext/>
              <w:spacing w:before="40" w:after="0" w:line="240" w:lineRule="auto"/>
              <w:rPr>
                <w:rFonts w:cs="Times New Roman"/>
                <w:noProof/>
                <w:szCs w:val="18"/>
              </w:rPr>
            </w:pPr>
            <w:r>
              <w:rPr>
                <w:noProof/>
              </w:rPr>
              <w:t>Etapă</w:t>
            </w:r>
          </w:p>
        </w:tc>
        <w:tc>
          <w:tcPr>
            <w:tcW w:w="2047" w:type="dxa"/>
            <w:tcBorders>
              <w:top w:val="nil"/>
              <w:left w:val="nil"/>
              <w:bottom w:val="single" w:sz="4" w:space="0" w:color="auto"/>
              <w:right w:val="single" w:sz="4" w:space="0" w:color="auto"/>
            </w:tcBorders>
            <w:shd w:val="clear" w:color="auto" w:fill="C6EFCE"/>
            <w:noWrap/>
            <w:vAlign w:val="center"/>
          </w:tcPr>
          <w:p w14:paraId="0A3BFBE5" w14:textId="77777777" w:rsidR="00C45D59" w:rsidRDefault="009B0962">
            <w:pPr>
              <w:pStyle w:val="P68B1DB1-Normal55"/>
              <w:keepNext/>
              <w:spacing w:before="40" w:after="0" w:line="240" w:lineRule="auto"/>
              <w:rPr>
                <w:rFonts w:cs="Times New Roman"/>
                <w:noProof/>
                <w:szCs w:val="18"/>
              </w:rPr>
            </w:pPr>
            <w:r>
              <w:rPr>
                <w:noProof/>
              </w:rPr>
              <w:t>Parcurile industriale – reformă legislativă (legislație secundară)</w:t>
            </w:r>
          </w:p>
        </w:tc>
      </w:tr>
      <w:tr w:rsidR="00C45D59" w14:paraId="3C61A35E" w14:textId="77777777">
        <w:trPr>
          <w:trHeight w:val="302"/>
          <w:tblHeader/>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0F75D38D" w14:textId="77777777" w:rsidR="00C45D59" w:rsidRDefault="009B0962">
            <w:pPr>
              <w:pStyle w:val="P68B1DB1-Normal55"/>
              <w:keepNext/>
              <w:spacing w:before="40" w:after="0" w:line="240" w:lineRule="auto"/>
              <w:rPr>
                <w:rFonts w:cs="Times New Roman"/>
                <w:noProof/>
                <w:szCs w:val="18"/>
              </w:rPr>
            </w:pPr>
            <w:r>
              <w:rPr>
                <w:noProof/>
              </w:rPr>
              <w:t>317</w:t>
            </w:r>
          </w:p>
        </w:tc>
        <w:tc>
          <w:tcPr>
            <w:tcW w:w="5193" w:type="dxa"/>
            <w:gridSpan w:val="2"/>
            <w:tcBorders>
              <w:top w:val="nil"/>
              <w:left w:val="nil"/>
              <w:bottom w:val="single" w:sz="4" w:space="0" w:color="auto"/>
              <w:right w:val="single" w:sz="4" w:space="0" w:color="auto"/>
            </w:tcBorders>
            <w:shd w:val="clear" w:color="auto" w:fill="C6EFCE"/>
            <w:noWrap/>
            <w:vAlign w:val="center"/>
          </w:tcPr>
          <w:p w14:paraId="36417DA6" w14:textId="77777777" w:rsidR="00C45D59" w:rsidRDefault="009B0962">
            <w:pPr>
              <w:pStyle w:val="P68B1DB1-Normal55"/>
              <w:keepNext/>
              <w:spacing w:before="40" w:after="0" w:line="240" w:lineRule="auto"/>
              <w:rPr>
                <w:rFonts w:cs="Times New Roman"/>
                <w:noProof/>
                <w:szCs w:val="18"/>
              </w:rPr>
            </w:pPr>
            <w:r>
              <w:rPr>
                <w:noProof/>
              </w:rPr>
              <w:t>18-4.7. Îmbunătățirea competitivității și promovarea investițiilor private și a exporturilor – 16543_Acțiuni pentru simplificarea mediului de afaceri și îmbunătățirea calității și siguranței acestuia</w:t>
            </w:r>
          </w:p>
        </w:tc>
        <w:tc>
          <w:tcPr>
            <w:tcW w:w="1680" w:type="dxa"/>
            <w:gridSpan w:val="2"/>
            <w:tcBorders>
              <w:top w:val="nil"/>
              <w:left w:val="nil"/>
              <w:bottom w:val="single" w:sz="4" w:space="0" w:color="auto"/>
              <w:right w:val="single" w:sz="4" w:space="0" w:color="auto"/>
            </w:tcBorders>
            <w:shd w:val="clear" w:color="auto" w:fill="C6EFCE"/>
            <w:noWrap/>
            <w:vAlign w:val="center"/>
          </w:tcPr>
          <w:p w14:paraId="097E1057" w14:textId="77777777" w:rsidR="00C45D59" w:rsidRDefault="009B0962">
            <w:pPr>
              <w:pStyle w:val="P68B1DB1-Normal55"/>
              <w:keepNext/>
              <w:spacing w:before="40" w:after="0" w:line="240" w:lineRule="auto"/>
              <w:rPr>
                <w:rFonts w:cs="Times New Roman"/>
                <w:noProof/>
                <w:szCs w:val="18"/>
              </w:rPr>
            </w:pPr>
            <w:r>
              <w:rPr>
                <w:noProof/>
              </w:rPr>
              <w:t>Etapă</w:t>
            </w:r>
          </w:p>
        </w:tc>
        <w:tc>
          <w:tcPr>
            <w:tcW w:w="2047" w:type="dxa"/>
            <w:tcBorders>
              <w:top w:val="nil"/>
              <w:left w:val="nil"/>
              <w:bottom w:val="single" w:sz="4" w:space="0" w:color="auto"/>
              <w:right w:val="single" w:sz="4" w:space="0" w:color="auto"/>
            </w:tcBorders>
            <w:shd w:val="clear" w:color="auto" w:fill="C6EFCE"/>
            <w:noWrap/>
            <w:vAlign w:val="center"/>
          </w:tcPr>
          <w:p w14:paraId="44459493" w14:textId="77777777" w:rsidR="00C45D59" w:rsidRDefault="009B0962">
            <w:pPr>
              <w:pStyle w:val="P68B1DB1-Normal55"/>
              <w:keepNext/>
              <w:spacing w:before="40" w:after="0" w:line="240" w:lineRule="auto"/>
              <w:rPr>
                <w:rFonts w:cs="Times New Roman"/>
                <w:noProof/>
                <w:szCs w:val="18"/>
              </w:rPr>
            </w:pPr>
            <w:r>
              <w:rPr>
                <w:noProof/>
              </w:rPr>
              <w:t xml:space="preserve">Stabilirea politicii de calitate și a noului cadru de reglementare pentru o infrastructură de calitate </w:t>
            </w:r>
          </w:p>
        </w:tc>
      </w:tr>
      <w:tr w:rsidR="00C45D59" w14:paraId="7542EEBD" w14:textId="77777777">
        <w:trPr>
          <w:trHeight w:val="302"/>
          <w:tblHeader/>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08C5306F" w14:textId="77777777" w:rsidR="00C45D59" w:rsidRDefault="009B0962">
            <w:pPr>
              <w:pStyle w:val="P68B1DB1-Normal55"/>
              <w:keepNext/>
              <w:spacing w:before="40" w:after="0" w:line="240" w:lineRule="auto"/>
              <w:rPr>
                <w:rFonts w:eastAsia="Times New Roman" w:cs="Times New Roman"/>
                <w:bCs/>
                <w:noProof/>
                <w:szCs w:val="18"/>
              </w:rPr>
            </w:pPr>
            <w:r>
              <w:rPr>
                <w:noProof/>
              </w:rPr>
              <w:t>318</w:t>
            </w:r>
          </w:p>
        </w:tc>
        <w:tc>
          <w:tcPr>
            <w:tcW w:w="5193" w:type="dxa"/>
            <w:gridSpan w:val="2"/>
            <w:tcBorders>
              <w:top w:val="nil"/>
              <w:left w:val="nil"/>
              <w:bottom w:val="single" w:sz="4" w:space="0" w:color="auto"/>
              <w:right w:val="single" w:sz="4" w:space="0" w:color="auto"/>
            </w:tcBorders>
            <w:shd w:val="clear" w:color="auto" w:fill="C6EFCE"/>
            <w:noWrap/>
            <w:vAlign w:val="center"/>
          </w:tcPr>
          <w:p w14:paraId="0FDFB94A" w14:textId="77777777" w:rsidR="00C45D59" w:rsidRDefault="009B0962">
            <w:pPr>
              <w:pStyle w:val="P68B1DB1-Normal55"/>
              <w:keepNext/>
              <w:spacing w:before="40" w:after="0" w:line="240" w:lineRule="auto"/>
              <w:rPr>
                <w:rFonts w:eastAsia="Times New Roman" w:cs="Times New Roman"/>
                <w:bCs/>
                <w:noProof/>
                <w:szCs w:val="18"/>
              </w:rPr>
            </w:pPr>
            <w:r>
              <w:rPr>
                <w:noProof/>
              </w:rPr>
              <w:t>18-4.7. Îmbunătățirea competitivității și promovarea investițiilor private și a exporturilor – 16591_Ease of doing business</w:t>
            </w:r>
          </w:p>
        </w:tc>
        <w:tc>
          <w:tcPr>
            <w:tcW w:w="1680" w:type="dxa"/>
            <w:gridSpan w:val="2"/>
            <w:tcBorders>
              <w:top w:val="nil"/>
              <w:left w:val="nil"/>
              <w:bottom w:val="single" w:sz="4" w:space="0" w:color="auto"/>
              <w:right w:val="single" w:sz="4" w:space="0" w:color="auto"/>
            </w:tcBorders>
            <w:shd w:val="clear" w:color="auto" w:fill="C6EFCE"/>
            <w:noWrap/>
            <w:vAlign w:val="center"/>
          </w:tcPr>
          <w:p w14:paraId="14D410BF" w14:textId="77777777" w:rsidR="00C45D59" w:rsidRDefault="009B0962">
            <w:pPr>
              <w:pStyle w:val="P68B1DB1-Normal55"/>
              <w:keepNext/>
              <w:spacing w:before="40" w:after="0" w:line="240" w:lineRule="auto"/>
              <w:rPr>
                <w:rFonts w:eastAsia="Times New Roman" w:cs="Times New Roman"/>
                <w:noProof/>
                <w:szCs w:val="18"/>
              </w:rPr>
            </w:pPr>
            <w:r>
              <w:rPr>
                <w:noProof/>
              </w:rPr>
              <w:t>Etapă</w:t>
            </w:r>
          </w:p>
        </w:tc>
        <w:tc>
          <w:tcPr>
            <w:tcW w:w="2047" w:type="dxa"/>
            <w:tcBorders>
              <w:top w:val="nil"/>
              <w:left w:val="nil"/>
              <w:bottom w:val="single" w:sz="4" w:space="0" w:color="auto"/>
              <w:right w:val="single" w:sz="4" w:space="0" w:color="auto"/>
            </w:tcBorders>
            <w:shd w:val="clear" w:color="auto" w:fill="C6EFCE"/>
            <w:noWrap/>
            <w:vAlign w:val="center"/>
          </w:tcPr>
          <w:p w14:paraId="26932018" w14:textId="77777777" w:rsidR="00C45D59" w:rsidRDefault="009B0962">
            <w:pPr>
              <w:pStyle w:val="P68B1DB1-Normal55"/>
              <w:keepNext/>
              <w:spacing w:before="40" w:after="0" w:line="240" w:lineRule="auto"/>
              <w:rPr>
                <w:rFonts w:eastAsia="Times New Roman" w:cs="Times New Roman"/>
                <w:noProof/>
                <w:szCs w:val="18"/>
              </w:rPr>
            </w:pPr>
            <w:r>
              <w:rPr>
                <w:noProof/>
              </w:rPr>
              <w:t>Îmbunătățirea mediului de afaceri – facilitarea desfășurării de activități economice</w:t>
            </w:r>
          </w:p>
        </w:tc>
      </w:tr>
      <w:tr w:rsidR="00C45D59" w14:paraId="6B563A1C" w14:textId="77777777">
        <w:trPr>
          <w:trHeight w:val="302"/>
          <w:tblHeader/>
          <w:jc w:val="center"/>
        </w:trPr>
        <w:tc>
          <w:tcPr>
            <w:tcW w:w="6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3CDC771" w14:textId="77777777" w:rsidR="00C45D59" w:rsidRDefault="009B0962">
            <w:pPr>
              <w:pStyle w:val="P68B1DB1-Normal55"/>
              <w:keepNext/>
              <w:spacing w:before="40" w:after="0" w:line="259" w:lineRule="auto"/>
              <w:rPr>
                <w:rFonts w:eastAsia="Times New Roman" w:cs="Times New Roman"/>
                <w:bCs/>
                <w:noProof/>
                <w:szCs w:val="18"/>
              </w:rPr>
            </w:pPr>
            <w:r>
              <w:rPr>
                <w:noProof/>
              </w:rPr>
              <w:t>335</w:t>
            </w:r>
          </w:p>
        </w:tc>
        <w:tc>
          <w:tcPr>
            <w:tcW w:w="5193" w:type="dxa"/>
            <w:gridSpan w:val="2"/>
            <w:tcBorders>
              <w:top w:val="single" w:sz="4" w:space="0" w:color="auto"/>
              <w:left w:val="nil"/>
              <w:bottom w:val="single" w:sz="4" w:space="0" w:color="auto"/>
              <w:right w:val="single" w:sz="4" w:space="0" w:color="auto"/>
            </w:tcBorders>
            <w:shd w:val="clear" w:color="auto" w:fill="C6EFCE"/>
            <w:noWrap/>
            <w:vAlign w:val="center"/>
          </w:tcPr>
          <w:p w14:paraId="2868FA6A" w14:textId="77777777" w:rsidR="00C45D59" w:rsidRDefault="009B0962">
            <w:pPr>
              <w:pStyle w:val="P68B1DB1-Normal55"/>
              <w:keepNext/>
              <w:spacing w:before="40" w:after="0" w:line="259" w:lineRule="auto"/>
              <w:rPr>
                <w:rFonts w:eastAsia="Times New Roman" w:cs="Times New Roman"/>
                <w:bCs/>
                <w:noProof/>
                <w:szCs w:val="18"/>
              </w:rPr>
            </w:pPr>
            <w:r>
              <w:rPr>
                <w:noProof/>
              </w:rPr>
              <w:t>10-3.3. Îmbunătățirea rezilienței, a accesibilității și a sustenabilității asistenței medicale – 16984_Reforma doctorului personal</w:t>
            </w:r>
          </w:p>
        </w:tc>
        <w:tc>
          <w:tcPr>
            <w:tcW w:w="1680" w:type="dxa"/>
            <w:gridSpan w:val="2"/>
            <w:tcBorders>
              <w:top w:val="single" w:sz="4" w:space="0" w:color="auto"/>
              <w:left w:val="nil"/>
              <w:bottom w:val="single" w:sz="4" w:space="0" w:color="auto"/>
              <w:right w:val="single" w:sz="4" w:space="0" w:color="auto"/>
            </w:tcBorders>
            <w:shd w:val="clear" w:color="auto" w:fill="C6EFCE"/>
            <w:noWrap/>
            <w:vAlign w:val="center"/>
          </w:tcPr>
          <w:p w14:paraId="5E5B8F78" w14:textId="77777777" w:rsidR="00C45D59" w:rsidRDefault="009B0962">
            <w:pPr>
              <w:pStyle w:val="P68B1DB1-Normal55"/>
              <w:keepNext/>
              <w:spacing w:before="40" w:after="0" w:line="259" w:lineRule="auto"/>
              <w:rPr>
                <w:rFonts w:eastAsia="Times New Roman" w:cs="Times New Roman"/>
                <w:noProof/>
                <w:szCs w:val="18"/>
              </w:rPr>
            </w:pPr>
            <w:r>
              <w:rPr>
                <w:noProof/>
              </w:rPr>
              <w:t>Etapă</w:t>
            </w:r>
          </w:p>
        </w:tc>
        <w:tc>
          <w:tcPr>
            <w:tcW w:w="2047" w:type="dxa"/>
            <w:tcBorders>
              <w:top w:val="single" w:sz="4" w:space="0" w:color="auto"/>
              <w:left w:val="nil"/>
              <w:bottom w:val="single" w:sz="4" w:space="0" w:color="auto"/>
              <w:right w:val="single" w:sz="4" w:space="0" w:color="auto"/>
            </w:tcBorders>
            <w:shd w:val="clear" w:color="auto" w:fill="C6EFCE"/>
            <w:noWrap/>
            <w:vAlign w:val="center"/>
          </w:tcPr>
          <w:p w14:paraId="799BDC10" w14:textId="77777777" w:rsidR="00C45D59" w:rsidRDefault="009B0962">
            <w:pPr>
              <w:pStyle w:val="P68B1DB1-Normal55"/>
              <w:keepNext/>
              <w:spacing w:before="40" w:after="0" w:line="259" w:lineRule="auto"/>
              <w:rPr>
                <w:rFonts w:eastAsia="Times New Roman" w:cs="Times New Roman"/>
                <w:noProof/>
                <w:szCs w:val="18"/>
              </w:rPr>
            </w:pPr>
            <w:r>
              <w:rPr>
                <w:noProof/>
              </w:rPr>
              <w:t>Reforma medicilor personali – intrarea în vigoare a legislației</w:t>
            </w:r>
          </w:p>
        </w:tc>
      </w:tr>
      <w:tr w:rsidR="00C45D59" w14:paraId="2F17C3C2" w14:textId="77777777">
        <w:trPr>
          <w:trHeight w:val="302"/>
          <w:tblHeader/>
          <w:jc w:val="center"/>
        </w:trPr>
        <w:tc>
          <w:tcPr>
            <w:tcW w:w="6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6003E61" w14:textId="77777777" w:rsidR="00C45D59" w:rsidRDefault="009B0962">
            <w:pPr>
              <w:pStyle w:val="P68B1DB1-Normal55"/>
              <w:keepNext/>
              <w:spacing w:before="40" w:after="0" w:line="259" w:lineRule="auto"/>
              <w:rPr>
                <w:rFonts w:eastAsia="Times New Roman" w:cs="Times New Roman"/>
                <w:bCs/>
                <w:noProof/>
                <w:szCs w:val="18"/>
              </w:rPr>
            </w:pPr>
            <w:r>
              <w:rPr>
                <w:noProof/>
              </w:rPr>
              <w:t>339</w:t>
            </w:r>
          </w:p>
        </w:tc>
        <w:tc>
          <w:tcPr>
            <w:tcW w:w="5193" w:type="dxa"/>
            <w:gridSpan w:val="2"/>
            <w:tcBorders>
              <w:top w:val="single" w:sz="4" w:space="0" w:color="auto"/>
              <w:left w:val="nil"/>
              <w:bottom w:val="single" w:sz="4" w:space="0" w:color="auto"/>
              <w:right w:val="single" w:sz="4" w:space="0" w:color="auto"/>
            </w:tcBorders>
            <w:shd w:val="clear" w:color="auto" w:fill="C6EFCE"/>
            <w:noWrap/>
            <w:vAlign w:val="center"/>
          </w:tcPr>
          <w:p w14:paraId="3265F2F8" w14:textId="77777777" w:rsidR="00C45D59" w:rsidRDefault="009B0962">
            <w:pPr>
              <w:pStyle w:val="P68B1DB1-Normal55"/>
              <w:keepNext/>
              <w:spacing w:before="40" w:after="0" w:line="259" w:lineRule="auto"/>
              <w:rPr>
                <w:rFonts w:eastAsia="Times New Roman" w:cs="Times New Roman"/>
                <w:bCs/>
                <w:noProof/>
                <w:szCs w:val="18"/>
              </w:rPr>
            </w:pPr>
            <w:r>
              <w:rPr>
                <w:noProof/>
              </w:rPr>
              <w:t>12-4.1. O fiscalitate mai favorabilă creșterii economice și o mai bună administrare fiscală și colectare a impozitelor – 16985_Modificări ale cadrului de politică fiscală al Greciei</w:t>
            </w:r>
          </w:p>
        </w:tc>
        <w:tc>
          <w:tcPr>
            <w:tcW w:w="1680" w:type="dxa"/>
            <w:gridSpan w:val="2"/>
            <w:tcBorders>
              <w:top w:val="single" w:sz="4" w:space="0" w:color="auto"/>
              <w:left w:val="nil"/>
              <w:bottom w:val="single" w:sz="4" w:space="0" w:color="auto"/>
              <w:right w:val="single" w:sz="4" w:space="0" w:color="auto"/>
            </w:tcBorders>
            <w:shd w:val="clear" w:color="auto" w:fill="C6EFCE"/>
            <w:noWrap/>
            <w:vAlign w:val="center"/>
          </w:tcPr>
          <w:p w14:paraId="0C26E4DF" w14:textId="77777777" w:rsidR="00C45D59" w:rsidRDefault="009B0962">
            <w:pPr>
              <w:pStyle w:val="P68B1DB1-Normal55"/>
              <w:keepNext/>
              <w:spacing w:before="40" w:after="0" w:line="259" w:lineRule="auto"/>
              <w:rPr>
                <w:rFonts w:eastAsia="Times New Roman" w:cs="Times New Roman"/>
                <w:noProof/>
                <w:szCs w:val="18"/>
              </w:rPr>
            </w:pPr>
            <w:r>
              <w:rPr>
                <w:noProof/>
              </w:rPr>
              <w:t>Etapă</w:t>
            </w:r>
          </w:p>
        </w:tc>
        <w:tc>
          <w:tcPr>
            <w:tcW w:w="2047" w:type="dxa"/>
            <w:tcBorders>
              <w:top w:val="single" w:sz="4" w:space="0" w:color="auto"/>
              <w:left w:val="nil"/>
              <w:bottom w:val="single" w:sz="4" w:space="0" w:color="auto"/>
              <w:right w:val="single" w:sz="4" w:space="0" w:color="auto"/>
            </w:tcBorders>
            <w:shd w:val="clear" w:color="auto" w:fill="C6EFCE"/>
            <w:noWrap/>
            <w:vAlign w:val="center"/>
          </w:tcPr>
          <w:p w14:paraId="4B26EB25" w14:textId="77777777" w:rsidR="00C45D59" w:rsidRDefault="009B0962">
            <w:pPr>
              <w:pStyle w:val="P68B1DB1-Normal55"/>
              <w:keepNext/>
              <w:spacing w:before="40" w:after="0" w:line="259" w:lineRule="auto"/>
              <w:rPr>
                <w:rFonts w:eastAsia="Times New Roman" w:cs="Times New Roman"/>
                <w:noProof/>
                <w:szCs w:val="18"/>
              </w:rPr>
            </w:pPr>
            <w:r>
              <w:rPr>
                <w:noProof/>
              </w:rPr>
              <w:t>Consolidarea autonomiei operaționale a Autorității Independente pentru Venituri Publice (AIVP)</w:t>
            </w:r>
          </w:p>
        </w:tc>
      </w:tr>
      <w:tr w:rsidR="00C45D59" w14:paraId="20A5B751" w14:textId="77777777">
        <w:trPr>
          <w:trHeight w:val="302"/>
          <w:tblHeader/>
          <w:jc w:val="center"/>
        </w:trPr>
        <w:tc>
          <w:tcPr>
            <w:tcW w:w="6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DBDB0BC" w14:textId="77777777" w:rsidR="00C45D59" w:rsidRDefault="009B0962">
            <w:pPr>
              <w:pStyle w:val="P68B1DB1-Normal55"/>
              <w:keepNext/>
              <w:spacing w:before="40" w:after="0" w:line="259" w:lineRule="auto"/>
              <w:rPr>
                <w:rFonts w:eastAsia="Times New Roman" w:cs="Times New Roman"/>
                <w:bCs/>
                <w:noProof/>
                <w:szCs w:val="18"/>
              </w:rPr>
            </w:pPr>
            <w:r>
              <w:rPr>
                <w:noProof/>
              </w:rPr>
              <w:t>342</w:t>
            </w:r>
          </w:p>
        </w:tc>
        <w:tc>
          <w:tcPr>
            <w:tcW w:w="5193" w:type="dxa"/>
            <w:gridSpan w:val="2"/>
            <w:tcBorders>
              <w:top w:val="single" w:sz="4" w:space="0" w:color="auto"/>
              <w:left w:val="nil"/>
              <w:bottom w:val="single" w:sz="4" w:space="0" w:color="auto"/>
              <w:right w:val="single" w:sz="4" w:space="0" w:color="auto"/>
            </w:tcBorders>
            <w:shd w:val="clear" w:color="auto" w:fill="C6EFCE"/>
            <w:noWrap/>
            <w:vAlign w:val="center"/>
          </w:tcPr>
          <w:p w14:paraId="3131EC2C" w14:textId="77777777" w:rsidR="00C45D59" w:rsidRDefault="009B0962">
            <w:pPr>
              <w:pStyle w:val="P68B1DB1-Normal55"/>
              <w:keepNext/>
              <w:spacing w:before="40" w:after="0" w:line="259" w:lineRule="auto"/>
              <w:rPr>
                <w:rFonts w:eastAsia="Times New Roman" w:cs="Times New Roman"/>
                <w:bCs/>
                <w:noProof/>
                <w:szCs w:val="18"/>
              </w:rPr>
            </w:pPr>
            <w:r>
              <w:rPr>
                <w:noProof/>
              </w:rPr>
              <w:t>13-4.2. Modernizarea administrației publice, inclusiv prin accelerarea punerii în aplicare a investițiilor publice, îmbunătățirea cadrului privind achizițiile publice, măsuri de consolidare a capacităților și combaterea corupției – 16986_Finalizarea cadastrului național</w:t>
            </w:r>
          </w:p>
        </w:tc>
        <w:tc>
          <w:tcPr>
            <w:tcW w:w="1680" w:type="dxa"/>
            <w:gridSpan w:val="2"/>
            <w:tcBorders>
              <w:top w:val="single" w:sz="4" w:space="0" w:color="auto"/>
              <w:left w:val="nil"/>
              <w:bottom w:val="single" w:sz="4" w:space="0" w:color="auto"/>
              <w:right w:val="single" w:sz="4" w:space="0" w:color="auto"/>
            </w:tcBorders>
            <w:shd w:val="clear" w:color="auto" w:fill="C6EFCE"/>
            <w:noWrap/>
            <w:vAlign w:val="center"/>
          </w:tcPr>
          <w:p w14:paraId="633E1F96" w14:textId="77777777" w:rsidR="00C45D59" w:rsidRDefault="009B0962">
            <w:pPr>
              <w:pStyle w:val="P68B1DB1-Normal55"/>
              <w:keepNext/>
              <w:spacing w:before="40" w:after="0" w:line="259" w:lineRule="auto"/>
              <w:rPr>
                <w:rFonts w:eastAsia="Times New Roman" w:cs="Times New Roman"/>
                <w:noProof/>
                <w:szCs w:val="18"/>
              </w:rPr>
            </w:pPr>
            <w:r>
              <w:rPr>
                <w:noProof/>
              </w:rPr>
              <w:t>Țintă</w:t>
            </w:r>
          </w:p>
        </w:tc>
        <w:tc>
          <w:tcPr>
            <w:tcW w:w="2047" w:type="dxa"/>
            <w:tcBorders>
              <w:top w:val="single" w:sz="4" w:space="0" w:color="auto"/>
              <w:left w:val="nil"/>
              <w:bottom w:val="single" w:sz="4" w:space="0" w:color="auto"/>
              <w:right w:val="single" w:sz="4" w:space="0" w:color="auto"/>
            </w:tcBorders>
            <w:shd w:val="clear" w:color="auto" w:fill="C6EFCE"/>
            <w:noWrap/>
            <w:vAlign w:val="center"/>
          </w:tcPr>
          <w:p w14:paraId="614EA1E5" w14:textId="77777777" w:rsidR="00C45D59" w:rsidRDefault="009B0962">
            <w:pPr>
              <w:pStyle w:val="P68B1DB1-Normal55"/>
              <w:keepNext/>
              <w:spacing w:before="40" w:after="0" w:line="259" w:lineRule="auto"/>
              <w:rPr>
                <w:rFonts w:eastAsia="Times New Roman" w:cs="Times New Roman"/>
                <w:noProof/>
                <w:szCs w:val="18"/>
              </w:rPr>
            </w:pPr>
            <w:r>
              <w:rPr>
                <w:noProof/>
              </w:rPr>
              <w:t>Cartografiere cadastrală – finalizare 95 %</w:t>
            </w:r>
          </w:p>
        </w:tc>
      </w:tr>
      <w:tr w:rsidR="00C45D59" w14:paraId="2D0BB554" w14:textId="77777777">
        <w:trPr>
          <w:trHeight w:val="302"/>
          <w:tblHeader/>
          <w:jc w:val="center"/>
        </w:trPr>
        <w:tc>
          <w:tcPr>
            <w:tcW w:w="6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0767233" w14:textId="77777777" w:rsidR="00C45D59" w:rsidRDefault="009B0962">
            <w:pPr>
              <w:pStyle w:val="P68B1DB1-Normal55"/>
              <w:keepNext/>
              <w:spacing w:before="40" w:after="0" w:line="259" w:lineRule="auto"/>
              <w:rPr>
                <w:rFonts w:eastAsia="Times New Roman" w:cs="Times New Roman"/>
                <w:bCs/>
                <w:noProof/>
                <w:szCs w:val="18"/>
              </w:rPr>
            </w:pPr>
            <w:r>
              <w:rPr>
                <w:noProof/>
              </w:rPr>
              <w:t>343</w:t>
            </w:r>
          </w:p>
        </w:tc>
        <w:tc>
          <w:tcPr>
            <w:tcW w:w="5193" w:type="dxa"/>
            <w:gridSpan w:val="2"/>
            <w:tcBorders>
              <w:top w:val="single" w:sz="4" w:space="0" w:color="auto"/>
              <w:left w:val="nil"/>
              <w:bottom w:val="single" w:sz="4" w:space="0" w:color="auto"/>
              <w:right w:val="single" w:sz="4" w:space="0" w:color="auto"/>
            </w:tcBorders>
            <w:shd w:val="clear" w:color="auto" w:fill="C6EFCE"/>
            <w:noWrap/>
            <w:vAlign w:val="center"/>
          </w:tcPr>
          <w:p w14:paraId="2B07C4DA" w14:textId="77777777" w:rsidR="00C45D59" w:rsidRDefault="009B0962">
            <w:pPr>
              <w:pStyle w:val="P68B1DB1-Normal55"/>
              <w:keepNext/>
              <w:spacing w:before="40" w:after="0" w:line="259" w:lineRule="auto"/>
              <w:rPr>
                <w:rFonts w:eastAsia="Times New Roman" w:cs="Times New Roman"/>
                <w:bCs/>
                <w:noProof/>
                <w:szCs w:val="18"/>
              </w:rPr>
            </w:pPr>
            <w:r>
              <w:rPr>
                <w:noProof/>
              </w:rPr>
              <w:t>13-4.2. Modernizarea administrației publice, inclusiv prin accelerarea punerii în aplicare a investițiilor publice, îmbunătățirea cadrului privind achizițiile publice, măsuri de consolidare a capacităților și combaterea corupției – 16986_Finalizarea cadastrului național</w:t>
            </w:r>
          </w:p>
        </w:tc>
        <w:tc>
          <w:tcPr>
            <w:tcW w:w="1680" w:type="dxa"/>
            <w:gridSpan w:val="2"/>
            <w:tcBorders>
              <w:top w:val="single" w:sz="4" w:space="0" w:color="auto"/>
              <w:left w:val="nil"/>
              <w:bottom w:val="single" w:sz="4" w:space="0" w:color="auto"/>
              <w:right w:val="single" w:sz="4" w:space="0" w:color="auto"/>
            </w:tcBorders>
            <w:shd w:val="clear" w:color="auto" w:fill="C6EFCE"/>
            <w:noWrap/>
            <w:vAlign w:val="center"/>
          </w:tcPr>
          <w:p w14:paraId="6417AD1E" w14:textId="77777777" w:rsidR="00C45D59" w:rsidRDefault="009B0962">
            <w:pPr>
              <w:pStyle w:val="P68B1DB1-Normal55"/>
              <w:keepNext/>
              <w:spacing w:before="40" w:after="0" w:line="259" w:lineRule="auto"/>
              <w:rPr>
                <w:rFonts w:eastAsia="Times New Roman" w:cs="Times New Roman"/>
                <w:bCs/>
                <w:noProof/>
                <w:szCs w:val="18"/>
              </w:rPr>
            </w:pPr>
            <w:r>
              <w:rPr>
                <w:noProof/>
              </w:rPr>
              <w:t>Etapă</w:t>
            </w:r>
          </w:p>
        </w:tc>
        <w:tc>
          <w:tcPr>
            <w:tcW w:w="2047" w:type="dxa"/>
            <w:tcBorders>
              <w:top w:val="single" w:sz="4" w:space="0" w:color="auto"/>
              <w:left w:val="nil"/>
              <w:bottom w:val="single" w:sz="4" w:space="0" w:color="auto"/>
              <w:right w:val="single" w:sz="4" w:space="0" w:color="auto"/>
            </w:tcBorders>
            <w:shd w:val="clear" w:color="auto" w:fill="C6EFCE"/>
            <w:noWrap/>
            <w:vAlign w:val="center"/>
          </w:tcPr>
          <w:p w14:paraId="7B595480" w14:textId="77777777" w:rsidR="00C45D59" w:rsidRDefault="009B0962">
            <w:pPr>
              <w:pStyle w:val="P68B1DB1-Normal55"/>
              <w:keepNext/>
              <w:spacing w:before="40" w:after="0" w:line="259" w:lineRule="auto"/>
              <w:rPr>
                <w:rFonts w:eastAsia="Times New Roman" w:cs="Times New Roman"/>
                <w:bCs/>
                <w:noProof/>
                <w:szCs w:val="18"/>
              </w:rPr>
            </w:pPr>
            <w:r>
              <w:rPr>
                <w:noProof/>
              </w:rPr>
              <w:t>Tranziția către noua structură organizațională a Cadastrului elen – finalizare integrală</w:t>
            </w:r>
          </w:p>
        </w:tc>
      </w:tr>
      <w:tr w:rsidR="00C45D59" w14:paraId="46016A1C" w14:textId="77777777">
        <w:trPr>
          <w:trHeight w:val="302"/>
          <w:tblHeader/>
          <w:jc w:val="center"/>
        </w:trPr>
        <w:tc>
          <w:tcPr>
            <w:tcW w:w="6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53810B0" w14:textId="77777777" w:rsidR="00C45D59" w:rsidRDefault="009B0962">
            <w:pPr>
              <w:pStyle w:val="P68B1DB1-Normal55"/>
              <w:keepNext/>
              <w:spacing w:before="40" w:after="0" w:line="259" w:lineRule="auto"/>
              <w:rPr>
                <w:rFonts w:eastAsia="Times New Roman" w:cs="Times New Roman"/>
                <w:bCs/>
                <w:noProof/>
                <w:szCs w:val="18"/>
              </w:rPr>
            </w:pPr>
            <w:r>
              <w:rPr>
                <w:noProof/>
              </w:rPr>
              <w:t>351</w:t>
            </w:r>
          </w:p>
        </w:tc>
        <w:tc>
          <w:tcPr>
            <w:tcW w:w="5193" w:type="dxa"/>
            <w:gridSpan w:val="2"/>
            <w:tcBorders>
              <w:top w:val="single" w:sz="4" w:space="0" w:color="auto"/>
              <w:left w:val="nil"/>
              <w:bottom w:val="single" w:sz="4" w:space="0" w:color="auto"/>
              <w:right w:val="single" w:sz="4" w:space="0" w:color="auto"/>
            </w:tcBorders>
            <w:shd w:val="clear" w:color="auto" w:fill="C6EFCE"/>
            <w:noWrap/>
            <w:vAlign w:val="center"/>
          </w:tcPr>
          <w:p w14:paraId="42E4FA1E" w14:textId="77777777" w:rsidR="00C45D59" w:rsidRDefault="009B0962">
            <w:pPr>
              <w:pStyle w:val="P68B1DB1-Normal55"/>
              <w:keepNext/>
              <w:spacing w:before="40" w:after="0" w:line="259" w:lineRule="auto"/>
              <w:rPr>
                <w:rFonts w:eastAsia="Times New Roman" w:cs="Times New Roman"/>
                <w:bCs/>
                <w:noProof/>
                <w:szCs w:val="18"/>
              </w:rPr>
            </w:pPr>
            <w:r>
              <w:rPr>
                <w:noProof/>
              </w:rPr>
              <w:t>20-5.1. Reformele REPowerEU – 16987_Cadrul de acordare a licențelor pentru hidrogenul din surse regenerabile și biometanul durabil</w:t>
            </w:r>
          </w:p>
        </w:tc>
        <w:tc>
          <w:tcPr>
            <w:tcW w:w="1680" w:type="dxa"/>
            <w:gridSpan w:val="2"/>
            <w:tcBorders>
              <w:top w:val="single" w:sz="4" w:space="0" w:color="auto"/>
              <w:left w:val="nil"/>
              <w:bottom w:val="single" w:sz="4" w:space="0" w:color="auto"/>
              <w:right w:val="single" w:sz="4" w:space="0" w:color="auto"/>
            </w:tcBorders>
            <w:shd w:val="clear" w:color="auto" w:fill="C6EFCE"/>
            <w:noWrap/>
            <w:vAlign w:val="center"/>
          </w:tcPr>
          <w:p w14:paraId="655C23FE" w14:textId="77777777" w:rsidR="00C45D59" w:rsidRDefault="009B0962">
            <w:pPr>
              <w:pStyle w:val="P68B1DB1-Normal55"/>
              <w:keepNext/>
              <w:spacing w:before="40" w:after="0" w:line="259" w:lineRule="auto"/>
              <w:rPr>
                <w:rFonts w:eastAsia="Times New Roman" w:cs="Times New Roman"/>
                <w:noProof/>
                <w:szCs w:val="18"/>
              </w:rPr>
            </w:pPr>
            <w:r>
              <w:rPr>
                <w:noProof/>
              </w:rPr>
              <w:t>Etapă</w:t>
            </w:r>
          </w:p>
        </w:tc>
        <w:tc>
          <w:tcPr>
            <w:tcW w:w="2047" w:type="dxa"/>
            <w:tcBorders>
              <w:top w:val="single" w:sz="4" w:space="0" w:color="auto"/>
              <w:left w:val="nil"/>
              <w:bottom w:val="single" w:sz="4" w:space="0" w:color="auto"/>
              <w:right w:val="single" w:sz="4" w:space="0" w:color="auto"/>
            </w:tcBorders>
            <w:shd w:val="clear" w:color="auto" w:fill="C6EFCE"/>
            <w:noWrap/>
            <w:vAlign w:val="center"/>
          </w:tcPr>
          <w:p w14:paraId="1ADDB1F9" w14:textId="77777777" w:rsidR="00C45D59" w:rsidRDefault="009B0962">
            <w:pPr>
              <w:pStyle w:val="P68B1DB1-Normal55"/>
              <w:keepNext/>
              <w:spacing w:before="40" w:after="0" w:line="259" w:lineRule="auto"/>
              <w:rPr>
                <w:rFonts w:eastAsia="Times New Roman" w:cs="Times New Roman"/>
                <w:noProof/>
                <w:szCs w:val="18"/>
              </w:rPr>
            </w:pPr>
            <w:r>
              <w:rPr>
                <w:noProof/>
              </w:rPr>
              <w:t>Cadrul legislativ pentru hidrogenul din surse regenerabile și biometanul durabil</w:t>
            </w:r>
          </w:p>
        </w:tc>
      </w:tr>
      <w:tr w:rsidR="00C45D59" w14:paraId="5BAD36E7" w14:textId="77777777">
        <w:trPr>
          <w:trHeight w:val="302"/>
          <w:tblHeader/>
          <w:jc w:val="center"/>
        </w:trPr>
        <w:tc>
          <w:tcPr>
            <w:tcW w:w="6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F50870B" w14:textId="77777777" w:rsidR="00C45D59" w:rsidRDefault="009B0962">
            <w:pPr>
              <w:pStyle w:val="P68B1DB1-Normal55"/>
              <w:keepNext/>
              <w:spacing w:before="40" w:after="0" w:line="259" w:lineRule="auto"/>
              <w:rPr>
                <w:rFonts w:cs="Times New Roman"/>
                <w:noProof/>
              </w:rPr>
            </w:pPr>
            <w:r>
              <w:rPr>
                <w:noProof/>
              </w:rPr>
              <w:t>356</w:t>
            </w:r>
          </w:p>
        </w:tc>
        <w:tc>
          <w:tcPr>
            <w:tcW w:w="5193" w:type="dxa"/>
            <w:gridSpan w:val="2"/>
            <w:tcBorders>
              <w:top w:val="single" w:sz="4" w:space="0" w:color="auto"/>
              <w:left w:val="nil"/>
              <w:bottom w:val="single" w:sz="4" w:space="0" w:color="auto"/>
              <w:right w:val="single" w:sz="4" w:space="0" w:color="auto"/>
            </w:tcBorders>
            <w:shd w:val="clear" w:color="auto" w:fill="C6EFCE"/>
            <w:noWrap/>
            <w:vAlign w:val="center"/>
          </w:tcPr>
          <w:p w14:paraId="0F5986CB" w14:textId="77777777" w:rsidR="00C45D59" w:rsidRDefault="009B0962">
            <w:pPr>
              <w:pStyle w:val="P68B1DB1-Normal55"/>
              <w:keepNext/>
              <w:spacing w:before="40" w:after="0" w:line="259" w:lineRule="auto"/>
              <w:rPr>
                <w:rFonts w:cs="Times New Roman"/>
                <w:noProof/>
              </w:rPr>
            </w:pPr>
            <w:r>
              <w:rPr>
                <w:noProof/>
              </w:rPr>
              <w:t xml:space="preserve">20-5.1. Reformele REPowerEU – 16990_Creșterea capacității rețelei și a capacității de stocare – promovarea investițiilor în stocare </w:t>
            </w:r>
          </w:p>
        </w:tc>
        <w:tc>
          <w:tcPr>
            <w:tcW w:w="1680" w:type="dxa"/>
            <w:gridSpan w:val="2"/>
            <w:tcBorders>
              <w:top w:val="single" w:sz="4" w:space="0" w:color="auto"/>
              <w:left w:val="nil"/>
              <w:bottom w:val="single" w:sz="4" w:space="0" w:color="auto"/>
              <w:right w:val="single" w:sz="4" w:space="0" w:color="auto"/>
            </w:tcBorders>
            <w:shd w:val="clear" w:color="auto" w:fill="C6EFCE"/>
            <w:noWrap/>
            <w:vAlign w:val="center"/>
          </w:tcPr>
          <w:p w14:paraId="7894CC65" w14:textId="77777777" w:rsidR="00C45D59" w:rsidRDefault="009B0962">
            <w:pPr>
              <w:pStyle w:val="P68B1DB1-Normal55"/>
              <w:keepNext/>
              <w:spacing w:before="40" w:after="0" w:line="259" w:lineRule="auto"/>
              <w:rPr>
                <w:rFonts w:cs="Times New Roman"/>
                <w:noProof/>
              </w:rPr>
            </w:pPr>
            <w:r>
              <w:rPr>
                <w:noProof/>
              </w:rPr>
              <w:t>Etapă</w:t>
            </w:r>
          </w:p>
        </w:tc>
        <w:tc>
          <w:tcPr>
            <w:tcW w:w="2047" w:type="dxa"/>
            <w:tcBorders>
              <w:top w:val="single" w:sz="4" w:space="0" w:color="auto"/>
              <w:left w:val="nil"/>
              <w:bottom w:val="single" w:sz="4" w:space="0" w:color="auto"/>
              <w:right w:val="single" w:sz="4" w:space="0" w:color="auto"/>
            </w:tcBorders>
            <w:shd w:val="clear" w:color="auto" w:fill="C6EFCE"/>
            <w:noWrap/>
            <w:vAlign w:val="center"/>
          </w:tcPr>
          <w:p w14:paraId="7F7236CC" w14:textId="77777777" w:rsidR="00C45D59" w:rsidRDefault="009B0962">
            <w:pPr>
              <w:pStyle w:val="P68B1DB1-Normal55"/>
              <w:keepNext/>
              <w:spacing w:before="40" w:after="0" w:line="259" w:lineRule="auto"/>
              <w:rPr>
                <w:rFonts w:cs="Times New Roman"/>
                <w:noProof/>
              </w:rPr>
            </w:pPr>
            <w:r>
              <w:rPr>
                <w:noProof/>
              </w:rPr>
              <w:t>Intrarea în vigoare a cadrului legislativ</w:t>
            </w:r>
          </w:p>
        </w:tc>
      </w:tr>
      <w:tr w:rsidR="00C45D59" w14:paraId="27269C11" w14:textId="77777777">
        <w:trPr>
          <w:trHeight w:val="302"/>
          <w:tblHeader/>
          <w:jc w:val="center"/>
        </w:trPr>
        <w:tc>
          <w:tcPr>
            <w:tcW w:w="6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08F3C1B" w14:textId="088E84A7" w:rsidR="00C45D59" w:rsidRDefault="009B0962">
            <w:pPr>
              <w:pStyle w:val="P68B1DB1-Normal55"/>
              <w:keepNext/>
              <w:spacing w:before="40" w:after="0" w:line="259" w:lineRule="auto"/>
              <w:rPr>
                <w:noProof/>
              </w:rPr>
            </w:pPr>
            <w:r>
              <w:rPr>
                <w:noProof/>
              </w:rPr>
              <w:t>358</w:t>
            </w:r>
          </w:p>
        </w:tc>
        <w:tc>
          <w:tcPr>
            <w:tcW w:w="5193" w:type="dxa"/>
            <w:gridSpan w:val="2"/>
            <w:tcBorders>
              <w:top w:val="single" w:sz="4" w:space="0" w:color="auto"/>
              <w:left w:val="nil"/>
              <w:bottom w:val="single" w:sz="4" w:space="0" w:color="auto"/>
              <w:right w:val="single" w:sz="4" w:space="0" w:color="auto"/>
            </w:tcBorders>
            <w:shd w:val="clear" w:color="auto" w:fill="C6EFCE"/>
            <w:noWrap/>
            <w:vAlign w:val="center"/>
          </w:tcPr>
          <w:p w14:paraId="7201C08E" w14:textId="54584AB9" w:rsidR="00C45D59" w:rsidRDefault="009B0962">
            <w:pPr>
              <w:pStyle w:val="P68B1DB1-Normal55"/>
              <w:keepNext/>
              <w:spacing w:before="40" w:after="0" w:line="259" w:lineRule="auto"/>
              <w:rPr>
                <w:noProof/>
              </w:rPr>
            </w:pPr>
            <w:r>
              <w:rPr>
                <w:noProof/>
              </w:rPr>
              <w:t>20-5.1. Reformele REPowerEU – 16991_Cadrul de reglementare pentru realizarea unei rețele inteligente</w:t>
            </w:r>
          </w:p>
        </w:tc>
        <w:tc>
          <w:tcPr>
            <w:tcW w:w="1680" w:type="dxa"/>
            <w:gridSpan w:val="2"/>
            <w:tcBorders>
              <w:top w:val="single" w:sz="4" w:space="0" w:color="auto"/>
              <w:left w:val="nil"/>
              <w:bottom w:val="single" w:sz="4" w:space="0" w:color="auto"/>
              <w:right w:val="single" w:sz="4" w:space="0" w:color="auto"/>
            </w:tcBorders>
            <w:shd w:val="clear" w:color="auto" w:fill="C6EFCE"/>
            <w:noWrap/>
            <w:vAlign w:val="center"/>
          </w:tcPr>
          <w:p w14:paraId="4845053E" w14:textId="13896B19" w:rsidR="00C45D59" w:rsidRDefault="009B0962">
            <w:pPr>
              <w:pStyle w:val="P68B1DB1-Normal55"/>
              <w:keepNext/>
              <w:spacing w:before="40" w:after="0" w:line="259" w:lineRule="auto"/>
              <w:rPr>
                <w:noProof/>
              </w:rPr>
            </w:pPr>
            <w:r>
              <w:rPr>
                <w:noProof/>
              </w:rPr>
              <w:t>Etapă</w:t>
            </w:r>
          </w:p>
        </w:tc>
        <w:tc>
          <w:tcPr>
            <w:tcW w:w="2047" w:type="dxa"/>
            <w:tcBorders>
              <w:top w:val="single" w:sz="4" w:space="0" w:color="auto"/>
              <w:left w:val="nil"/>
              <w:bottom w:val="single" w:sz="4" w:space="0" w:color="auto"/>
              <w:right w:val="single" w:sz="4" w:space="0" w:color="auto"/>
            </w:tcBorders>
            <w:shd w:val="clear" w:color="auto" w:fill="C6EFCE"/>
            <w:noWrap/>
            <w:vAlign w:val="center"/>
          </w:tcPr>
          <w:p w14:paraId="1AE6E687" w14:textId="088D1F6A" w:rsidR="00C45D59" w:rsidRDefault="009B0962">
            <w:pPr>
              <w:pStyle w:val="P68B1DB1-Normal55"/>
              <w:keepNext/>
              <w:spacing w:before="40" w:after="0" w:line="259" w:lineRule="auto"/>
              <w:rPr>
                <w:noProof/>
                <w:highlight w:val="yellow"/>
              </w:rPr>
            </w:pPr>
            <w:r>
              <w:rPr>
                <w:noProof/>
              </w:rPr>
              <w:t>Dezvoltarea unui sistem bazat pe stimulente pentru operatorii de sisteme de distribuție și consumatori, pentru a spori implementarea și utilizarea contoarelor inteligente.</w:t>
            </w:r>
          </w:p>
        </w:tc>
      </w:tr>
      <w:tr w:rsidR="00C45D59" w14:paraId="5F231112" w14:textId="77777777">
        <w:trPr>
          <w:trHeight w:val="302"/>
          <w:tblHeader/>
          <w:jc w:val="center"/>
        </w:trPr>
        <w:tc>
          <w:tcPr>
            <w:tcW w:w="6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816108E" w14:textId="77777777" w:rsidR="00C45D59" w:rsidRDefault="009B0962">
            <w:pPr>
              <w:pStyle w:val="P68B1DB1-Normal55"/>
              <w:keepNext/>
              <w:spacing w:before="40" w:after="0" w:line="259" w:lineRule="auto"/>
              <w:rPr>
                <w:rFonts w:eastAsia="Times New Roman" w:cs="Times New Roman"/>
                <w:bCs/>
                <w:noProof/>
                <w:szCs w:val="18"/>
              </w:rPr>
            </w:pPr>
            <w:r>
              <w:rPr>
                <w:noProof/>
              </w:rPr>
              <w:t>361</w:t>
            </w:r>
          </w:p>
        </w:tc>
        <w:tc>
          <w:tcPr>
            <w:tcW w:w="5193" w:type="dxa"/>
            <w:gridSpan w:val="2"/>
            <w:tcBorders>
              <w:top w:val="single" w:sz="4" w:space="0" w:color="auto"/>
              <w:left w:val="nil"/>
              <w:bottom w:val="single" w:sz="4" w:space="0" w:color="auto"/>
              <w:right w:val="single" w:sz="4" w:space="0" w:color="auto"/>
            </w:tcBorders>
            <w:shd w:val="clear" w:color="auto" w:fill="C6EFCE"/>
            <w:noWrap/>
            <w:vAlign w:val="center"/>
          </w:tcPr>
          <w:p w14:paraId="11860582" w14:textId="77777777" w:rsidR="00C45D59" w:rsidRDefault="009B0962">
            <w:pPr>
              <w:pStyle w:val="P68B1DB1-Normal55"/>
              <w:keepNext/>
              <w:spacing w:before="40" w:after="0" w:line="259" w:lineRule="auto"/>
              <w:rPr>
                <w:rFonts w:eastAsia="Times New Roman" w:cs="Times New Roman"/>
                <w:bCs/>
                <w:noProof/>
                <w:szCs w:val="18"/>
              </w:rPr>
            </w:pPr>
            <w:r>
              <w:rPr>
                <w:noProof/>
              </w:rPr>
              <w:t>20-5. Reformele REPowerEU – 16992_Set de instrumente pentru promovarea partajării energiei, a autoconsumului și a comunităților de energie din surse regenerabile</w:t>
            </w:r>
          </w:p>
        </w:tc>
        <w:tc>
          <w:tcPr>
            <w:tcW w:w="1680" w:type="dxa"/>
            <w:gridSpan w:val="2"/>
            <w:tcBorders>
              <w:top w:val="single" w:sz="4" w:space="0" w:color="auto"/>
              <w:left w:val="nil"/>
              <w:bottom w:val="single" w:sz="4" w:space="0" w:color="auto"/>
              <w:right w:val="single" w:sz="4" w:space="0" w:color="auto"/>
            </w:tcBorders>
            <w:shd w:val="clear" w:color="auto" w:fill="C6EFCE"/>
            <w:noWrap/>
            <w:vAlign w:val="center"/>
          </w:tcPr>
          <w:p w14:paraId="5D8E119C" w14:textId="77777777" w:rsidR="00C45D59" w:rsidRDefault="009B0962">
            <w:pPr>
              <w:pStyle w:val="P68B1DB1-Normal55"/>
              <w:keepNext/>
              <w:spacing w:before="40" w:after="0" w:line="259" w:lineRule="auto"/>
              <w:rPr>
                <w:rFonts w:eastAsia="Times New Roman" w:cs="Times New Roman"/>
                <w:noProof/>
                <w:szCs w:val="18"/>
              </w:rPr>
            </w:pPr>
            <w:r>
              <w:rPr>
                <w:noProof/>
              </w:rPr>
              <w:t>Etapă</w:t>
            </w:r>
          </w:p>
        </w:tc>
        <w:tc>
          <w:tcPr>
            <w:tcW w:w="2047" w:type="dxa"/>
            <w:tcBorders>
              <w:top w:val="single" w:sz="4" w:space="0" w:color="auto"/>
              <w:left w:val="nil"/>
              <w:bottom w:val="single" w:sz="4" w:space="0" w:color="auto"/>
              <w:right w:val="single" w:sz="4" w:space="0" w:color="auto"/>
            </w:tcBorders>
            <w:shd w:val="clear" w:color="auto" w:fill="C6EFCE"/>
            <w:noWrap/>
            <w:vAlign w:val="center"/>
          </w:tcPr>
          <w:p w14:paraId="2E466F28" w14:textId="77777777" w:rsidR="00C45D59" w:rsidRDefault="009B0962">
            <w:pPr>
              <w:pStyle w:val="P68B1DB1-Normal55"/>
              <w:keepNext/>
              <w:spacing w:before="40" w:after="0" w:line="259" w:lineRule="auto"/>
              <w:rPr>
                <w:rFonts w:eastAsia="Times New Roman" w:cs="Times New Roman"/>
                <w:noProof/>
                <w:szCs w:val="18"/>
              </w:rPr>
            </w:pPr>
            <w:r>
              <w:rPr>
                <w:noProof/>
              </w:rPr>
              <w:t>Intrarea în vigoare a legislației primare și secundare privind autoconsumul și facilitarea proceselor de autorizare pentru instalarea de stații SRE în clădirile de apartamente</w:t>
            </w:r>
          </w:p>
        </w:tc>
      </w:tr>
      <w:tr w:rsidR="00C45D59" w14:paraId="1A2123CC" w14:textId="77777777">
        <w:trPr>
          <w:trHeight w:val="302"/>
          <w:tblHeader/>
          <w:jc w:val="center"/>
        </w:trPr>
        <w:tc>
          <w:tcPr>
            <w:tcW w:w="6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F52BA93" w14:textId="77777777" w:rsidR="00C45D59" w:rsidRDefault="009B0962">
            <w:pPr>
              <w:pStyle w:val="P68B1DB1-Normal55"/>
              <w:keepNext/>
              <w:spacing w:before="40" w:after="0" w:line="259" w:lineRule="auto"/>
              <w:rPr>
                <w:rFonts w:eastAsia="Times New Roman" w:cs="Times New Roman"/>
                <w:bCs/>
                <w:noProof/>
                <w:szCs w:val="18"/>
              </w:rPr>
            </w:pPr>
            <w:r>
              <w:rPr>
                <w:noProof/>
              </w:rPr>
              <w:t>363</w:t>
            </w:r>
          </w:p>
        </w:tc>
        <w:tc>
          <w:tcPr>
            <w:tcW w:w="5193" w:type="dxa"/>
            <w:gridSpan w:val="2"/>
            <w:tcBorders>
              <w:top w:val="single" w:sz="4" w:space="0" w:color="auto"/>
              <w:left w:val="nil"/>
              <w:bottom w:val="single" w:sz="4" w:space="0" w:color="auto"/>
              <w:right w:val="single" w:sz="4" w:space="0" w:color="auto"/>
            </w:tcBorders>
            <w:shd w:val="clear" w:color="auto" w:fill="C6EFCE"/>
            <w:noWrap/>
            <w:vAlign w:val="center"/>
          </w:tcPr>
          <w:p w14:paraId="03CC8DD8" w14:textId="77777777" w:rsidR="00C45D59" w:rsidRDefault="009B0962">
            <w:pPr>
              <w:pStyle w:val="P68B1DB1-Normal55"/>
              <w:keepNext/>
              <w:spacing w:before="40" w:after="0" w:line="259" w:lineRule="auto"/>
              <w:rPr>
                <w:rFonts w:eastAsia="Times New Roman" w:cs="Times New Roman"/>
                <w:bCs/>
                <w:noProof/>
                <w:szCs w:val="18"/>
              </w:rPr>
            </w:pPr>
            <w:r>
              <w:rPr>
                <w:noProof/>
              </w:rPr>
              <w:t>20-5. Reformele REPowerEU – 16993_Foaie de parcurs pentru intervenții inovatoare în domeniul eficienței energetice și identificarea de noi instrumente financiare</w:t>
            </w:r>
          </w:p>
        </w:tc>
        <w:tc>
          <w:tcPr>
            <w:tcW w:w="1680" w:type="dxa"/>
            <w:gridSpan w:val="2"/>
            <w:tcBorders>
              <w:top w:val="single" w:sz="4" w:space="0" w:color="auto"/>
              <w:left w:val="nil"/>
              <w:bottom w:val="single" w:sz="4" w:space="0" w:color="auto"/>
              <w:right w:val="single" w:sz="4" w:space="0" w:color="auto"/>
            </w:tcBorders>
            <w:shd w:val="clear" w:color="auto" w:fill="C6EFCE"/>
            <w:noWrap/>
            <w:vAlign w:val="center"/>
          </w:tcPr>
          <w:p w14:paraId="596A5549" w14:textId="77777777" w:rsidR="00C45D59" w:rsidRDefault="009B0962">
            <w:pPr>
              <w:pStyle w:val="P68B1DB1-Normal55"/>
              <w:keepNext/>
              <w:spacing w:before="40" w:after="0" w:line="259" w:lineRule="auto"/>
              <w:rPr>
                <w:rFonts w:eastAsia="Times New Roman" w:cs="Times New Roman"/>
                <w:noProof/>
                <w:szCs w:val="18"/>
              </w:rPr>
            </w:pPr>
            <w:r>
              <w:rPr>
                <w:noProof/>
              </w:rPr>
              <w:t>Etapă</w:t>
            </w:r>
          </w:p>
        </w:tc>
        <w:tc>
          <w:tcPr>
            <w:tcW w:w="2047" w:type="dxa"/>
            <w:tcBorders>
              <w:top w:val="single" w:sz="4" w:space="0" w:color="auto"/>
              <w:left w:val="nil"/>
              <w:bottom w:val="single" w:sz="4" w:space="0" w:color="auto"/>
              <w:right w:val="single" w:sz="4" w:space="0" w:color="auto"/>
            </w:tcBorders>
            <w:shd w:val="clear" w:color="auto" w:fill="C6EFCE"/>
            <w:noWrap/>
            <w:vAlign w:val="center"/>
          </w:tcPr>
          <w:p w14:paraId="5F56A5BD" w14:textId="77777777" w:rsidR="00C45D59" w:rsidRDefault="009B0962">
            <w:pPr>
              <w:pStyle w:val="P68B1DB1-Normal55"/>
              <w:keepNext/>
              <w:spacing w:before="40" w:after="0" w:line="259" w:lineRule="auto"/>
              <w:rPr>
                <w:rFonts w:eastAsia="Times New Roman" w:cs="Times New Roman"/>
                <w:noProof/>
                <w:szCs w:val="18"/>
              </w:rPr>
            </w:pPr>
            <w:r>
              <w:rPr>
                <w:noProof/>
              </w:rPr>
              <w:t>Stabilirea unei foi de parcurs pentru intervenții inovatoare în materie de eficiență energetică și a unui cadru juridic</w:t>
            </w:r>
          </w:p>
        </w:tc>
      </w:tr>
      <w:tr w:rsidR="00C45D59" w14:paraId="2E3C38A6" w14:textId="77777777">
        <w:trPr>
          <w:trHeight w:val="302"/>
          <w:tblHeader/>
          <w:jc w:val="center"/>
        </w:trPr>
        <w:tc>
          <w:tcPr>
            <w:tcW w:w="6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466FE50" w14:textId="77777777" w:rsidR="00C45D59" w:rsidRDefault="009B0962">
            <w:pPr>
              <w:pStyle w:val="P68B1DB1-Normal55"/>
              <w:keepNext/>
              <w:spacing w:before="40" w:after="0" w:line="259" w:lineRule="auto"/>
              <w:rPr>
                <w:rFonts w:eastAsia="Times New Roman" w:cs="Times New Roman"/>
                <w:bCs/>
                <w:noProof/>
                <w:szCs w:val="18"/>
              </w:rPr>
            </w:pPr>
            <w:r>
              <w:rPr>
                <w:noProof/>
              </w:rPr>
              <w:t>365</w:t>
            </w:r>
          </w:p>
        </w:tc>
        <w:tc>
          <w:tcPr>
            <w:tcW w:w="5193" w:type="dxa"/>
            <w:gridSpan w:val="2"/>
            <w:tcBorders>
              <w:top w:val="single" w:sz="4" w:space="0" w:color="auto"/>
              <w:left w:val="nil"/>
              <w:bottom w:val="single" w:sz="4" w:space="0" w:color="auto"/>
              <w:right w:val="single" w:sz="4" w:space="0" w:color="auto"/>
            </w:tcBorders>
            <w:shd w:val="clear" w:color="auto" w:fill="C6EFCE"/>
            <w:noWrap/>
            <w:vAlign w:val="center"/>
          </w:tcPr>
          <w:p w14:paraId="7E36F530" w14:textId="77777777" w:rsidR="00C45D59" w:rsidRDefault="009B0962">
            <w:pPr>
              <w:pStyle w:val="P68B1DB1-Normal55"/>
              <w:keepNext/>
              <w:spacing w:before="40" w:after="0" w:line="259" w:lineRule="auto"/>
              <w:rPr>
                <w:rFonts w:eastAsia="Times New Roman" w:cs="Times New Roman"/>
                <w:bCs/>
                <w:noProof/>
                <w:szCs w:val="18"/>
              </w:rPr>
            </w:pPr>
            <w:r>
              <w:rPr>
                <w:noProof/>
              </w:rPr>
              <w:t>21-5.2 investiții REPowerEU – 16996_Instalarea stocării energiei pentru pătrunderea suplimentară a surselor regenerabile de energie</w:t>
            </w:r>
          </w:p>
        </w:tc>
        <w:tc>
          <w:tcPr>
            <w:tcW w:w="1680" w:type="dxa"/>
            <w:gridSpan w:val="2"/>
            <w:tcBorders>
              <w:top w:val="single" w:sz="4" w:space="0" w:color="auto"/>
              <w:left w:val="nil"/>
              <w:bottom w:val="single" w:sz="4" w:space="0" w:color="auto"/>
              <w:right w:val="single" w:sz="4" w:space="0" w:color="auto"/>
            </w:tcBorders>
            <w:shd w:val="clear" w:color="auto" w:fill="C6EFCE"/>
            <w:noWrap/>
            <w:vAlign w:val="center"/>
          </w:tcPr>
          <w:p w14:paraId="1D692023" w14:textId="77777777" w:rsidR="00C45D59" w:rsidRDefault="009B0962">
            <w:pPr>
              <w:pStyle w:val="P68B1DB1-Normal55"/>
              <w:keepNext/>
              <w:spacing w:before="40" w:after="0" w:line="259" w:lineRule="auto"/>
              <w:rPr>
                <w:rFonts w:eastAsia="Times New Roman" w:cs="Times New Roman"/>
                <w:noProof/>
                <w:szCs w:val="18"/>
              </w:rPr>
            </w:pPr>
            <w:r>
              <w:rPr>
                <w:noProof/>
              </w:rPr>
              <w:t>Etapă</w:t>
            </w:r>
          </w:p>
        </w:tc>
        <w:tc>
          <w:tcPr>
            <w:tcW w:w="2047" w:type="dxa"/>
            <w:tcBorders>
              <w:top w:val="single" w:sz="4" w:space="0" w:color="auto"/>
              <w:left w:val="nil"/>
              <w:bottom w:val="single" w:sz="4" w:space="0" w:color="auto"/>
              <w:right w:val="single" w:sz="4" w:space="0" w:color="auto"/>
            </w:tcBorders>
            <w:shd w:val="clear" w:color="auto" w:fill="C6EFCE"/>
            <w:noWrap/>
            <w:vAlign w:val="center"/>
          </w:tcPr>
          <w:p w14:paraId="65028F31" w14:textId="77777777" w:rsidR="00C45D59" w:rsidRDefault="009B0962">
            <w:pPr>
              <w:pStyle w:val="P68B1DB1-Normal55"/>
              <w:keepNext/>
              <w:spacing w:before="40" w:after="0" w:line="259" w:lineRule="auto"/>
              <w:rPr>
                <w:rFonts w:eastAsia="Times New Roman" w:cs="Times New Roman"/>
                <w:noProof/>
                <w:szCs w:val="18"/>
              </w:rPr>
            </w:pPr>
            <w:r>
              <w:rPr>
                <w:noProof/>
              </w:rPr>
              <w:t>Proiecte aprobate de stocare a energiei</w:t>
            </w:r>
          </w:p>
        </w:tc>
      </w:tr>
      <w:tr w:rsidR="00C45D59" w14:paraId="641218DA" w14:textId="77777777">
        <w:trPr>
          <w:trHeight w:val="302"/>
          <w:tblHeader/>
          <w:jc w:val="center"/>
        </w:trPr>
        <w:tc>
          <w:tcPr>
            <w:tcW w:w="6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755F6B8" w14:textId="77777777" w:rsidR="00C45D59" w:rsidRDefault="009B0962">
            <w:pPr>
              <w:pStyle w:val="P68B1DB1-Normal55"/>
              <w:keepNext/>
              <w:spacing w:before="40" w:after="0" w:line="259" w:lineRule="auto"/>
              <w:rPr>
                <w:noProof/>
              </w:rPr>
            </w:pPr>
            <w:r>
              <w:rPr>
                <w:noProof/>
              </w:rPr>
              <w:t>370</w:t>
            </w:r>
          </w:p>
        </w:tc>
        <w:tc>
          <w:tcPr>
            <w:tcW w:w="5193" w:type="dxa"/>
            <w:gridSpan w:val="2"/>
            <w:tcBorders>
              <w:top w:val="single" w:sz="4" w:space="0" w:color="auto"/>
              <w:left w:val="nil"/>
              <w:bottom w:val="single" w:sz="4" w:space="0" w:color="auto"/>
              <w:right w:val="single" w:sz="4" w:space="0" w:color="auto"/>
            </w:tcBorders>
            <w:shd w:val="clear" w:color="auto" w:fill="C6EFCE"/>
            <w:noWrap/>
            <w:vAlign w:val="center"/>
          </w:tcPr>
          <w:p w14:paraId="17E6D673" w14:textId="77777777" w:rsidR="00C45D59" w:rsidRDefault="009B0962">
            <w:pPr>
              <w:pStyle w:val="P68B1DB1-Normal55"/>
              <w:keepNext/>
              <w:spacing w:before="40" w:after="0" w:line="259" w:lineRule="auto"/>
              <w:rPr>
                <w:noProof/>
              </w:rPr>
            </w:pPr>
            <w:r>
              <w:rPr>
                <w:noProof/>
              </w:rPr>
              <w:t>21-5.2 investiții REPowerEU – 16995_Proiect privind producția de hidrogen din surse regenerabile</w:t>
            </w:r>
          </w:p>
        </w:tc>
        <w:tc>
          <w:tcPr>
            <w:tcW w:w="1680" w:type="dxa"/>
            <w:gridSpan w:val="2"/>
            <w:tcBorders>
              <w:top w:val="single" w:sz="4" w:space="0" w:color="auto"/>
              <w:left w:val="nil"/>
              <w:bottom w:val="single" w:sz="4" w:space="0" w:color="auto"/>
              <w:right w:val="single" w:sz="4" w:space="0" w:color="auto"/>
            </w:tcBorders>
            <w:shd w:val="clear" w:color="auto" w:fill="C6EFCE"/>
            <w:noWrap/>
            <w:vAlign w:val="center"/>
          </w:tcPr>
          <w:p w14:paraId="0DBDB8F2" w14:textId="77777777" w:rsidR="00C45D59" w:rsidRDefault="009B0962">
            <w:pPr>
              <w:pStyle w:val="P68B1DB1-Normal55"/>
              <w:keepNext/>
              <w:spacing w:before="40" w:after="0" w:line="259" w:lineRule="auto"/>
              <w:rPr>
                <w:noProof/>
              </w:rPr>
            </w:pPr>
            <w:r>
              <w:rPr>
                <w:noProof/>
              </w:rPr>
              <w:t>Etapă</w:t>
            </w:r>
          </w:p>
        </w:tc>
        <w:tc>
          <w:tcPr>
            <w:tcW w:w="2047" w:type="dxa"/>
            <w:tcBorders>
              <w:top w:val="single" w:sz="4" w:space="0" w:color="auto"/>
              <w:left w:val="nil"/>
              <w:bottom w:val="single" w:sz="4" w:space="0" w:color="auto"/>
              <w:right w:val="single" w:sz="4" w:space="0" w:color="auto"/>
            </w:tcBorders>
            <w:shd w:val="clear" w:color="auto" w:fill="C6EFCE"/>
            <w:noWrap/>
            <w:vAlign w:val="center"/>
          </w:tcPr>
          <w:p w14:paraId="426CD41C" w14:textId="77777777" w:rsidR="00C45D59" w:rsidRDefault="009B0962">
            <w:pPr>
              <w:pStyle w:val="P68B1DB1-Normal55"/>
              <w:keepNext/>
              <w:spacing w:before="40" w:after="0" w:line="259" w:lineRule="auto"/>
              <w:rPr>
                <w:noProof/>
              </w:rPr>
            </w:pPr>
            <w:r>
              <w:rPr>
                <w:noProof/>
              </w:rPr>
              <w:t>Emiterea deciziei ministeriale comune pentru acordarea grantului către beneficiar</w:t>
            </w:r>
          </w:p>
        </w:tc>
      </w:tr>
      <w:tr w:rsidR="00C45D59" w14:paraId="4A03D2BE" w14:textId="77777777">
        <w:trPr>
          <w:trHeight w:val="302"/>
          <w:tblHeader/>
          <w:jc w:val="center"/>
        </w:trPr>
        <w:tc>
          <w:tcPr>
            <w:tcW w:w="6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5504581" w14:textId="77777777" w:rsidR="00C45D59" w:rsidRDefault="009B0962">
            <w:pPr>
              <w:pStyle w:val="P68B1DB1-Normal55"/>
              <w:keepNext/>
              <w:spacing w:before="40" w:after="0" w:line="259" w:lineRule="auto"/>
              <w:rPr>
                <w:noProof/>
              </w:rPr>
            </w:pPr>
            <w:r>
              <w:rPr>
                <w:noProof/>
              </w:rPr>
              <w:t>368</w:t>
            </w:r>
          </w:p>
        </w:tc>
        <w:tc>
          <w:tcPr>
            <w:tcW w:w="5193" w:type="dxa"/>
            <w:gridSpan w:val="2"/>
            <w:tcBorders>
              <w:top w:val="single" w:sz="4" w:space="0" w:color="auto"/>
              <w:left w:val="nil"/>
              <w:bottom w:val="single" w:sz="4" w:space="0" w:color="auto"/>
              <w:right w:val="single" w:sz="4" w:space="0" w:color="auto"/>
            </w:tcBorders>
            <w:shd w:val="clear" w:color="auto" w:fill="C6EFCE"/>
            <w:noWrap/>
            <w:vAlign w:val="center"/>
          </w:tcPr>
          <w:p w14:paraId="13872555" w14:textId="77777777" w:rsidR="00C45D59" w:rsidRDefault="009B0962">
            <w:pPr>
              <w:pStyle w:val="P68B1DB1-Normal55"/>
              <w:keepNext/>
              <w:spacing w:before="40" w:after="0" w:line="259" w:lineRule="auto"/>
              <w:rPr>
                <w:noProof/>
              </w:rPr>
            </w:pPr>
            <w:r>
              <w:rPr>
                <w:noProof/>
              </w:rPr>
              <w:t>21-5.2 investiții REPowerEU – 16994_Eficiența energetică și promovarea surselor regenerabile de energie pentru autoconsum</w:t>
            </w:r>
          </w:p>
        </w:tc>
        <w:tc>
          <w:tcPr>
            <w:tcW w:w="1680" w:type="dxa"/>
            <w:gridSpan w:val="2"/>
            <w:tcBorders>
              <w:top w:val="single" w:sz="4" w:space="0" w:color="auto"/>
              <w:left w:val="nil"/>
              <w:bottom w:val="single" w:sz="4" w:space="0" w:color="auto"/>
              <w:right w:val="single" w:sz="4" w:space="0" w:color="auto"/>
            </w:tcBorders>
            <w:shd w:val="clear" w:color="auto" w:fill="C6EFCE"/>
            <w:noWrap/>
            <w:vAlign w:val="center"/>
          </w:tcPr>
          <w:p w14:paraId="42AFDB96" w14:textId="77777777" w:rsidR="00C45D59" w:rsidRDefault="009B0962">
            <w:pPr>
              <w:pStyle w:val="P68B1DB1-Normal55"/>
              <w:keepNext/>
              <w:spacing w:before="40" w:after="0" w:line="259" w:lineRule="auto"/>
              <w:rPr>
                <w:noProof/>
              </w:rPr>
            </w:pPr>
            <w:r>
              <w:rPr>
                <w:noProof/>
              </w:rPr>
              <w:t>Țintă</w:t>
            </w:r>
          </w:p>
        </w:tc>
        <w:tc>
          <w:tcPr>
            <w:tcW w:w="2047" w:type="dxa"/>
            <w:tcBorders>
              <w:top w:val="single" w:sz="4" w:space="0" w:color="auto"/>
              <w:left w:val="nil"/>
              <w:bottom w:val="single" w:sz="4" w:space="0" w:color="auto"/>
              <w:right w:val="single" w:sz="4" w:space="0" w:color="auto"/>
            </w:tcBorders>
            <w:shd w:val="clear" w:color="auto" w:fill="C6EFCE"/>
            <w:noWrap/>
            <w:vAlign w:val="center"/>
          </w:tcPr>
          <w:p w14:paraId="6F87DBB0" w14:textId="77777777" w:rsidR="00C45D59" w:rsidRDefault="009B0962">
            <w:pPr>
              <w:pStyle w:val="P68B1DB1-Normal55"/>
              <w:keepNext/>
              <w:spacing w:before="40" w:after="0" w:line="259" w:lineRule="auto"/>
              <w:rPr>
                <w:noProof/>
              </w:rPr>
            </w:pPr>
            <w:r>
              <w:rPr>
                <w:noProof/>
              </w:rPr>
              <w:t>Instalare de sisteme fotovoltaice pentru autoconsum</w:t>
            </w:r>
          </w:p>
        </w:tc>
      </w:tr>
      <w:tr w:rsidR="00C45D59" w14:paraId="45B1BBCB" w14:textId="77777777">
        <w:trPr>
          <w:trHeight w:val="302"/>
          <w:tblHeader/>
          <w:jc w:val="center"/>
        </w:trPr>
        <w:tc>
          <w:tcPr>
            <w:tcW w:w="6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FB89AC5" w14:textId="77777777" w:rsidR="00C45D59" w:rsidRDefault="00C45D59">
            <w:pPr>
              <w:keepNext/>
              <w:spacing w:before="40" w:after="0" w:line="259" w:lineRule="auto"/>
              <w:rPr>
                <w:rFonts w:ascii="Times New Roman" w:eastAsia="Times New Roman" w:hAnsi="Times New Roman" w:cs="Times New Roman"/>
                <w:bCs/>
                <w:noProof/>
                <w:sz w:val="18"/>
                <w:szCs w:val="18"/>
              </w:rPr>
            </w:pPr>
          </w:p>
        </w:tc>
        <w:tc>
          <w:tcPr>
            <w:tcW w:w="5193" w:type="dxa"/>
            <w:gridSpan w:val="2"/>
            <w:tcBorders>
              <w:top w:val="single" w:sz="4" w:space="0" w:color="auto"/>
              <w:left w:val="nil"/>
              <w:bottom w:val="single" w:sz="4" w:space="0" w:color="auto"/>
              <w:right w:val="single" w:sz="4" w:space="0" w:color="auto"/>
            </w:tcBorders>
            <w:shd w:val="clear" w:color="auto" w:fill="C6EFCE"/>
            <w:noWrap/>
            <w:vAlign w:val="center"/>
          </w:tcPr>
          <w:p w14:paraId="38161F94" w14:textId="77777777" w:rsidR="00C45D59" w:rsidRDefault="00C45D59">
            <w:pPr>
              <w:keepNext/>
              <w:spacing w:before="40" w:after="0" w:line="259" w:lineRule="auto"/>
              <w:rPr>
                <w:rFonts w:ascii="Times New Roman" w:eastAsia="Times New Roman" w:hAnsi="Times New Roman" w:cs="Times New Roman"/>
                <w:bCs/>
                <w:noProof/>
                <w:sz w:val="18"/>
                <w:szCs w:val="18"/>
              </w:rPr>
            </w:pPr>
          </w:p>
        </w:tc>
        <w:tc>
          <w:tcPr>
            <w:tcW w:w="1680" w:type="dxa"/>
            <w:gridSpan w:val="2"/>
            <w:tcBorders>
              <w:top w:val="single" w:sz="4" w:space="0" w:color="auto"/>
              <w:left w:val="nil"/>
              <w:bottom w:val="single" w:sz="4" w:space="0" w:color="auto"/>
              <w:right w:val="single" w:sz="4" w:space="0" w:color="auto"/>
            </w:tcBorders>
            <w:shd w:val="clear" w:color="auto" w:fill="C6EFCE"/>
            <w:noWrap/>
            <w:vAlign w:val="center"/>
          </w:tcPr>
          <w:p w14:paraId="43C64A74" w14:textId="77777777" w:rsidR="00C45D59" w:rsidRDefault="009B0962">
            <w:pPr>
              <w:pStyle w:val="P68B1DB1-Normal55"/>
              <w:keepNext/>
              <w:spacing w:before="40" w:after="0" w:line="259" w:lineRule="auto"/>
              <w:rPr>
                <w:rFonts w:eastAsia="Times New Roman" w:cs="Times New Roman"/>
                <w:noProof/>
                <w:szCs w:val="18"/>
              </w:rPr>
            </w:pPr>
            <w:r>
              <w:rPr>
                <w:noProof/>
              </w:rPr>
              <w:t>Cuantumul tranșei</w:t>
            </w:r>
          </w:p>
        </w:tc>
        <w:tc>
          <w:tcPr>
            <w:tcW w:w="2047" w:type="dxa"/>
            <w:tcBorders>
              <w:top w:val="single" w:sz="4" w:space="0" w:color="auto"/>
              <w:left w:val="nil"/>
              <w:bottom w:val="single" w:sz="4" w:space="0" w:color="auto"/>
              <w:right w:val="single" w:sz="4" w:space="0" w:color="auto"/>
            </w:tcBorders>
            <w:shd w:val="clear" w:color="auto" w:fill="C6EFCE"/>
            <w:noWrap/>
            <w:vAlign w:val="center"/>
          </w:tcPr>
          <w:p w14:paraId="29232E3E" w14:textId="77777777" w:rsidR="00C45D59" w:rsidRDefault="009B0962">
            <w:pPr>
              <w:pStyle w:val="P68B1DB1-Normal55"/>
              <w:keepNext/>
              <w:spacing w:before="40" w:after="0" w:line="259" w:lineRule="auto"/>
              <w:rPr>
                <w:rFonts w:eastAsia="Times New Roman" w:cs="Times New Roman"/>
                <w:noProof/>
                <w:szCs w:val="18"/>
              </w:rPr>
            </w:pPr>
            <w:r>
              <w:rPr>
                <w:noProof/>
              </w:rPr>
              <w:t>2 439 692 495 MIL.</w:t>
            </w:r>
          </w:p>
        </w:tc>
      </w:tr>
    </w:tbl>
    <w:p w14:paraId="4E7E2839" w14:textId="220C62CF" w:rsidR="00C45D59" w:rsidRDefault="009B0962">
      <w:pPr>
        <w:pStyle w:val="P68B1DB1-Normal57"/>
        <w:keepNext/>
        <w:spacing w:before="40" w:line="259" w:lineRule="auto"/>
        <w:jc w:val="both"/>
        <w:rPr>
          <w:noProof/>
        </w:rPr>
        <w:sectPr w:rsidR="00C45D59">
          <w:headerReference w:type="even" r:id="rId444"/>
          <w:headerReference w:type="default" r:id="rId445"/>
          <w:footerReference w:type="even" r:id="rId446"/>
          <w:footerReference w:type="default" r:id="rId447"/>
          <w:headerReference w:type="first" r:id="rId448"/>
          <w:footerReference w:type="first" r:id="rId449"/>
          <w:pgSz w:w="11906" w:h="16838"/>
          <w:pgMar w:top="1134" w:right="1134" w:bottom="1134" w:left="1134" w:header="567" w:footer="567" w:gutter="0"/>
          <w:cols w:space="708"/>
          <w:docGrid w:linePitch="360"/>
        </w:sectPr>
      </w:pPr>
      <w:r>
        <w:rPr>
          <w:noProof/>
        </w:rPr>
        <w:br/>
      </w:r>
      <w:r>
        <w:rPr>
          <w:noProof/>
        </w:rPr>
        <w:br/>
      </w:r>
    </w:p>
    <w:p w14:paraId="58D9E580" w14:textId="2747D462" w:rsidR="00C45D59" w:rsidRDefault="001D5265">
      <w:pPr>
        <w:pStyle w:val="P68B1DB1-Normal5"/>
        <w:keepNext/>
        <w:numPr>
          <w:ilvl w:val="1"/>
          <w:numId w:val="93"/>
        </w:numPr>
        <w:spacing w:before="40" w:after="160" w:line="259" w:lineRule="auto"/>
        <w:ind w:left="0"/>
        <w:contextualSpacing/>
        <w:jc w:val="both"/>
        <w:rPr>
          <w:rFonts w:eastAsia="Times New Roman" w:cs="Times New Roman"/>
          <w:noProof/>
        </w:rPr>
      </w:pPr>
      <w:r>
        <w:rPr>
          <w:noProof/>
        </w:rPr>
        <w:t xml:space="preserve"> A șaptea cerere de plată (sprijin nerambursabil): </w:t>
      </w:r>
    </w:p>
    <w:p w14:paraId="3A4654B0" w14:textId="77777777" w:rsidR="00C45D59" w:rsidRDefault="00C45D59">
      <w:pPr>
        <w:keepNext/>
        <w:spacing w:before="40" w:after="160" w:line="259" w:lineRule="auto"/>
        <w:contextualSpacing/>
        <w:jc w:val="both"/>
        <w:rPr>
          <w:rFonts w:ascii="Times New Roman" w:eastAsia="Times New Roman" w:hAnsi="Times New Roman" w:cs="Times New Roman"/>
          <w:noProof/>
          <w:sz w:val="24"/>
        </w:rPr>
      </w:pPr>
    </w:p>
    <w:tbl>
      <w:tblPr>
        <w:tblW w:w="9595"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959"/>
        <w:gridCol w:w="4407"/>
        <w:gridCol w:w="1417"/>
        <w:gridCol w:w="2812"/>
      </w:tblGrid>
      <w:tr w:rsidR="00C45D59" w14:paraId="2C6A5366" w14:textId="77777777">
        <w:trPr>
          <w:trHeight w:val="906"/>
          <w:tblHeader/>
          <w:jc w:val="center"/>
        </w:trPr>
        <w:tc>
          <w:tcPr>
            <w:tcW w:w="959" w:type="dxa"/>
            <w:vMerge w:val="restart"/>
            <w:shd w:val="clear" w:color="auto" w:fill="BDD7EE"/>
            <w:vAlign w:val="center"/>
            <w:hideMark/>
          </w:tcPr>
          <w:p w14:paraId="372BC113" w14:textId="4876F51A" w:rsidR="00C45D59" w:rsidRDefault="009B0962">
            <w:pPr>
              <w:pStyle w:val="P68B1DB1-Normal15"/>
              <w:keepNext/>
              <w:spacing w:before="40" w:after="0" w:line="259" w:lineRule="auto"/>
              <w:jc w:val="center"/>
              <w:rPr>
                <w:rFonts w:eastAsia="Times New Roman"/>
                <w:bCs/>
                <w:noProof/>
              </w:rPr>
            </w:pPr>
            <w:r>
              <w:rPr>
                <w:noProof/>
              </w:rPr>
              <w:t>Nr</w:t>
            </w:r>
            <w:r w:rsidR="00D15349">
              <w:rPr>
                <w:noProof/>
              </w:rPr>
              <w:t>.</w:t>
            </w:r>
            <w:r>
              <w:rPr>
                <w:noProof/>
              </w:rPr>
              <w:t xml:space="preserve"> </w:t>
            </w:r>
            <w:r>
              <w:rPr>
                <w:noProof/>
              </w:rPr>
              <w:br/>
            </w:r>
            <w:r w:rsidR="00D15349">
              <w:rPr>
                <w:noProof/>
              </w:rPr>
              <w:t>crt</w:t>
            </w:r>
            <w:r>
              <w:rPr>
                <w:noProof/>
              </w:rPr>
              <w:t>.</w:t>
            </w:r>
          </w:p>
        </w:tc>
        <w:tc>
          <w:tcPr>
            <w:tcW w:w="4407" w:type="dxa"/>
            <w:vMerge w:val="restart"/>
            <w:shd w:val="clear" w:color="auto" w:fill="BDD7EE"/>
            <w:vAlign w:val="center"/>
            <w:hideMark/>
          </w:tcPr>
          <w:p w14:paraId="249AC747" w14:textId="77777777" w:rsidR="00C45D59" w:rsidRDefault="009B0962">
            <w:pPr>
              <w:pStyle w:val="P68B1DB1-Normal10"/>
              <w:keepNext/>
              <w:spacing w:before="40" w:after="0" w:line="259" w:lineRule="auto"/>
              <w:jc w:val="center"/>
              <w:rPr>
                <w:rFonts w:eastAsia="Times New Roman" w:cs="Times New Roman"/>
                <w:bCs/>
                <w:noProof/>
                <w:szCs w:val="18"/>
              </w:rPr>
            </w:pPr>
            <w:r>
              <w:rPr>
                <w:noProof/>
              </w:rPr>
              <w:t>Măsură conexă (reformă sau investiții)</w:t>
            </w:r>
          </w:p>
        </w:tc>
        <w:tc>
          <w:tcPr>
            <w:tcW w:w="1417" w:type="dxa"/>
            <w:vMerge w:val="restart"/>
            <w:shd w:val="clear" w:color="auto" w:fill="BDD7EE"/>
            <w:vAlign w:val="center"/>
            <w:hideMark/>
          </w:tcPr>
          <w:p w14:paraId="60DBAC4F" w14:textId="77777777" w:rsidR="00C45D59" w:rsidRDefault="009B0962">
            <w:pPr>
              <w:pStyle w:val="P68B1DB1-Normal10"/>
              <w:keepNext/>
              <w:spacing w:before="40" w:after="0" w:line="259" w:lineRule="auto"/>
              <w:jc w:val="center"/>
              <w:rPr>
                <w:rFonts w:eastAsia="Times New Roman" w:cs="Times New Roman"/>
                <w:bCs/>
                <w:noProof/>
                <w:szCs w:val="18"/>
              </w:rPr>
            </w:pPr>
            <w:r>
              <w:rPr>
                <w:noProof/>
              </w:rPr>
              <w:t>Etapă/Obiectiv</w:t>
            </w:r>
          </w:p>
        </w:tc>
        <w:tc>
          <w:tcPr>
            <w:tcW w:w="2812" w:type="dxa"/>
            <w:vMerge w:val="restart"/>
            <w:shd w:val="clear" w:color="auto" w:fill="BDD7EE"/>
            <w:vAlign w:val="center"/>
            <w:hideMark/>
          </w:tcPr>
          <w:p w14:paraId="666E3168" w14:textId="71135393" w:rsidR="00C45D59" w:rsidRDefault="00D15349">
            <w:pPr>
              <w:pStyle w:val="P68B1DB1-Normal10"/>
              <w:keepNext/>
              <w:spacing w:before="40" w:after="0" w:line="259" w:lineRule="auto"/>
              <w:jc w:val="center"/>
              <w:rPr>
                <w:rFonts w:eastAsia="Times New Roman" w:cs="Times New Roman"/>
                <w:bCs/>
                <w:noProof/>
                <w:szCs w:val="18"/>
              </w:rPr>
            </w:pPr>
            <w:r>
              <w:rPr>
                <w:noProof/>
              </w:rPr>
              <w:t>Denumire</w:t>
            </w:r>
          </w:p>
        </w:tc>
      </w:tr>
      <w:tr w:rsidR="00C45D59" w14:paraId="0CBC4BC4" w14:textId="77777777">
        <w:trPr>
          <w:trHeight w:val="349"/>
          <w:jc w:val="center"/>
        </w:trPr>
        <w:tc>
          <w:tcPr>
            <w:tcW w:w="959" w:type="dxa"/>
            <w:vMerge/>
            <w:vAlign w:val="center"/>
            <w:hideMark/>
          </w:tcPr>
          <w:p w14:paraId="060E4A1F" w14:textId="77777777" w:rsidR="00C45D59" w:rsidRDefault="00C45D59">
            <w:pPr>
              <w:keepNext/>
              <w:spacing w:before="40" w:after="0" w:line="259" w:lineRule="auto"/>
              <w:rPr>
                <w:rFonts w:ascii="Times New Roman" w:eastAsia="Times New Roman" w:hAnsi="Times New Roman" w:cs="Times New Roman"/>
                <w:bCs/>
                <w:noProof/>
                <w:sz w:val="18"/>
                <w:szCs w:val="18"/>
              </w:rPr>
            </w:pPr>
          </w:p>
        </w:tc>
        <w:tc>
          <w:tcPr>
            <w:tcW w:w="4407" w:type="dxa"/>
            <w:vMerge/>
            <w:vAlign w:val="center"/>
            <w:hideMark/>
          </w:tcPr>
          <w:p w14:paraId="6D3E4779" w14:textId="77777777" w:rsidR="00C45D59" w:rsidRDefault="00C45D59">
            <w:pPr>
              <w:keepNext/>
              <w:spacing w:before="40" w:after="0" w:line="259" w:lineRule="auto"/>
              <w:rPr>
                <w:rFonts w:ascii="Times New Roman" w:eastAsia="Times New Roman" w:hAnsi="Times New Roman" w:cs="Times New Roman"/>
                <w:bCs/>
                <w:noProof/>
                <w:sz w:val="18"/>
                <w:szCs w:val="18"/>
              </w:rPr>
            </w:pPr>
          </w:p>
        </w:tc>
        <w:tc>
          <w:tcPr>
            <w:tcW w:w="1417" w:type="dxa"/>
            <w:vMerge/>
            <w:vAlign w:val="center"/>
            <w:hideMark/>
          </w:tcPr>
          <w:p w14:paraId="0948E05A" w14:textId="77777777" w:rsidR="00C45D59" w:rsidRDefault="00C45D59">
            <w:pPr>
              <w:keepNext/>
              <w:spacing w:before="40" w:after="0" w:line="259" w:lineRule="auto"/>
              <w:rPr>
                <w:rFonts w:ascii="Times New Roman" w:eastAsia="Times New Roman" w:hAnsi="Times New Roman" w:cs="Times New Roman"/>
                <w:bCs/>
                <w:noProof/>
                <w:sz w:val="18"/>
                <w:szCs w:val="18"/>
              </w:rPr>
            </w:pPr>
          </w:p>
        </w:tc>
        <w:tc>
          <w:tcPr>
            <w:tcW w:w="2812" w:type="dxa"/>
            <w:vMerge/>
            <w:vAlign w:val="center"/>
            <w:hideMark/>
          </w:tcPr>
          <w:p w14:paraId="4BD385AE" w14:textId="77777777" w:rsidR="00C45D59" w:rsidRDefault="00C45D59">
            <w:pPr>
              <w:keepNext/>
              <w:spacing w:before="40" w:after="0" w:line="259" w:lineRule="auto"/>
              <w:rPr>
                <w:rFonts w:ascii="Times New Roman" w:eastAsia="Times New Roman" w:hAnsi="Times New Roman" w:cs="Times New Roman"/>
                <w:bCs/>
                <w:noProof/>
                <w:sz w:val="18"/>
                <w:szCs w:val="18"/>
              </w:rPr>
            </w:pPr>
          </w:p>
        </w:tc>
      </w:tr>
      <w:tr w:rsidR="00C45D59" w14:paraId="2022C6EC" w14:textId="77777777">
        <w:trPr>
          <w:trHeight w:val="302"/>
          <w:jc w:val="center"/>
        </w:trPr>
        <w:tc>
          <w:tcPr>
            <w:tcW w:w="959" w:type="dxa"/>
            <w:shd w:val="clear" w:color="auto" w:fill="C6EFCE"/>
            <w:noWrap/>
            <w:vAlign w:val="center"/>
          </w:tcPr>
          <w:p w14:paraId="2EB352BB" w14:textId="77777777" w:rsidR="00C45D59" w:rsidRDefault="009B0962">
            <w:pPr>
              <w:pStyle w:val="P68B1DB1-Normal55"/>
              <w:keepNext/>
              <w:spacing w:before="40" w:after="0" w:line="240" w:lineRule="auto"/>
              <w:rPr>
                <w:noProof/>
              </w:rPr>
            </w:pPr>
            <w:r>
              <w:rPr>
                <w:noProof/>
              </w:rPr>
              <w:t>51</w:t>
            </w:r>
          </w:p>
        </w:tc>
        <w:tc>
          <w:tcPr>
            <w:tcW w:w="4407" w:type="dxa"/>
            <w:shd w:val="clear" w:color="auto" w:fill="C6EFCE"/>
            <w:noWrap/>
            <w:vAlign w:val="center"/>
          </w:tcPr>
          <w:p w14:paraId="30799013" w14:textId="77777777" w:rsidR="00C45D59" w:rsidRDefault="009B0962">
            <w:pPr>
              <w:pStyle w:val="P68B1DB1-Normal55"/>
              <w:spacing w:after="0" w:line="240" w:lineRule="auto"/>
              <w:rPr>
                <w:noProof/>
              </w:rPr>
            </w:pPr>
            <w:r>
              <w:rPr>
                <w:noProof/>
              </w:rPr>
              <w:t>3-1.3. Reîncărcare și realimentare – 16831_Produc- E verde</w:t>
            </w:r>
          </w:p>
        </w:tc>
        <w:tc>
          <w:tcPr>
            <w:tcW w:w="1417" w:type="dxa"/>
            <w:shd w:val="clear" w:color="auto" w:fill="C6EFCE"/>
            <w:noWrap/>
            <w:vAlign w:val="center"/>
          </w:tcPr>
          <w:p w14:paraId="4298EEF6" w14:textId="77777777" w:rsidR="00C45D59" w:rsidRDefault="009B0962">
            <w:pPr>
              <w:pStyle w:val="P68B1DB1-Normal55"/>
              <w:keepNext/>
              <w:spacing w:before="40" w:after="0" w:line="240" w:lineRule="auto"/>
              <w:rPr>
                <w:noProof/>
              </w:rPr>
            </w:pPr>
            <w:r>
              <w:rPr>
                <w:noProof/>
              </w:rPr>
              <w:t>Etapă</w:t>
            </w:r>
          </w:p>
        </w:tc>
        <w:tc>
          <w:tcPr>
            <w:tcW w:w="2812" w:type="dxa"/>
            <w:shd w:val="clear" w:color="auto" w:fill="C6EFCE"/>
            <w:noWrap/>
            <w:vAlign w:val="center"/>
          </w:tcPr>
          <w:p w14:paraId="001426D7" w14:textId="77777777" w:rsidR="00C45D59" w:rsidRDefault="009B0962">
            <w:pPr>
              <w:pStyle w:val="P68B1DB1-Normal55"/>
              <w:keepNext/>
              <w:spacing w:before="40" w:after="0" w:line="240" w:lineRule="auto"/>
              <w:rPr>
                <w:noProof/>
              </w:rPr>
            </w:pPr>
            <w:r>
              <w:rPr>
                <w:noProof/>
              </w:rPr>
              <w:t>Captarea și stocarea dioxidului de carbon (CSC) – permisiunea de stocare</w:t>
            </w:r>
          </w:p>
        </w:tc>
      </w:tr>
      <w:tr w:rsidR="00C45D59" w14:paraId="33B32416" w14:textId="77777777">
        <w:trPr>
          <w:trHeight w:val="302"/>
          <w:jc w:val="center"/>
        </w:trPr>
        <w:tc>
          <w:tcPr>
            <w:tcW w:w="959" w:type="dxa"/>
            <w:shd w:val="clear" w:color="auto" w:fill="C6EFCE"/>
            <w:noWrap/>
            <w:vAlign w:val="center"/>
          </w:tcPr>
          <w:p w14:paraId="713603C8" w14:textId="77777777" w:rsidR="00C45D59" w:rsidRDefault="009B0962">
            <w:pPr>
              <w:pStyle w:val="P68B1DB1-Normal55"/>
              <w:keepNext/>
              <w:spacing w:before="40" w:after="0" w:line="240" w:lineRule="auto"/>
              <w:rPr>
                <w:rFonts w:eastAsia="Times New Roman" w:cs="Times New Roman"/>
                <w:bCs/>
                <w:noProof/>
                <w:szCs w:val="18"/>
              </w:rPr>
            </w:pPr>
            <w:r>
              <w:rPr>
                <w:noProof/>
              </w:rPr>
              <w:t>98</w:t>
            </w:r>
          </w:p>
        </w:tc>
        <w:tc>
          <w:tcPr>
            <w:tcW w:w="4407" w:type="dxa"/>
            <w:shd w:val="clear" w:color="auto" w:fill="C6EFCE"/>
            <w:noWrap/>
            <w:vAlign w:val="center"/>
          </w:tcPr>
          <w:p w14:paraId="403BF20A" w14:textId="77777777" w:rsidR="00C45D59" w:rsidRDefault="009B0962">
            <w:pPr>
              <w:pStyle w:val="P68B1DB1-Normal55"/>
              <w:keepNext/>
              <w:spacing w:before="40" w:after="0" w:line="240" w:lineRule="auto"/>
              <w:rPr>
                <w:rFonts w:eastAsia="Times New Roman" w:cs="Times New Roman"/>
                <w:bCs/>
                <w:noProof/>
                <w:szCs w:val="18"/>
              </w:rPr>
            </w:pPr>
            <w:r>
              <w:rPr>
                <w:noProof/>
              </w:rPr>
              <w:t>6-2.2. Modernizare – 16782_Interconectarea și interoperabilitatea registrelor, sistemelor și serviciilor pentru schimbul de date între organizațiile publice naționale</w:t>
            </w:r>
          </w:p>
        </w:tc>
        <w:tc>
          <w:tcPr>
            <w:tcW w:w="1417" w:type="dxa"/>
            <w:shd w:val="clear" w:color="auto" w:fill="C6EFCE"/>
            <w:noWrap/>
            <w:vAlign w:val="center"/>
          </w:tcPr>
          <w:p w14:paraId="56C13024" w14:textId="77777777" w:rsidR="00C45D59" w:rsidRDefault="009B0962">
            <w:pPr>
              <w:pStyle w:val="P68B1DB1-Normal55"/>
              <w:keepNext/>
              <w:spacing w:before="40" w:after="0" w:line="240" w:lineRule="auto"/>
              <w:rPr>
                <w:rFonts w:eastAsia="Times New Roman" w:cs="Times New Roman"/>
                <w:noProof/>
                <w:szCs w:val="18"/>
              </w:rPr>
            </w:pPr>
            <w:r>
              <w:rPr>
                <w:noProof/>
              </w:rPr>
              <w:t>Etapă</w:t>
            </w:r>
          </w:p>
        </w:tc>
        <w:tc>
          <w:tcPr>
            <w:tcW w:w="2812" w:type="dxa"/>
            <w:shd w:val="clear" w:color="auto" w:fill="C6EFCE"/>
            <w:noWrap/>
            <w:vAlign w:val="center"/>
          </w:tcPr>
          <w:p w14:paraId="4C60ABFF" w14:textId="77777777" w:rsidR="00C45D59" w:rsidRDefault="009B0962">
            <w:pPr>
              <w:pStyle w:val="P68B1DB1-Normal55"/>
              <w:keepNext/>
              <w:spacing w:before="40" w:after="0" w:line="240" w:lineRule="auto"/>
              <w:rPr>
                <w:rFonts w:eastAsia="Times New Roman" w:cs="Times New Roman"/>
                <w:noProof/>
                <w:szCs w:val="18"/>
              </w:rPr>
            </w:pPr>
            <w:r>
              <w:rPr>
                <w:noProof/>
              </w:rPr>
              <w:t>Baza de reglementare pentru interconectarea și interoperabilitatea registrelor</w:t>
            </w:r>
          </w:p>
        </w:tc>
      </w:tr>
      <w:tr w:rsidR="00C45D59" w14:paraId="01973111" w14:textId="77777777">
        <w:trPr>
          <w:trHeight w:val="302"/>
          <w:jc w:val="center"/>
        </w:trPr>
        <w:tc>
          <w:tcPr>
            <w:tcW w:w="959" w:type="dxa"/>
            <w:shd w:val="clear" w:color="auto" w:fill="C6EFCE"/>
            <w:noWrap/>
            <w:vAlign w:val="center"/>
          </w:tcPr>
          <w:p w14:paraId="7A7C40A5" w14:textId="77777777" w:rsidR="00C45D59" w:rsidRDefault="009B0962">
            <w:pPr>
              <w:pStyle w:val="P68B1DB1-Normal55"/>
              <w:keepNext/>
              <w:spacing w:before="40" w:after="0" w:line="240" w:lineRule="auto"/>
              <w:rPr>
                <w:rFonts w:eastAsia="Times New Roman" w:cs="Times New Roman"/>
                <w:bCs/>
                <w:noProof/>
                <w:szCs w:val="18"/>
              </w:rPr>
            </w:pPr>
            <w:r>
              <w:rPr>
                <w:noProof/>
              </w:rPr>
              <w:t>110a</w:t>
            </w:r>
          </w:p>
        </w:tc>
        <w:tc>
          <w:tcPr>
            <w:tcW w:w="4407" w:type="dxa"/>
            <w:shd w:val="clear" w:color="auto" w:fill="C6EFCE"/>
            <w:noWrap/>
            <w:vAlign w:val="center"/>
          </w:tcPr>
          <w:p w14:paraId="0BC90649" w14:textId="77777777" w:rsidR="00C45D59" w:rsidRDefault="009B0962">
            <w:pPr>
              <w:pStyle w:val="P68B1DB1-Normal11"/>
              <w:keepNext/>
              <w:spacing w:before="40" w:after="0" w:line="240" w:lineRule="auto"/>
              <w:rPr>
                <w:rFonts w:eastAsia="Times New Roman" w:cs="Times New Roman"/>
                <w:bCs/>
                <w:noProof/>
              </w:rPr>
            </w:pPr>
            <w:r>
              <w:rPr>
                <w:noProof/>
              </w:rPr>
              <w:t>6-2.2. Modernizare – 16780_Modernizarea ghișeelor unice ale administrației publice</w:t>
            </w:r>
          </w:p>
        </w:tc>
        <w:tc>
          <w:tcPr>
            <w:tcW w:w="1417" w:type="dxa"/>
            <w:shd w:val="clear" w:color="auto" w:fill="C6EFCE"/>
            <w:noWrap/>
            <w:vAlign w:val="center"/>
          </w:tcPr>
          <w:p w14:paraId="3A02DA3D" w14:textId="77777777" w:rsidR="00C45D59" w:rsidRDefault="009B0962">
            <w:pPr>
              <w:pStyle w:val="P68B1DB1-Normal55"/>
              <w:keepNext/>
              <w:spacing w:before="40" w:after="0" w:line="240" w:lineRule="auto"/>
              <w:rPr>
                <w:rFonts w:eastAsia="Times New Roman" w:cs="Times New Roman"/>
                <w:noProof/>
                <w:szCs w:val="18"/>
              </w:rPr>
            </w:pPr>
            <w:r>
              <w:rPr>
                <w:noProof/>
              </w:rPr>
              <w:t>Etapă</w:t>
            </w:r>
          </w:p>
        </w:tc>
        <w:tc>
          <w:tcPr>
            <w:tcW w:w="2812" w:type="dxa"/>
            <w:shd w:val="clear" w:color="auto" w:fill="C6EFCE"/>
            <w:noWrap/>
            <w:vAlign w:val="center"/>
          </w:tcPr>
          <w:p w14:paraId="1A7B2716" w14:textId="77777777" w:rsidR="00C45D59" w:rsidRDefault="009B0962">
            <w:pPr>
              <w:pStyle w:val="P68B1DB1-Normal11"/>
              <w:keepNext/>
              <w:spacing w:before="40" w:after="0" w:line="240" w:lineRule="auto"/>
              <w:rPr>
                <w:rFonts w:eastAsia="Times New Roman" w:cs="Times New Roman"/>
                <w:noProof/>
              </w:rPr>
            </w:pPr>
            <w:r>
              <w:rPr>
                <w:noProof/>
              </w:rPr>
              <w:t>Realizarea proiectului de modernizare a ghișeelor unice</w:t>
            </w:r>
          </w:p>
        </w:tc>
      </w:tr>
      <w:tr w:rsidR="00C45D59" w14:paraId="316DE41F" w14:textId="77777777">
        <w:trPr>
          <w:trHeight w:val="302"/>
          <w:jc w:val="center"/>
        </w:trPr>
        <w:tc>
          <w:tcPr>
            <w:tcW w:w="959" w:type="dxa"/>
            <w:shd w:val="clear" w:color="auto" w:fill="C6EFCE"/>
            <w:noWrap/>
            <w:vAlign w:val="center"/>
          </w:tcPr>
          <w:p w14:paraId="204203E3" w14:textId="77777777" w:rsidR="00C45D59" w:rsidRDefault="009B0962">
            <w:pPr>
              <w:pStyle w:val="P68B1DB1-Normal55"/>
              <w:keepNext/>
              <w:spacing w:before="40" w:after="0" w:line="240" w:lineRule="auto"/>
              <w:rPr>
                <w:rFonts w:eastAsia="Times New Roman" w:cs="Times New Roman"/>
                <w:bCs/>
                <w:noProof/>
                <w:szCs w:val="18"/>
              </w:rPr>
            </w:pPr>
            <w:r>
              <w:rPr>
                <w:noProof/>
              </w:rPr>
              <w:t>112</w:t>
            </w:r>
          </w:p>
        </w:tc>
        <w:tc>
          <w:tcPr>
            <w:tcW w:w="4407" w:type="dxa"/>
            <w:shd w:val="clear" w:color="auto" w:fill="C6EFCE"/>
            <w:noWrap/>
            <w:vAlign w:val="center"/>
          </w:tcPr>
          <w:p w14:paraId="1F9BE379" w14:textId="77777777" w:rsidR="00C45D59" w:rsidRDefault="009B0962">
            <w:pPr>
              <w:pStyle w:val="P68B1DB1-Normal11"/>
              <w:keepNext/>
              <w:spacing w:before="40" w:after="0" w:line="240" w:lineRule="auto"/>
              <w:rPr>
                <w:rFonts w:eastAsia="Times New Roman" w:cs="Times New Roman"/>
                <w:bCs/>
                <w:noProof/>
              </w:rPr>
            </w:pPr>
            <w:r>
              <w:rPr>
                <w:noProof/>
              </w:rPr>
              <w:t>6-2.2. Modernizare – 16823_Strategia de securitate cibernetică și Centrul național de operațiuni de securitate</w:t>
            </w:r>
          </w:p>
        </w:tc>
        <w:tc>
          <w:tcPr>
            <w:tcW w:w="1417" w:type="dxa"/>
            <w:shd w:val="clear" w:color="auto" w:fill="C6EFCE"/>
            <w:noWrap/>
            <w:vAlign w:val="center"/>
          </w:tcPr>
          <w:p w14:paraId="3A726D4A" w14:textId="77777777" w:rsidR="00C45D59" w:rsidRDefault="009B0962">
            <w:pPr>
              <w:pStyle w:val="P68B1DB1-Normal55"/>
              <w:keepNext/>
              <w:spacing w:before="40" w:after="0" w:line="240" w:lineRule="auto"/>
              <w:rPr>
                <w:rFonts w:eastAsia="Times New Roman" w:cs="Times New Roman"/>
                <w:noProof/>
                <w:szCs w:val="18"/>
              </w:rPr>
            </w:pPr>
            <w:r>
              <w:rPr>
                <w:noProof/>
              </w:rPr>
              <w:t>Etapă</w:t>
            </w:r>
          </w:p>
        </w:tc>
        <w:tc>
          <w:tcPr>
            <w:tcW w:w="2812" w:type="dxa"/>
            <w:shd w:val="clear" w:color="auto" w:fill="C6EFCE"/>
            <w:noWrap/>
            <w:vAlign w:val="center"/>
          </w:tcPr>
          <w:p w14:paraId="52D78749" w14:textId="1D151892" w:rsidR="00C45D59" w:rsidRDefault="009B0962">
            <w:pPr>
              <w:pStyle w:val="P68B1DB1-Normal11"/>
              <w:keepNext/>
              <w:spacing w:before="40" w:after="0" w:line="240" w:lineRule="auto"/>
              <w:rPr>
                <w:noProof/>
              </w:rPr>
            </w:pPr>
            <w:r>
              <w:rPr>
                <w:noProof/>
              </w:rPr>
              <w:t>Punerea în aplicare a strategiei de securitate cibernetică și a Centrului național de operațiuni de securitate</w:t>
            </w:r>
          </w:p>
        </w:tc>
      </w:tr>
      <w:tr w:rsidR="00C45D59" w14:paraId="5FF387BE" w14:textId="77777777">
        <w:trPr>
          <w:trHeight w:val="302"/>
          <w:jc w:val="center"/>
        </w:trPr>
        <w:tc>
          <w:tcPr>
            <w:tcW w:w="959" w:type="dxa"/>
            <w:shd w:val="clear" w:color="auto" w:fill="C6EFCE"/>
            <w:noWrap/>
            <w:vAlign w:val="center"/>
          </w:tcPr>
          <w:p w14:paraId="5FD5429D" w14:textId="77777777" w:rsidR="00C45D59" w:rsidRDefault="009B0962">
            <w:pPr>
              <w:pStyle w:val="P68B1DB1-Normal55"/>
              <w:keepNext/>
              <w:spacing w:before="40" w:after="0" w:line="240" w:lineRule="auto"/>
              <w:rPr>
                <w:rFonts w:cs="Times New Roman"/>
                <w:noProof/>
                <w:szCs w:val="18"/>
              </w:rPr>
            </w:pPr>
            <w:r>
              <w:rPr>
                <w:noProof/>
              </w:rPr>
              <w:t>142a</w:t>
            </w:r>
          </w:p>
        </w:tc>
        <w:tc>
          <w:tcPr>
            <w:tcW w:w="4407" w:type="dxa"/>
            <w:shd w:val="clear" w:color="auto" w:fill="C6EFCE"/>
            <w:noWrap/>
            <w:vAlign w:val="center"/>
          </w:tcPr>
          <w:p w14:paraId="13697A92" w14:textId="4C24EC78" w:rsidR="00C45D59" w:rsidRDefault="009B0962">
            <w:pPr>
              <w:pStyle w:val="P68B1DB1-Normal11"/>
              <w:keepNext/>
              <w:spacing w:before="40" w:after="0" w:line="240" w:lineRule="auto"/>
              <w:rPr>
                <w:noProof/>
              </w:rPr>
            </w:pPr>
            <w:r>
              <w:rPr>
                <w:noProof/>
              </w:rPr>
              <w:t>8-3.1. Promovarea creării de locuri de muncă și a participării pe piața forței de muncă – 16746_Reforma politicilor pasive în domeniul pieței forței de muncă pentru a sprijini tranzițiile către ocuparea forței de muncă</w:t>
            </w:r>
          </w:p>
        </w:tc>
        <w:tc>
          <w:tcPr>
            <w:tcW w:w="1417" w:type="dxa"/>
            <w:shd w:val="clear" w:color="auto" w:fill="C6EFCE"/>
            <w:noWrap/>
            <w:vAlign w:val="center"/>
          </w:tcPr>
          <w:p w14:paraId="508FFE57" w14:textId="77777777" w:rsidR="00C45D59" w:rsidRDefault="009B0962">
            <w:pPr>
              <w:pStyle w:val="P68B1DB1-Normal55"/>
              <w:keepNext/>
              <w:spacing w:before="40" w:after="0" w:line="240" w:lineRule="auto"/>
              <w:rPr>
                <w:rFonts w:cs="Times New Roman"/>
                <w:noProof/>
                <w:szCs w:val="18"/>
              </w:rPr>
            </w:pPr>
            <w:r>
              <w:rPr>
                <w:noProof/>
              </w:rPr>
              <w:t>Etapă</w:t>
            </w:r>
          </w:p>
        </w:tc>
        <w:tc>
          <w:tcPr>
            <w:tcW w:w="2812" w:type="dxa"/>
            <w:shd w:val="clear" w:color="auto" w:fill="C6EFCE"/>
            <w:noWrap/>
            <w:vAlign w:val="center"/>
          </w:tcPr>
          <w:p w14:paraId="3F1D3E80" w14:textId="77777777" w:rsidR="00C45D59" w:rsidRDefault="009B0962">
            <w:pPr>
              <w:pStyle w:val="P68B1DB1-Normal16"/>
              <w:keepNext/>
              <w:spacing w:before="40" w:after="0" w:line="240" w:lineRule="auto"/>
              <w:rPr>
                <w:noProof/>
              </w:rPr>
            </w:pPr>
            <w:r>
              <w:rPr>
                <w:noProof/>
              </w:rPr>
              <w:t>Legislația privind indemnizațiile și alocațiile de șomaj</w:t>
            </w:r>
          </w:p>
        </w:tc>
      </w:tr>
      <w:tr w:rsidR="00C45D59" w14:paraId="01599FC9" w14:textId="77777777">
        <w:trPr>
          <w:trHeight w:val="302"/>
          <w:jc w:val="center"/>
        </w:trPr>
        <w:tc>
          <w:tcPr>
            <w:tcW w:w="959" w:type="dxa"/>
            <w:shd w:val="clear" w:color="auto" w:fill="C6EFCE"/>
            <w:noWrap/>
            <w:vAlign w:val="center"/>
          </w:tcPr>
          <w:p w14:paraId="1CAB7CA9" w14:textId="77777777" w:rsidR="00C45D59" w:rsidRDefault="009B0962">
            <w:pPr>
              <w:pStyle w:val="P68B1DB1-Normal55"/>
              <w:keepNext/>
              <w:spacing w:before="40" w:after="0" w:line="240" w:lineRule="auto"/>
              <w:rPr>
                <w:rFonts w:cs="Times New Roman"/>
                <w:noProof/>
                <w:szCs w:val="18"/>
              </w:rPr>
            </w:pPr>
            <w:r>
              <w:rPr>
                <w:noProof/>
              </w:rPr>
              <w:t>144</w:t>
            </w:r>
          </w:p>
        </w:tc>
        <w:tc>
          <w:tcPr>
            <w:tcW w:w="4407" w:type="dxa"/>
            <w:shd w:val="clear" w:color="auto" w:fill="C6EFCE"/>
            <w:noWrap/>
            <w:vAlign w:val="center"/>
          </w:tcPr>
          <w:p w14:paraId="79DA23CD" w14:textId="77777777" w:rsidR="00C45D59" w:rsidRDefault="009B0962">
            <w:pPr>
              <w:pStyle w:val="P68B1DB1-Normal55"/>
              <w:keepNext/>
              <w:spacing w:before="40" w:after="0" w:line="240" w:lineRule="auto"/>
              <w:rPr>
                <w:rFonts w:cs="Times New Roman"/>
                <w:noProof/>
                <w:szCs w:val="18"/>
              </w:rPr>
            </w:pPr>
            <w:r>
              <w:rPr>
                <w:noProof/>
              </w:rPr>
              <w:t>8-3.1. Promovarea creării de locuri de muncă și a participării pe piața forței de muncă – 16747_Reforma politicilor active în domeniul pieței forței de muncă</w:t>
            </w:r>
          </w:p>
        </w:tc>
        <w:tc>
          <w:tcPr>
            <w:tcW w:w="1417" w:type="dxa"/>
            <w:shd w:val="clear" w:color="auto" w:fill="C6EFCE"/>
            <w:noWrap/>
            <w:vAlign w:val="center"/>
          </w:tcPr>
          <w:p w14:paraId="409C6975" w14:textId="77777777" w:rsidR="00C45D59" w:rsidRDefault="009B0962">
            <w:pPr>
              <w:pStyle w:val="P68B1DB1-Normal55"/>
              <w:keepNext/>
              <w:spacing w:before="40" w:after="0" w:line="240" w:lineRule="auto"/>
              <w:rPr>
                <w:rFonts w:cs="Times New Roman"/>
                <w:noProof/>
                <w:szCs w:val="18"/>
              </w:rPr>
            </w:pPr>
            <w:r>
              <w:rPr>
                <w:noProof/>
              </w:rPr>
              <w:t>Etapă</w:t>
            </w:r>
          </w:p>
        </w:tc>
        <w:tc>
          <w:tcPr>
            <w:tcW w:w="2812" w:type="dxa"/>
            <w:shd w:val="clear" w:color="auto" w:fill="C6EFCE"/>
            <w:noWrap/>
            <w:vAlign w:val="center"/>
          </w:tcPr>
          <w:p w14:paraId="4B867C41" w14:textId="77777777" w:rsidR="00C45D59" w:rsidRDefault="009B0962">
            <w:pPr>
              <w:pStyle w:val="P68B1DB1-Normal55"/>
              <w:keepNext/>
              <w:spacing w:before="40" w:after="0" w:line="240" w:lineRule="auto"/>
              <w:rPr>
                <w:rFonts w:cs="Times New Roman"/>
                <w:noProof/>
                <w:szCs w:val="18"/>
              </w:rPr>
            </w:pPr>
            <w:r>
              <w:rPr>
                <w:noProof/>
              </w:rPr>
              <w:t xml:space="preserve">Punerea în aplicare a programului de formare privind politicile active în domeniul pieței forței de muncă </w:t>
            </w:r>
          </w:p>
        </w:tc>
      </w:tr>
      <w:tr w:rsidR="00C45D59" w14:paraId="0ABBF254" w14:textId="77777777">
        <w:trPr>
          <w:trHeight w:val="302"/>
          <w:jc w:val="center"/>
        </w:trPr>
        <w:tc>
          <w:tcPr>
            <w:tcW w:w="959" w:type="dxa"/>
            <w:shd w:val="clear" w:color="auto" w:fill="C6EFCE"/>
            <w:noWrap/>
            <w:vAlign w:val="center"/>
          </w:tcPr>
          <w:p w14:paraId="66539126" w14:textId="77777777" w:rsidR="00C45D59" w:rsidRDefault="009B0962">
            <w:pPr>
              <w:pStyle w:val="P68B1DB1-Normal55"/>
              <w:keepNext/>
              <w:spacing w:before="40" w:after="0" w:line="240" w:lineRule="auto"/>
              <w:rPr>
                <w:rFonts w:cs="Times New Roman"/>
                <w:noProof/>
                <w:szCs w:val="18"/>
              </w:rPr>
            </w:pPr>
            <w:r>
              <w:rPr>
                <w:noProof/>
              </w:rPr>
              <w:t>145a</w:t>
            </w:r>
          </w:p>
        </w:tc>
        <w:tc>
          <w:tcPr>
            <w:tcW w:w="4407" w:type="dxa"/>
            <w:shd w:val="clear" w:color="auto" w:fill="C6EFCE"/>
            <w:noWrap/>
            <w:vAlign w:val="center"/>
          </w:tcPr>
          <w:p w14:paraId="2EF44250" w14:textId="77777777" w:rsidR="00C45D59" w:rsidRDefault="009B0962">
            <w:pPr>
              <w:pStyle w:val="P68B1DB1-Normal55"/>
              <w:keepNext/>
              <w:spacing w:before="40" w:after="0" w:line="240" w:lineRule="auto"/>
              <w:rPr>
                <w:rFonts w:cs="Times New Roman"/>
                <w:noProof/>
                <w:szCs w:val="18"/>
              </w:rPr>
            </w:pPr>
            <w:r>
              <w:rPr>
                <w:noProof/>
              </w:rPr>
              <w:t xml:space="preserve">9-3.2. Educație, educație și formare profesională și competențe – 16794_Consolidarea sistemului de ucenicie </w:t>
            </w:r>
          </w:p>
        </w:tc>
        <w:tc>
          <w:tcPr>
            <w:tcW w:w="1417" w:type="dxa"/>
            <w:shd w:val="clear" w:color="auto" w:fill="C6EFCE"/>
            <w:noWrap/>
            <w:vAlign w:val="center"/>
          </w:tcPr>
          <w:p w14:paraId="6BA0BE64" w14:textId="77777777" w:rsidR="00C45D59" w:rsidRDefault="009B0962">
            <w:pPr>
              <w:pStyle w:val="P68B1DB1-Normal55"/>
              <w:keepNext/>
              <w:spacing w:before="40" w:after="0" w:line="240" w:lineRule="auto"/>
              <w:rPr>
                <w:rFonts w:cs="Times New Roman"/>
                <w:noProof/>
                <w:szCs w:val="18"/>
              </w:rPr>
            </w:pPr>
            <w:r>
              <w:rPr>
                <w:noProof/>
              </w:rPr>
              <w:t>Etapă</w:t>
            </w:r>
          </w:p>
        </w:tc>
        <w:tc>
          <w:tcPr>
            <w:tcW w:w="2812" w:type="dxa"/>
            <w:shd w:val="clear" w:color="auto" w:fill="C6EFCE"/>
            <w:noWrap/>
            <w:vAlign w:val="center"/>
          </w:tcPr>
          <w:p w14:paraId="10B4FF89" w14:textId="77777777" w:rsidR="00C45D59" w:rsidRDefault="009B0962">
            <w:pPr>
              <w:pStyle w:val="P68B1DB1-Normal55"/>
              <w:keepNext/>
              <w:spacing w:before="40" w:after="0" w:line="240" w:lineRule="auto"/>
              <w:rPr>
                <w:rFonts w:cs="Times New Roman"/>
                <w:noProof/>
                <w:szCs w:val="18"/>
              </w:rPr>
            </w:pPr>
            <w:r>
              <w:rPr>
                <w:noProof/>
              </w:rPr>
              <w:t>Cadrul juridic al sistemului național de educație și formare profesională</w:t>
            </w:r>
          </w:p>
        </w:tc>
      </w:tr>
      <w:tr w:rsidR="00C45D59" w14:paraId="1D5F0442" w14:textId="77777777">
        <w:trPr>
          <w:trHeight w:val="302"/>
          <w:jc w:val="center"/>
        </w:trPr>
        <w:tc>
          <w:tcPr>
            <w:tcW w:w="959" w:type="dxa"/>
            <w:shd w:val="clear" w:color="auto" w:fill="C6EFCE"/>
            <w:noWrap/>
            <w:vAlign w:val="center"/>
          </w:tcPr>
          <w:p w14:paraId="674C45E6" w14:textId="77777777" w:rsidR="00C45D59" w:rsidRDefault="009B0962">
            <w:pPr>
              <w:pStyle w:val="P68B1DB1-Normal55"/>
              <w:keepNext/>
              <w:spacing w:before="40" w:after="0" w:line="240" w:lineRule="auto"/>
              <w:rPr>
                <w:noProof/>
              </w:rPr>
            </w:pPr>
            <w:r>
              <w:rPr>
                <w:noProof/>
              </w:rPr>
              <w:t>166</w:t>
            </w:r>
          </w:p>
        </w:tc>
        <w:tc>
          <w:tcPr>
            <w:tcW w:w="4407" w:type="dxa"/>
            <w:shd w:val="clear" w:color="auto" w:fill="C6EFCE"/>
            <w:noWrap/>
            <w:vAlign w:val="center"/>
          </w:tcPr>
          <w:p w14:paraId="74226A09" w14:textId="77777777" w:rsidR="00C45D59" w:rsidRDefault="009B0962">
            <w:pPr>
              <w:pStyle w:val="P68B1DB1-Normal55"/>
              <w:keepNext/>
              <w:spacing w:before="40" w:after="0" w:line="240" w:lineRule="auto"/>
              <w:rPr>
                <w:noProof/>
              </w:rPr>
            </w:pPr>
            <w:r>
              <w:rPr>
                <w:noProof/>
                <w:szCs w:val="18"/>
              </w:rPr>
              <w:t xml:space="preserve">10-3.3. Îmbunătățirea rezilienței, a accesibilității și a sustenabilității asistenței medicale </w:t>
            </w:r>
            <w:r>
              <w:rPr>
                <w:noProof/>
              </w:rPr>
              <w:t>– 16755_Investiții verzi – Reforma sistemului de asistență medicală primară</w:t>
            </w:r>
          </w:p>
        </w:tc>
        <w:tc>
          <w:tcPr>
            <w:tcW w:w="1417" w:type="dxa"/>
            <w:shd w:val="clear" w:color="auto" w:fill="C6EFCE"/>
            <w:noWrap/>
            <w:vAlign w:val="center"/>
          </w:tcPr>
          <w:p w14:paraId="674AC12C" w14:textId="77777777" w:rsidR="00C45D59" w:rsidRDefault="009B0962">
            <w:pPr>
              <w:pStyle w:val="P68B1DB1-Normal55"/>
              <w:keepNext/>
              <w:spacing w:before="40" w:after="0" w:line="240" w:lineRule="auto"/>
              <w:rPr>
                <w:noProof/>
              </w:rPr>
            </w:pPr>
            <w:r>
              <w:rPr>
                <w:noProof/>
              </w:rPr>
              <w:t>Țintă</w:t>
            </w:r>
          </w:p>
        </w:tc>
        <w:tc>
          <w:tcPr>
            <w:tcW w:w="2812" w:type="dxa"/>
            <w:shd w:val="clear" w:color="auto" w:fill="C6EFCE"/>
            <w:noWrap/>
            <w:vAlign w:val="center"/>
          </w:tcPr>
          <w:p w14:paraId="39E19006" w14:textId="77777777" w:rsidR="00C45D59" w:rsidRDefault="009B0962">
            <w:pPr>
              <w:pStyle w:val="P68B1DB1-Normal55"/>
              <w:keepNext/>
              <w:spacing w:before="40" w:after="0" w:line="240" w:lineRule="auto"/>
              <w:rPr>
                <w:noProof/>
              </w:rPr>
            </w:pPr>
            <w:r>
              <w:rPr>
                <w:noProof/>
              </w:rPr>
              <w:t>PHC – unități de asistență medicală primară cu infrastructură renovată – etapa 1</w:t>
            </w:r>
          </w:p>
        </w:tc>
      </w:tr>
      <w:tr w:rsidR="00C45D59" w14:paraId="1FD34D32" w14:textId="77777777">
        <w:trPr>
          <w:trHeight w:val="302"/>
          <w:jc w:val="center"/>
        </w:trPr>
        <w:tc>
          <w:tcPr>
            <w:tcW w:w="959" w:type="dxa"/>
            <w:shd w:val="clear" w:color="auto" w:fill="C6EFCE"/>
            <w:noWrap/>
            <w:vAlign w:val="center"/>
          </w:tcPr>
          <w:p w14:paraId="613315CA" w14:textId="77777777" w:rsidR="00C45D59" w:rsidRDefault="009B0962">
            <w:pPr>
              <w:pStyle w:val="P68B1DB1-Normal11"/>
              <w:keepNext/>
              <w:spacing w:before="40" w:after="0" w:line="240" w:lineRule="auto"/>
              <w:rPr>
                <w:rFonts w:cs="Times New Roman"/>
                <w:noProof/>
              </w:rPr>
            </w:pPr>
            <w:r>
              <w:rPr>
                <w:noProof/>
              </w:rPr>
              <w:t>168</w:t>
            </w:r>
          </w:p>
        </w:tc>
        <w:tc>
          <w:tcPr>
            <w:tcW w:w="4407" w:type="dxa"/>
            <w:shd w:val="clear" w:color="auto" w:fill="C6EFCE"/>
            <w:noWrap/>
            <w:vAlign w:val="center"/>
          </w:tcPr>
          <w:p w14:paraId="7FD7E0F6" w14:textId="77777777" w:rsidR="00C45D59" w:rsidRDefault="009B0962">
            <w:pPr>
              <w:pStyle w:val="P68B1DB1-Normal11"/>
              <w:keepNext/>
              <w:spacing w:before="40" w:after="0" w:line="240" w:lineRule="auto"/>
              <w:rPr>
                <w:rFonts w:cs="Times New Roman"/>
                <w:noProof/>
              </w:rPr>
            </w:pPr>
            <w:r>
              <w:rPr>
                <w:noProof/>
              </w:rPr>
              <w:t>10-3.3. Îmbunătățirea rezilienței, a accesibilității și a sustenabilității asistenței medicale – 16752_Transformarea digitală a sănătății (DigHealth)</w:t>
            </w:r>
          </w:p>
        </w:tc>
        <w:tc>
          <w:tcPr>
            <w:tcW w:w="1417" w:type="dxa"/>
            <w:shd w:val="clear" w:color="auto" w:fill="C6EFCE"/>
            <w:noWrap/>
            <w:vAlign w:val="center"/>
          </w:tcPr>
          <w:p w14:paraId="17DE43DE" w14:textId="77777777" w:rsidR="00C45D59" w:rsidRDefault="009B0962">
            <w:pPr>
              <w:pStyle w:val="P68B1DB1-Normal11"/>
              <w:keepNext/>
              <w:spacing w:before="40" w:after="0" w:line="240" w:lineRule="auto"/>
              <w:rPr>
                <w:rFonts w:cs="Times New Roman"/>
                <w:noProof/>
              </w:rPr>
            </w:pPr>
            <w:r>
              <w:rPr>
                <w:noProof/>
              </w:rPr>
              <w:t>Etapă</w:t>
            </w:r>
          </w:p>
        </w:tc>
        <w:tc>
          <w:tcPr>
            <w:tcW w:w="2812" w:type="dxa"/>
            <w:shd w:val="clear" w:color="auto" w:fill="C6EFCE"/>
            <w:noWrap/>
            <w:vAlign w:val="center"/>
          </w:tcPr>
          <w:p w14:paraId="44DE50EC" w14:textId="4DD2A8A2" w:rsidR="00C45D59" w:rsidRDefault="009B0962">
            <w:pPr>
              <w:pStyle w:val="P68B1DB1-Normal11"/>
              <w:keepNext/>
              <w:spacing w:before="40" w:after="0" w:line="240" w:lineRule="auto"/>
              <w:rPr>
                <w:noProof/>
              </w:rPr>
            </w:pPr>
            <w:r>
              <w:rPr>
                <w:noProof/>
              </w:rPr>
              <w:t>Transformarea digitală – Extinderea sistemului de creare și gestionare a programărilor în cadrul Programului național de vaccinare împotriva COVID-19, modernizarea infrastructurii sistemului de prescripții electronice</w:t>
            </w:r>
          </w:p>
        </w:tc>
      </w:tr>
      <w:tr w:rsidR="00C45D59" w14:paraId="2B64C614" w14:textId="77777777">
        <w:trPr>
          <w:trHeight w:val="302"/>
          <w:jc w:val="center"/>
        </w:trPr>
        <w:tc>
          <w:tcPr>
            <w:tcW w:w="959" w:type="dxa"/>
            <w:shd w:val="clear" w:color="auto" w:fill="C6EFCE"/>
            <w:noWrap/>
            <w:vAlign w:val="center"/>
          </w:tcPr>
          <w:p w14:paraId="08453A61" w14:textId="77777777" w:rsidR="00C45D59" w:rsidRDefault="009B0962">
            <w:pPr>
              <w:pStyle w:val="P68B1DB1-Normal55"/>
              <w:keepNext/>
              <w:spacing w:before="40" w:after="0" w:line="240" w:lineRule="auto"/>
              <w:rPr>
                <w:noProof/>
              </w:rPr>
            </w:pPr>
            <w:r>
              <w:rPr>
                <w:noProof/>
              </w:rPr>
              <w:t>170</w:t>
            </w:r>
          </w:p>
        </w:tc>
        <w:tc>
          <w:tcPr>
            <w:tcW w:w="4407" w:type="dxa"/>
            <w:shd w:val="clear" w:color="auto" w:fill="C6EFCE"/>
            <w:noWrap/>
            <w:vAlign w:val="center"/>
          </w:tcPr>
          <w:p w14:paraId="62DD4C17" w14:textId="77777777" w:rsidR="00C45D59" w:rsidRDefault="009B0962">
            <w:pPr>
              <w:pStyle w:val="P68B1DB1-Normal55"/>
              <w:keepNext/>
              <w:spacing w:before="40" w:after="0" w:line="240" w:lineRule="auto"/>
              <w:rPr>
                <w:noProof/>
              </w:rPr>
            </w:pPr>
            <w:r>
              <w:rPr>
                <w:noProof/>
              </w:rPr>
              <w:t>10-3.3. Îmbunătățirea rezilienței, a accesibilității și a sustenabilității asistenței medicale – 16795_Infrastructura de sănătate</w:t>
            </w:r>
          </w:p>
        </w:tc>
        <w:tc>
          <w:tcPr>
            <w:tcW w:w="1417" w:type="dxa"/>
            <w:shd w:val="clear" w:color="auto" w:fill="C6EFCE"/>
            <w:noWrap/>
            <w:vAlign w:val="center"/>
          </w:tcPr>
          <w:p w14:paraId="5EBCF8AD" w14:textId="77777777" w:rsidR="00C45D59" w:rsidRDefault="009B0962">
            <w:pPr>
              <w:pStyle w:val="P68B1DB1-Normal55"/>
              <w:keepNext/>
              <w:spacing w:before="40" w:after="0" w:line="240" w:lineRule="auto"/>
              <w:rPr>
                <w:noProof/>
              </w:rPr>
            </w:pPr>
            <w:r>
              <w:rPr>
                <w:noProof/>
              </w:rPr>
              <w:t>Etapă</w:t>
            </w:r>
          </w:p>
        </w:tc>
        <w:tc>
          <w:tcPr>
            <w:tcW w:w="2812" w:type="dxa"/>
            <w:shd w:val="clear" w:color="auto" w:fill="C6EFCE"/>
            <w:noWrap/>
            <w:vAlign w:val="center"/>
          </w:tcPr>
          <w:p w14:paraId="129CFB63" w14:textId="77777777" w:rsidR="00C45D59" w:rsidRDefault="009B0962">
            <w:pPr>
              <w:pStyle w:val="P68B1DB1-Normal55"/>
              <w:keepNext/>
              <w:spacing w:before="40" w:after="0" w:line="240" w:lineRule="auto"/>
              <w:rPr>
                <w:noProof/>
              </w:rPr>
            </w:pPr>
            <w:r>
              <w:rPr>
                <w:noProof/>
              </w:rPr>
              <w:t>Modernizarea infrastructurii NHS – etapa 1</w:t>
            </w:r>
          </w:p>
        </w:tc>
      </w:tr>
      <w:tr w:rsidR="00C45D59" w14:paraId="07950256" w14:textId="77777777">
        <w:trPr>
          <w:trHeight w:val="302"/>
          <w:jc w:val="center"/>
        </w:trPr>
        <w:tc>
          <w:tcPr>
            <w:tcW w:w="959" w:type="dxa"/>
            <w:shd w:val="clear" w:color="auto" w:fill="C6EFCE"/>
            <w:noWrap/>
            <w:vAlign w:val="center"/>
          </w:tcPr>
          <w:p w14:paraId="540FC12F" w14:textId="77777777" w:rsidR="00C45D59" w:rsidRDefault="009B0962">
            <w:pPr>
              <w:pStyle w:val="P68B1DB1-Normal55"/>
              <w:keepNext/>
              <w:spacing w:before="40" w:after="0" w:line="240" w:lineRule="auto"/>
              <w:rPr>
                <w:noProof/>
              </w:rPr>
            </w:pPr>
            <w:r>
              <w:rPr>
                <w:noProof/>
              </w:rPr>
              <w:t>175</w:t>
            </w:r>
          </w:p>
        </w:tc>
        <w:tc>
          <w:tcPr>
            <w:tcW w:w="4407" w:type="dxa"/>
            <w:shd w:val="clear" w:color="auto" w:fill="C6EFCE"/>
            <w:noWrap/>
            <w:vAlign w:val="center"/>
          </w:tcPr>
          <w:p w14:paraId="7B7312B2" w14:textId="77777777" w:rsidR="00C45D59" w:rsidRDefault="009B0962">
            <w:pPr>
              <w:pStyle w:val="P68B1DB1-Normal55"/>
              <w:keepNext/>
              <w:spacing w:before="40" w:after="0" w:line="240" w:lineRule="auto"/>
              <w:rPr>
                <w:noProof/>
              </w:rPr>
            </w:pPr>
            <w:r>
              <w:rPr>
                <w:noProof/>
              </w:rPr>
              <w:t>11-3.4. Creșterea accesului la politici sociale eficace și favorabile incluziunii – Optimizarea prestațiilor sociale 16726</w:t>
            </w:r>
          </w:p>
        </w:tc>
        <w:tc>
          <w:tcPr>
            <w:tcW w:w="1417" w:type="dxa"/>
            <w:shd w:val="clear" w:color="auto" w:fill="C6EFCE"/>
            <w:noWrap/>
            <w:vAlign w:val="center"/>
          </w:tcPr>
          <w:p w14:paraId="08A122B7" w14:textId="77777777" w:rsidR="00C45D59" w:rsidRDefault="009B0962">
            <w:pPr>
              <w:pStyle w:val="P68B1DB1-Normal55"/>
              <w:keepNext/>
              <w:spacing w:before="40" w:after="0" w:line="240" w:lineRule="auto"/>
              <w:rPr>
                <w:noProof/>
              </w:rPr>
            </w:pPr>
            <w:r>
              <w:rPr>
                <w:noProof/>
              </w:rPr>
              <w:t>Etapă</w:t>
            </w:r>
          </w:p>
        </w:tc>
        <w:tc>
          <w:tcPr>
            <w:tcW w:w="2812" w:type="dxa"/>
            <w:shd w:val="clear" w:color="auto" w:fill="C6EFCE"/>
            <w:noWrap/>
            <w:vAlign w:val="center"/>
          </w:tcPr>
          <w:p w14:paraId="28BD7743" w14:textId="77777777" w:rsidR="00C45D59" w:rsidRDefault="009B0962">
            <w:pPr>
              <w:pStyle w:val="P68B1DB1-Normal16"/>
              <w:keepNext/>
              <w:spacing w:before="40" w:after="0" w:line="240" w:lineRule="auto"/>
              <w:rPr>
                <w:noProof/>
              </w:rPr>
            </w:pPr>
            <w:r>
              <w:rPr>
                <w:noProof/>
              </w:rPr>
              <w:t>Carduri preplătite pentru optimizarea prestațiilor sociale</w:t>
            </w:r>
          </w:p>
        </w:tc>
      </w:tr>
      <w:tr w:rsidR="00C45D59" w14:paraId="62C8FB9C" w14:textId="77777777">
        <w:trPr>
          <w:trHeight w:val="302"/>
          <w:jc w:val="center"/>
        </w:trPr>
        <w:tc>
          <w:tcPr>
            <w:tcW w:w="959" w:type="dxa"/>
            <w:shd w:val="clear" w:color="auto" w:fill="C6EFCE"/>
            <w:noWrap/>
            <w:vAlign w:val="center"/>
          </w:tcPr>
          <w:p w14:paraId="7A874B2C" w14:textId="77777777" w:rsidR="00C45D59" w:rsidRDefault="009B0962">
            <w:pPr>
              <w:pStyle w:val="P68B1DB1-Normal55"/>
              <w:keepNext/>
              <w:spacing w:before="40" w:after="0" w:line="240" w:lineRule="auto"/>
              <w:rPr>
                <w:rFonts w:cs="Times New Roman"/>
                <w:noProof/>
                <w:szCs w:val="18"/>
              </w:rPr>
            </w:pPr>
            <w:r>
              <w:rPr>
                <w:noProof/>
              </w:rPr>
              <w:t>176</w:t>
            </w:r>
          </w:p>
        </w:tc>
        <w:tc>
          <w:tcPr>
            <w:tcW w:w="4407" w:type="dxa"/>
            <w:shd w:val="clear" w:color="auto" w:fill="C6EFCE"/>
            <w:noWrap/>
            <w:vAlign w:val="center"/>
          </w:tcPr>
          <w:p w14:paraId="335BBE16" w14:textId="77777777" w:rsidR="00C45D59" w:rsidRDefault="009B0962">
            <w:pPr>
              <w:pStyle w:val="P68B1DB1-Normal55"/>
              <w:keepNext/>
              <w:spacing w:before="40" w:after="0" w:line="240" w:lineRule="auto"/>
              <w:rPr>
                <w:rFonts w:cs="Times New Roman"/>
                <w:noProof/>
                <w:szCs w:val="18"/>
              </w:rPr>
            </w:pPr>
            <w:r>
              <w:rPr>
                <w:noProof/>
              </w:rPr>
              <w:t>11-3.4. Creșterea accesului la politici sociale eficace și favorabile incluziunii – 16904_Handicap</w:t>
            </w:r>
          </w:p>
        </w:tc>
        <w:tc>
          <w:tcPr>
            <w:tcW w:w="1417" w:type="dxa"/>
            <w:shd w:val="clear" w:color="auto" w:fill="C6EFCE"/>
            <w:noWrap/>
            <w:vAlign w:val="center"/>
          </w:tcPr>
          <w:p w14:paraId="6198296F" w14:textId="77777777" w:rsidR="00C45D59" w:rsidRDefault="009B0962">
            <w:pPr>
              <w:pStyle w:val="P68B1DB1-Normal55"/>
              <w:keepNext/>
              <w:spacing w:before="40" w:after="0" w:line="240" w:lineRule="auto"/>
              <w:rPr>
                <w:rFonts w:cs="Times New Roman"/>
                <w:noProof/>
                <w:szCs w:val="18"/>
              </w:rPr>
            </w:pPr>
            <w:r>
              <w:rPr>
                <w:noProof/>
              </w:rPr>
              <w:t>Etapă</w:t>
            </w:r>
          </w:p>
        </w:tc>
        <w:tc>
          <w:tcPr>
            <w:tcW w:w="2812" w:type="dxa"/>
            <w:shd w:val="clear" w:color="auto" w:fill="C6EFCE"/>
            <w:noWrap/>
            <w:vAlign w:val="center"/>
          </w:tcPr>
          <w:p w14:paraId="257A6031" w14:textId="77777777" w:rsidR="00C45D59" w:rsidRDefault="009B0962">
            <w:pPr>
              <w:pStyle w:val="P68B1DB1-Normal55"/>
              <w:keepNext/>
              <w:spacing w:before="40" w:after="0" w:line="240" w:lineRule="auto"/>
              <w:rPr>
                <w:rFonts w:cs="Times New Roman"/>
                <w:noProof/>
                <w:szCs w:val="18"/>
              </w:rPr>
            </w:pPr>
            <w:r>
              <w:rPr>
                <w:noProof/>
              </w:rPr>
              <w:t>Evaluarea handicapului în cadrul asistenței personale</w:t>
            </w:r>
          </w:p>
        </w:tc>
      </w:tr>
      <w:tr w:rsidR="00C45D59" w14:paraId="767CE356" w14:textId="77777777">
        <w:trPr>
          <w:trHeight w:val="302"/>
          <w:jc w:val="center"/>
        </w:trPr>
        <w:tc>
          <w:tcPr>
            <w:tcW w:w="959" w:type="dxa"/>
            <w:shd w:val="clear" w:color="auto" w:fill="C6EFCE"/>
            <w:noWrap/>
            <w:vAlign w:val="center"/>
          </w:tcPr>
          <w:p w14:paraId="53697845" w14:textId="77777777" w:rsidR="00C45D59" w:rsidRDefault="009B0962">
            <w:pPr>
              <w:pStyle w:val="P68B1DB1-Normal55"/>
              <w:keepNext/>
              <w:spacing w:before="40" w:after="0" w:line="240" w:lineRule="auto"/>
              <w:rPr>
                <w:rFonts w:cs="Times New Roman"/>
                <w:noProof/>
                <w:szCs w:val="18"/>
              </w:rPr>
            </w:pPr>
            <w:r>
              <w:rPr>
                <w:noProof/>
              </w:rPr>
              <w:t>184</w:t>
            </w:r>
          </w:p>
        </w:tc>
        <w:tc>
          <w:tcPr>
            <w:tcW w:w="4407" w:type="dxa"/>
            <w:shd w:val="clear" w:color="auto" w:fill="C6EFCE"/>
            <w:noWrap/>
            <w:vAlign w:val="center"/>
          </w:tcPr>
          <w:p w14:paraId="1037DECA" w14:textId="77777777" w:rsidR="00C45D59" w:rsidRDefault="009B0962">
            <w:pPr>
              <w:pStyle w:val="P68B1DB1-Normal55"/>
              <w:keepNext/>
              <w:spacing w:before="40" w:after="0" w:line="240" w:lineRule="auto"/>
              <w:rPr>
                <w:rFonts w:cs="Times New Roman"/>
                <w:noProof/>
                <w:szCs w:val="18"/>
              </w:rPr>
            </w:pPr>
            <w:r>
              <w:rPr>
                <w:noProof/>
              </w:rPr>
              <w:t>11-3.4. Creșterea accesului la politici sociale eficace și favorabile incluziunii – 16685_Sensibilizarea cu privire la diversitate</w:t>
            </w:r>
          </w:p>
        </w:tc>
        <w:tc>
          <w:tcPr>
            <w:tcW w:w="1417" w:type="dxa"/>
            <w:shd w:val="clear" w:color="auto" w:fill="C6EFCE"/>
            <w:noWrap/>
            <w:vAlign w:val="center"/>
          </w:tcPr>
          <w:p w14:paraId="4A6A9831" w14:textId="77777777" w:rsidR="00C45D59" w:rsidRDefault="009B0962">
            <w:pPr>
              <w:pStyle w:val="P68B1DB1-Normal55"/>
              <w:keepNext/>
              <w:spacing w:before="40" w:after="0" w:line="240" w:lineRule="auto"/>
              <w:rPr>
                <w:rFonts w:cs="Times New Roman"/>
                <w:noProof/>
                <w:szCs w:val="18"/>
              </w:rPr>
            </w:pPr>
            <w:r>
              <w:rPr>
                <w:noProof/>
              </w:rPr>
              <w:t>Etapă</w:t>
            </w:r>
          </w:p>
        </w:tc>
        <w:tc>
          <w:tcPr>
            <w:tcW w:w="2812" w:type="dxa"/>
            <w:shd w:val="clear" w:color="auto" w:fill="C6EFCE"/>
            <w:noWrap/>
            <w:vAlign w:val="center"/>
          </w:tcPr>
          <w:p w14:paraId="765D5B1A" w14:textId="77777777" w:rsidR="00C45D59" w:rsidRDefault="009B0962">
            <w:pPr>
              <w:pStyle w:val="P68B1DB1-Normal55"/>
              <w:keepNext/>
              <w:spacing w:before="40" w:after="0" w:line="240" w:lineRule="auto"/>
              <w:rPr>
                <w:rFonts w:cs="Times New Roman"/>
                <w:noProof/>
                <w:szCs w:val="18"/>
              </w:rPr>
            </w:pPr>
            <w:r>
              <w:rPr>
                <w:noProof/>
              </w:rPr>
              <w:t>Certificate de formare profesională eliberate angajaților din întreprinderile din sectorul privat</w:t>
            </w:r>
          </w:p>
        </w:tc>
      </w:tr>
      <w:tr w:rsidR="00C45D59" w14:paraId="708E4B7F" w14:textId="77777777">
        <w:trPr>
          <w:trHeight w:val="302"/>
          <w:jc w:val="center"/>
        </w:trPr>
        <w:tc>
          <w:tcPr>
            <w:tcW w:w="959" w:type="dxa"/>
            <w:shd w:val="clear" w:color="auto" w:fill="C6EFCE"/>
            <w:noWrap/>
            <w:vAlign w:val="center"/>
          </w:tcPr>
          <w:p w14:paraId="302A53DA" w14:textId="77777777" w:rsidR="00C45D59" w:rsidRDefault="009B0962">
            <w:pPr>
              <w:pStyle w:val="P68B1DB1-Normal55"/>
              <w:keepNext/>
              <w:spacing w:before="40" w:after="0" w:line="240" w:lineRule="auto"/>
              <w:rPr>
                <w:rFonts w:cs="Times New Roman"/>
                <w:noProof/>
                <w:szCs w:val="18"/>
              </w:rPr>
            </w:pPr>
            <w:r>
              <w:rPr>
                <w:noProof/>
              </w:rPr>
              <w:t>195a</w:t>
            </w:r>
          </w:p>
        </w:tc>
        <w:tc>
          <w:tcPr>
            <w:tcW w:w="4407" w:type="dxa"/>
            <w:shd w:val="clear" w:color="auto" w:fill="C6EFCE"/>
            <w:noWrap/>
            <w:vAlign w:val="center"/>
          </w:tcPr>
          <w:p w14:paraId="62DFA48A" w14:textId="77777777" w:rsidR="00C45D59" w:rsidRDefault="009B0962">
            <w:pPr>
              <w:pStyle w:val="P68B1DB1-Normal55"/>
              <w:keepNext/>
              <w:spacing w:before="40" w:after="0" w:line="240" w:lineRule="auto"/>
              <w:rPr>
                <w:rFonts w:cs="Times New Roman"/>
                <w:noProof/>
                <w:szCs w:val="18"/>
              </w:rPr>
            </w:pPr>
            <w:r>
              <w:rPr>
                <w:noProof/>
              </w:rPr>
              <w:t>12-4.1. O fiscalitate mai favorabilă creșterii economice și o mai bună administrare fiscală și colectare a impozitelor – 16291_Transformarea digitală a administrației fiscale și vamale</w:t>
            </w:r>
          </w:p>
        </w:tc>
        <w:tc>
          <w:tcPr>
            <w:tcW w:w="1417" w:type="dxa"/>
            <w:shd w:val="clear" w:color="auto" w:fill="C6EFCE"/>
            <w:noWrap/>
            <w:vAlign w:val="center"/>
          </w:tcPr>
          <w:p w14:paraId="38B833E0" w14:textId="77777777" w:rsidR="00C45D59" w:rsidRDefault="009B0962">
            <w:pPr>
              <w:pStyle w:val="P68B1DB1-Normal55"/>
              <w:keepNext/>
              <w:spacing w:before="40" w:after="0" w:line="240" w:lineRule="auto"/>
              <w:rPr>
                <w:rFonts w:cs="Times New Roman"/>
                <w:noProof/>
                <w:szCs w:val="18"/>
              </w:rPr>
            </w:pPr>
            <w:r>
              <w:rPr>
                <w:noProof/>
              </w:rPr>
              <w:t>Etapă</w:t>
            </w:r>
          </w:p>
        </w:tc>
        <w:tc>
          <w:tcPr>
            <w:tcW w:w="2812" w:type="dxa"/>
            <w:shd w:val="clear" w:color="auto" w:fill="C6EFCE"/>
            <w:noWrap/>
          </w:tcPr>
          <w:p w14:paraId="0DAAE7E1" w14:textId="77777777" w:rsidR="00C45D59" w:rsidRDefault="009B0962">
            <w:pPr>
              <w:pStyle w:val="P68B1DB1-Normal16"/>
              <w:keepNext/>
              <w:spacing w:before="40" w:after="0" w:line="240" w:lineRule="auto"/>
              <w:rPr>
                <w:rFonts w:eastAsia="Times New Roman"/>
                <w:noProof/>
              </w:rPr>
            </w:pPr>
            <w:r>
              <w:rPr>
                <w:noProof/>
              </w:rPr>
              <w:t>Furnizarea i) unui sistem informatic integrat pentru Direcția Generală Servicii Financiare din cadrul IAPR și ii) a hardware-ului de birou și a echipamentelor informatice portabile pentru IAPR</w:t>
            </w:r>
          </w:p>
        </w:tc>
      </w:tr>
      <w:tr w:rsidR="00C45D59" w14:paraId="3B011A81" w14:textId="77777777">
        <w:trPr>
          <w:trHeight w:val="302"/>
          <w:jc w:val="center"/>
        </w:trPr>
        <w:tc>
          <w:tcPr>
            <w:tcW w:w="959" w:type="dxa"/>
            <w:shd w:val="clear" w:color="auto" w:fill="C6EFCE"/>
            <w:noWrap/>
            <w:vAlign w:val="center"/>
          </w:tcPr>
          <w:p w14:paraId="1DF34026" w14:textId="77777777" w:rsidR="00C45D59" w:rsidRDefault="009B0962">
            <w:pPr>
              <w:pStyle w:val="P68B1DB1-Normal55"/>
              <w:keepNext/>
              <w:spacing w:before="40" w:after="0" w:line="240" w:lineRule="auto"/>
              <w:rPr>
                <w:rFonts w:eastAsia="Times New Roman" w:cs="Times New Roman"/>
                <w:bCs/>
                <w:noProof/>
                <w:szCs w:val="18"/>
              </w:rPr>
            </w:pPr>
            <w:r>
              <w:rPr>
                <w:noProof/>
              </w:rPr>
              <w:t>236</w:t>
            </w:r>
          </w:p>
        </w:tc>
        <w:tc>
          <w:tcPr>
            <w:tcW w:w="4407" w:type="dxa"/>
            <w:shd w:val="clear" w:color="auto" w:fill="C6EFCE"/>
            <w:noWrap/>
            <w:vAlign w:val="center"/>
          </w:tcPr>
          <w:p w14:paraId="17F0B2C5" w14:textId="77777777" w:rsidR="00C45D59" w:rsidRDefault="009B0962">
            <w:pPr>
              <w:pStyle w:val="P68B1DB1-Normal55"/>
              <w:keepNext/>
              <w:spacing w:before="40" w:after="0" w:line="240" w:lineRule="auto"/>
              <w:rPr>
                <w:rFonts w:eastAsia="Times New Roman" w:cs="Times New Roman"/>
                <w:bCs/>
                <w:noProof/>
                <w:szCs w:val="18"/>
              </w:rPr>
            </w:pPr>
            <w:r>
              <w:rPr>
                <w:noProof/>
              </w:rPr>
              <w:t>14-4.3. Îmbunătățirea eficienței sistemului de justiție – 16575 Accelerarea administrării justiției</w:t>
            </w:r>
          </w:p>
        </w:tc>
        <w:tc>
          <w:tcPr>
            <w:tcW w:w="1417" w:type="dxa"/>
            <w:shd w:val="clear" w:color="auto" w:fill="C6EFCE"/>
            <w:noWrap/>
            <w:vAlign w:val="center"/>
          </w:tcPr>
          <w:p w14:paraId="0806F58E" w14:textId="77777777" w:rsidR="00C45D59" w:rsidRDefault="009B0962">
            <w:pPr>
              <w:pStyle w:val="P68B1DB1-Normal55"/>
              <w:keepNext/>
              <w:spacing w:before="40" w:after="0" w:line="240" w:lineRule="auto"/>
              <w:rPr>
                <w:rFonts w:eastAsia="Times New Roman" w:cs="Times New Roman"/>
                <w:noProof/>
                <w:szCs w:val="18"/>
              </w:rPr>
            </w:pPr>
            <w:r>
              <w:rPr>
                <w:noProof/>
              </w:rPr>
              <w:t>Etapă</w:t>
            </w:r>
          </w:p>
        </w:tc>
        <w:tc>
          <w:tcPr>
            <w:tcW w:w="2812" w:type="dxa"/>
            <w:shd w:val="clear" w:color="auto" w:fill="C6EFCE"/>
            <w:noWrap/>
            <w:vAlign w:val="center"/>
          </w:tcPr>
          <w:p w14:paraId="0E06EEBA" w14:textId="77777777" w:rsidR="00C45D59" w:rsidRDefault="009B0962">
            <w:pPr>
              <w:pStyle w:val="P68B1DB1-Normal55"/>
              <w:keepNext/>
              <w:spacing w:before="40" w:after="0" w:line="240" w:lineRule="auto"/>
              <w:rPr>
                <w:rFonts w:eastAsia="Times New Roman" w:cs="Times New Roman"/>
                <w:noProof/>
                <w:szCs w:val="18"/>
              </w:rPr>
            </w:pPr>
            <w:r>
              <w:rPr>
                <w:noProof/>
              </w:rPr>
              <w:t xml:space="preserve">Revizuirea hărții judiciare </w:t>
            </w:r>
          </w:p>
        </w:tc>
      </w:tr>
      <w:tr w:rsidR="00C45D59" w14:paraId="57310A50" w14:textId="77777777">
        <w:trPr>
          <w:trHeight w:val="302"/>
          <w:jc w:val="center"/>
        </w:trPr>
        <w:tc>
          <w:tcPr>
            <w:tcW w:w="959" w:type="dxa"/>
            <w:shd w:val="clear" w:color="auto" w:fill="C6EFCE"/>
            <w:noWrap/>
            <w:vAlign w:val="center"/>
          </w:tcPr>
          <w:p w14:paraId="3462A4E6" w14:textId="77777777" w:rsidR="00C45D59" w:rsidRDefault="009B0962">
            <w:pPr>
              <w:pStyle w:val="P68B1DB1-Normal55"/>
              <w:keepNext/>
              <w:spacing w:before="40" w:after="0" w:line="240" w:lineRule="auto"/>
              <w:rPr>
                <w:noProof/>
              </w:rPr>
            </w:pPr>
            <w:r>
              <w:rPr>
                <w:noProof/>
              </w:rPr>
              <w:t>277</w:t>
            </w:r>
          </w:p>
        </w:tc>
        <w:tc>
          <w:tcPr>
            <w:tcW w:w="4407" w:type="dxa"/>
            <w:shd w:val="clear" w:color="auto" w:fill="C6EFCE"/>
            <w:noWrap/>
            <w:vAlign w:val="center"/>
          </w:tcPr>
          <w:p w14:paraId="475CE3D2" w14:textId="77777777" w:rsidR="00C45D59" w:rsidRDefault="009B0962">
            <w:pPr>
              <w:pStyle w:val="P68B1DB1-Normal55"/>
              <w:keepNext/>
              <w:spacing w:before="40" w:after="0" w:line="240" w:lineRule="auto"/>
              <w:rPr>
                <w:noProof/>
              </w:rPr>
            </w:pPr>
            <w:r>
              <w:rPr>
                <w:noProof/>
              </w:rPr>
              <w:t>17-4.6. Modernizarea și îmbunătățirea rezilienței sectoarelor economice cheie – 16786_Simplificarea procedurilor Ministerului Infrastructurii &amp; Transporturilor</w:t>
            </w:r>
          </w:p>
        </w:tc>
        <w:tc>
          <w:tcPr>
            <w:tcW w:w="1417" w:type="dxa"/>
            <w:shd w:val="clear" w:color="auto" w:fill="C6EFCE"/>
            <w:noWrap/>
            <w:vAlign w:val="center"/>
          </w:tcPr>
          <w:p w14:paraId="519CC814" w14:textId="77777777" w:rsidR="00C45D59" w:rsidRDefault="009B0962">
            <w:pPr>
              <w:pStyle w:val="P68B1DB1-Normal55"/>
              <w:keepNext/>
              <w:spacing w:before="40" w:after="0" w:line="240" w:lineRule="auto"/>
              <w:rPr>
                <w:noProof/>
              </w:rPr>
            </w:pPr>
            <w:r>
              <w:rPr>
                <w:noProof/>
              </w:rPr>
              <w:t>Etapă</w:t>
            </w:r>
          </w:p>
        </w:tc>
        <w:tc>
          <w:tcPr>
            <w:tcW w:w="2812" w:type="dxa"/>
            <w:shd w:val="clear" w:color="auto" w:fill="C6EFCE"/>
            <w:noWrap/>
            <w:vAlign w:val="center"/>
          </w:tcPr>
          <w:p w14:paraId="06B48A79" w14:textId="77777777" w:rsidR="00C45D59" w:rsidRDefault="009B0962">
            <w:pPr>
              <w:pStyle w:val="P68B1DB1-Normal16"/>
              <w:keepNext/>
              <w:spacing w:before="40" w:after="0" w:line="240" w:lineRule="auto"/>
              <w:rPr>
                <w:noProof/>
              </w:rPr>
            </w:pPr>
            <w:r>
              <w:rPr>
                <w:noProof/>
              </w:rPr>
              <w:t>Simplificarea procedurilor pentru Ministerul Transporturilor</w:t>
            </w:r>
          </w:p>
        </w:tc>
      </w:tr>
      <w:tr w:rsidR="00C45D59" w14:paraId="2C826731" w14:textId="77777777">
        <w:trPr>
          <w:trHeight w:val="302"/>
          <w:jc w:val="center"/>
        </w:trPr>
        <w:tc>
          <w:tcPr>
            <w:tcW w:w="959" w:type="dxa"/>
            <w:shd w:val="clear" w:color="auto" w:fill="C6EFCE"/>
            <w:noWrap/>
            <w:vAlign w:val="center"/>
          </w:tcPr>
          <w:p w14:paraId="0F658E69" w14:textId="77777777" w:rsidR="00C45D59" w:rsidRDefault="009B0962">
            <w:pPr>
              <w:pStyle w:val="P68B1DB1-Normal55"/>
              <w:keepNext/>
              <w:spacing w:before="40" w:after="0" w:line="240" w:lineRule="auto"/>
              <w:rPr>
                <w:rFonts w:cs="Times New Roman"/>
                <w:noProof/>
                <w:szCs w:val="18"/>
              </w:rPr>
            </w:pPr>
            <w:r>
              <w:rPr>
                <w:noProof/>
              </w:rPr>
              <w:t>333</w:t>
            </w:r>
          </w:p>
        </w:tc>
        <w:tc>
          <w:tcPr>
            <w:tcW w:w="4407" w:type="dxa"/>
            <w:shd w:val="clear" w:color="auto" w:fill="C6EFCE"/>
            <w:noWrap/>
            <w:vAlign w:val="center"/>
          </w:tcPr>
          <w:p w14:paraId="46150279" w14:textId="77777777" w:rsidR="00C45D59" w:rsidRDefault="009B0962">
            <w:pPr>
              <w:pStyle w:val="P68B1DB1-Normal55"/>
              <w:keepNext/>
              <w:spacing w:before="40" w:after="0" w:line="240" w:lineRule="auto"/>
              <w:rPr>
                <w:rFonts w:cs="Times New Roman"/>
                <w:noProof/>
                <w:szCs w:val="18"/>
              </w:rPr>
            </w:pPr>
            <w:r>
              <w:rPr>
                <w:noProof/>
              </w:rPr>
              <w:t>5-2.1. Connect – 16844_ Tranziția către tehnologia 5G, facilitând dezvoltarea de servicii inovatoare la distanță</w:t>
            </w:r>
          </w:p>
        </w:tc>
        <w:tc>
          <w:tcPr>
            <w:tcW w:w="1417" w:type="dxa"/>
            <w:shd w:val="clear" w:color="auto" w:fill="C6EFCE"/>
            <w:noWrap/>
            <w:vAlign w:val="center"/>
          </w:tcPr>
          <w:p w14:paraId="2F0CBBDE" w14:textId="77777777" w:rsidR="00C45D59" w:rsidRDefault="009B0962">
            <w:pPr>
              <w:pStyle w:val="P68B1DB1-Normal55"/>
              <w:keepNext/>
              <w:spacing w:before="40" w:after="0" w:line="240" w:lineRule="auto"/>
              <w:rPr>
                <w:rFonts w:cs="Times New Roman"/>
                <w:noProof/>
                <w:szCs w:val="18"/>
              </w:rPr>
            </w:pPr>
            <w:r>
              <w:rPr>
                <w:noProof/>
              </w:rPr>
              <w:t>Etapă</w:t>
            </w:r>
          </w:p>
        </w:tc>
        <w:tc>
          <w:tcPr>
            <w:tcW w:w="2812" w:type="dxa"/>
            <w:shd w:val="clear" w:color="auto" w:fill="C6EFCE"/>
            <w:noWrap/>
            <w:vAlign w:val="center"/>
          </w:tcPr>
          <w:p w14:paraId="168FFA4F" w14:textId="77777777" w:rsidR="00C45D59" w:rsidRDefault="009B0962">
            <w:pPr>
              <w:pStyle w:val="P68B1DB1-Normal55"/>
              <w:keepNext/>
              <w:spacing w:before="40" w:after="0" w:line="240" w:lineRule="auto"/>
              <w:rPr>
                <w:rFonts w:cs="Times New Roman"/>
                <w:noProof/>
                <w:szCs w:val="18"/>
              </w:rPr>
            </w:pPr>
            <w:r>
              <w:rPr>
                <w:noProof/>
              </w:rPr>
              <w:t>Intrarea în vigoare a tranziției către reforma tehnologiei 5G</w:t>
            </w:r>
          </w:p>
        </w:tc>
      </w:tr>
      <w:tr w:rsidR="00C45D59" w14:paraId="740DA1C8" w14:textId="77777777">
        <w:trPr>
          <w:trHeight w:val="302"/>
          <w:jc w:val="center"/>
        </w:trPr>
        <w:tc>
          <w:tcPr>
            <w:tcW w:w="959" w:type="dxa"/>
            <w:shd w:val="clear" w:color="auto" w:fill="C6EFCE"/>
            <w:noWrap/>
            <w:vAlign w:val="center"/>
          </w:tcPr>
          <w:p w14:paraId="21BD8903" w14:textId="77777777" w:rsidR="00C45D59" w:rsidRDefault="009B0962">
            <w:pPr>
              <w:pStyle w:val="P68B1DB1-Normal55"/>
              <w:keepNext/>
              <w:spacing w:before="40" w:after="0" w:line="259" w:lineRule="auto"/>
              <w:rPr>
                <w:rFonts w:eastAsia="Times New Roman" w:cs="Times New Roman"/>
                <w:bCs/>
                <w:noProof/>
                <w:szCs w:val="18"/>
              </w:rPr>
            </w:pPr>
            <w:r>
              <w:rPr>
                <w:noProof/>
              </w:rPr>
              <w:t>268a</w:t>
            </w:r>
          </w:p>
        </w:tc>
        <w:tc>
          <w:tcPr>
            <w:tcW w:w="4407" w:type="dxa"/>
            <w:shd w:val="clear" w:color="auto" w:fill="C6EFCE"/>
            <w:noWrap/>
            <w:vAlign w:val="center"/>
          </w:tcPr>
          <w:p w14:paraId="7F3DF321" w14:textId="77777777" w:rsidR="00C45D59" w:rsidRDefault="009B0962">
            <w:pPr>
              <w:pStyle w:val="P68B1DB1-Normal55"/>
              <w:keepNext/>
              <w:spacing w:before="40" w:after="0" w:line="259" w:lineRule="auto"/>
              <w:rPr>
                <w:rFonts w:eastAsia="Times New Roman" w:cs="Times New Roman"/>
                <w:bCs/>
                <w:noProof/>
                <w:szCs w:val="18"/>
              </w:rPr>
            </w:pPr>
            <w:r>
              <w:rPr>
                <w:noProof/>
              </w:rPr>
              <w:t>17-4.6. Modernizarea și îmbunătățirea rezilienței sectoarelor economice cheie – 16982_Reforma organizațională în sectorul feroviar</w:t>
            </w:r>
          </w:p>
        </w:tc>
        <w:tc>
          <w:tcPr>
            <w:tcW w:w="1417" w:type="dxa"/>
            <w:shd w:val="clear" w:color="auto" w:fill="C6EFCE"/>
            <w:noWrap/>
            <w:vAlign w:val="center"/>
          </w:tcPr>
          <w:p w14:paraId="06A53E4A" w14:textId="77777777" w:rsidR="00C45D59" w:rsidRDefault="009B0962">
            <w:pPr>
              <w:pStyle w:val="P68B1DB1-Normal55"/>
              <w:keepNext/>
              <w:spacing w:before="40" w:after="0" w:line="259" w:lineRule="auto"/>
              <w:rPr>
                <w:rFonts w:eastAsia="Times New Roman" w:cs="Times New Roman"/>
                <w:noProof/>
                <w:szCs w:val="18"/>
              </w:rPr>
            </w:pPr>
            <w:r>
              <w:rPr>
                <w:noProof/>
              </w:rPr>
              <w:t>Etapă</w:t>
            </w:r>
          </w:p>
        </w:tc>
        <w:tc>
          <w:tcPr>
            <w:tcW w:w="2812" w:type="dxa"/>
            <w:shd w:val="clear" w:color="auto" w:fill="C6EFCE"/>
            <w:noWrap/>
            <w:vAlign w:val="center"/>
          </w:tcPr>
          <w:p w14:paraId="0C5355C2" w14:textId="77777777" w:rsidR="00C45D59" w:rsidRDefault="009B0962">
            <w:pPr>
              <w:pStyle w:val="P68B1DB1-Normal11"/>
              <w:keepNext/>
              <w:spacing w:before="40" w:after="0" w:line="259" w:lineRule="auto"/>
              <w:rPr>
                <w:rFonts w:eastAsia="Times New Roman" w:cs="Calibri"/>
                <w:noProof/>
                <w:color w:val="006100"/>
              </w:rPr>
            </w:pPr>
            <w:r>
              <w:rPr>
                <w:noProof/>
              </w:rPr>
              <w:t>Acte juridice pentru Căile Ferate Elene</w:t>
            </w:r>
          </w:p>
        </w:tc>
      </w:tr>
      <w:tr w:rsidR="00C45D59" w14:paraId="422EFCA1" w14:textId="77777777">
        <w:trPr>
          <w:trHeight w:val="302"/>
          <w:jc w:val="center"/>
        </w:trPr>
        <w:tc>
          <w:tcPr>
            <w:tcW w:w="959" w:type="dxa"/>
            <w:shd w:val="clear" w:color="auto" w:fill="C6EFCE"/>
            <w:noWrap/>
            <w:vAlign w:val="center"/>
          </w:tcPr>
          <w:p w14:paraId="4A04593C" w14:textId="77777777" w:rsidR="00C45D59" w:rsidRDefault="009B0962">
            <w:pPr>
              <w:pStyle w:val="P68B1DB1-Normal11"/>
              <w:keepNext/>
              <w:spacing w:before="40" w:after="0" w:line="240" w:lineRule="auto"/>
              <w:rPr>
                <w:noProof/>
              </w:rPr>
            </w:pPr>
            <w:r>
              <w:rPr>
                <w:noProof/>
              </w:rPr>
              <w:t>313</w:t>
            </w:r>
          </w:p>
        </w:tc>
        <w:tc>
          <w:tcPr>
            <w:tcW w:w="4407" w:type="dxa"/>
            <w:shd w:val="clear" w:color="auto" w:fill="C6EFCE"/>
            <w:noWrap/>
            <w:vAlign w:val="center"/>
          </w:tcPr>
          <w:p w14:paraId="23E03C13" w14:textId="77777777" w:rsidR="00C45D59" w:rsidRDefault="009B0962">
            <w:pPr>
              <w:pStyle w:val="P68B1DB1-Normal11"/>
              <w:keepNext/>
              <w:spacing w:before="40" w:after="0" w:line="240" w:lineRule="auto"/>
              <w:rPr>
                <w:noProof/>
              </w:rPr>
            </w:pPr>
            <w:r>
              <w:rPr>
                <w:noProof/>
              </w:rPr>
              <w:t> 17-4.6. Modernizarea și îmbunătățirea rezilienței sectoarelor economice esențiale – 16653_Transformarea digitală a sectorului agroalimentar</w:t>
            </w:r>
          </w:p>
        </w:tc>
        <w:tc>
          <w:tcPr>
            <w:tcW w:w="1417" w:type="dxa"/>
            <w:shd w:val="clear" w:color="auto" w:fill="C6EFCE"/>
            <w:noWrap/>
            <w:vAlign w:val="center"/>
          </w:tcPr>
          <w:p w14:paraId="6C6D603E" w14:textId="77777777" w:rsidR="00C45D59" w:rsidRDefault="009B0962">
            <w:pPr>
              <w:pStyle w:val="P68B1DB1-Normal11"/>
              <w:keepNext/>
              <w:spacing w:before="40" w:after="0" w:line="240" w:lineRule="auto"/>
              <w:rPr>
                <w:noProof/>
              </w:rPr>
            </w:pPr>
            <w:r>
              <w:rPr>
                <w:noProof/>
              </w:rPr>
              <w:t>Etapă</w:t>
            </w:r>
          </w:p>
        </w:tc>
        <w:tc>
          <w:tcPr>
            <w:tcW w:w="2812" w:type="dxa"/>
            <w:shd w:val="clear" w:color="auto" w:fill="C6EFCE"/>
            <w:noWrap/>
            <w:vAlign w:val="center"/>
          </w:tcPr>
          <w:p w14:paraId="3B122555" w14:textId="77777777" w:rsidR="00C45D59" w:rsidRDefault="009B0962">
            <w:pPr>
              <w:pStyle w:val="P68B1DB1-Normal16"/>
              <w:keepNext/>
              <w:spacing w:before="40" w:after="0" w:line="240" w:lineRule="auto"/>
              <w:rPr>
                <w:noProof/>
              </w:rPr>
            </w:pPr>
            <w:r>
              <w:rPr>
                <w:noProof/>
              </w:rPr>
              <w:t>Realizarea transformării digitale a proiectelor din sectorul agroalimentar</w:t>
            </w:r>
          </w:p>
        </w:tc>
      </w:tr>
      <w:tr w:rsidR="00C45D59" w14:paraId="48828C45" w14:textId="77777777">
        <w:trPr>
          <w:trHeight w:val="302"/>
          <w:jc w:val="center"/>
        </w:trPr>
        <w:tc>
          <w:tcPr>
            <w:tcW w:w="959" w:type="dxa"/>
            <w:shd w:val="clear" w:color="auto" w:fill="C6EFCE"/>
            <w:noWrap/>
            <w:vAlign w:val="center"/>
          </w:tcPr>
          <w:p w14:paraId="1F9E82A8" w14:textId="77777777" w:rsidR="00C45D59" w:rsidRDefault="009B0962">
            <w:pPr>
              <w:pStyle w:val="P68B1DB1-Normal55"/>
              <w:keepNext/>
              <w:spacing w:before="40" w:after="0" w:line="259" w:lineRule="auto"/>
              <w:rPr>
                <w:rFonts w:eastAsia="Times New Roman" w:cs="Times New Roman"/>
                <w:bCs/>
                <w:noProof/>
                <w:szCs w:val="18"/>
              </w:rPr>
            </w:pPr>
            <w:r>
              <w:rPr>
                <w:noProof/>
              </w:rPr>
              <w:t>353</w:t>
            </w:r>
          </w:p>
        </w:tc>
        <w:tc>
          <w:tcPr>
            <w:tcW w:w="4407" w:type="dxa"/>
            <w:shd w:val="clear" w:color="auto" w:fill="C6EFCE"/>
            <w:noWrap/>
            <w:vAlign w:val="center"/>
          </w:tcPr>
          <w:p w14:paraId="1F073C87" w14:textId="77777777" w:rsidR="00C45D59" w:rsidRDefault="009B0962">
            <w:pPr>
              <w:pStyle w:val="P68B1DB1-Normal55"/>
              <w:keepNext/>
              <w:spacing w:before="40" w:after="0" w:line="259" w:lineRule="auto"/>
              <w:rPr>
                <w:rFonts w:eastAsia="Times New Roman" w:cs="Times New Roman"/>
                <w:bCs/>
                <w:noProof/>
                <w:szCs w:val="18"/>
              </w:rPr>
            </w:pPr>
            <w:r>
              <w:rPr>
                <w:noProof/>
              </w:rPr>
              <w:t>20-5.1. Reformele REPowerEU – 16989_Optimizarea utilizării spațiului terestru și maritim pentru dezvoltarea surselor regenerabile de energie și a energiei eoliene offshore</w:t>
            </w:r>
          </w:p>
        </w:tc>
        <w:tc>
          <w:tcPr>
            <w:tcW w:w="1417" w:type="dxa"/>
            <w:shd w:val="clear" w:color="auto" w:fill="C6EFCE"/>
            <w:noWrap/>
            <w:vAlign w:val="center"/>
          </w:tcPr>
          <w:p w14:paraId="73A9C42E" w14:textId="77777777" w:rsidR="00C45D59" w:rsidRDefault="009B0962">
            <w:pPr>
              <w:pStyle w:val="P68B1DB1-Normal55"/>
              <w:keepNext/>
              <w:spacing w:before="40" w:after="0" w:line="259" w:lineRule="auto"/>
              <w:rPr>
                <w:rFonts w:eastAsia="Times New Roman" w:cs="Times New Roman"/>
                <w:noProof/>
                <w:szCs w:val="18"/>
              </w:rPr>
            </w:pPr>
            <w:r>
              <w:rPr>
                <w:noProof/>
              </w:rPr>
              <w:t>Etapă</w:t>
            </w:r>
          </w:p>
        </w:tc>
        <w:tc>
          <w:tcPr>
            <w:tcW w:w="2812" w:type="dxa"/>
            <w:shd w:val="clear" w:color="auto" w:fill="C6EFCE"/>
            <w:noWrap/>
            <w:vAlign w:val="center"/>
          </w:tcPr>
          <w:p w14:paraId="52D8214E" w14:textId="77777777" w:rsidR="00C45D59" w:rsidRDefault="009B0962">
            <w:pPr>
              <w:pStyle w:val="P68B1DB1-Normal55"/>
              <w:keepNext/>
              <w:spacing w:before="40" w:after="0" w:line="259" w:lineRule="auto"/>
              <w:rPr>
                <w:noProof/>
              </w:rPr>
            </w:pPr>
            <w:r>
              <w:rPr>
                <w:noProof/>
              </w:rPr>
              <w:t>Identificarea domeniilor pentru sursele regenerabile de energie și a cadrului pentru dubla utilizare a terenurilor pentru agricultură și energia fotovoltaică</w:t>
            </w:r>
          </w:p>
        </w:tc>
      </w:tr>
      <w:tr w:rsidR="00C45D59" w14:paraId="6237EB4D" w14:textId="77777777">
        <w:trPr>
          <w:trHeight w:val="302"/>
          <w:jc w:val="center"/>
        </w:trPr>
        <w:tc>
          <w:tcPr>
            <w:tcW w:w="959" w:type="dxa"/>
            <w:shd w:val="clear" w:color="auto" w:fill="C6EFCE"/>
            <w:noWrap/>
            <w:vAlign w:val="center"/>
          </w:tcPr>
          <w:p w14:paraId="534C1239" w14:textId="77777777" w:rsidR="00C45D59" w:rsidRDefault="009B0962">
            <w:pPr>
              <w:pStyle w:val="P68B1DB1-Normal55"/>
              <w:keepNext/>
              <w:spacing w:before="40" w:after="0" w:line="259" w:lineRule="auto"/>
              <w:rPr>
                <w:noProof/>
              </w:rPr>
            </w:pPr>
            <w:r>
              <w:rPr>
                <w:noProof/>
              </w:rPr>
              <w:t>355</w:t>
            </w:r>
          </w:p>
        </w:tc>
        <w:tc>
          <w:tcPr>
            <w:tcW w:w="4407" w:type="dxa"/>
            <w:shd w:val="clear" w:color="auto" w:fill="C6EFCE"/>
            <w:noWrap/>
            <w:vAlign w:val="center"/>
          </w:tcPr>
          <w:p w14:paraId="286408C6" w14:textId="77777777" w:rsidR="00C45D59" w:rsidRDefault="009B0962">
            <w:pPr>
              <w:pStyle w:val="P68B1DB1-Normal55"/>
              <w:keepNext/>
              <w:spacing w:before="40" w:after="0" w:line="259" w:lineRule="auto"/>
              <w:rPr>
                <w:noProof/>
              </w:rPr>
            </w:pPr>
            <w:r>
              <w:rPr>
                <w:noProof/>
              </w:rPr>
              <w:t xml:space="preserve">20-5.1. Reformele REPowerEU – 16988_Cadrul de reglementare și de funcționare a pieței pentru tehnologiile de captare, utilizare și stocare a dioxidului de carbon pentru a încuraja decarbonizarea industriei </w:t>
            </w:r>
          </w:p>
        </w:tc>
        <w:tc>
          <w:tcPr>
            <w:tcW w:w="1417" w:type="dxa"/>
            <w:shd w:val="clear" w:color="auto" w:fill="C6EFCE"/>
            <w:noWrap/>
            <w:vAlign w:val="center"/>
          </w:tcPr>
          <w:p w14:paraId="20B15545" w14:textId="77777777" w:rsidR="00C45D59" w:rsidRDefault="009B0962">
            <w:pPr>
              <w:pStyle w:val="P68B1DB1-Normal55"/>
              <w:keepNext/>
              <w:spacing w:before="40" w:after="0" w:line="259" w:lineRule="auto"/>
              <w:rPr>
                <w:noProof/>
              </w:rPr>
            </w:pPr>
            <w:r>
              <w:rPr>
                <w:noProof/>
              </w:rPr>
              <w:t>Etapă</w:t>
            </w:r>
          </w:p>
        </w:tc>
        <w:tc>
          <w:tcPr>
            <w:tcW w:w="2812" w:type="dxa"/>
            <w:shd w:val="clear" w:color="auto" w:fill="C6EFCE"/>
            <w:noWrap/>
            <w:vAlign w:val="center"/>
          </w:tcPr>
          <w:p w14:paraId="4E20FA87" w14:textId="77777777" w:rsidR="00C45D59" w:rsidRDefault="009B0962">
            <w:pPr>
              <w:pStyle w:val="P68B1DB1-Normal55"/>
              <w:keepNext/>
              <w:spacing w:before="40" w:after="0" w:line="259" w:lineRule="auto"/>
              <w:rPr>
                <w:noProof/>
              </w:rPr>
            </w:pPr>
            <w:r>
              <w:rPr>
                <w:noProof/>
              </w:rPr>
              <w:t>Stabilirea cadrului juridic pentru captarea, utilizarea și stocarea dioxidului de carbon.</w:t>
            </w:r>
          </w:p>
        </w:tc>
      </w:tr>
      <w:tr w:rsidR="00C45D59" w14:paraId="57D817B6" w14:textId="77777777">
        <w:trPr>
          <w:trHeight w:val="302"/>
          <w:jc w:val="center"/>
        </w:trPr>
        <w:tc>
          <w:tcPr>
            <w:tcW w:w="959" w:type="dxa"/>
            <w:shd w:val="clear" w:color="auto" w:fill="C6EFCE"/>
            <w:noWrap/>
            <w:vAlign w:val="center"/>
          </w:tcPr>
          <w:p w14:paraId="164AD625" w14:textId="77777777" w:rsidR="00C45D59" w:rsidRDefault="009B0962">
            <w:pPr>
              <w:pStyle w:val="P68B1DB1-Normal55"/>
              <w:keepNext/>
              <w:spacing w:before="40" w:after="0" w:line="259" w:lineRule="auto"/>
              <w:rPr>
                <w:rFonts w:cs="Times New Roman"/>
                <w:noProof/>
              </w:rPr>
            </w:pPr>
            <w:r>
              <w:rPr>
                <w:noProof/>
              </w:rPr>
              <w:t>359</w:t>
            </w:r>
          </w:p>
        </w:tc>
        <w:tc>
          <w:tcPr>
            <w:tcW w:w="4407" w:type="dxa"/>
            <w:shd w:val="clear" w:color="auto" w:fill="C6EFCE"/>
            <w:noWrap/>
            <w:vAlign w:val="center"/>
          </w:tcPr>
          <w:p w14:paraId="500615DE" w14:textId="77777777" w:rsidR="00C45D59" w:rsidRDefault="009B0962">
            <w:pPr>
              <w:pStyle w:val="P68B1DB1-Normal55"/>
              <w:keepNext/>
              <w:spacing w:before="40" w:after="0" w:line="259" w:lineRule="auto"/>
              <w:rPr>
                <w:rFonts w:cs="Times New Roman"/>
                <w:noProof/>
              </w:rPr>
            </w:pPr>
            <w:r>
              <w:rPr>
                <w:noProof/>
              </w:rPr>
              <w:t>20-5.1. Reformele REPowerEU – 16991_Cadrul de reglementare pentru realizarea unei rețele inteligente</w:t>
            </w:r>
          </w:p>
        </w:tc>
        <w:tc>
          <w:tcPr>
            <w:tcW w:w="1417" w:type="dxa"/>
            <w:shd w:val="clear" w:color="auto" w:fill="C6EFCE"/>
            <w:noWrap/>
            <w:vAlign w:val="center"/>
          </w:tcPr>
          <w:p w14:paraId="1481C9FB" w14:textId="77777777" w:rsidR="00C45D59" w:rsidRDefault="009B0962">
            <w:pPr>
              <w:pStyle w:val="P68B1DB1-Normal55"/>
              <w:keepNext/>
              <w:spacing w:before="40" w:after="0" w:line="259" w:lineRule="auto"/>
              <w:rPr>
                <w:rFonts w:cs="Times New Roman"/>
                <w:noProof/>
              </w:rPr>
            </w:pPr>
            <w:r>
              <w:rPr>
                <w:noProof/>
              </w:rPr>
              <w:t xml:space="preserve">Etapă </w:t>
            </w:r>
          </w:p>
        </w:tc>
        <w:tc>
          <w:tcPr>
            <w:tcW w:w="2812" w:type="dxa"/>
            <w:shd w:val="clear" w:color="auto" w:fill="C6EFCE"/>
            <w:noWrap/>
            <w:vAlign w:val="center"/>
          </w:tcPr>
          <w:p w14:paraId="522E5DFA" w14:textId="77777777" w:rsidR="00C45D59" w:rsidRDefault="009B0962">
            <w:pPr>
              <w:pStyle w:val="P68B1DB1-Normal55"/>
              <w:keepNext/>
              <w:spacing w:before="40" w:after="0" w:line="259" w:lineRule="auto"/>
              <w:rPr>
                <w:rFonts w:cs="Times New Roman"/>
                <w:noProof/>
              </w:rPr>
            </w:pPr>
            <w:r>
              <w:rPr>
                <w:noProof/>
              </w:rPr>
              <w:t xml:space="preserve">Cadrul pentru contractele cu prețuri dinamice </w:t>
            </w:r>
          </w:p>
        </w:tc>
      </w:tr>
      <w:tr w:rsidR="00C45D59" w14:paraId="62BF06E4" w14:textId="77777777">
        <w:trPr>
          <w:trHeight w:val="302"/>
          <w:jc w:val="center"/>
        </w:trPr>
        <w:tc>
          <w:tcPr>
            <w:tcW w:w="959" w:type="dxa"/>
            <w:shd w:val="clear" w:color="auto" w:fill="C6EFCE"/>
            <w:noWrap/>
            <w:vAlign w:val="center"/>
          </w:tcPr>
          <w:p w14:paraId="18127D6E" w14:textId="77777777" w:rsidR="00C45D59" w:rsidRDefault="00C45D59">
            <w:pPr>
              <w:keepNext/>
              <w:spacing w:before="40" w:after="0" w:line="259" w:lineRule="auto"/>
              <w:rPr>
                <w:rFonts w:ascii="Times New Roman" w:eastAsia="Times New Roman" w:hAnsi="Times New Roman" w:cs="Times New Roman"/>
                <w:bCs/>
                <w:noProof/>
                <w:sz w:val="18"/>
                <w:szCs w:val="18"/>
              </w:rPr>
            </w:pPr>
          </w:p>
        </w:tc>
        <w:tc>
          <w:tcPr>
            <w:tcW w:w="4407" w:type="dxa"/>
            <w:shd w:val="clear" w:color="auto" w:fill="C6EFCE"/>
            <w:noWrap/>
            <w:vAlign w:val="center"/>
          </w:tcPr>
          <w:p w14:paraId="1862B669" w14:textId="77777777" w:rsidR="00C45D59" w:rsidRDefault="00C45D59">
            <w:pPr>
              <w:keepNext/>
              <w:spacing w:before="40" w:after="0" w:line="259" w:lineRule="auto"/>
              <w:rPr>
                <w:rFonts w:ascii="Times New Roman" w:eastAsia="Times New Roman" w:hAnsi="Times New Roman" w:cs="Times New Roman"/>
                <w:bCs/>
                <w:noProof/>
                <w:sz w:val="18"/>
                <w:szCs w:val="18"/>
              </w:rPr>
            </w:pPr>
          </w:p>
        </w:tc>
        <w:tc>
          <w:tcPr>
            <w:tcW w:w="1417" w:type="dxa"/>
            <w:shd w:val="clear" w:color="auto" w:fill="C6EFCE"/>
            <w:noWrap/>
            <w:vAlign w:val="center"/>
          </w:tcPr>
          <w:p w14:paraId="1DFC9EA2" w14:textId="77777777" w:rsidR="00C45D59" w:rsidRDefault="009B0962">
            <w:pPr>
              <w:pStyle w:val="P68B1DB1-Normal55"/>
              <w:keepNext/>
              <w:spacing w:before="40" w:after="0" w:line="259" w:lineRule="auto"/>
              <w:rPr>
                <w:rFonts w:eastAsia="Times New Roman" w:cs="Times New Roman"/>
                <w:noProof/>
                <w:szCs w:val="18"/>
              </w:rPr>
            </w:pPr>
            <w:r>
              <w:rPr>
                <w:noProof/>
              </w:rPr>
              <w:t>Cuantumul tranșei</w:t>
            </w:r>
          </w:p>
        </w:tc>
        <w:tc>
          <w:tcPr>
            <w:tcW w:w="2812" w:type="dxa"/>
            <w:shd w:val="clear" w:color="auto" w:fill="C6EFCE"/>
            <w:noWrap/>
            <w:vAlign w:val="center"/>
          </w:tcPr>
          <w:p w14:paraId="7F5E6113" w14:textId="77777777" w:rsidR="00C45D59" w:rsidRDefault="009B0962">
            <w:pPr>
              <w:pStyle w:val="P68B1DB1-Normal55"/>
              <w:keepNext/>
              <w:spacing w:before="40" w:after="0" w:line="259" w:lineRule="auto"/>
              <w:rPr>
                <w:rFonts w:eastAsia="Times New Roman" w:cs="Times New Roman"/>
                <w:noProof/>
                <w:szCs w:val="18"/>
              </w:rPr>
            </w:pPr>
            <w:r>
              <w:rPr>
                <w:noProof/>
              </w:rPr>
              <w:t>1 022 674 930 MIL.</w:t>
            </w:r>
          </w:p>
        </w:tc>
      </w:tr>
    </w:tbl>
    <w:p w14:paraId="557855BC" w14:textId="4DD49265" w:rsidR="00C45D59" w:rsidRDefault="00C45D59">
      <w:pPr>
        <w:keepNext/>
        <w:spacing w:before="40" w:after="160" w:line="259" w:lineRule="auto"/>
        <w:contextualSpacing/>
        <w:jc w:val="both"/>
        <w:rPr>
          <w:rFonts w:ascii="Times New Roman" w:eastAsia="Times New Roman" w:hAnsi="Times New Roman" w:cs="Times New Roman"/>
          <w:noProof/>
          <w:sz w:val="24"/>
        </w:rPr>
      </w:pPr>
    </w:p>
    <w:p w14:paraId="047DDF46" w14:textId="2A3AA7E5" w:rsidR="00C45D59" w:rsidRDefault="001D5265">
      <w:pPr>
        <w:pStyle w:val="P68B1DB1-ListParagraph32"/>
        <w:numPr>
          <w:ilvl w:val="1"/>
          <w:numId w:val="93"/>
        </w:numPr>
        <w:rPr>
          <w:rFonts w:eastAsia="Times New Roman" w:cs="Times New Roman"/>
          <w:noProof/>
        </w:rPr>
      </w:pPr>
      <w:r>
        <w:rPr>
          <w:noProof/>
        </w:rPr>
        <w:t xml:space="preserve"> A opta cerere de plată (sprijin nerambursabil): </w:t>
      </w:r>
    </w:p>
    <w:tbl>
      <w:tblPr>
        <w:tblW w:w="9588" w:type="dxa"/>
        <w:jc w:val="center"/>
        <w:tblLayout w:type="fixed"/>
        <w:tblLook w:val="04A0" w:firstRow="1" w:lastRow="0" w:firstColumn="1" w:lastColumn="0" w:noHBand="0" w:noVBand="1"/>
      </w:tblPr>
      <w:tblGrid>
        <w:gridCol w:w="1101"/>
        <w:gridCol w:w="4677"/>
        <w:gridCol w:w="1380"/>
        <w:gridCol w:w="2430"/>
      </w:tblGrid>
      <w:tr w:rsidR="00C45D59" w14:paraId="65973A85" w14:textId="77777777">
        <w:trPr>
          <w:trHeight w:val="1266"/>
          <w:tblHeader/>
          <w:jc w:val="center"/>
        </w:trPr>
        <w:tc>
          <w:tcPr>
            <w:tcW w:w="1101"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378F6FD6" w14:textId="1E2D563C" w:rsidR="00C45D59" w:rsidRDefault="009B0962">
            <w:pPr>
              <w:pStyle w:val="P68B1DB1-Normal15"/>
              <w:keepNext/>
              <w:spacing w:before="40" w:after="0" w:line="259" w:lineRule="auto"/>
              <w:jc w:val="center"/>
              <w:rPr>
                <w:rFonts w:eastAsia="Times New Roman"/>
                <w:bCs/>
                <w:noProof/>
              </w:rPr>
            </w:pPr>
            <w:r>
              <w:rPr>
                <w:noProof/>
              </w:rPr>
              <w:t>N</w:t>
            </w:r>
            <w:r w:rsidR="00D15349">
              <w:rPr>
                <w:noProof/>
              </w:rPr>
              <w:t>r.</w:t>
            </w:r>
            <w:r>
              <w:rPr>
                <w:noProof/>
              </w:rPr>
              <w:t xml:space="preserve"> </w:t>
            </w:r>
            <w:r>
              <w:rPr>
                <w:noProof/>
              </w:rPr>
              <w:br/>
            </w:r>
            <w:r w:rsidR="00D15349">
              <w:rPr>
                <w:noProof/>
              </w:rPr>
              <w:t>crt</w:t>
            </w:r>
            <w:r>
              <w:rPr>
                <w:noProof/>
              </w:rPr>
              <w:t>.</w:t>
            </w:r>
          </w:p>
        </w:tc>
        <w:tc>
          <w:tcPr>
            <w:tcW w:w="4677"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4C231FF" w14:textId="77777777" w:rsidR="00C45D59" w:rsidRDefault="009B0962">
            <w:pPr>
              <w:pStyle w:val="P68B1DB1-Normal10"/>
              <w:keepNext/>
              <w:spacing w:before="40" w:after="0" w:line="259" w:lineRule="auto"/>
              <w:jc w:val="center"/>
              <w:rPr>
                <w:rFonts w:eastAsia="Times New Roman" w:cs="Times New Roman"/>
                <w:bCs/>
                <w:noProof/>
                <w:szCs w:val="18"/>
              </w:rPr>
            </w:pPr>
            <w:r>
              <w:rPr>
                <w:noProof/>
              </w:rPr>
              <w:t>Măsură conexă (reformă sau investiții)</w:t>
            </w:r>
          </w:p>
        </w:tc>
        <w:tc>
          <w:tcPr>
            <w:tcW w:w="1380"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7904C186" w14:textId="77777777" w:rsidR="00C45D59" w:rsidRDefault="009B0962">
            <w:pPr>
              <w:pStyle w:val="P68B1DB1-Normal10"/>
              <w:keepNext/>
              <w:spacing w:before="40" w:after="0" w:line="259" w:lineRule="auto"/>
              <w:jc w:val="center"/>
              <w:rPr>
                <w:rFonts w:eastAsia="Times New Roman" w:cs="Times New Roman"/>
                <w:bCs/>
                <w:noProof/>
                <w:szCs w:val="18"/>
              </w:rPr>
            </w:pPr>
            <w:r>
              <w:rPr>
                <w:noProof/>
              </w:rPr>
              <w:t>Etapă/Obiectiv</w:t>
            </w:r>
          </w:p>
        </w:tc>
        <w:tc>
          <w:tcPr>
            <w:tcW w:w="2430"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4681333B" w14:textId="7FD650C5" w:rsidR="00C45D59" w:rsidRDefault="00D15349">
            <w:pPr>
              <w:pStyle w:val="P68B1DB1-Normal10"/>
              <w:keepNext/>
              <w:spacing w:before="40" w:after="0" w:line="259" w:lineRule="auto"/>
              <w:jc w:val="center"/>
              <w:rPr>
                <w:rFonts w:eastAsia="Times New Roman" w:cs="Times New Roman"/>
                <w:bCs/>
                <w:noProof/>
                <w:szCs w:val="18"/>
              </w:rPr>
            </w:pPr>
            <w:r>
              <w:rPr>
                <w:noProof/>
              </w:rPr>
              <w:t>Denumire</w:t>
            </w:r>
          </w:p>
        </w:tc>
      </w:tr>
      <w:tr w:rsidR="00C45D59" w14:paraId="6784B6E5" w14:textId="77777777">
        <w:trPr>
          <w:trHeight w:val="30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5ACE338" w14:textId="77777777" w:rsidR="00C45D59" w:rsidRDefault="009B0962">
            <w:pPr>
              <w:pStyle w:val="P68B1DB1-Normal16"/>
              <w:keepNext/>
              <w:spacing w:before="40" w:after="0" w:line="240" w:lineRule="auto"/>
              <w:jc w:val="both"/>
              <w:rPr>
                <w:noProof/>
              </w:rPr>
            </w:pPr>
            <w:r>
              <w:rPr>
                <w:noProof/>
              </w:rPr>
              <w:t>385</w:t>
            </w:r>
          </w:p>
        </w:tc>
        <w:tc>
          <w:tcPr>
            <w:tcW w:w="4677" w:type="dxa"/>
            <w:tcBorders>
              <w:top w:val="single" w:sz="4" w:space="0" w:color="auto"/>
              <w:left w:val="nil"/>
              <w:bottom w:val="single" w:sz="4" w:space="0" w:color="auto"/>
              <w:right w:val="single" w:sz="4" w:space="0" w:color="auto"/>
            </w:tcBorders>
            <w:shd w:val="clear" w:color="auto" w:fill="C6EFCE"/>
            <w:noWrap/>
            <w:vAlign w:val="center"/>
          </w:tcPr>
          <w:p w14:paraId="0495D28F" w14:textId="77777777" w:rsidR="00C45D59" w:rsidRDefault="009B0962">
            <w:pPr>
              <w:pStyle w:val="P68B1DB1-Normal16"/>
              <w:keepNext/>
              <w:spacing w:before="40" w:after="0" w:line="240" w:lineRule="auto"/>
              <w:jc w:val="both"/>
              <w:rPr>
                <w:noProof/>
              </w:rPr>
            </w:pPr>
            <w:r>
              <w:rPr>
                <w:noProof/>
              </w:rPr>
              <w:t>1.4. Utilizarea durabilă a resurselor, reziliența la schimbările climatice și protecția mediului – 16404_Programul de dezvoltare pentru administrația locală „Antonis Tritsis”</w:t>
            </w:r>
          </w:p>
        </w:tc>
        <w:tc>
          <w:tcPr>
            <w:tcW w:w="1380" w:type="dxa"/>
            <w:tcBorders>
              <w:top w:val="single" w:sz="4" w:space="0" w:color="auto"/>
              <w:left w:val="nil"/>
              <w:bottom w:val="single" w:sz="4" w:space="0" w:color="auto"/>
              <w:right w:val="single" w:sz="4" w:space="0" w:color="auto"/>
            </w:tcBorders>
            <w:shd w:val="clear" w:color="auto" w:fill="C6EFCE"/>
            <w:noWrap/>
            <w:vAlign w:val="center"/>
          </w:tcPr>
          <w:p w14:paraId="02BB6B21" w14:textId="77777777" w:rsidR="00C45D59" w:rsidRDefault="009B0962">
            <w:pPr>
              <w:pStyle w:val="P68B1DB1-Normal16"/>
              <w:keepNext/>
              <w:spacing w:before="40" w:after="0" w:line="240" w:lineRule="auto"/>
              <w:jc w:val="both"/>
              <w:rPr>
                <w:noProof/>
              </w:rPr>
            </w:pPr>
            <w:r>
              <w:rPr>
                <w:noProof/>
              </w:rPr>
              <w:t>Etapă</w:t>
            </w:r>
          </w:p>
        </w:tc>
        <w:tc>
          <w:tcPr>
            <w:tcW w:w="2430" w:type="dxa"/>
            <w:tcBorders>
              <w:top w:val="single" w:sz="4" w:space="0" w:color="auto"/>
              <w:left w:val="nil"/>
              <w:bottom w:val="single" w:sz="4" w:space="0" w:color="auto"/>
              <w:right w:val="single" w:sz="4" w:space="0" w:color="auto"/>
            </w:tcBorders>
            <w:shd w:val="clear" w:color="auto" w:fill="C6EFCE"/>
            <w:noWrap/>
            <w:vAlign w:val="center"/>
          </w:tcPr>
          <w:p w14:paraId="6B0986C9" w14:textId="77777777" w:rsidR="00C45D59" w:rsidRDefault="009B0962">
            <w:pPr>
              <w:pStyle w:val="P68B1DB1-Normal16"/>
              <w:keepNext/>
              <w:spacing w:before="40" w:after="0" w:line="240" w:lineRule="auto"/>
              <w:jc w:val="both"/>
              <w:rPr>
                <w:noProof/>
              </w:rPr>
            </w:pPr>
            <w:r>
              <w:rPr>
                <w:noProof/>
              </w:rPr>
              <w:t>Programul de dezvoltare pentru administrația locală „Antonis Tritsis”</w:t>
            </w:r>
          </w:p>
        </w:tc>
      </w:tr>
      <w:tr w:rsidR="00C45D59" w14:paraId="5B9A32EF" w14:textId="77777777">
        <w:trPr>
          <w:trHeight w:val="302"/>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tcPr>
          <w:p w14:paraId="696952EB" w14:textId="77777777" w:rsidR="00C45D59" w:rsidRDefault="009B0962">
            <w:pPr>
              <w:pStyle w:val="P68B1DB1-Normal16"/>
              <w:keepNext/>
              <w:spacing w:before="40" w:after="0" w:line="240" w:lineRule="auto"/>
              <w:jc w:val="both"/>
              <w:rPr>
                <w:noProof/>
              </w:rPr>
            </w:pPr>
            <w:r>
              <w:rPr>
                <w:noProof/>
              </w:rPr>
              <w:t>45a</w:t>
            </w:r>
          </w:p>
        </w:tc>
        <w:tc>
          <w:tcPr>
            <w:tcW w:w="4677" w:type="dxa"/>
            <w:tcBorders>
              <w:top w:val="single" w:sz="4" w:space="0" w:color="auto"/>
              <w:left w:val="nil"/>
              <w:bottom w:val="single" w:sz="4" w:space="0" w:color="auto"/>
              <w:right w:val="single" w:sz="4" w:space="0" w:color="auto"/>
            </w:tcBorders>
            <w:shd w:val="clear" w:color="auto" w:fill="C6EFCE"/>
            <w:noWrap/>
          </w:tcPr>
          <w:p w14:paraId="089EF883" w14:textId="77777777" w:rsidR="00C45D59" w:rsidRDefault="009B0962">
            <w:pPr>
              <w:pStyle w:val="P68B1DB1-Normal16"/>
              <w:keepNext/>
              <w:spacing w:before="40" w:after="0" w:line="240" w:lineRule="auto"/>
              <w:jc w:val="both"/>
              <w:rPr>
                <w:noProof/>
              </w:rPr>
            </w:pPr>
            <w:r>
              <w:rPr>
                <w:noProof/>
              </w:rPr>
              <w:t>3-1.3. Reîncărcare și realimentare – 16924_ Electromobilitate</w:t>
            </w:r>
          </w:p>
        </w:tc>
        <w:tc>
          <w:tcPr>
            <w:tcW w:w="1380" w:type="dxa"/>
            <w:tcBorders>
              <w:top w:val="single" w:sz="4" w:space="0" w:color="auto"/>
              <w:left w:val="nil"/>
              <w:bottom w:val="single" w:sz="4" w:space="0" w:color="auto"/>
              <w:right w:val="single" w:sz="4" w:space="0" w:color="auto"/>
            </w:tcBorders>
            <w:shd w:val="clear" w:color="auto" w:fill="C6EFCE"/>
            <w:noWrap/>
          </w:tcPr>
          <w:p w14:paraId="55B065B9" w14:textId="77777777" w:rsidR="00C45D59" w:rsidRDefault="009B0962">
            <w:pPr>
              <w:pStyle w:val="P68B1DB1-Normal16"/>
              <w:keepNext/>
              <w:spacing w:before="40" w:after="0" w:line="240" w:lineRule="auto"/>
              <w:jc w:val="both"/>
              <w:rPr>
                <w:noProof/>
              </w:rPr>
            </w:pPr>
            <w:r>
              <w:rPr>
                <w:noProof/>
              </w:rPr>
              <w:t>Etapă</w:t>
            </w:r>
          </w:p>
        </w:tc>
        <w:tc>
          <w:tcPr>
            <w:tcW w:w="2430" w:type="dxa"/>
            <w:tcBorders>
              <w:top w:val="single" w:sz="4" w:space="0" w:color="auto"/>
              <w:left w:val="nil"/>
              <w:bottom w:val="single" w:sz="4" w:space="0" w:color="auto"/>
              <w:right w:val="single" w:sz="4" w:space="0" w:color="auto"/>
            </w:tcBorders>
            <w:shd w:val="clear" w:color="auto" w:fill="C6EFCE"/>
            <w:noWrap/>
          </w:tcPr>
          <w:p w14:paraId="6B3B4385" w14:textId="77777777" w:rsidR="00C45D59" w:rsidRDefault="009B0962">
            <w:pPr>
              <w:pStyle w:val="P68B1DB1-Normal16"/>
              <w:keepNext/>
              <w:spacing w:before="40" w:after="0" w:line="240" w:lineRule="auto"/>
              <w:jc w:val="both"/>
              <w:rPr>
                <w:noProof/>
              </w:rPr>
            </w:pPr>
            <w:r>
              <w:rPr>
                <w:noProof/>
              </w:rPr>
              <w:t>Autobuz pentru transportul public – publicarea cererilor de oferte pentru regiuni</w:t>
            </w:r>
          </w:p>
        </w:tc>
      </w:tr>
      <w:tr w:rsidR="00C45D59" w14:paraId="791E4879" w14:textId="77777777">
        <w:trPr>
          <w:trHeight w:val="302"/>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3F3AE01" w14:textId="6647C70D" w:rsidR="00C45D59" w:rsidRDefault="009B0962">
            <w:pPr>
              <w:pStyle w:val="P68B1DB1-Normal55"/>
              <w:spacing w:line="240" w:lineRule="auto"/>
              <w:jc w:val="both"/>
              <w:rPr>
                <w:rFonts w:cs="Times New Roman"/>
                <w:noProof/>
                <w:szCs w:val="18"/>
              </w:rPr>
            </w:pPr>
            <w:r>
              <w:rPr>
                <w:noProof/>
              </w:rPr>
              <w:t>241</w:t>
            </w:r>
          </w:p>
        </w:tc>
        <w:tc>
          <w:tcPr>
            <w:tcW w:w="4677" w:type="dxa"/>
            <w:tcBorders>
              <w:top w:val="single" w:sz="4" w:space="0" w:color="auto"/>
              <w:left w:val="nil"/>
              <w:bottom w:val="single" w:sz="4" w:space="0" w:color="auto"/>
              <w:right w:val="single" w:sz="4" w:space="0" w:color="auto"/>
            </w:tcBorders>
            <w:shd w:val="clear" w:color="auto" w:fill="C6EFCE"/>
            <w:noWrap/>
            <w:vAlign w:val="center"/>
          </w:tcPr>
          <w:p w14:paraId="066711F1" w14:textId="28AB6AE0" w:rsidR="00C45D59" w:rsidRDefault="009B0962">
            <w:pPr>
              <w:pStyle w:val="P68B1DB1-Normal11"/>
              <w:keepNext/>
              <w:spacing w:before="40" w:after="0" w:line="240" w:lineRule="auto"/>
              <w:jc w:val="both"/>
              <w:rPr>
                <w:rFonts w:cs="Times New Roman"/>
                <w:noProof/>
              </w:rPr>
            </w:pPr>
            <w:r>
              <w:rPr>
                <w:noProof/>
              </w:rPr>
              <w:t>15-4.4. Consolidarea sectorului financiar și a piețelor de capital – 16580_Punerea în aplicare a noului cadru unificat în materie de insolvență pentru restructurarea datoriei și a 2-a șansă</w:t>
            </w:r>
          </w:p>
        </w:tc>
        <w:tc>
          <w:tcPr>
            <w:tcW w:w="1380" w:type="dxa"/>
            <w:tcBorders>
              <w:top w:val="single" w:sz="4" w:space="0" w:color="auto"/>
              <w:left w:val="nil"/>
              <w:bottom w:val="single" w:sz="4" w:space="0" w:color="auto"/>
              <w:right w:val="single" w:sz="4" w:space="0" w:color="auto"/>
            </w:tcBorders>
            <w:shd w:val="clear" w:color="auto" w:fill="C6EFCE"/>
            <w:noWrap/>
            <w:vAlign w:val="center"/>
          </w:tcPr>
          <w:p w14:paraId="3B27F928" w14:textId="532FD1B7" w:rsidR="00C45D59" w:rsidRDefault="009B0962">
            <w:pPr>
              <w:pStyle w:val="P68B1DB1-Normal55"/>
              <w:keepNext/>
              <w:spacing w:before="40" w:after="0" w:line="240" w:lineRule="auto"/>
              <w:jc w:val="both"/>
              <w:rPr>
                <w:rFonts w:cs="Times New Roman"/>
                <w:noProof/>
                <w:szCs w:val="18"/>
              </w:rPr>
            </w:pPr>
            <w:r>
              <w:rPr>
                <w:noProof/>
              </w:rPr>
              <w:t>Etapă</w:t>
            </w:r>
          </w:p>
        </w:tc>
        <w:tc>
          <w:tcPr>
            <w:tcW w:w="2430" w:type="dxa"/>
            <w:tcBorders>
              <w:top w:val="single" w:sz="4" w:space="0" w:color="auto"/>
              <w:left w:val="nil"/>
              <w:bottom w:val="single" w:sz="4" w:space="0" w:color="auto"/>
              <w:right w:val="single" w:sz="4" w:space="0" w:color="auto"/>
            </w:tcBorders>
            <w:shd w:val="clear" w:color="auto" w:fill="C6EFCE"/>
            <w:noWrap/>
            <w:vAlign w:val="center"/>
          </w:tcPr>
          <w:p w14:paraId="078E4CA0" w14:textId="6C8D381D" w:rsidR="00C45D59" w:rsidRDefault="009B0962">
            <w:pPr>
              <w:pStyle w:val="P68B1DB1-Normal55"/>
              <w:keepNext/>
              <w:spacing w:before="40" w:after="0" w:line="240" w:lineRule="auto"/>
              <w:jc w:val="both"/>
              <w:rPr>
                <w:rFonts w:cs="Times New Roman"/>
                <w:noProof/>
                <w:szCs w:val="18"/>
              </w:rPr>
            </w:pPr>
            <w:r>
              <w:rPr>
                <w:noProof/>
              </w:rPr>
              <w:t>Modernizarea sistemelor informatice de alertă timpurie și de restructurare a datoriilor</w:t>
            </w:r>
          </w:p>
        </w:tc>
      </w:tr>
      <w:tr w:rsidR="00C45D59" w14:paraId="6EB5F1DF" w14:textId="77777777">
        <w:trPr>
          <w:trHeight w:val="302"/>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tcPr>
          <w:p w14:paraId="3142CA1A" w14:textId="3E9BA592" w:rsidR="00C45D59" w:rsidRDefault="009B0962">
            <w:pPr>
              <w:pStyle w:val="P68B1DB1-Normal16"/>
              <w:spacing w:line="240" w:lineRule="auto"/>
              <w:jc w:val="both"/>
              <w:rPr>
                <w:noProof/>
              </w:rPr>
            </w:pPr>
            <w:r>
              <w:rPr>
                <w:noProof/>
              </w:rPr>
              <w:t>109</w:t>
            </w:r>
          </w:p>
        </w:tc>
        <w:tc>
          <w:tcPr>
            <w:tcW w:w="4677" w:type="dxa"/>
            <w:tcBorders>
              <w:top w:val="single" w:sz="4" w:space="0" w:color="auto"/>
              <w:left w:val="nil"/>
              <w:bottom w:val="single" w:sz="4" w:space="0" w:color="auto"/>
              <w:right w:val="single" w:sz="4" w:space="0" w:color="auto"/>
            </w:tcBorders>
            <w:shd w:val="clear" w:color="auto" w:fill="C6EFCE"/>
            <w:noWrap/>
          </w:tcPr>
          <w:p w14:paraId="59B58171" w14:textId="0D81291D" w:rsidR="00C45D59" w:rsidRDefault="009B0962">
            <w:pPr>
              <w:pStyle w:val="P68B1DB1-Normal16"/>
              <w:keepNext/>
              <w:spacing w:before="40" w:after="0" w:line="240" w:lineRule="auto"/>
              <w:jc w:val="both"/>
              <w:rPr>
                <w:noProof/>
              </w:rPr>
            </w:pPr>
            <w:r>
              <w:rPr>
                <w:noProof/>
              </w:rPr>
              <w:t>6-2.2. Modernizare – 16810_CRM pentru administrația publică</w:t>
            </w:r>
          </w:p>
        </w:tc>
        <w:tc>
          <w:tcPr>
            <w:tcW w:w="1380" w:type="dxa"/>
            <w:tcBorders>
              <w:top w:val="single" w:sz="4" w:space="0" w:color="auto"/>
              <w:left w:val="nil"/>
              <w:bottom w:val="single" w:sz="4" w:space="0" w:color="auto"/>
              <w:right w:val="single" w:sz="4" w:space="0" w:color="auto"/>
            </w:tcBorders>
            <w:shd w:val="clear" w:color="auto" w:fill="C6EFCE"/>
            <w:noWrap/>
          </w:tcPr>
          <w:p w14:paraId="10953912" w14:textId="745FDC83" w:rsidR="00C45D59" w:rsidRDefault="009B0962">
            <w:pPr>
              <w:pStyle w:val="P68B1DB1-Normal16"/>
              <w:keepNext/>
              <w:spacing w:before="40" w:after="0" w:line="240" w:lineRule="auto"/>
              <w:jc w:val="both"/>
              <w:rPr>
                <w:noProof/>
              </w:rPr>
            </w:pPr>
            <w:r>
              <w:rPr>
                <w:noProof/>
              </w:rPr>
              <w:t>Etapă</w:t>
            </w:r>
          </w:p>
        </w:tc>
        <w:tc>
          <w:tcPr>
            <w:tcW w:w="2430" w:type="dxa"/>
            <w:tcBorders>
              <w:top w:val="single" w:sz="4" w:space="0" w:color="auto"/>
              <w:left w:val="nil"/>
              <w:bottom w:val="single" w:sz="4" w:space="0" w:color="auto"/>
              <w:right w:val="single" w:sz="4" w:space="0" w:color="auto"/>
            </w:tcBorders>
            <w:shd w:val="clear" w:color="auto" w:fill="C6EFCE"/>
            <w:noWrap/>
          </w:tcPr>
          <w:p w14:paraId="5390B808" w14:textId="194906E0" w:rsidR="00C45D59" w:rsidRDefault="009B0962">
            <w:pPr>
              <w:pStyle w:val="P68B1DB1-Normal16"/>
              <w:keepNext/>
              <w:spacing w:before="40" w:after="0" w:line="240" w:lineRule="auto"/>
              <w:jc w:val="both"/>
              <w:rPr>
                <w:noProof/>
              </w:rPr>
            </w:pPr>
            <w:r>
              <w:rPr>
                <w:noProof/>
              </w:rPr>
              <w:t>Sistemul de gestionare a relațiilor cu clienții pentru administrația publică și Gov.gr – mesager</w:t>
            </w:r>
          </w:p>
        </w:tc>
      </w:tr>
      <w:tr w:rsidR="00C45D59" w14:paraId="76CB1367" w14:textId="77777777">
        <w:trPr>
          <w:trHeight w:val="302"/>
          <w:jc w:val="center"/>
        </w:trPr>
        <w:tc>
          <w:tcPr>
            <w:tcW w:w="1101" w:type="dxa"/>
            <w:tcBorders>
              <w:top w:val="nil"/>
              <w:left w:val="single" w:sz="4" w:space="0" w:color="auto"/>
              <w:bottom w:val="single" w:sz="4" w:space="0" w:color="auto"/>
              <w:right w:val="single" w:sz="4" w:space="0" w:color="auto"/>
            </w:tcBorders>
            <w:shd w:val="clear" w:color="auto" w:fill="C6EFCE"/>
            <w:noWrap/>
            <w:vAlign w:val="center"/>
          </w:tcPr>
          <w:p w14:paraId="404763EE" w14:textId="6A470C42" w:rsidR="00C45D59" w:rsidRDefault="009B0962">
            <w:pPr>
              <w:pStyle w:val="P68B1DB1-Normal55"/>
              <w:keepNext/>
              <w:spacing w:before="40" w:after="0" w:line="240" w:lineRule="auto"/>
              <w:jc w:val="both"/>
              <w:rPr>
                <w:noProof/>
              </w:rPr>
            </w:pPr>
            <w:r>
              <w:rPr>
                <w:noProof/>
              </w:rPr>
              <w:t>92</w:t>
            </w:r>
          </w:p>
        </w:tc>
        <w:tc>
          <w:tcPr>
            <w:tcW w:w="4677" w:type="dxa"/>
            <w:tcBorders>
              <w:top w:val="nil"/>
              <w:left w:val="nil"/>
              <w:bottom w:val="single" w:sz="4" w:space="0" w:color="auto"/>
              <w:right w:val="single" w:sz="4" w:space="0" w:color="auto"/>
            </w:tcBorders>
            <w:shd w:val="clear" w:color="auto" w:fill="C6EFCE"/>
            <w:noWrap/>
            <w:vAlign w:val="center"/>
          </w:tcPr>
          <w:p w14:paraId="0DD17E00" w14:textId="42AE2042" w:rsidR="00C45D59" w:rsidRDefault="009B0962">
            <w:pPr>
              <w:pStyle w:val="P68B1DB1-Normal55"/>
              <w:keepNext/>
              <w:spacing w:before="40" w:after="0" w:line="240" w:lineRule="auto"/>
              <w:jc w:val="both"/>
              <w:rPr>
                <w:noProof/>
              </w:rPr>
            </w:pPr>
            <w:r>
              <w:rPr>
                <w:noProof/>
              </w:rPr>
              <w:t>5-2.1. Connect – 16855_Sateliți de mici dimensiuni</w:t>
            </w:r>
          </w:p>
        </w:tc>
        <w:tc>
          <w:tcPr>
            <w:tcW w:w="1380" w:type="dxa"/>
            <w:tcBorders>
              <w:top w:val="nil"/>
              <w:left w:val="nil"/>
              <w:bottom w:val="single" w:sz="4" w:space="0" w:color="auto"/>
              <w:right w:val="single" w:sz="4" w:space="0" w:color="auto"/>
            </w:tcBorders>
            <w:shd w:val="clear" w:color="auto" w:fill="C6EFCE"/>
            <w:noWrap/>
            <w:vAlign w:val="center"/>
          </w:tcPr>
          <w:p w14:paraId="38DB85FD" w14:textId="2D186D7A" w:rsidR="00C45D59" w:rsidRDefault="009B0962">
            <w:pPr>
              <w:pStyle w:val="P68B1DB1-Normal55"/>
              <w:keepNext/>
              <w:spacing w:before="40" w:after="0" w:line="240" w:lineRule="auto"/>
              <w:jc w:val="both"/>
              <w:rPr>
                <w:noProof/>
              </w:rPr>
            </w:pPr>
            <w:r>
              <w:rPr>
                <w:noProof/>
              </w:rPr>
              <w:t>Etapă</w:t>
            </w:r>
          </w:p>
        </w:tc>
        <w:tc>
          <w:tcPr>
            <w:tcW w:w="2430" w:type="dxa"/>
            <w:tcBorders>
              <w:top w:val="nil"/>
              <w:left w:val="nil"/>
              <w:bottom w:val="single" w:sz="4" w:space="0" w:color="auto"/>
              <w:right w:val="single" w:sz="4" w:space="0" w:color="auto"/>
            </w:tcBorders>
            <w:shd w:val="clear" w:color="auto" w:fill="C6EFCE"/>
            <w:noWrap/>
            <w:vAlign w:val="center"/>
          </w:tcPr>
          <w:p w14:paraId="58B01965" w14:textId="1D2CB192" w:rsidR="00C45D59" w:rsidRDefault="009B0962">
            <w:pPr>
              <w:pStyle w:val="P68B1DB1-Normal55"/>
              <w:keepNext/>
              <w:spacing w:before="40" w:after="0" w:line="240" w:lineRule="auto"/>
              <w:jc w:val="both"/>
              <w:rPr>
                <w:noProof/>
                <w:szCs w:val="18"/>
              </w:rPr>
            </w:pPr>
            <w:r>
              <w:rPr>
                <w:noProof/>
              </w:rPr>
              <w:t xml:space="preserve">Executarea proiectului „Sateliți mici” </w:t>
            </w:r>
          </w:p>
        </w:tc>
      </w:tr>
      <w:tr w:rsidR="00C45D59" w14:paraId="699D77B5" w14:textId="77777777">
        <w:trPr>
          <w:trHeight w:val="302"/>
          <w:jc w:val="center"/>
        </w:trPr>
        <w:tc>
          <w:tcPr>
            <w:tcW w:w="1101" w:type="dxa"/>
            <w:tcBorders>
              <w:top w:val="nil"/>
              <w:left w:val="single" w:sz="4" w:space="0" w:color="auto"/>
              <w:bottom w:val="single" w:sz="4" w:space="0" w:color="auto"/>
              <w:right w:val="single" w:sz="4" w:space="0" w:color="auto"/>
            </w:tcBorders>
            <w:shd w:val="clear" w:color="auto" w:fill="C6EFCE"/>
            <w:noWrap/>
            <w:vAlign w:val="center"/>
          </w:tcPr>
          <w:p w14:paraId="1CC4FEEA"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114</w:t>
            </w:r>
          </w:p>
        </w:tc>
        <w:tc>
          <w:tcPr>
            <w:tcW w:w="4677" w:type="dxa"/>
            <w:tcBorders>
              <w:top w:val="nil"/>
              <w:left w:val="nil"/>
              <w:bottom w:val="single" w:sz="4" w:space="0" w:color="auto"/>
              <w:right w:val="single" w:sz="4" w:space="0" w:color="auto"/>
            </w:tcBorders>
            <w:shd w:val="clear" w:color="auto" w:fill="C6EFCE"/>
            <w:noWrap/>
            <w:vAlign w:val="center"/>
          </w:tcPr>
          <w:p w14:paraId="4C740769"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6-2.2. Modernizare – 16742_Transformarea digitală a Ministerului Afacerilor Externe</w:t>
            </w:r>
          </w:p>
        </w:tc>
        <w:tc>
          <w:tcPr>
            <w:tcW w:w="1380" w:type="dxa"/>
            <w:tcBorders>
              <w:top w:val="nil"/>
              <w:left w:val="nil"/>
              <w:bottom w:val="single" w:sz="4" w:space="0" w:color="auto"/>
              <w:right w:val="single" w:sz="4" w:space="0" w:color="auto"/>
            </w:tcBorders>
            <w:shd w:val="clear" w:color="auto" w:fill="C6EFCE"/>
            <w:noWrap/>
            <w:vAlign w:val="center"/>
          </w:tcPr>
          <w:p w14:paraId="1A4D2E06" w14:textId="77777777" w:rsidR="00C45D59" w:rsidRDefault="009B0962">
            <w:pPr>
              <w:pStyle w:val="P68B1DB1-Normal55"/>
              <w:keepNext/>
              <w:spacing w:before="40" w:after="0" w:line="240" w:lineRule="auto"/>
              <w:jc w:val="both"/>
              <w:rPr>
                <w:rFonts w:eastAsia="Times New Roman" w:cs="Times New Roman"/>
                <w:noProof/>
                <w:szCs w:val="18"/>
              </w:rPr>
            </w:pPr>
            <w:r>
              <w:rPr>
                <w:noProof/>
              </w:rPr>
              <w:t>Etapă</w:t>
            </w:r>
          </w:p>
        </w:tc>
        <w:tc>
          <w:tcPr>
            <w:tcW w:w="2430" w:type="dxa"/>
            <w:tcBorders>
              <w:top w:val="nil"/>
              <w:left w:val="nil"/>
              <w:bottom w:val="single" w:sz="4" w:space="0" w:color="auto"/>
              <w:right w:val="single" w:sz="4" w:space="0" w:color="auto"/>
            </w:tcBorders>
            <w:shd w:val="clear" w:color="auto" w:fill="C6EFCE"/>
            <w:noWrap/>
            <w:vAlign w:val="center"/>
          </w:tcPr>
          <w:p w14:paraId="1DEB5EB8" w14:textId="77777777" w:rsidR="00C45D59" w:rsidRDefault="009B0962">
            <w:pPr>
              <w:pStyle w:val="P68B1DB1-Normal11"/>
              <w:keepNext/>
              <w:spacing w:before="40" w:after="0" w:line="240" w:lineRule="auto"/>
              <w:jc w:val="both"/>
              <w:rPr>
                <w:rFonts w:eastAsia="Times New Roman" w:cs="Times New Roman"/>
                <w:noProof/>
              </w:rPr>
            </w:pPr>
            <w:r>
              <w:rPr>
                <w:noProof/>
              </w:rPr>
              <w:t xml:space="preserve"> Transformarea digitală a Ministerului Afacerilor Externe</w:t>
            </w:r>
          </w:p>
        </w:tc>
      </w:tr>
      <w:tr w:rsidR="00C45D59" w14:paraId="2E192EC6" w14:textId="77777777">
        <w:trPr>
          <w:trHeight w:val="302"/>
          <w:jc w:val="center"/>
        </w:trPr>
        <w:tc>
          <w:tcPr>
            <w:tcW w:w="1101" w:type="dxa"/>
            <w:tcBorders>
              <w:top w:val="nil"/>
              <w:left w:val="single" w:sz="4" w:space="0" w:color="auto"/>
              <w:bottom w:val="single" w:sz="4" w:space="0" w:color="auto"/>
              <w:right w:val="single" w:sz="4" w:space="0" w:color="auto"/>
            </w:tcBorders>
            <w:shd w:val="clear" w:color="auto" w:fill="C6EFCE"/>
            <w:noWrap/>
            <w:vAlign w:val="center"/>
          </w:tcPr>
          <w:p w14:paraId="590643CD"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115</w:t>
            </w:r>
          </w:p>
        </w:tc>
        <w:tc>
          <w:tcPr>
            <w:tcW w:w="4677" w:type="dxa"/>
            <w:tcBorders>
              <w:top w:val="nil"/>
              <w:left w:val="nil"/>
              <w:bottom w:val="single" w:sz="4" w:space="0" w:color="auto"/>
              <w:right w:val="single" w:sz="4" w:space="0" w:color="auto"/>
            </w:tcBorders>
            <w:shd w:val="clear" w:color="auto" w:fill="C6EFCE"/>
            <w:noWrap/>
            <w:vAlign w:val="center"/>
          </w:tcPr>
          <w:p w14:paraId="606402A3"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6-2.2. Modernizare – 16791_Transformarea digitală a Organizației Naționale de Turism din Grecia</w:t>
            </w:r>
          </w:p>
        </w:tc>
        <w:tc>
          <w:tcPr>
            <w:tcW w:w="1380" w:type="dxa"/>
            <w:tcBorders>
              <w:top w:val="nil"/>
              <w:left w:val="nil"/>
              <w:bottom w:val="single" w:sz="4" w:space="0" w:color="auto"/>
              <w:right w:val="single" w:sz="4" w:space="0" w:color="auto"/>
            </w:tcBorders>
            <w:shd w:val="clear" w:color="auto" w:fill="C6EFCE"/>
            <w:noWrap/>
            <w:vAlign w:val="center"/>
          </w:tcPr>
          <w:p w14:paraId="77C60805" w14:textId="77777777" w:rsidR="00C45D59" w:rsidRDefault="009B0962">
            <w:pPr>
              <w:pStyle w:val="P68B1DB1-Normal55"/>
              <w:keepNext/>
              <w:spacing w:before="40" w:after="0" w:line="240" w:lineRule="auto"/>
              <w:jc w:val="both"/>
              <w:rPr>
                <w:rFonts w:eastAsia="Times New Roman" w:cs="Times New Roman"/>
                <w:noProof/>
                <w:szCs w:val="18"/>
              </w:rPr>
            </w:pPr>
            <w:r>
              <w:rPr>
                <w:noProof/>
              </w:rPr>
              <w:t>Etapă</w:t>
            </w:r>
          </w:p>
        </w:tc>
        <w:tc>
          <w:tcPr>
            <w:tcW w:w="2430" w:type="dxa"/>
            <w:tcBorders>
              <w:top w:val="nil"/>
              <w:left w:val="nil"/>
              <w:bottom w:val="single" w:sz="4" w:space="0" w:color="auto"/>
              <w:right w:val="single" w:sz="4" w:space="0" w:color="auto"/>
            </w:tcBorders>
            <w:shd w:val="clear" w:color="auto" w:fill="C6EFCE"/>
            <w:noWrap/>
            <w:vAlign w:val="center"/>
          </w:tcPr>
          <w:p w14:paraId="032E9BBC" w14:textId="77777777" w:rsidR="00C45D59" w:rsidRDefault="009B0962">
            <w:pPr>
              <w:pStyle w:val="P68B1DB1-Normal55"/>
              <w:keepNext/>
              <w:spacing w:before="40" w:after="0" w:line="240" w:lineRule="auto"/>
              <w:jc w:val="both"/>
              <w:rPr>
                <w:rFonts w:eastAsia="Times New Roman" w:cs="Times New Roman"/>
                <w:noProof/>
                <w:szCs w:val="18"/>
              </w:rPr>
            </w:pPr>
            <w:r>
              <w:rPr>
                <w:noProof/>
              </w:rPr>
              <w:t xml:space="preserve">Digitalizarea Organizației Naționale de Turism din Grecia </w:t>
            </w:r>
          </w:p>
        </w:tc>
      </w:tr>
      <w:tr w:rsidR="00C45D59" w14:paraId="0E1DD890" w14:textId="77777777">
        <w:trPr>
          <w:trHeight w:val="302"/>
          <w:jc w:val="center"/>
        </w:trPr>
        <w:tc>
          <w:tcPr>
            <w:tcW w:w="1101" w:type="dxa"/>
            <w:tcBorders>
              <w:top w:val="nil"/>
              <w:left w:val="single" w:sz="4" w:space="0" w:color="auto"/>
              <w:bottom w:val="single" w:sz="4" w:space="0" w:color="auto"/>
              <w:right w:val="single" w:sz="4" w:space="0" w:color="auto"/>
            </w:tcBorders>
            <w:shd w:val="clear" w:color="auto" w:fill="C6EFCE"/>
            <w:noWrap/>
            <w:vAlign w:val="center"/>
          </w:tcPr>
          <w:p w14:paraId="1724339B"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131</w:t>
            </w:r>
          </w:p>
        </w:tc>
        <w:tc>
          <w:tcPr>
            <w:tcW w:w="4677" w:type="dxa"/>
            <w:tcBorders>
              <w:top w:val="nil"/>
              <w:left w:val="nil"/>
              <w:bottom w:val="single" w:sz="4" w:space="0" w:color="auto"/>
              <w:right w:val="single" w:sz="4" w:space="0" w:color="auto"/>
            </w:tcBorders>
            <w:shd w:val="clear" w:color="auto" w:fill="C6EFCE"/>
            <w:noWrap/>
            <w:vAlign w:val="center"/>
          </w:tcPr>
          <w:p w14:paraId="62DC8B56"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7-2.3. Digitalizarea întreprinderilor – 16706_Transformarea digitală a IMM-urilor</w:t>
            </w:r>
          </w:p>
        </w:tc>
        <w:tc>
          <w:tcPr>
            <w:tcW w:w="1380" w:type="dxa"/>
            <w:tcBorders>
              <w:top w:val="nil"/>
              <w:left w:val="nil"/>
              <w:bottom w:val="single" w:sz="4" w:space="0" w:color="auto"/>
              <w:right w:val="single" w:sz="4" w:space="0" w:color="auto"/>
            </w:tcBorders>
            <w:shd w:val="clear" w:color="auto" w:fill="C6EFCE"/>
            <w:noWrap/>
            <w:vAlign w:val="center"/>
          </w:tcPr>
          <w:p w14:paraId="41DA4DC4" w14:textId="77777777" w:rsidR="00C45D59" w:rsidRDefault="009B0962">
            <w:pPr>
              <w:pStyle w:val="P68B1DB1-Normal55"/>
              <w:keepNext/>
              <w:spacing w:before="40" w:after="0" w:line="240" w:lineRule="auto"/>
              <w:jc w:val="both"/>
              <w:rPr>
                <w:rFonts w:eastAsia="Times New Roman" w:cs="Times New Roman"/>
                <w:noProof/>
                <w:szCs w:val="18"/>
              </w:rPr>
            </w:pPr>
            <w:r>
              <w:rPr>
                <w:noProof/>
              </w:rPr>
              <w:t>Etapă</w:t>
            </w:r>
          </w:p>
        </w:tc>
        <w:tc>
          <w:tcPr>
            <w:tcW w:w="2430" w:type="dxa"/>
            <w:tcBorders>
              <w:top w:val="nil"/>
              <w:left w:val="nil"/>
              <w:bottom w:val="single" w:sz="4" w:space="0" w:color="auto"/>
              <w:right w:val="single" w:sz="4" w:space="0" w:color="auto"/>
            </w:tcBorders>
            <w:shd w:val="clear" w:color="auto" w:fill="C6EFCE"/>
            <w:noWrap/>
            <w:vAlign w:val="center"/>
          </w:tcPr>
          <w:p w14:paraId="6EE624C7" w14:textId="77777777" w:rsidR="00C45D59" w:rsidRDefault="009B0962">
            <w:pPr>
              <w:pStyle w:val="P68B1DB1-Normal55"/>
              <w:keepNext/>
              <w:spacing w:before="40" w:after="0" w:line="240" w:lineRule="auto"/>
              <w:jc w:val="both"/>
              <w:rPr>
                <w:rFonts w:eastAsia="Times New Roman" w:cs="Times New Roman"/>
                <w:noProof/>
                <w:szCs w:val="18"/>
              </w:rPr>
            </w:pPr>
            <w:r>
              <w:rPr>
                <w:noProof/>
              </w:rPr>
              <w:t>Transformarea digitală a IMM-urilor – Sprijin pentru digitalizare prin scheme de vouchere</w:t>
            </w:r>
          </w:p>
        </w:tc>
      </w:tr>
      <w:tr w:rsidR="00C45D59" w14:paraId="39F5D780" w14:textId="77777777">
        <w:trPr>
          <w:trHeight w:val="302"/>
          <w:jc w:val="center"/>
        </w:trPr>
        <w:tc>
          <w:tcPr>
            <w:tcW w:w="1101" w:type="dxa"/>
            <w:tcBorders>
              <w:top w:val="nil"/>
              <w:left w:val="single" w:sz="4" w:space="0" w:color="auto"/>
              <w:bottom w:val="single" w:sz="4" w:space="0" w:color="auto"/>
              <w:right w:val="single" w:sz="4" w:space="0" w:color="auto"/>
            </w:tcBorders>
            <w:shd w:val="clear" w:color="auto" w:fill="C6EFCE"/>
            <w:noWrap/>
            <w:vAlign w:val="center"/>
          </w:tcPr>
          <w:p w14:paraId="2A09BFF1" w14:textId="77777777" w:rsidR="00C45D59" w:rsidRDefault="009B0962">
            <w:pPr>
              <w:pStyle w:val="P68B1DB1-Normal55"/>
              <w:keepNext/>
              <w:spacing w:before="40" w:after="0" w:line="240" w:lineRule="auto"/>
              <w:jc w:val="both"/>
              <w:rPr>
                <w:noProof/>
              </w:rPr>
            </w:pPr>
            <w:r>
              <w:rPr>
                <w:noProof/>
              </w:rPr>
              <w:t>181a</w:t>
            </w:r>
          </w:p>
        </w:tc>
        <w:tc>
          <w:tcPr>
            <w:tcW w:w="4677" w:type="dxa"/>
            <w:tcBorders>
              <w:top w:val="nil"/>
              <w:left w:val="nil"/>
              <w:bottom w:val="single" w:sz="4" w:space="0" w:color="auto"/>
              <w:right w:val="single" w:sz="4" w:space="0" w:color="auto"/>
            </w:tcBorders>
            <w:shd w:val="clear" w:color="auto" w:fill="C6EFCE"/>
            <w:noWrap/>
            <w:vAlign w:val="center"/>
          </w:tcPr>
          <w:p w14:paraId="531539CC" w14:textId="77777777" w:rsidR="00C45D59" w:rsidRDefault="009B0962">
            <w:pPr>
              <w:pStyle w:val="P68B1DB1-Normal55"/>
              <w:keepNext/>
              <w:spacing w:before="40" w:after="0" w:line="240" w:lineRule="auto"/>
              <w:jc w:val="both"/>
              <w:rPr>
                <w:noProof/>
              </w:rPr>
            </w:pPr>
            <w:r>
              <w:rPr>
                <w:noProof/>
              </w:rPr>
              <w:t>11-3.4 sporirea accesului la politici sociale eficace și favorabile incluziunii – 16402_Locuințe sociale și la prețuri accesibile</w:t>
            </w:r>
          </w:p>
        </w:tc>
        <w:tc>
          <w:tcPr>
            <w:tcW w:w="1380" w:type="dxa"/>
            <w:tcBorders>
              <w:top w:val="nil"/>
              <w:left w:val="nil"/>
              <w:bottom w:val="single" w:sz="4" w:space="0" w:color="auto"/>
              <w:right w:val="single" w:sz="4" w:space="0" w:color="auto"/>
            </w:tcBorders>
            <w:shd w:val="clear" w:color="auto" w:fill="C6EFCE"/>
            <w:noWrap/>
            <w:vAlign w:val="center"/>
          </w:tcPr>
          <w:p w14:paraId="70571841" w14:textId="77777777" w:rsidR="00C45D59" w:rsidRDefault="009B0962">
            <w:pPr>
              <w:pStyle w:val="P68B1DB1-Normal55"/>
              <w:keepNext/>
              <w:spacing w:before="40" w:after="0" w:line="240" w:lineRule="auto"/>
              <w:jc w:val="both"/>
              <w:rPr>
                <w:noProof/>
              </w:rPr>
            </w:pPr>
            <w:r>
              <w:rPr>
                <w:noProof/>
              </w:rPr>
              <w:t>Etapă</w:t>
            </w:r>
          </w:p>
        </w:tc>
        <w:tc>
          <w:tcPr>
            <w:tcW w:w="2430" w:type="dxa"/>
            <w:tcBorders>
              <w:top w:val="nil"/>
              <w:left w:val="nil"/>
              <w:bottom w:val="single" w:sz="4" w:space="0" w:color="auto"/>
              <w:right w:val="single" w:sz="4" w:space="0" w:color="auto"/>
            </w:tcBorders>
            <w:shd w:val="clear" w:color="auto" w:fill="C6EFCE"/>
            <w:noWrap/>
            <w:vAlign w:val="center"/>
          </w:tcPr>
          <w:p w14:paraId="584A6AF3" w14:textId="77777777" w:rsidR="00C45D59" w:rsidRDefault="009B0962">
            <w:pPr>
              <w:pStyle w:val="P68B1DB1-Normal55"/>
              <w:keepNext/>
              <w:spacing w:before="40" w:after="0" w:line="240" w:lineRule="auto"/>
              <w:jc w:val="both"/>
              <w:rPr>
                <w:noProof/>
              </w:rPr>
            </w:pPr>
            <w:r>
              <w:rPr>
                <w:noProof/>
              </w:rPr>
              <w:t xml:space="preserve">Modificarea unui act juridic </w:t>
            </w:r>
          </w:p>
        </w:tc>
      </w:tr>
      <w:tr w:rsidR="00C45D59" w14:paraId="66730912" w14:textId="77777777">
        <w:trPr>
          <w:trHeight w:val="302"/>
          <w:jc w:val="center"/>
        </w:trPr>
        <w:tc>
          <w:tcPr>
            <w:tcW w:w="1101" w:type="dxa"/>
            <w:tcBorders>
              <w:top w:val="nil"/>
              <w:left w:val="single" w:sz="4" w:space="0" w:color="auto"/>
              <w:bottom w:val="single" w:sz="4" w:space="0" w:color="auto"/>
              <w:right w:val="single" w:sz="4" w:space="0" w:color="auto"/>
            </w:tcBorders>
            <w:shd w:val="clear" w:color="auto" w:fill="C6EFCE"/>
            <w:noWrap/>
            <w:vAlign w:val="center"/>
          </w:tcPr>
          <w:p w14:paraId="27592092"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132</w:t>
            </w:r>
          </w:p>
        </w:tc>
        <w:tc>
          <w:tcPr>
            <w:tcW w:w="4677" w:type="dxa"/>
            <w:tcBorders>
              <w:top w:val="nil"/>
              <w:left w:val="nil"/>
              <w:bottom w:val="single" w:sz="4" w:space="0" w:color="auto"/>
              <w:right w:val="single" w:sz="4" w:space="0" w:color="auto"/>
            </w:tcBorders>
            <w:shd w:val="clear" w:color="auto" w:fill="C6EFCE"/>
            <w:noWrap/>
            <w:vAlign w:val="center"/>
          </w:tcPr>
          <w:p w14:paraId="21433711"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 7-2.3. Digitalizarea întreprinderilor – 16973_Crearea unui ecosistem de afaceri digital pentru facilitarea transformării digitale a IMM-urilor</w:t>
            </w:r>
          </w:p>
        </w:tc>
        <w:tc>
          <w:tcPr>
            <w:tcW w:w="1380" w:type="dxa"/>
            <w:tcBorders>
              <w:top w:val="nil"/>
              <w:left w:val="nil"/>
              <w:bottom w:val="single" w:sz="4" w:space="0" w:color="auto"/>
              <w:right w:val="single" w:sz="4" w:space="0" w:color="auto"/>
            </w:tcBorders>
            <w:shd w:val="clear" w:color="auto" w:fill="C6EFCE"/>
            <w:noWrap/>
            <w:vAlign w:val="center"/>
          </w:tcPr>
          <w:p w14:paraId="2AA4393B" w14:textId="77777777" w:rsidR="00C45D59" w:rsidRDefault="009B0962">
            <w:pPr>
              <w:pStyle w:val="P68B1DB1-Normal55"/>
              <w:keepNext/>
              <w:spacing w:before="40" w:after="0" w:line="240" w:lineRule="auto"/>
              <w:jc w:val="both"/>
              <w:rPr>
                <w:rFonts w:eastAsia="Times New Roman" w:cs="Times New Roman"/>
                <w:noProof/>
                <w:szCs w:val="18"/>
              </w:rPr>
            </w:pPr>
            <w:r>
              <w:rPr>
                <w:noProof/>
              </w:rPr>
              <w:t>Etapă</w:t>
            </w:r>
          </w:p>
        </w:tc>
        <w:tc>
          <w:tcPr>
            <w:tcW w:w="2430" w:type="dxa"/>
            <w:tcBorders>
              <w:top w:val="nil"/>
              <w:left w:val="nil"/>
              <w:bottom w:val="single" w:sz="4" w:space="0" w:color="auto"/>
              <w:right w:val="single" w:sz="4" w:space="0" w:color="auto"/>
            </w:tcBorders>
            <w:shd w:val="clear" w:color="auto" w:fill="C6EFCE"/>
            <w:noWrap/>
            <w:vAlign w:val="center"/>
          </w:tcPr>
          <w:p w14:paraId="79344CCB" w14:textId="77777777" w:rsidR="00C45D59" w:rsidRDefault="009B0962">
            <w:pPr>
              <w:pStyle w:val="P68B1DB1-Normal55"/>
              <w:keepNext/>
              <w:spacing w:before="40" w:after="0" w:line="240" w:lineRule="auto"/>
              <w:jc w:val="both"/>
              <w:rPr>
                <w:rFonts w:eastAsia="Times New Roman" w:cs="Times New Roman"/>
                <w:noProof/>
                <w:szCs w:val="18"/>
              </w:rPr>
            </w:pPr>
            <w:r>
              <w:rPr>
                <w:noProof/>
              </w:rPr>
              <w:t>Transformarea digitală a IMM-urilor – Reforma legislativă pentru stimularea adoptării tehnologiilor</w:t>
            </w:r>
          </w:p>
        </w:tc>
      </w:tr>
      <w:tr w:rsidR="00C45D59" w14:paraId="151A5F4F" w14:textId="77777777">
        <w:trPr>
          <w:trHeight w:val="302"/>
          <w:jc w:val="center"/>
        </w:trPr>
        <w:tc>
          <w:tcPr>
            <w:tcW w:w="1101" w:type="dxa"/>
            <w:tcBorders>
              <w:top w:val="nil"/>
              <w:left w:val="single" w:sz="4" w:space="0" w:color="auto"/>
              <w:bottom w:val="single" w:sz="4" w:space="0" w:color="auto"/>
              <w:right w:val="single" w:sz="4" w:space="0" w:color="auto"/>
            </w:tcBorders>
            <w:shd w:val="clear" w:color="auto" w:fill="C6EFCE"/>
            <w:noWrap/>
          </w:tcPr>
          <w:p w14:paraId="662FE528" w14:textId="77777777" w:rsidR="00C45D59" w:rsidRDefault="009B0962">
            <w:pPr>
              <w:pStyle w:val="P68B1DB1-Normal55"/>
              <w:keepNext/>
              <w:spacing w:before="40" w:after="0" w:line="240" w:lineRule="auto"/>
              <w:jc w:val="both"/>
              <w:rPr>
                <w:noProof/>
              </w:rPr>
            </w:pPr>
            <w:r>
              <w:rPr>
                <w:noProof/>
              </w:rPr>
              <w:t>135a</w:t>
            </w:r>
          </w:p>
        </w:tc>
        <w:tc>
          <w:tcPr>
            <w:tcW w:w="4677" w:type="dxa"/>
            <w:tcBorders>
              <w:top w:val="nil"/>
              <w:left w:val="nil"/>
              <w:bottom w:val="single" w:sz="4" w:space="0" w:color="auto"/>
              <w:right w:val="single" w:sz="4" w:space="0" w:color="auto"/>
            </w:tcBorders>
            <w:shd w:val="clear" w:color="auto" w:fill="C6EFCE"/>
            <w:noWrap/>
          </w:tcPr>
          <w:p w14:paraId="567725C4" w14:textId="77777777" w:rsidR="00C45D59" w:rsidRDefault="009B0962">
            <w:pPr>
              <w:pStyle w:val="P68B1DB1-Normal55"/>
              <w:keepNext/>
              <w:spacing w:before="40" w:after="0" w:line="240" w:lineRule="auto"/>
              <w:jc w:val="both"/>
              <w:rPr>
                <w:noProof/>
              </w:rPr>
            </w:pPr>
            <w:r>
              <w:rPr>
                <w:noProof/>
              </w:rPr>
              <w:t>8-3.1. Promovarea creării de locuri de muncă și a participării pe piața forței de muncă – 16942_Transformarea digitală a serviciului public de ocupare a forței de muncă</w:t>
            </w:r>
          </w:p>
        </w:tc>
        <w:tc>
          <w:tcPr>
            <w:tcW w:w="1380" w:type="dxa"/>
            <w:tcBorders>
              <w:top w:val="nil"/>
              <w:left w:val="nil"/>
              <w:bottom w:val="single" w:sz="4" w:space="0" w:color="auto"/>
              <w:right w:val="single" w:sz="4" w:space="0" w:color="auto"/>
            </w:tcBorders>
            <w:shd w:val="clear" w:color="auto" w:fill="C6EFCE"/>
            <w:noWrap/>
          </w:tcPr>
          <w:p w14:paraId="33F0C22C" w14:textId="77777777" w:rsidR="00C45D59" w:rsidRDefault="009B0962">
            <w:pPr>
              <w:pStyle w:val="P68B1DB1-Normal55"/>
              <w:keepNext/>
              <w:spacing w:before="40" w:after="0" w:line="240" w:lineRule="auto"/>
              <w:jc w:val="both"/>
              <w:rPr>
                <w:noProof/>
              </w:rPr>
            </w:pPr>
            <w:r>
              <w:rPr>
                <w:noProof/>
              </w:rPr>
              <w:t>Etapă</w:t>
            </w:r>
          </w:p>
        </w:tc>
        <w:tc>
          <w:tcPr>
            <w:tcW w:w="2430" w:type="dxa"/>
            <w:tcBorders>
              <w:top w:val="nil"/>
              <w:left w:val="nil"/>
              <w:bottom w:val="single" w:sz="4" w:space="0" w:color="auto"/>
              <w:right w:val="single" w:sz="4" w:space="0" w:color="auto"/>
            </w:tcBorders>
            <w:shd w:val="clear" w:color="auto" w:fill="C6EFCE"/>
            <w:noWrap/>
          </w:tcPr>
          <w:p w14:paraId="3655D007" w14:textId="77777777" w:rsidR="00C45D59" w:rsidRDefault="009B0962">
            <w:pPr>
              <w:pStyle w:val="P68B1DB1-Normal55"/>
              <w:keepNext/>
              <w:spacing w:before="40" w:after="0" w:line="240" w:lineRule="auto"/>
              <w:jc w:val="both"/>
              <w:rPr>
                <w:noProof/>
              </w:rPr>
            </w:pPr>
            <w:r>
              <w:rPr>
                <w:noProof/>
              </w:rPr>
              <w:t>Transformarea digitală a DYPA</w:t>
            </w:r>
          </w:p>
        </w:tc>
      </w:tr>
      <w:tr w:rsidR="00C45D59" w14:paraId="7F8FD7C8" w14:textId="77777777">
        <w:trPr>
          <w:trHeight w:val="302"/>
          <w:jc w:val="center"/>
        </w:trPr>
        <w:tc>
          <w:tcPr>
            <w:tcW w:w="1101" w:type="dxa"/>
            <w:tcBorders>
              <w:top w:val="nil"/>
              <w:left w:val="single" w:sz="4" w:space="0" w:color="auto"/>
              <w:bottom w:val="single" w:sz="4" w:space="0" w:color="auto"/>
              <w:right w:val="single" w:sz="4" w:space="0" w:color="auto"/>
            </w:tcBorders>
            <w:shd w:val="clear" w:color="auto" w:fill="C6EFCE"/>
            <w:noWrap/>
            <w:vAlign w:val="center"/>
          </w:tcPr>
          <w:p w14:paraId="05EAD655" w14:textId="79A49C02" w:rsidR="00C45D59" w:rsidRDefault="009B0962">
            <w:pPr>
              <w:pStyle w:val="P68B1DB1-Normal55"/>
              <w:keepNext/>
              <w:spacing w:before="40" w:after="0" w:line="240" w:lineRule="auto"/>
              <w:jc w:val="both"/>
              <w:rPr>
                <w:noProof/>
              </w:rPr>
            </w:pPr>
            <w:r>
              <w:rPr>
                <w:noProof/>
              </w:rPr>
              <w:t>142b</w:t>
            </w:r>
          </w:p>
        </w:tc>
        <w:tc>
          <w:tcPr>
            <w:tcW w:w="4677" w:type="dxa"/>
            <w:tcBorders>
              <w:top w:val="nil"/>
              <w:left w:val="nil"/>
              <w:bottom w:val="single" w:sz="4" w:space="0" w:color="auto"/>
              <w:right w:val="single" w:sz="4" w:space="0" w:color="auto"/>
            </w:tcBorders>
            <w:shd w:val="clear" w:color="auto" w:fill="C6EFCE"/>
            <w:noWrap/>
            <w:vAlign w:val="center"/>
          </w:tcPr>
          <w:p w14:paraId="1D2D3EC4" w14:textId="3B01E333" w:rsidR="00C45D59" w:rsidRDefault="009B0962">
            <w:pPr>
              <w:pStyle w:val="P68B1DB1-Normal11"/>
              <w:keepNext/>
              <w:spacing w:before="40" w:after="0" w:line="240" w:lineRule="auto"/>
              <w:jc w:val="both"/>
              <w:rPr>
                <w:noProof/>
              </w:rPr>
            </w:pPr>
            <w:r>
              <w:rPr>
                <w:noProof/>
              </w:rPr>
              <w:t>8-3.1. Promovarea creării de locuri de muncă și a participării pe piața forței de muncă – 16746_Reforma politicilor pasive în domeniul pieței forței de muncă pentru a sprijini tranzițiile către ocuparea forței de muncă</w:t>
            </w:r>
          </w:p>
        </w:tc>
        <w:tc>
          <w:tcPr>
            <w:tcW w:w="1380" w:type="dxa"/>
            <w:tcBorders>
              <w:top w:val="nil"/>
              <w:left w:val="nil"/>
              <w:bottom w:val="single" w:sz="4" w:space="0" w:color="auto"/>
              <w:right w:val="single" w:sz="4" w:space="0" w:color="auto"/>
            </w:tcBorders>
            <w:shd w:val="clear" w:color="auto" w:fill="C6EFCE"/>
            <w:noWrap/>
            <w:vAlign w:val="center"/>
          </w:tcPr>
          <w:p w14:paraId="6BCDAE68" w14:textId="5275F9B6" w:rsidR="00C45D59" w:rsidRDefault="009B0962">
            <w:pPr>
              <w:pStyle w:val="P68B1DB1-Normal11"/>
              <w:keepNext/>
              <w:spacing w:before="40" w:after="0" w:line="240" w:lineRule="auto"/>
              <w:jc w:val="both"/>
              <w:rPr>
                <w:noProof/>
              </w:rPr>
            </w:pPr>
            <w:r>
              <w:rPr>
                <w:noProof/>
              </w:rPr>
              <w:t>Etapă</w:t>
            </w:r>
          </w:p>
        </w:tc>
        <w:tc>
          <w:tcPr>
            <w:tcW w:w="2430" w:type="dxa"/>
            <w:tcBorders>
              <w:top w:val="nil"/>
              <w:left w:val="nil"/>
              <w:bottom w:val="single" w:sz="4" w:space="0" w:color="auto"/>
              <w:right w:val="single" w:sz="4" w:space="0" w:color="auto"/>
            </w:tcBorders>
            <w:shd w:val="clear" w:color="auto" w:fill="C6EFCE"/>
            <w:noWrap/>
            <w:vAlign w:val="center"/>
          </w:tcPr>
          <w:p w14:paraId="4CA8B761" w14:textId="1BA3E523" w:rsidR="00C45D59" w:rsidRDefault="009B0962">
            <w:pPr>
              <w:pStyle w:val="P68B1DB1-Normal55"/>
              <w:keepNext/>
              <w:spacing w:before="40" w:after="0" w:line="240" w:lineRule="auto"/>
              <w:jc w:val="both"/>
              <w:rPr>
                <w:noProof/>
              </w:rPr>
            </w:pPr>
            <w:r>
              <w:rPr>
                <w:noProof/>
              </w:rPr>
              <w:t>Proiect-pilot privind prestațiile de șomaj</w:t>
            </w:r>
          </w:p>
        </w:tc>
      </w:tr>
      <w:tr w:rsidR="00C45D59" w14:paraId="135F120D" w14:textId="77777777">
        <w:trPr>
          <w:trHeight w:val="302"/>
          <w:jc w:val="center"/>
        </w:trPr>
        <w:tc>
          <w:tcPr>
            <w:tcW w:w="1101" w:type="dxa"/>
            <w:tcBorders>
              <w:top w:val="nil"/>
              <w:left w:val="single" w:sz="4" w:space="0" w:color="auto"/>
              <w:bottom w:val="single" w:sz="4" w:space="0" w:color="auto"/>
              <w:right w:val="single" w:sz="4" w:space="0" w:color="auto"/>
            </w:tcBorders>
            <w:shd w:val="clear" w:color="auto" w:fill="C6EFCE"/>
            <w:noWrap/>
          </w:tcPr>
          <w:p w14:paraId="2FC7071B" w14:textId="77777777" w:rsidR="00C45D59" w:rsidRDefault="009B0962">
            <w:pPr>
              <w:pStyle w:val="P68B1DB1-Normal55"/>
              <w:keepNext/>
              <w:spacing w:before="40" w:after="0" w:line="240" w:lineRule="auto"/>
              <w:jc w:val="both"/>
              <w:rPr>
                <w:noProof/>
              </w:rPr>
            </w:pPr>
            <w:r>
              <w:rPr>
                <w:noProof/>
              </w:rPr>
              <w:t>144a</w:t>
            </w:r>
          </w:p>
        </w:tc>
        <w:tc>
          <w:tcPr>
            <w:tcW w:w="4677" w:type="dxa"/>
            <w:tcBorders>
              <w:top w:val="nil"/>
              <w:left w:val="nil"/>
              <w:bottom w:val="single" w:sz="4" w:space="0" w:color="auto"/>
              <w:right w:val="single" w:sz="4" w:space="0" w:color="auto"/>
            </w:tcBorders>
            <w:shd w:val="clear" w:color="auto" w:fill="C6EFCE"/>
            <w:noWrap/>
          </w:tcPr>
          <w:p w14:paraId="01687380" w14:textId="77777777" w:rsidR="00C45D59" w:rsidRDefault="009B0962">
            <w:pPr>
              <w:pStyle w:val="P68B1DB1-Normal55"/>
              <w:keepNext/>
              <w:spacing w:before="40" w:after="0" w:line="240" w:lineRule="auto"/>
              <w:jc w:val="both"/>
              <w:rPr>
                <w:noProof/>
              </w:rPr>
            </w:pPr>
            <w:r>
              <w:rPr>
                <w:noProof/>
              </w:rPr>
              <w:t>8-3.1. Promovarea creării de locuri de muncă și a participării pe piața forței de muncă – 16747_Reforma politicilor active în domeniul pieței forței de muncă</w:t>
            </w:r>
          </w:p>
        </w:tc>
        <w:tc>
          <w:tcPr>
            <w:tcW w:w="1380" w:type="dxa"/>
            <w:tcBorders>
              <w:top w:val="nil"/>
              <w:left w:val="nil"/>
              <w:bottom w:val="single" w:sz="4" w:space="0" w:color="auto"/>
              <w:right w:val="single" w:sz="4" w:space="0" w:color="auto"/>
            </w:tcBorders>
            <w:shd w:val="clear" w:color="auto" w:fill="C6EFCE"/>
            <w:noWrap/>
          </w:tcPr>
          <w:p w14:paraId="1F239D11" w14:textId="77777777" w:rsidR="00C45D59" w:rsidRDefault="009B0962">
            <w:pPr>
              <w:pStyle w:val="P68B1DB1-Normal55"/>
              <w:keepNext/>
              <w:spacing w:before="40" w:after="0" w:line="240" w:lineRule="auto"/>
              <w:jc w:val="both"/>
              <w:rPr>
                <w:noProof/>
              </w:rPr>
            </w:pPr>
            <w:r>
              <w:rPr>
                <w:noProof/>
              </w:rPr>
              <w:t>Etapă</w:t>
            </w:r>
          </w:p>
        </w:tc>
        <w:tc>
          <w:tcPr>
            <w:tcW w:w="2430" w:type="dxa"/>
            <w:tcBorders>
              <w:top w:val="nil"/>
              <w:left w:val="nil"/>
              <w:bottom w:val="single" w:sz="4" w:space="0" w:color="auto"/>
              <w:right w:val="single" w:sz="4" w:space="0" w:color="auto"/>
            </w:tcBorders>
            <w:shd w:val="clear" w:color="auto" w:fill="C6EFCE"/>
            <w:noWrap/>
          </w:tcPr>
          <w:p w14:paraId="344D450F" w14:textId="348BBFA1" w:rsidR="00C45D59" w:rsidRDefault="009B0962">
            <w:pPr>
              <w:pStyle w:val="P68B1DB1-Normal55"/>
              <w:keepNext/>
              <w:spacing w:before="40" w:after="0" w:line="240" w:lineRule="auto"/>
              <w:jc w:val="both"/>
              <w:rPr>
                <w:noProof/>
              </w:rPr>
            </w:pPr>
            <w:r>
              <w:rPr>
                <w:noProof/>
              </w:rPr>
              <w:t xml:space="preserve"> Programe de ocupare a forței de muncă în domeniul politicilor active privind piața forței de muncă – consolidarea temporară a personalului DYPA</w:t>
            </w:r>
          </w:p>
        </w:tc>
      </w:tr>
      <w:tr w:rsidR="00C45D59" w14:paraId="03797227" w14:textId="77777777">
        <w:trPr>
          <w:trHeight w:val="302"/>
          <w:jc w:val="center"/>
        </w:trPr>
        <w:tc>
          <w:tcPr>
            <w:tcW w:w="1101" w:type="dxa"/>
            <w:tcBorders>
              <w:top w:val="nil"/>
              <w:left w:val="single" w:sz="4" w:space="0" w:color="auto"/>
              <w:bottom w:val="single" w:sz="4" w:space="0" w:color="auto"/>
              <w:right w:val="single" w:sz="4" w:space="0" w:color="auto"/>
            </w:tcBorders>
            <w:shd w:val="clear" w:color="auto" w:fill="C6EFCE"/>
            <w:noWrap/>
          </w:tcPr>
          <w:p w14:paraId="41444464" w14:textId="77777777" w:rsidR="00C45D59" w:rsidRDefault="009B0962">
            <w:pPr>
              <w:pStyle w:val="P68B1DB1-Normal55"/>
              <w:keepNext/>
              <w:spacing w:before="40" w:after="0" w:line="240" w:lineRule="auto"/>
              <w:jc w:val="both"/>
              <w:rPr>
                <w:rFonts w:cs="Times New Roman"/>
                <w:noProof/>
                <w:szCs w:val="18"/>
              </w:rPr>
            </w:pPr>
            <w:r>
              <w:rPr>
                <w:noProof/>
              </w:rPr>
              <w:t>148a</w:t>
            </w:r>
          </w:p>
        </w:tc>
        <w:tc>
          <w:tcPr>
            <w:tcW w:w="4677" w:type="dxa"/>
            <w:tcBorders>
              <w:top w:val="nil"/>
              <w:left w:val="nil"/>
              <w:bottom w:val="single" w:sz="4" w:space="0" w:color="auto"/>
              <w:right w:val="single" w:sz="4" w:space="0" w:color="auto"/>
            </w:tcBorders>
            <w:shd w:val="clear" w:color="auto" w:fill="C6EFCE"/>
            <w:noWrap/>
          </w:tcPr>
          <w:p w14:paraId="73009358" w14:textId="77777777" w:rsidR="00C45D59" w:rsidRDefault="009B0962">
            <w:pPr>
              <w:pStyle w:val="P68B1DB1-Normal55"/>
              <w:keepNext/>
              <w:spacing w:before="40" w:after="0" w:line="240" w:lineRule="auto"/>
              <w:jc w:val="both"/>
              <w:rPr>
                <w:rFonts w:cs="Times New Roman"/>
                <w:noProof/>
                <w:szCs w:val="18"/>
              </w:rPr>
            </w:pPr>
            <w:r>
              <w:rPr>
                <w:noProof/>
              </w:rPr>
              <w:t>9-3.2. Educație, educație și formare profesională și competențe – 16676_Transformarea digitală a educației</w:t>
            </w:r>
          </w:p>
        </w:tc>
        <w:tc>
          <w:tcPr>
            <w:tcW w:w="1380" w:type="dxa"/>
            <w:tcBorders>
              <w:top w:val="nil"/>
              <w:left w:val="nil"/>
              <w:bottom w:val="single" w:sz="4" w:space="0" w:color="auto"/>
              <w:right w:val="single" w:sz="4" w:space="0" w:color="auto"/>
            </w:tcBorders>
            <w:shd w:val="clear" w:color="auto" w:fill="C6EFCE"/>
            <w:noWrap/>
          </w:tcPr>
          <w:p w14:paraId="78218569" w14:textId="77777777" w:rsidR="00C45D59" w:rsidRDefault="009B0962">
            <w:pPr>
              <w:pStyle w:val="P68B1DB1-Normal55"/>
              <w:keepNext/>
              <w:spacing w:before="40" w:after="0" w:line="240" w:lineRule="auto"/>
              <w:jc w:val="both"/>
              <w:rPr>
                <w:rFonts w:cs="Times New Roman"/>
                <w:noProof/>
                <w:szCs w:val="18"/>
              </w:rPr>
            </w:pPr>
            <w:r>
              <w:rPr>
                <w:noProof/>
              </w:rPr>
              <w:t>Etapă</w:t>
            </w:r>
          </w:p>
        </w:tc>
        <w:tc>
          <w:tcPr>
            <w:tcW w:w="2430" w:type="dxa"/>
            <w:tcBorders>
              <w:top w:val="nil"/>
              <w:left w:val="nil"/>
              <w:bottom w:val="single" w:sz="4" w:space="0" w:color="auto"/>
              <w:right w:val="single" w:sz="4" w:space="0" w:color="auto"/>
            </w:tcBorders>
            <w:shd w:val="clear" w:color="auto" w:fill="C6EFCE"/>
            <w:noWrap/>
          </w:tcPr>
          <w:p w14:paraId="39080375" w14:textId="77777777" w:rsidR="00C45D59" w:rsidRDefault="009B0962">
            <w:pPr>
              <w:pStyle w:val="P68B1DB1-Normal55"/>
              <w:keepNext/>
              <w:spacing w:before="40" w:after="0" w:line="240" w:lineRule="auto"/>
              <w:jc w:val="both"/>
              <w:rPr>
                <w:rFonts w:cs="Times New Roman"/>
                <w:noProof/>
                <w:szCs w:val="18"/>
              </w:rPr>
            </w:pPr>
            <w:r>
              <w:rPr>
                <w:noProof/>
              </w:rPr>
              <w:t>Strategie de actualizare a programelor de învățământ, de raționalizare a serviciilor și de monitorizare a rezultatelor transformării digitale a educației</w:t>
            </w:r>
          </w:p>
        </w:tc>
      </w:tr>
      <w:tr w:rsidR="00C45D59" w14:paraId="7564D474" w14:textId="77777777">
        <w:trPr>
          <w:trHeight w:val="302"/>
          <w:jc w:val="center"/>
        </w:trPr>
        <w:tc>
          <w:tcPr>
            <w:tcW w:w="1101" w:type="dxa"/>
            <w:tcBorders>
              <w:top w:val="nil"/>
              <w:left w:val="single" w:sz="4" w:space="0" w:color="auto"/>
              <w:bottom w:val="single" w:sz="4" w:space="0" w:color="auto"/>
              <w:right w:val="single" w:sz="4" w:space="0" w:color="auto"/>
            </w:tcBorders>
            <w:shd w:val="clear" w:color="auto" w:fill="C6EFCE"/>
            <w:noWrap/>
            <w:vAlign w:val="center"/>
          </w:tcPr>
          <w:p w14:paraId="651D030E"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157</w:t>
            </w:r>
          </w:p>
        </w:tc>
        <w:tc>
          <w:tcPr>
            <w:tcW w:w="4677" w:type="dxa"/>
            <w:tcBorders>
              <w:top w:val="nil"/>
              <w:left w:val="nil"/>
              <w:bottom w:val="single" w:sz="4" w:space="0" w:color="auto"/>
              <w:right w:val="single" w:sz="4" w:space="0" w:color="auto"/>
            </w:tcBorders>
            <w:shd w:val="clear" w:color="auto" w:fill="C6EFCE"/>
            <w:noWrap/>
            <w:vAlign w:val="center"/>
          </w:tcPr>
          <w:p w14:paraId="250B1577"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10-3.3. Îmbunătățirea rezilienței, a accesibilității și a sustenabilității asistenței medicale – 16816_Reducerea și raționalizarea cheltuielilor cu asistența medicală</w:t>
            </w:r>
          </w:p>
        </w:tc>
        <w:tc>
          <w:tcPr>
            <w:tcW w:w="1380" w:type="dxa"/>
            <w:tcBorders>
              <w:top w:val="nil"/>
              <w:left w:val="nil"/>
              <w:bottom w:val="single" w:sz="4" w:space="0" w:color="auto"/>
              <w:right w:val="single" w:sz="4" w:space="0" w:color="auto"/>
            </w:tcBorders>
            <w:shd w:val="clear" w:color="auto" w:fill="C6EFCE"/>
            <w:noWrap/>
            <w:vAlign w:val="center"/>
          </w:tcPr>
          <w:p w14:paraId="354346DB" w14:textId="77777777" w:rsidR="00C45D59" w:rsidRDefault="009B0962">
            <w:pPr>
              <w:pStyle w:val="P68B1DB1-Normal55"/>
              <w:keepNext/>
              <w:spacing w:before="40" w:after="0" w:line="240" w:lineRule="auto"/>
              <w:jc w:val="both"/>
              <w:rPr>
                <w:rFonts w:eastAsia="Times New Roman" w:cs="Times New Roman"/>
                <w:noProof/>
                <w:szCs w:val="18"/>
              </w:rPr>
            </w:pPr>
            <w:r>
              <w:rPr>
                <w:noProof/>
              </w:rPr>
              <w:t>Țintă</w:t>
            </w:r>
          </w:p>
        </w:tc>
        <w:tc>
          <w:tcPr>
            <w:tcW w:w="2430" w:type="dxa"/>
            <w:tcBorders>
              <w:top w:val="nil"/>
              <w:left w:val="nil"/>
              <w:bottom w:val="single" w:sz="4" w:space="0" w:color="auto"/>
              <w:right w:val="single" w:sz="4" w:space="0" w:color="auto"/>
            </w:tcBorders>
            <w:shd w:val="clear" w:color="auto" w:fill="C6EFCE"/>
            <w:noWrap/>
            <w:vAlign w:val="center"/>
          </w:tcPr>
          <w:p w14:paraId="7102041E" w14:textId="77777777" w:rsidR="00C45D59" w:rsidRDefault="009B0962">
            <w:pPr>
              <w:pStyle w:val="P68B1DB1-Normal55"/>
              <w:keepNext/>
              <w:spacing w:before="40" w:after="0" w:line="240" w:lineRule="auto"/>
              <w:jc w:val="both"/>
              <w:rPr>
                <w:rFonts w:eastAsia="Times New Roman" w:cs="Times New Roman"/>
                <w:noProof/>
                <w:szCs w:val="18"/>
              </w:rPr>
            </w:pPr>
            <w:r>
              <w:rPr>
                <w:noProof/>
              </w:rPr>
              <w:t>Reducerea recuperării 300 000 000 – etapa 3</w:t>
            </w:r>
          </w:p>
        </w:tc>
      </w:tr>
      <w:tr w:rsidR="00C45D59" w14:paraId="69313647" w14:textId="77777777">
        <w:trPr>
          <w:trHeight w:val="302"/>
          <w:jc w:val="center"/>
        </w:trPr>
        <w:tc>
          <w:tcPr>
            <w:tcW w:w="1101" w:type="dxa"/>
            <w:tcBorders>
              <w:top w:val="nil"/>
              <w:left w:val="single" w:sz="4" w:space="0" w:color="auto"/>
              <w:bottom w:val="single" w:sz="4" w:space="0" w:color="auto"/>
              <w:right w:val="single" w:sz="4" w:space="0" w:color="auto"/>
            </w:tcBorders>
            <w:shd w:val="clear" w:color="auto" w:fill="C6EFCE"/>
            <w:noWrap/>
            <w:vAlign w:val="center"/>
          </w:tcPr>
          <w:p w14:paraId="38375329" w14:textId="77777777" w:rsidR="00C45D59" w:rsidRDefault="009B0962">
            <w:pPr>
              <w:pStyle w:val="P68B1DB1-Normal11"/>
              <w:keepNext/>
              <w:spacing w:before="40" w:after="0" w:line="240" w:lineRule="auto"/>
              <w:jc w:val="both"/>
              <w:rPr>
                <w:rFonts w:eastAsia="Times New Roman" w:cs="Times New Roman"/>
                <w:bCs/>
                <w:noProof/>
              </w:rPr>
            </w:pPr>
            <w:r>
              <w:rPr>
                <w:noProof/>
              </w:rPr>
              <w:t>163</w:t>
            </w:r>
          </w:p>
        </w:tc>
        <w:tc>
          <w:tcPr>
            <w:tcW w:w="4677" w:type="dxa"/>
            <w:tcBorders>
              <w:top w:val="nil"/>
              <w:left w:val="nil"/>
              <w:bottom w:val="single" w:sz="4" w:space="0" w:color="auto"/>
              <w:right w:val="single" w:sz="4" w:space="0" w:color="auto"/>
            </w:tcBorders>
            <w:shd w:val="clear" w:color="auto" w:fill="C6EFCE"/>
            <w:noWrap/>
            <w:vAlign w:val="center"/>
          </w:tcPr>
          <w:p w14:paraId="3D7E30D3"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 xml:space="preserve">10-3.3. Îmbunătățirea rezilienței, a accesibilității și a sustenabilității asistenței medicale – 16756_Reforme organizaționale în sistemul de sănătate </w:t>
            </w:r>
          </w:p>
        </w:tc>
        <w:tc>
          <w:tcPr>
            <w:tcW w:w="1380" w:type="dxa"/>
            <w:tcBorders>
              <w:top w:val="nil"/>
              <w:left w:val="nil"/>
              <w:bottom w:val="single" w:sz="4" w:space="0" w:color="auto"/>
              <w:right w:val="single" w:sz="4" w:space="0" w:color="auto"/>
            </w:tcBorders>
            <w:shd w:val="clear" w:color="auto" w:fill="C6EFCE"/>
            <w:noWrap/>
            <w:vAlign w:val="center"/>
          </w:tcPr>
          <w:p w14:paraId="2D23DBD4" w14:textId="77777777" w:rsidR="00C45D59" w:rsidRDefault="009B0962">
            <w:pPr>
              <w:pStyle w:val="P68B1DB1-Normal55"/>
              <w:keepNext/>
              <w:spacing w:before="40" w:after="0" w:line="240" w:lineRule="auto"/>
              <w:jc w:val="both"/>
              <w:rPr>
                <w:rFonts w:eastAsia="Times New Roman" w:cs="Times New Roman"/>
                <w:noProof/>
                <w:szCs w:val="18"/>
              </w:rPr>
            </w:pPr>
            <w:r>
              <w:rPr>
                <w:noProof/>
              </w:rPr>
              <w:t>Etapă</w:t>
            </w:r>
          </w:p>
        </w:tc>
        <w:tc>
          <w:tcPr>
            <w:tcW w:w="2430" w:type="dxa"/>
            <w:tcBorders>
              <w:top w:val="nil"/>
              <w:left w:val="nil"/>
              <w:bottom w:val="single" w:sz="4" w:space="0" w:color="auto"/>
              <w:right w:val="single" w:sz="4" w:space="0" w:color="auto"/>
            </w:tcBorders>
            <w:shd w:val="clear" w:color="auto" w:fill="C6EFCE"/>
            <w:noWrap/>
            <w:vAlign w:val="center"/>
          </w:tcPr>
          <w:p w14:paraId="53B5314D" w14:textId="77777777" w:rsidR="00C45D59" w:rsidRDefault="009B0962">
            <w:pPr>
              <w:pStyle w:val="P68B1DB1-Normal55"/>
              <w:keepNext/>
              <w:spacing w:before="40" w:after="0" w:line="240" w:lineRule="auto"/>
              <w:jc w:val="both"/>
              <w:rPr>
                <w:rFonts w:eastAsia="Times New Roman" w:cs="Times New Roman"/>
                <w:noProof/>
                <w:szCs w:val="18"/>
              </w:rPr>
            </w:pPr>
            <w:r>
              <w:rPr>
                <w:noProof/>
              </w:rPr>
              <w:t xml:space="preserve">Institutul elen DRG KETEKNY și noua Agenție pentru Asigurarea Calității în Asistența Medicală ODIPY </w:t>
            </w:r>
          </w:p>
        </w:tc>
      </w:tr>
      <w:tr w:rsidR="00C45D59" w14:paraId="0247F9BE" w14:textId="77777777">
        <w:trPr>
          <w:trHeight w:val="302"/>
          <w:jc w:val="center"/>
        </w:trPr>
        <w:tc>
          <w:tcPr>
            <w:tcW w:w="1101" w:type="dxa"/>
            <w:tcBorders>
              <w:top w:val="nil"/>
              <w:left w:val="single" w:sz="4" w:space="0" w:color="auto"/>
              <w:bottom w:val="single" w:sz="4" w:space="0" w:color="auto"/>
              <w:right w:val="single" w:sz="4" w:space="0" w:color="auto"/>
            </w:tcBorders>
            <w:shd w:val="clear" w:color="auto" w:fill="C6EFCE"/>
            <w:noWrap/>
            <w:vAlign w:val="center"/>
          </w:tcPr>
          <w:p w14:paraId="1FFC43CC" w14:textId="77777777" w:rsidR="00C45D59" w:rsidRDefault="009B0962">
            <w:pPr>
              <w:pStyle w:val="P68B1DB1-Normal11"/>
              <w:keepNext/>
              <w:spacing w:before="40" w:after="0" w:line="240" w:lineRule="auto"/>
              <w:jc w:val="both"/>
              <w:rPr>
                <w:rFonts w:eastAsia="Times New Roman" w:cs="Times New Roman"/>
                <w:bCs/>
                <w:noProof/>
              </w:rPr>
            </w:pPr>
            <w:r>
              <w:rPr>
                <w:noProof/>
              </w:rPr>
              <w:t>164</w:t>
            </w:r>
          </w:p>
        </w:tc>
        <w:tc>
          <w:tcPr>
            <w:tcW w:w="4677" w:type="dxa"/>
            <w:tcBorders>
              <w:top w:val="nil"/>
              <w:left w:val="nil"/>
              <w:bottom w:val="single" w:sz="4" w:space="0" w:color="auto"/>
              <w:right w:val="single" w:sz="4" w:space="0" w:color="auto"/>
            </w:tcBorders>
            <w:shd w:val="clear" w:color="auto" w:fill="C6EFCE"/>
            <w:noWrap/>
            <w:vAlign w:val="center"/>
          </w:tcPr>
          <w:p w14:paraId="2BC1A235"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 xml:space="preserve">10-3.3. Îmbunătățirea rezilienței, a accesibilității și a sustenabilității asistenței medicale – 16756_Reforme organizaționale în sistemul de sănătate </w:t>
            </w:r>
          </w:p>
        </w:tc>
        <w:tc>
          <w:tcPr>
            <w:tcW w:w="1380" w:type="dxa"/>
            <w:tcBorders>
              <w:top w:val="nil"/>
              <w:left w:val="nil"/>
              <w:bottom w:val="single" w:sz="4" w:space="0" w:color="auto"/>
              <w:right w:val="single" w:sz="4" w:space="0" w:color="auto"/>
            </w:tcBorders>
            <w:shd w:val="clear" w:color="auto" w:fill="C6EFCE"/>
            <w:noWrap/>
            <w:vAlign w:val="center"/>
          </w:tcPr>
          <w:p w14:paraId="3E788E77" w14:textId="77777777" w:rsidR="00C45D59" w:rsidRDefault="009B0962">
            <w:pPr>
              <w:pStyle w:val="P68B1DB1-Normal55"/>
              <w:keepNext/>
              <w:spacing w:before="40" w:after="0" w:line="240" w:lineRule="auto"/>
              <w:jc w:val="both"/>
              <w:rPr>
                <w:rFonts w:eastAsia="Times New Roman" w:cs="Times New Roman"/>
                <w:noProof/>
                <w:szCs w:val="18"/>
              </w:rPr>
            </w:pPr>
            <w:r>
              <w:rPr>
                <w:noProof/>
              </w:rPr>
              <w:t>Țintă</w:t>
            </w:r>
          </w:p>
        </w:tc>
        <w:tc>
          <w:tcPr>
            <w:tcW w:w="2430" w:type="dxa"/>
            <w:tcBorders>
              <w:top w:val="nil"/>
              <w:left w:val="nil"/>
              <w:bottom w:val="single" w:sz="4" w:space="0" w:color="auto"/>
              <w:right w:val="single" w:sz="4" w:space="0" w:color="auto"/>
            </w:tcBorders>
            <w:shd w:val="clear" w:color="auto" w:fill="C6EFCE"/>
            <w:noWrap/>
            <w:vAlign w:val="center"/>
          </w:tcPr>
          <w:p w14:paraId="31FE4273" w14:textId="77777777" w:rsidR="00C45D59" w:rsidRDefault="009B0962">
            <w:pPr>
              <w:pStyle w:val="P68B1DB1-Normal55"/>
              <w:keepNext/>
              <w:spacing w:before="40" w:after="0" w:line="240" w:lineRule="auto"/>
              <w:jc w:val="both"/>
              <w:rPr>
                <w:rFonts w:eastAsia="Times New Roman" w:cs="Times New Roman"/>
                <w:noProof/>
                <w:szCs w:val="18"/>
              </w:rPr>
            </w:pPr>
            <w:r>
              <w:rPr>
                <w:noProof/>
              </w:rPr>
              <w:t>Sistemul de sănătate – Formare de tip KETEKNY</w:t>
            </w:r>
          </w:p>
        </w:tc>
      </w:tr>
      <w:tr w:rsidR="00C45D59" w14:paraId="4ABB1E08" w14:textId="77777777">
        <w:trPr>
          <w:trHeight w:val="302"/>
          <w:jc w:val="center"/>
        </w:trPr>
        <w:tc>
          <w:tcPr>
            <w:tcW w:w="1101" w:type="dxa"/>
            <w:tcBorders>
              <w:top w:val="nil"/>
              <w:left w:val="single" w:sz="4" w:space="0" w:color="auto"/>
              <w:bottom w:val="single" w:sz="4" w:space="0" w:color="auto"/>
              <w:right w:val="single" w:sz="4" w:space="0" w:color="auto"/>
            </w:tcBorders>
            <w:shd w:val="clear" w:color="auto" w:fill="C6EFCE"/>
            <w:noWrap/>
            <w:vAlign w:val="center"/>
          </w:tcPr>
          <w:p w14:paraId="1E4497D6" w14:textId="77777777" w:rsidR="00C45D59" w:rsidRDefault="009B0962">
            <w:pPr>
              <w:pStyle w:val="P68B1DB1-Normal11"/>
              <w:keepNext/>
              <w:spacing w:before="40" w:after="0" w:line="240" w:lineRule="auto"/>
              <w:jc w:val="both"/>
              <w:rPr>
                <w:noProof/>
              </w:rPr>
            </w:pPr>
            <w:r>
              <w:rPr>
                <w:noProof/>
              </w:rPr>
              <w:t>166a</w:t>
            </w:r>
          </w:p>
        </w:tc>
        <w:tc>
          <w:tcPr>
            <w:tcW w:w="4677" w:type="dxa"/>
            <w:tcBorders>
              <w:top w:val="nil"/>
              <w:left w:val="nil"/>
              <w:bottom w:val="single" w:sz="4" w:space="0" w:color="auto"/>
              <w:right w:val="single" w:sz="4" w:space="0" w:color="auto"/>
            </w:tcBorders>
            <w:shd w:val="clear" w:color="auto" w:fill="C6EFCE"/>
            <w:noWrap/>
            <w:vAlign w:val="center"/>
          </w:tcPr>
          <w:p w14:paraId="4881ADDB" w14:textId="77777777" w:rsidR="00C45D59" w:rsidRDefault="009B0962">
            <w:pPr>
              <w:pStyle w:val="P68B1DB1-Normal55"/>
              <w:keepNext/>
              <w:spacing w:before="40" w:after="0" w:line="240" w:lineRule="auto"/>
              <w:jc w:val="both"/>
              <w:rPr>
                <w:noProof/>
              </w:rPr>
            </w:pPr>
            <w:r>
              <w:rPr>
                <w:noProof/>
              </w:rPr>
              <w:t>16755_Investiții verzi – Reforma sistemului de asistență medicală primară</w:t>
            </w:r>
          </w:p>
        </w:tc>
        <w:tc>
          <w:tcPr>
            <w:tcW w:w="1380" w:type="dxa"/>
            <w:tcBorders>
              <w:top w:val="nil"/>
              <w:left w:val="nil"/>
              <w:bottom w:val="single" w:sz="4" w:space="0" w:color="auto"/>
              <w:right w:val="single" w:sz="4" w:space="0" w:color="auto"/>
            </w:tcBorders>
            <w:shd w:val="clear" w:color="auto" w:fill="C6EFCE"/>
            <w:noWrap/>
            <w:vAlign w:val="center"/>
          </w:tcPr>
          <w:p w14:paraId="31F7957C" w14:textId="77777777" w:rsidR="00C45D59" w:rsidRDefault="009B0962">
            <w:pPr>
              <w:pStyle w:val="P68B1DB1-Normal55"/>
              <w:keepNext/>
              <w:spacing w:before="40" w:after="0" w:line="240" w:lineRule="auto"/>
              <w:jc w:val="both"/>
              <w:rPr>
                <w:noProof/>
              </w:rPr>
            </w:pPr>
            <w:r>
              <w:rPr>
                <w:noProof/>
              </w:rPr>
              <w:t>Țintă</w:t>
            </w:r>
          </w:p>
        </w:tc>
        <w:tc>
          <w:tcPr>
            <w:tcW w:w="2430" w:type="dxa"/>
            <w:tcBorders>
              <w:top w:val="nil"/>
              <w:left w:val="nil"/>
              <w:bottom w:val="single" w:sz="4" w:space="0" w:color="auto"/>
              <w:right w:val="single" w:sz="4" w:space="0" w:color="auto"/>
            </w:tcBorders>
            <w:shd w:val="clear" w:color="auto" w:fill="C6EFCE"/>
            <w:noWrap/>
            <w:vAlign w:val="center"/>
          </w:tcPr>
          <w:p w14:paraId="022E713F" w14:textId="77777777" w:rsidR="00C45D59" w:rsidRDefault="009B0962">
            <w:pPr>
              <w:pStyle w:val="P68B1DB1-Normal55"/>
              <w:keepNext/>
              <w:spacing w:before="40" w:after="0" w:line="240" w:lineRule="auto"/>
              <w:jc w:val="both"/>
              <w:rPr>
                <w:noProof/>
              </w:rPr>
            </w:pPr>
            <w:r>
              <w:rPr>
                <w:noProof/>
              </w:rPr>
              <w:t>PHC – unități de asistență medicală primară cu infrastructură renovată – etapa 2</w:t>
            </w:r>
          </w:p>
        </w:tc>
      </w:tr>
      <w:tr w:rsidR="00C45D59" w14:paraId="2C93B47E" w14:textId="77777777">
        <w:trPr>
          <w:trHeight w:val="302"/>
          <w:jc w:val="center"/>
        </w:trPr>
        <w:tc>
          <w:tcPr>
            <w:tcW w:w="1101" w:type="dxa"/>
            <w:tcBorders>
              <w:top w:val="nil"/>
              <w:left w:val="single" w:sz="4" w:space="0" w:color="auto"/>
              <w:bottom w:val="single" w:sz="4" w:space="0" w:color="auto"/>
              <w:right w:val="single" w:sz="4" w:space="0" w:color="auto"/>
            </w:tcBorders>
            <w:shd w:val="clear" w:color="auto" w:fill="C6EFCE"/>
            <w:noWrap/>
            <w:vAlign w:val="center"/>
          </w:tcPr>
          <w:p w14:paraId="077BEFD4"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169</w:t>
            </w:r>
          </w:p>
        </w:tc>
        <w:tc>
          <w:tcPr>
            <w:tcW w:w="4677" w:type="dxa"/>
            <w:tcBorders>
              <w:top w:val="nil"/>
              <w:left w:val="nil"/>
              <w:bottom w:val="single" w:sz="4" w:space="0" w:color="auto"/>
              <w:right w:val="single" w:sz="4" w:space="0" w:color="auto"/>
            </w:tcBorders>
            <w:shd w:val="clear" w:color="auto" w:fill="C6EFCE"/>
            <w:noWrap/>
            <w:vAlign w:val="center"/>
          </w:tcPr>
          <w:p w14:paraId="38AC571B"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10-3.3. Îmbunătățirea rezilienței, a accesibilității și a sustenabilității asistenței medicale – 16753_Înființarea sistemelor de asistență medicală la domiciliu &amp; de spitale la domiciliu</w:t>
            </w:r>
          </w:p>
        </w:tc>
        <w:tc>
          <w:tcPr>
            <w:tcW w:w="1380" w:type="dxa"/>
            <w:tcBorders>
              <w:top w:val="nil"/>
              <w:left w:val="nil"/>
              <w:bottom w:val="single" w:sz="4" w:space="0" w:color="auto"/>
              <w:right w:val="single" w:sz="4" w:space="0" w:color="auto"/>
            </w:tcBorders>
            <w:shd w:val="clear" w:color="auto" w:fill="C6EFCE"/>
            <w:noWrap/>
            <w:vAlign w:val="center"/>
          </w:tcPr>
          <w:p w14:paraId="46967E66" w14:textId="77777777" w:rsidR="00C45D59" w:rsidRDefault="009B0962">
            <w:pPr>
              <w:pStyle w:val="P68B1DB1-Normal55"/>
              <w:keepNext/>
              <w:spacing w:before="40" w:after="0" w:line="240" w:lineRule="auto"/>
              <w:jc w:val="both"/>
              <w:rPr>
                <w:rFonts w:eastAsia="Times New Roman" w:cs="Times New Roman"/>
                <w:noProof/>
                <w:szCs w:val="18"/>
              </w:rPr>
            </w:pPr>
            <w:r>
              <w:rPr>
                <w:noProof/>
              </w:rPr>
              <w:t>Etapă</w:t>
            </w:r>
          </w:p>
        </w:tc>
        <w:tc>
          <w:tcPr>
            <w:tcW w:w="2430" w:type="dxa"/>
            <w:tcBorders>
              <w:top w:val="nil"/>
              <w:left w:val="nil"/>
              <w:bottom w:val="single" w:sz="4" w:space="0" w:color="auto"/>
              <w:right w:val="single" w:sz="4" w:space="0" w:color="auto"/>
            </w:tcBorders>
            <w:shd w:val="clear" w:color="auto" w:fill="C6EFCE"/>
            <w:noWrap/>
            <w:vAlign w:val="center"/>
          </w:tcPr>
          <w:p w14:paraId="167BF5DC" w14:textId="3D5C09AB" w:rsidR="00C45D59" w:rsidRDefault="009B0962">
            <w:pPr>
              <w:pStyle w:val="P68B1DB1-Normal11"/>
              <w:keepNext/>
              <w:spacing w:before="40" w:after="0" w:line="240" w:lineRule="auto"/>
              <w:jc w:val="both"/>
              <w:rPr>
                <w:rFonts w:eastAsia="Times New Roman" w:cs="Times New Roman"/>
                <w:noProof/>
              </w:rPr>
            </w:pPr>
            <w:r>
              <w:rPr>
                <w:noProof/>
              </w:rPr>
              <w:t>Centre de referință pentru îngrijirea la domiciliu</w:t>
            </w:r>
          </w:p>
        </w:tc>
      </w:tr>
      <w:tr w:rsidR="00C45D59" w14:paraId="3325B155" w14:textId="77777777">
        <w:trPr>
          <w:trHeight w:val="302"/>
          <w:jc w:val="center"/>
        </w:trPr>
        <w:tc>
          <w:tcPr>
            <w:tcW w:w="1101" w:type="dxa"/>
            <w:tcBorders>
              <w:top w:val="nil"/>
              <w:left w:val="single" w:sz="4" w:space="0" w:color="auto"/>
              <w:bottom w:val="single" w:sz="4" w:space="0" w:color="auto"/>
              <w:right w:val="single" w:sz="4" w:space="0" w:color="auto"/>
            </w:tcBorders>
            <w:shd w:val="clear" w:color="auto" w:fill="C6EFCE"/>
            <w:noWrap/>
            <w:vAlign w:val="center"/>
          </w:tcPr>
          <w:p w14:paraId="398008C3" w14:textId="77777777" w:rsidR="00C45D59" w:rsidRDefault="009B0962">
            <w:pPr>
              <w:pStyle w:val="P68B1DB1-Normal55"/>
              <w:keepNext/>
              <w:spacing w:before="40" w:after="0" w:line="240" w:lineRule="auto"/>
              <w:jc w:val="both"/>
              <w:rPr>
                <w:noProof/>
              </w:rPr>
            </w:pPr>
            <w:r>
              <w:rPr>
                <w:noProof/>
              </w:rPr>
              <w:t>170a</w:t>
            </w:r>
          </w:p>
        </w:tc>
        <w:tc>
          <w:tcPr>
            <w:tcW w:w="4677" w:type="dxa"/>
            <w:tcBorders>
              <w:top w:val="nil"/>
              <w:left w:val="nil"/>
              <w:bottom w:val="single" w:sz="4" w:space="0" w:color="auto"/>
              <w:right w:val="single" w:sz="4" w:space="0" w:color="auto"/>
            </w:tcBorders>
            <w:shd w:val="clear" w:color="auto" w:fill="C6EFCE"/>
            <w:noWrap/>
            <w:vAlign w:val="center"/>
          </w:tcPr>
          <w:p w14:paraId="7FDCE326" w14:textId="77777777" w:rsidR="00C45D59" w:rsidRDefault="009B0962">
            <w:pPr>
              <w:pStyle w:val="P68B1DB1-Normal55"/>
              <w:keepNext/>
              <w:spacing w:before="40" w:after="0" w:line="240" w:lineRule="auto"/>
              <w:jc w:val="both"/>
              <w:rPr>
                <w:noProof/>
              </w:rPr>
            </w:pPr>
            <w:r>
              <w:rPr>
                <w:noProof/>
              </w:rPr>
              <w:t>10-3.3. Îmbunătățirea rezilienței, a accesibilității și a sustenabilității asistenței medicale – 16795_Infrastructura de sănătate</w:t>
            </w:r>
          </w:p>
        </w:tc>
        <w:tc>
          <w:tcPr>
            <w:tcW w:w="1380" w:type="dxa"/>
            <w:tcBorders>
              <w:top w:val="nil"/>
              <w:left w:val="nil"/>
              <w:bottom w:val="single" w:sz="4" w:space="0" w:color="auto"/>
              <w:right w:val="single" w:sz="4" w:space="0" w:color="auto"/>
            </w:tcBorders>
            <w:shd w:val="clear" w:color="auto" w:fill="C6EFCE"/>
            <w:noWrap/>
            <w:vAlign w:val="center"/>
          </w:tcPr>
          <w:p w14:paraId="58031F7D" w14:textId="77777777" w:rsidR="00C45D59" w:rsidRDefault="009B0962">
            <w:pPr>
              <w:pStyle w:val="P68B1DB1-Normal55"/>
              <w:keepNext/>
              <w:spacing w:before="40" w:after="0" w:line="240" w:lineRule="auto"/>
              <w:jc w:val="both"/>
              <w:rPr>
                <w:noProof/>
              </w:rPr>
            </w:pPr>
            <w:r>
              <w:rPr>
                <w:noProof/>
              </w:rPr>
              <w:t>Țintă</w:t>
            </w:r>
          </w:p>
        </w:tc>
        <w:tc>
          <w:tcPr>
            <w:tcW w:w="2430" w:type="dxa"/>
            <w:tcBorders>
              <w:top w:val="nil"/>
              <w:left w:val="nil"/>
              <w:bottom w:val="single" w:sz="4" w:space="0" w:color="auto"/>
              <w:right w:val="single" w:sz="4" w:space="0" w:color="auto"/>
            </w:tcBorders>
            <w:shd w:val="clear" w:color="auto" w:fill="C6EFCE"/>
            <w:noWrap/>
            <w:vAlign w:val="center"/>
          </w:tcPr>
          <w:p w14:paraId="0ADBF3D4" w14:textId="77777777" w:rsidR="00C45D59" w:rsidRDefault="009B0962">
            <w:pPr>
              <w:pStyle w:val="P68B1DB1-Normal55"/>
              <w:keepNext/>
              <w:spacing w:before="40" w:after="0" w:line="240" w:lineRule="auto"/>
              <w:jc w:val="both"/>
              <w:rPr>
                <w:noProof/>
              </w:rPr>
            </w:pPr>
            <w:r>
              <w:rPr>
                <w:noProof/>
              </w:rPr>
              <w:t>Modernizarea infrastructurii NHS – etapa 2</w:t>
            </w:r>
          </w:p>
        </w:tc>
      </w:tr>
      <w:tr w:rsidR="00C45D59" w14:paraId="22135F57" w14:textId="77777777">
        <w:trPr>
          <w:trHeight w:val="302"/>
          <w:jc w:val="center"/>
        </w:trPr>
        <w:tc>
          <w:tcPr>
            <w:tcW w:w="1101" w:type="dxa"/>
            <w:tcBorders>
              <w:top w:val="nil"/>
              <w:left w:val="single" w:sz="4" w:space="0" w:color="auto"/>
              <w:bottom w:val="single" w:sz="4" w:space="0" w:color="auto"/>
              <w:right w:val="single" w:sz="4" w:space="0" w:color="auto"/>
            </w:tcBorders>
            <w:shd w:val="clear" w:color="auto" w:fill="C6EFCE"/>
            <w:noWrap/>
            <w:vAlign w:val="center"/>
          </w:tcPr>
          <w:p w14:paraId="4810CEE3" w14:textId="77777777" w:rsidR="00C45D59" w:rsidRDefault="009B0962">
            <w:pPr>
              <w:pStyle w:val="P68B1DB1-Normal55"/>
              <w:keepNext/>
              <w:spacing w:before="40" w:after="0" w:line="240" w:lineRule="auto"/>
              <w:jc w:val="both"/>
              <w:rPr>
                <w:noProof/>
              </w:rPr>
            </w:pPr>
            <w:r>
              <w:rPr>
                <w:noProof/>
              </w:rPr>
              <w:t>170b</w:t>
            </w:r>
          </w:p>
        </w:tc>
        <w:tc>
          <w:tcPr>
            <w:tcW w:w="4677" w:type="dxa"/>
            <w:tcBorders>
              <w:top w:val="nil"/>
              <w:left w:val="nil"/>
              <w:bottom w:val="single" w:sz="4" w:space="0" w:color="auto"/>
              <w:right w:val="single" w:sz="4" w:space="0" w:color="auto"/>
            </w:tcBorders>
            <w:shd w:val="clear" w:color="auto" w:fill="C6EFCE"/>
            <w:noWrap/>
            <w:vAlign w:val="center"/>
          </w:tcPr>
          <w:p w14:paraId="47DDBF78" w14:textId="77777777" w:rsidR="00C45D59" w:rsidRDefault="009B0962">
            <w:pPr>
              <w:pStyle w:val="P68B1DB1-Normal55"/>
              <w:keepNext/>
              <w:spacing w:before="40" w:after="0" w:line="240" w:lineRule="auto"/>
              <w:jc w:val="both"/>
              <w:rPr>
                <w:noProof/>
              </w:rPr>
            </w:pPr>
            <w:r>
              <w:rPr>
                <w:noProof/>
              </w:rPr>
              <w:t>10-3.3. Îmbunătățirea rezilienței, a accesibilității și a sustenabilității asistenței medicale – 16795_Infrastructura de sănătate</w:t>
            </w:r>
          </w:p>
        </w:tc>
        <w:tc>
          <w:tcPr>
            <w:tcW w:w="1380" w:type="dxa"/>
            <w:tcBorders>
              <w:top w:val="nil"/>
              <w:left w:val="nil"/>
              <w:bottom w:val="single" w:sz="4" w:space="0" w:color="auto"/>
              <w:right w:val="single" w:sz="4" w:space="0" w:color="auto"/>
            </w:tcBorders>
            <w:shd w:val="clear" w:color="auto" w:fill="C6EFCE"/>
            <w:noWrap/>
            <w:vAlign w:val="center"/>
          </w:tcPr>
          <w:p w14:paraId="210732BE" w14:textId="77777777" w:rsidR="00C45D59" w:rsidRDefault="009B0962">
            <w:pPr>
              <w:pStyle w:val="P68B1DB1-Normal55"/>
              <w:keepNext/>
              <w:spacing w:before="40" w:after="0" w:line="240" w:lineRule="auto"/>
              <w:jc w:val="both"/>
              <w:rPr>
                <w:noProof/>
              </w:rPr>
            </w:pPr>
            <w:r>
              <w:rPr>
                <w:noProof/>
              </w:rPr>
              <w:t>Țintă</w:t>
            </w:r>
          </w:p>
        </w:tc>
        <w:tc>
          <w:tcPr>
            <w:tcW w:w="2430" w:type="dxa"/>
            <w:tcBorders>
              <w:top w:val="nil"/>
              <w:left w:val="nil"/>
              <w:bottom w:val="single" w:sz="4" w:space="0" w:color="auto"/>
              <w:right w:val="single" w:sz="4" w:space="0" w:color="auto"/>
            </w:tcBorders>
            <w:shd w:val="clear" w:color="auto" w:fill="C6EFCE"/>
            <w:noWrap/>
            <w:vAlign w:val="center"/>
          </w:tcPr>
          <w:p w14:paraId="2C3255D4" w14:textId="77777777" w:rsidR="00C45D59" w:rsidRDefault="009B0962">
            <w:pPr>
              <w:pStyle w:val="P68B1DB1-Normal55"/>
              <w:keepNext/>
              <w:spacing w:before="40" w:after="0" w:line="240" w:lineRule="auto"/>
              <w:jc w:val="both"/>
              <w:rPr>
                <w:noProof/>
              </w:rPr>
            </w:pPr>
            <w:r>
              <w:rPr>
                <w:noProof/>
              </w:rPr>
              <w:t>Modernizarea infrastructurii NHS – etapa 3</w:t>
            </w:r>
          </w:p>
        </w:tc>
      </w:tr>
      <w:tr w:rsidR="00C45D59" w14:paraId="7FCAB95A" w14:textId="77777777">
        <w:trPr>
          <w:trHeight w:val="302"/>
          <w:jc w:val="center"/>
        </w:trPr>
        <w:tc>
          <w:tcPr>
            <w:tcW w:w="1101" w:type="dxa"/>
            <w:tcBorders>
              <w:top w:val="nil"/>
              <w:left w:val="single" w:sz="4" w:space="0" w:color="auto"/>
              <w:bottom w:val="single" w:sz="4" w:space="0" w:color="auto"/>
              <w:right w:val="single" w:sz="4" w:space="0" w:color="auto"/>
            </w:tcBorders>
            <w:shd w:val="clear" w:color="auto" w:fill="C6EFCE"/>
            <w:noWrap/>
          </w:tcPr>
          <w:p w14:paraId="5C3D3E5B" w14:textId="77777777" w:rsidR="00C45D59" w:rsidRDefault="009B0962">
            <w:pPr>
              <w:pStyle w:val="P68B1DB1-Normal55"/>
              <w:keepNext/>
              <w:spacing w:before="40" w:after="0" w:line="240" w:lineRule="auto"/>
              <w:jc w:val="both"/>
              <w:rPr>
                <w:rFonts w:cs="Times New Roman"/>
                <w:noProof/>
                <w:szCs w:val="18"/>
              </w:rPr>
            </w:pPr>
            <w:r>
              <w:rPr>
                <w:noProof/>
              </w:rPr>
              <w:t>184a</w:t>
            </w:r>
          </w:p>
        </w:tc>
        <w:tc>
          <w:tcPr>
            <w:tcW w:w="4677" w:type="dxa"/>
            <w:tcBorders>
              <w:top w:val="nil"/>
              <w:left w:val="nil"/>
              <w:bottom w:val="single" w:sz="4" w:space="0" w:color="auto"/>
              <w:right w:val="single" w:sz="4" w:space="0" w:color="auto"/>
            </w:tcBorders>
            <w:shd w:val="clear" w:color="auto" w:fill="C6EFCE"/>
            <w:noWrap/>
          </w:tcPr>
          <w:p w14:paraId="348E1A47" w14:textId="77777777" w:rsidR="00C45D59" w:rsidRDefault="009B0962">
            <w:pPr>
              <w:pStyle w:val="P68B1DB1-Normal55"/>
              <w:keepNext/>
              <w:spacing w:before="40" w:after="0" w:line="240" w:lineRule="auto"/>
              <w:jc w:val="both"/>
              <w:rPr>
                <w:rFonts w:cs="Times New Roman"/>
                <w:noProof/>
                <w:szCs w:val="18"/>
              </w:rPr>
            </w:pPr>
            <w:r>
              <w:rPr>
                <w:noProof/>
              </w:rPr>
              <w:t>11-3.4. Creșterea accesului la politici sociale eficace și favorabile incluziunii – 16685_Sensibilizarea cu privire la diversitate</w:t>
            </w:r>
          </w:p>
        </w:tc>
        <w:tc>
          <w:tcPr>
            <w:tcW w:w="1380" w:type="dxa"/>
            <w:tcBorders>
              <w:top w:val="nil"/>
              <w:left w:val="nil"/>
              <w:bottom w:val="single" w:sz="4" w:space="0" w:color="auto"/>
              <w:right w:val="single" w:sz="4" w:space="0" w:color="auto"/>
            </w:tcBorders>
            <w:shd w:val="clear" w:color="auto" w:fill="C6EFCE"/>
            <w:noWrap/>
          </w:tcPr>
          <w:p w14:paraId="4A92DAE0" w14:textId="77777777" w:rsidR="00C45D59" w:rsidRDefault="009B0962">
            <w:pPr>
              <w:pStyle w:val="P68B1DB1-Normal55"/>
              <w:keepNext/>
              <w:spacing w:before="40" w:after="0" w:line="240" w:lineRule="auto"/>
              <w:jc w:val="both"/>
              <w:rPr>
                <w:rFonts w:cs="Times New Roman"/>
                <w:noProof/>
                <w:szCs w:val="18"/>
              </w:rPr>
            </w:pPr>
            <w:r>
              <w:rPr>
                <w:noProof/>
              </w:rPr>
              <w:t>Etapă</w:t>
            </w:r>
          </w:p>
        </w:tc>
        <w:tc>
          <w:tcPr>
            <w:tcW w:w="2430" w:type="dxa"/>
            <w:tcBorders>
              <w:top w:val="nil"/>
              <w:left w:val="nil"/>
              <w:bottom w:val="single" w:sz="4" w:space="0" w:color="auto"/>
              <w:right w:val="single" w:sz="4" w:space="0" w:color="auto"/>
            </w:tcBorders>
            <w:shd w:val="clear" w:color="auto" w:fill="C6EFCE"/>
            <w:noWrap/>
          </w:tcPr>
          <w:p w14:paraId="7EE3AF58" w14:textId="77777777" w:rsidR="00C45D59" w:rsidRDefault="009B0962">
            <w:pPr>
              <w:pStyle w:val="P68B1DB1-Normal55"/>
              <w:keepNext/>
              <w:spacing w:before="40" w:after="0" w:line="240" w:lineRule="auto"/>
              <w:jc w:val="both"/>
              <w:rPr>
                <w:rFonts w:cs="Times New Roman"/>
                <w:noProof/>
                <w:szCs w:val="18"/>
              </w:rPr>
            </w:pPr>
            <w:r>
              <w:rPr>
                <w:noProof/>
              </w:rPr>
              <w:t>Act juridic care specifică rolul Observatorului pentru egalitate și act juridic care prevede începerea unui proiect-pilot pentru sistemul de evaluare și atribuire pentru întreprinderile/organizațiile care promovează diversitatea și incluziunea</w:t>
            </w:r>
          </w:p>
        </w:tc>
      </w:tr>
      <w:tr w:rsidR="00C45D59" w14:paraId="5E470845" w14:textId="77777777">
        <w:trPr>
          <w:trHeight w:val="302"/>
          <w:jc w:val="center"/>
        </w:trPr>
        <w:tc>
          <w:tcPr>
            <w:tcW w:w="1101" w:type="dxa"/>
            <w:tcBorders>
              <w:top w:val="nil"/>
              <w:left w:val="single" w:sz="4" w:space="0" w:color="auto"/>
              <w:bottom w:val="single" w:sz="4" w:space="0" w:color="auto"/>
              <w:right w:val="single" w:sz="4" w:space="0" w:color="auto"/>
            </w:tcBorders>
            <w:shd w:val="clear" w:color="auto" w:fill="C6EFCE"/>
            <w:noWrap/>
            <w:vAlign w:val="center"/>
          </w:tcPr>
          <w:p w14:paraId="1F35B19A" w14:textId="77777777" w:rsidR="00C45D59" w:rsidRDefault="009B0962">
            <w:pPr>
              <w:pStyle w:val="P68B1DB1-Normal55"/>
              <w:keepNext/>
              <w:spacing w:before="40" w:after="0" w:line="240" w:lineRule="auto"/>
              <w:jc w:val="both"/>
              <w:rPr>
                <w:noProof/>
              </w:rPr>
            </w:pPr>
            <w:r>
              <w:rPr>
                <w:noProof/>
              </w:rPr>
              <w:t>185</w:t>
            </w:r>
          </w:p>
        </w:tc>
        <w:tc>
          <w:tcPr>
            <w:tcW w:w="4677" w:type="dxa"/>
            <w:tcBorders>
              <w:top w:val="nil"/>
              <w:left w:val="nil"/>
              <w:bottom w:val="single" w:sz="4" w:space="0" w:color="auto"/>
              <w:right w:val="single" w:sz="4" w:space="0" w:color="auto"/>
            </w:tcBorders>
            <w:shd w:val="clear" w:color="auto" w:fill="C6EFCE"/>
            <w:noWrap/>
            <w:vAlign w:val="center"/>
          </w:tcPr>
          <w:p w14:paraId="69EB16D1" w14:textId="77777777" w:rsidR="00C45D59" w:rsidRDefault="009B0962">
            <w:pPr>
              <w:pStyle w:val="P68B1DB1-Normal55"/>
              <w:keepNext/>
              <w:spacing w:before="40" w:after="0" w:line="240" w:lineRule="auto"/>
              <w:jc w:val="both"/>
              <w:rPr>
                <w:noProof/>
              </w:rPr>
            </w:pPr>
            <w:r>
              <w:rPr>
                <w:noProof/>
              </w:rPr>
              <w:t xml:space="preserve">11-3.4. Creșterea accesului la politici sociale eficace și favorabile incluziunii – 16763_Transformarea digitală a sistemului de imigrație și azil </w:t>
            </w:r>
          </w:p>
        </w:tc>
        <w:tc>
          <w:tcPr>
            <w:tcW w:w="1380" w:type="dxa"/>
            <w:tcBorders>
              <w:top w:val="nil"/>
              <w:left w:val="nil"/>
              <w:bottom w:val="single" w:sz="4" w:space="0" w:color="auto"/>
              <w:right w:val="single" w:sz="4" w:space="0" w:color="auto"/>
            </w:tcBorders>
            <w:shd w:val="clear" w:color="auto" w:fill="C6EFCE"/>
            <w:noWrap/>
            <w:vAlign w:val="center"/>
          </w:tcPr>
          <w:p w14:paraId="7AD740C4" w14:textId="77777777" w:rsidR="00C45D59" w:rsidRDefault="009B0962">
            <w:pPr>
              <w:pStyle w:val="P68B1DB1-Normal55"/>
              <w:keepNext/>
              <w:spacing w:before="40" w:after="0" w:line="240" w:lineRule="auto"/>
              <w:jc w:val="both"/>
              <w:rPr>
                <w:noProof/>
              </w:rPr>
            </w:pPr>
            <w:r>
              <w:rPr>
                <w:noProof/>
              </w:rPr>
              <w:t>Etapă</w:t>
            </w:r>
          </w:p>
        </w:tc>
        <w:tc>
          <w:tcPr>
            <w:tcW w:w="2430" w:type="dxa"/>
            <w:tcBorders>
              <w:top w:val="nil"/>
              <w:left w:val="nil"/>
              <w:bottom w:val="single" w:sz="4" w:space="0" w:color="auto"/>
              <w:right w:val="single" w:sz="4" w:space="0" w:color="auto"/>
            </w:tcBorders>
            <w:shd w:val="clear" w:color="auto" w:fill="C6EFCE"/>
            <w:noWrap/>
            <w:vAlign w:val="center"/>
          </w:tcPr>
          <w:p w14:paraId="2EDC8E2C" w14:textId="77777777" w:rsidR="00C45D59" w:rsidRDefault="009B0962">
            <w:pPr>
              <w:pStyle w:val="P68B1DB1-Normal55"/>
              <w:keepNext/>
              <w:spacing w:before="40" w:after="0" w:line="240" w:lineRule="auto"/>
              <w:jc w:val="both"/>
              <w:rPr>
                <w:noProof/>
              </w:rPr>
            </w:pPr>
            <w:r>
              <w:rPr>
                <w:noProof/>
              </w:rPr>
              <w:t>Digitalizarea sistemului de azil în materie de migrație</w:t>
            </w:r>
          </w:p>
        </w:tc>
      </w:tr>
      <w:tr w:rsidR="00C45D59" w14:paraId="65ACB8C8" w14:textId="77777777">
        <w:trPr>
          <w:trHeight w:val="302"/>
          <w:jc w:val="center"/>
        </w:trPr>
        <w:tc>
          <w:tcPr>
            <w:tcW w:w="1101" w:type="dxa"/>
            <w:tcBorders>
              <w:top w:val="nil"/>
              <w:left w:val="single" w:sz="4" w:space="0" w:color="auto"/>
              <w:bottom w:val="single" w:sz="4" w:space="0" w:color="auto"/>
              <w:right w:val="single" w:sz="4" w:space="0" w:color="auto"/>
            </w:tcBorders>
            <w:shd w:val="clear" w:color="auto" w:fill="C6EFCE"/>
            <w:noWrap/>
            <w:vAlign w:val="center"/>
          </w:tcPr>
          <w:p w14:paraId="66153A8C" w14:textId="77777777" w:rsidR="00C45D59" w:rsidRDefault="009B0962">
            <w:pPr>
              <w:pStyle w:val="P68B1DB1-Normal55"/>
              <w:keepNext/>
              <w:spacing w:before="40" w:after="0" w:line="240" w:lineRule="auto"/>
              <w:jc w:val="both"/>
              <w:rPr>
                <w:rFonts w:cs="Times New Roman"/>
                <w:noProof/>
                <w:szCs w:val="18"/>
              </w:rPr>
            </w:pPr>
            <w:r>
              <w:rPr>
                <w:noProof/>
              </w:rPr>
              <w:t>186</w:t>
            </w:r>
          </w:p>
        </w:tc>
        <w:tc>
          <w:tcPr>
            <w:tcW w:w="4677" w:type="dxa"/>
            <w:tcBorders>
              <w:top w:val="nil"/>
              <w:left w:val="nil"/>
              <w:bottom w:val="single" w:sz="4" w:space="0" w:color="auto"/>
              <w:right w:val="single" w:sz="4" w:space="0" w:color="auto"/>
            </w:tcBorders>
            <w:shd w:val="clear" w:color="auto" w:fill="C6EFCE"/>
            <w:noWrap/>
            <w:vAlign w:val="center"/>
          </w:tcPr>
          <w:p w14:paraId="5773F3E2" w14:textId="77777777" w:rsidR="00C45D59" w:rsidRDefault="009B0962">
            <w:pPr>
              <w:pStyle w:val="P68B1DB1-Normal55"/>
              <w:keepNext/>
              <w:spacing w:before="40" w:after="0" w:line="240" w:lineRule="auto"/>
              <w:jc w:val="both"/>
              <w:rPr>
                <w:rFonts w:cs="Times New Roman"/>
                <w:noProof/>
                <w:szCs w:val="18"/>
              </w:rPr>
            </w:pPr>
            <w:r>
              <w:rPr>
                <w:noProof/>
              </w:rPr>
              <w:t>11-3.4. Creșterea accesului la politici sociale eficace și favorabile incluziunii – 16922_Integrare socială</w:t>
            </w:r>
          </w:p>
        </w:tc>
        <w:tc>
          <w:tcPr>
            <w:tcW w:w="1380" w:type="dxa"/>
            <w:tcBorders>
              <w:top w:val="nil"/>
              <w:left w:val="nil"/>
              <w:bottom w:val="single" w:sz="4" w:space="0" w:color="auto"/>
              <w:right w:val="single" w:sz="4" w:space="0" w:color="auto"/>
            </w:tcBorders>
            <w:shd w:val="clear" w:color="auto" w:fill="C6EFCE"/>
            <w:noWrap/>
            <w:vAlign w:val="center"/>
          </w:tcPr>
          <w:p w14:paraId="16601BF1" w14:textId="77777777" w:rsidR="00C45D59" w:rsidRDefault="009B0962">
            <w:pPr>
              <w:pStyle w:val="P68B1DB1-Normal55"/>
              <w:keepNext/>
              <w:spacing w:before="40" w:after="0" w:line="240" w:lineRule="auto"/>
              <w:jc w:val="both"/>
              <w:rPr>
                <w:rFonts w:cs="Times New Roman"/>
                <w:noProof/>
                <w:szCs w:val="18"/>
              </w:rPr>
            </w:pPr>
            <w:r>
              <w:rPr>
                <w:noProof/>
              </w:rPr>
              <w:t>Țintă</w:t>
            </w:r>
          </w:p>
        </w:tc>
        <w:tc>
          <w:tcPr>
            <w:tcW w:w="2430" w:type="dxa"/>
            <w:tcBorders>
              <w:top w:val="nil"/>
              <w:left w:val="nil"/>
              <w:bottom w:val="single" w:sz="4" w:space="0" w:color="auto"/>
              <w:right w:val="single" w:sz="4" w:space="0" w:color="auto"/>
            </w:tcBorders>
            <w:shd w:val="clear" w:color="auto" w:fill="C6EFCE"/>
            <w:noWrap/>
            <w:vAlign w:val="center"/>
          </w:tcPr>
          <w:p w14:paraId="001CA32E" w14:textId="77777777" w:rsidR="00C45D59" w:rsidRDefault="009B0962">
            <w:pPr>
              <w:pStyle w:val="P68B1DB1-Normal55"/>
              <w:keepNext/>
              <w:spacing w:before="40" w:after="0" w:line="240" w:lineRule="auto"/>
              <w:jc w:val="both"/>
              <w:rPr>
                <w:rFonts w:cs="Times New Roman"/>
                <w:noProof/>
                <w:szCs w:val="18"/>
              </w:rPr>
            </w:pPr>
            <w:r>
              <w:rPr>
                <w:noProof/>
              </w:rPr>
              <w:t xml:space="preserve">Renovarea locuințelor sociale – finalizarea apartamentelor </w:t>
            </w:r>
          </w:p>
        </w:tc>
      </w:tr>
      <w:tr w:rsidR="00C45D59" w14:paraId="7375BEC2" w14:textId="77777777">
        <w:trPr>
          <w:trHeight w:val="302"/>
          <w:jc w:val="center"/>
        </w:trPr>
        <w:tc>
          <w:tcPr>
            <w:tcW w:w="1101" w:type="dxa"/>
            <w:tcBorders>
              <w:top w:val="nil"/>
              <w:left w:val="single" w:sz="4" w:space="0" w:color="auto"/>
              <w:bottom w:val="single" w:sz="4" w:space="0" w:color="auto"/>
              <w:right w:val="single" w:sz="4" w:space="0" w:color="auto"/>
            </w:tcBorders>
            <w:shd w:val="clear" w:color="auto" w:fill="C6EFCE"/>
            <w:noWrap/>
            <w:vAlign w:val="center"/>
          </w:tcPr>
          <w:p w14:paraId="2E39BCC8" w14:textId="77777777" w:rsidR="00C45D59" w:rsidRDefault="009B0962">
            <w:pPr>
              <w:pStyle w:val="P68B1DB1-Normal55"/>
              <w:keepNext/>
              <w:spacing w:before="40" w:after="0" w:line="240" w:lineRule="auto"/>
              <w:jc w:val="both"/>
              <w:rPr>
                <w:noProof/>
              </w:rPr>
            </w:pPr>
            <w:r>
              <w:rPr>
                <w:noProof/>
              </w:rPr>
              <w:t>208</w:t>
            </w:r>
          </w:p>
        </w:tc>
        <w:tc>
          <w:tcPr>
            <w:tcW w:w="4677" w:type="dxa"/>
            <w:tcBorders>
              <w:top w:val="nil"/>
              <w:left w:val="nil"/>
              <w:bottom w:val="single" w:sz="4" w:space="0" w:color="auto"/>
              <w:right w:val="single" w:sz="4" w:space="0" w:color="auto"/>
            </w:tcBorders>
            <w:shd w:val="clear" w:color="auto" w:fill="C6EFCE"/>
            <w:noWrap/>
            <w:vAlign w:val="center"/>
          </w:tcPr>
          <w:p w14:paraId="780C0AA3" w14:textId="77777777" w:rsidR="00C45D59" w:rsidRDefault="009B0962">
            <w:pPr>
              <w:pStyle w:val="P68B1DB1-Normal55"/>
              <w:keepNext/>
              <w:spacing w:before="40" w:after="0" w:line="240" w:lineRule="auto"/>
              <w:jc w:val="both"/>
              <w:rPr>
                <w:noProof/>
              </w:rPr>
            </w:pPr>
            <w:r>
              <w:rPr>
                <w:noProof/>
              </w:rPr>
              <w:t>13-4.2. Modernizarea administrației publice, inclusiv prin accelerarea punerii în aplicare a investițiilor publice, îmbunătățirea cadrului privind achizițiile publice, măsuri de consolidare a capacităților și combaterea corupției – 16972_Reformarea administrației publice</w:t>
            </w:r>
          </w:p>
        </w:tc>
        <w:tc>
          <w:tcPr>
            <w:tcW w:w="1380" w:type="dxa"/>
            <w:tcBorders>
              <w:top w:val="nil"/>
              <w:left w:val="nil"/>
              <w:bottom w:val="single" w:sz="4" w:space="0" w:color="auto"/>
              <w:right w:val="single" w:sz="4" w:space="0" w:color="auto"/>
            </w:tcBorders>
            <w:shd w:val="clear" w:color="auto" w:fill="C6EFCE"/>
            <w:noWrap/>
            <w:vAlign w:val="center"/>
          </w:tcPr>
          <w:p w14:paraId="01010216" w14:textId="77777777" w:rsidR="00C45D59" w:rsidRDefault="009B0962">
            <w:pPr>
              <w:pStyle w:val="P68B1DB1-Normal55"/>
              <w:keepNext/>
              <w:spacing w:before="40" w:after="0" w:line="240" w:lineRule="auto"/>
              <w:jc w:val="both"/>
              <w:rPr>
                <w:noProof/>
              </w:rPr>
            </w:pPr>
            <w:r>
              <w:rPr>
                <w:noProof/>
              </w:rPr>
              <w:t>Etapă</w:t>
            </w:r>
          </w:p>
        </w:tc>
        <w:tc>
          <w:tcPr>
            <w:tcW w:w="2430" w:type="dxa"/>
            <w:tcBorders>
              <w:top w:val="nil"/>
              <w:left w:val="nil"/>
              <w:bottom w:val="single" w:sz="4" w:space="0" w:color="auto"/>
              <w:right w:val="single" w:sz="4" w:space="0" w:color="auto"/>
            </w:tcBorders>
            <w:shd w:val="clear" w:color="auto" w:fill="C6EFCE"/>
            <w:noWrap/>
            <w:vAlign w:val="center"/>
          </w:tcPr>
          <w:p w14:paraId="1EB9A4A4" w14:textId="2E76623B" w:rsidR="00C45D59" w:rsidRDefault="009B0962">
            <w:pPr>
              <w:pStyle w:val="P68B1DB1-Normal55"/>
              <w:keepNext/>
              <w:spacing w:before="40" w:after="0" w:line="240" w:lineRule="auto"/>
              <w:jc w:val="both"/>
              <w:rPr>
                <w:noProof/>
              </w:rPr>
            </w:pPr>
            <w:r>
              <w:rPr>
                <w:noProof/>
              </w:rPr>
              <w:t>Cursuri de formare pentru angajații din sectorul public;</w:t>
            </w:r>
          </w:p>
          <w:p w14:paraId="52EDE638" w14:textId="77777777" w:rsidR="00C45D59" w:rsidRDefault="009B0962">
            <w:pPr>
              <w:pStyle w:val="P68B1DB1-Normal55"/>
              <w:keepNext/>
              <w:spacing w:before="40" w:after="0" w:line="240" w:lineRule="auto"/>
              <w:jc w:val="both"/>
              <w:rPr>
                <w:noProof/>
              </w:rPr>
            </w:pPr>
            <w:r>
              <w:rPr>
                <w:noProof/>
              </w:rPr>
              <w:t>Intrarea în vigoare a actelor juridice,</w:t>
            </w:r>
          </w:p>
          <w:p w14:paraId="0BA5D1FE" w14:textId="77777777" w:rsidR="00C45D59" w:rsidRDefault="009B0962">
            <w:pPr>
              <w:pStyle w:val="P68B1DB1-Normal55"/>
              <w:keepNext/>
              <w:spacing w:before="40" w:after="0" w:line="240" w:lineRule="auto"/>
              <w:jc w:val="both"/>
              <w:rPr>
                <w:noProof/>
              </w:rPr>
            </w:pPr>
            <w:r>
              <w:rPr>
                <w:noProof/>
              </w:rPr>
              <w:t>Punerea în funcțiune a sistemelor informatice </w:t>
            </w:r>
          </w:p>
        </w:tc>
      </w:tr>
      <w:tr w:rsidR="00C45D59" w14:paraId="779CC675" w14:textId="77777777">
        <w:trPr>
          <w:trHeight w:val="302"/>
          <w:jc w:val="center"/>
        </w:trPr>
        <w:tc>
          <w:tcPr>
            <w:tcW w:w="1101" w:type="dxa"/>
            <w:tcBorders>
              <w:top w:val="nil"/>
              <w:left w:val="single" w:sz="4" w:space="0" w:color="auto"/>
              <w:bottom w:val="single" w:sz="4" w:space="0" w:color="auto"/>
              <w:right w:val="single" w:sz="4" w:space="0" w:color="auto"/>
            </w:tcBorders>
            <w:shd w:val="clear" w:color="auto" w:fill="C6EFCE"/>
            <w:noWrap/>
            <w:vAlign w:val="center"/>
          </w:tcPr>
          <w:p w14:paraId="07240F3E"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213</w:t>
            </w:r>
          </w:p>
        </w:tc>
        <w:tc>
          <w:tcPr>
            <w:tcW w:w="4677" w:type="dxa"/>
            <w:tcBorders>
              <w:top w:val="nil"/>
              <w:left w:val="nil"/>
              <w:bottom w:val="single" w:sz="4" w:space="0" w:color="auto"/>
              <w:right w:val="single" w:sz="4" w:space="0" w:color="auto"/>
            </w:tcBorders>
            <w:shd w:val="clear" w:color="auto" w:fill="C6EFCE"/>
            <w:noWrap/>
            <w:vAlign w:val="center"/>
          </w:tcPr>
          <w:p w14:paraId="0D696D42"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13-4.2. Modernizarea administrației publice, inclusiv prin accelerarea punerii în aplicare a investițiilor publice, îmbunătățirea cadrului privind achizițiile publice, măsuri de consolidare a capacităților și combaterea corupției – 16703_Combaterea comerțului ilegal și protejarea proprietății intelectuale</w:t>
            </w:r>
          </w:p>
        </w:tc>
        <w:tc>
          <w:tcPr>
            <w:tcW w:w="1380" w:type="dxa"/>
            <w:tcBorders>
              <w:top w:val="nil"/>
              <w:left w:val="nil"/>
              <w:bottom w:val="single" w:sz="4" w:space="0" w:color="auto"/>
              <w:right w:val="single" w:sz="4" w:space="0" w:color="auto"/>
            </w:tcBorders>
            <w:shd w:val="clear" w:color="auto" w:fill="C6EFCE"/>
            <w:noWrap/>
            <w:vAlign w:val="center"/>
          </w:tcPr>
          <w:p w14:paraId="20912524" w14:textId="77777777" w:rsidR="00C45D59" w:rsidRDefault="009B0962">
            <w:pPr>
              <w:pStyle w:val="P68B1DB1-Normal55"/>
              <w:keepNext/>
              <w:spacing w:before="40" w:after="0" w:line="240" w:lineRule="auto"/>
              <w:jc w:val="both"/>
              <w:rPr>
                <w:rFonts w:eastAsia="Times New Roman" w:cs="Times New Roman"/>
                <w:noProof/>
                <w:szCs w:val="18"/>
              </w:rPr>
            </w:pPr>
            <w:r>
              <w:rPr>
                <w:noProof/>
              </w:rPr>
              <w:t>Etapă</w:t>
            </w:r>
          </w:p>
        </w:tc>
        <w:tc>
          <w:tcPr>
            <w:tcW w:w="2430" w:type="dxa"/>
            <w:tcBorders>
              <w:top w:val="nil"/>
              <w:left w:val="nil"/>
              <w:bottom w:val="single" w:sz="4" w:space="0" w:color="auto"/>
              <w:right w:val="single" w:sz="4" w:space="0" w:color="auto"/>
            </w:tcBorders>
            <w:shd w:val="clear" w:color="auto" w:fill="C6EFCE"/>
            <w:noWrap/>
            <w:vAlign w:val="center"/>
          </w:tcPr>
          <w:p w14:paraId="7B4A9756" w14:textId="77777777" w:rsidR="00C45D59" w:rsidRDefault="009B0962">
            <w:pPr>
              <w:pStyle w:val="P68B1DB1-Normal55"/>
              <w:keepNext/>
              <w:spacing w:before="40" w:after="0" w:line="240" w:lineRule="auto"/>
              <w:jc w:val="both"/>
              <w:rPr>
                <w:rFonts w:eastAsia="Times New Roman" w:cs="Times New Roman"/>
                <w:noProof/>
                <w:szCs w:val="18"/>
              </w:rPr>
            </w:pPr>
            <w:r>
              <w:rPr>
                <w:noProof/>
              </w:rPr>
              <w:t>Crearea unui sistem de informare, furnizarea de posturi de control și formare pentru combaterea comerțului ilegal</w:t>
            </w:r>
          </w:p>
        </w:tc>
      </w:tr>
      <w:tr w:rsidR="00C45D59" w14:paraId="6C1BF279" w14:textId="77777777">
        <w:trPr>
          <w:trHeight w:val="302"/>
          <w:jc w:val="center"/>
        </w:trPr>
        <w:tc>
          <w:tcPr>
            <w:tcW w:w="1101" w:type="dxa"/>
            <w:tcBorders>
              <w:top w:val="nil"/>
              <w:left w:val="single" w:sz="4" w:space="0" w:color="auto"/>
              <w:bottom w:val="single" w:sz="4" w:space="0" w:color="auto"/>
              <w:right w:val="single" w:sz="4" w:space="0" w:color="auto"/>
            </w:tcBorders>
            <w:shd w:val="clear" w:color="auto" w:fill="C6EFCE"/>
            <w:noWrap/>
            <w:vAlign w:val="center"/>
          </w:tcPr>
          <w:p w14:paraId="54767F66"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217</w:t>
            </w:r>
          </w:p>
        </w:tc>
        <w:tc>
          <w:tcPr>
            <w:tcW w:w="4677" w:type="dxa"/>
            <w:tcBorders>
              <w:top w:val="nil"/>
              <w:left w:val="nil"/>
              <w:bottom w:val="single" w:sz="4" w:space="0" w:color="auto"/>
              <w:right w:val="single" w:sz="4" w:space="0" w:color="auto"/>
            </w:tcBorders>
            <w:shd w:val="clear" w:color="auto" w:fill="C6EFCE"/>
            <w:noWrap/>
            <w:vAlign w:val="center"/>
          </w:tcPr>
          <w:p w14:paraId="6102407F"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13-4.2. Modernizarea administrației publice, inclusiv prin accelerarea punerii în aplicare a investițiilor publice, îmbunătățirea cadrului privind achizițiile publice, măsuri de consolidare a capacităților și combaterea corupției – 16940_Modernizarea Fondului elen de depozitare și creditare a transporturilor </w:t>
            </w:r>
          </w:p>
        </w:tc>
        <w:tc>
          <w:tcPr>
            <w:tcW w:w="1380" w:type="dxa"/>
            <w:tcBorders>
              <w:top w:val="nil"/>
              <w:left w:val="nil"/>
              <w:bottom w:val="single" w:sz="4" w:space="0" w:color="auto"/>
              <w:right w:val="single" w:sz="4" w:space="0" w:color="auto"/>
            </w:tcBorders>
            <w:shd w:val="clear" w:color="auto" w:fill="C6EFCE"/>
            <w:noWrap/>
            <w:vAlign w:val="center"/>
          </w:tcPr>
          <w:p w14:paraId="2E713D2D" w14:textId="77777777" w:rsidR="00C45D59" w:rsidRDefault="009B0962">
            <w:pPr>
              <w:pStyle w:val="P68B1DB1-Normal55"/>
              <w:keepNext/>
              <w:spacing w:before="40" w:after="0" w:line="240" w:lineRule="auto"/>
              <w:jc w:val="both"/>
              <w:rPr>
                <w:rFonts w:eastAsia="Times New Roman" w:cs="Times New Roman"/>
                <w:noProof/>
                <w:szCs w:val="18"/>
              </w:rPr>
            </w:pPr>
            <w:r>
              <w:rPr>
                <w:noProof/>
              </w:rPr>
              <w:t>Etapă</w:t>
            </w:r>
          </w:p>
        </w:tc>
        <w:tc>
          <w:tcPr>
            <w:tcW w:w="2430" w:type="dxa"/>
            <w:tcBorders>
              <w:top w:val="nil"/>
              <w:left w:val="nil"/>
              <w:bottom w:val="single" w:sz="4" w:space="0" w:color="auto"/>
              <w:right w:val="single" w:sz="4" w:space="0" w:color="auto"/>
            </w:tcBorders>
            <w:shd w:val="clear" w:color="auto" w:fill="C6EFCE"/>
            <w:noWrap/>
            <w:vAlign w:val="center"/>
          </w:tcPr>
          <w:p w14:paraId="4944B68C" w14:textId="77777777" w:rsidR="00C45D59" w:rsidRDefault="009B0962">
            <w:pPr>
              <w:pStyle w:val="P68B1DB1-Normal55"/>
              <w:keepNext/>
              <w:spacing w:before="40" w:after="0" w:line="240" w:lineRule="auto"/>
              <w:jc w:val="both"/>
              <w:rPr>
                <w:rFonts w:eastAsia="Times New Roman" w:cs="Times New Roman"/>
                <w:noProof/>
                <w:szCs w:val="18"/>
              </w:rPr>
            </w:pPr>
            <w:r>
              <w:rPr>
                <w:noProof/>
              </w:rPr>
              <w:t>Crearea unui sistem de digitalizare a arhivelor și de gestionare a documentelor și a unui sistem integrat de informații pentru Fondul elen de depozitare și creditare a expedierilor</w:t>
            </w:r>
          </w:p>
        </w:tc>
      </w:tr>
      <w:tr w:rsidR="00C45D59" w14:paraId="29E3B848" w14:textId="77777777">
        <w:trPr>
          <w:trHeight w:val="302"/>
          <w:jc w:val="center"/>
        </w:trPr>
        <w:tc>
          <w:tcPr>
            <w:tcW w:w="1101" w:type="dxa"/>
            <w:tcBorders>
              <w:top w:val="nil"/>
              <w:left w:val="single" w:sz="4" w:space="0" w:color="auto"/>
              <w:bottom w:val="single" w:sz="4" w:space="0" w:color="auto"/>
              <w:right w:val="single" w:sz="4" w:space="0" w:color="auto"/>
            </w:tcBorders>
            <w:shd w:val="clear" w:color="auto" w:fill="C6EFCE"/>
            <w:noWrap/>
            <w:vAlign w:val="center"/>
          </w:tcPr>
          <w:p w14:paraId="21DD82AA" w14:textId="2A4743B6" w:rsidR="00C45D59" w:rsidRDefault="009B0962">
            <w:pPr>
              <w:pStyle w:val="P68B1DB1-Normal55"/>
              <w:keepNext/>
              <w:spacing w:before="40" w:after="0" w:line="240" w:lineRule="auto"/>
              <w:jc w:val="both"/>
              <w:rPr>
                <w:noProof/>
              </w:rPr>
            </w:pPr>
            <w:r>
              <w:rPr>
                <w:noProof/>
              </w:rPr>
              <w:t>219</w:t>
            </w:r>
          </w:p>
        </w:tc>
        <w:tc>
          <w:tcPr>
            <w:tcW w:w="4677" w:type="dxa"/>
            <w:tcBorders>
              <w:top w:val="nil"/>
              <w:left w:val="nil"/>
              <w:bottom w:val="single" w:sz="4" w:space="0" w:color="auto"/>
              <w:right w:val="single" w:sz="4" w:space="0" w:color="auto"/>
            </w:tcBorders>
            <w:shd w:val="clear" w:color="auto" w:fill="C6EFCE"/>
            <w:noWrap/>
            <w:vAlign w:val="center"/>
          </w:tcPr>
          <w:p w14:paraId="49EA7A91" w14:textId="0AFD6979" w:rsidR="00C45D59" w:rsidRDefault="009B0962">
            <w:pPr>
              <w:pStyle w:val="P68B1DB1-Normal55"/>
              <w:keepNext/>
              <w:spacing w:before="40" w:after="0" w:line="240" w:lineRule="auto"/>
              <w:jc w:val="both"/>
              <w:rPr>
                <w:noProof/>
              </w:rPr>
            </w:pPr>
            <w:r>
              <w:rPr>
                <w:noProof/>
              </w:rPr>
              <w:t>13-4.2. Modernizarea administrației publice, inclusiv prin accelerarea punerii în aplicare a investițiilor publice, îmbunătățirea cadrului privind achizițiile publice, măsuri de consolidare a capacităților și combaterea corupției – 16974_Reforma contabilă</w:t>
            </w:r>
          </w:p>
        </w:tc>
        <w:tc>
          <w:tcPr>
            <w:tcW w:w="1380" w:type="dxa"/>
            <w:tcBorders>
              <w:top w:val="nil"/>
              <w:left w:val="nil"/>
              <w:bottom w:val="single" w:sz="4" w:space="0" w:color="auto"/>
              <w:right w:val="single" w:sz="4" w:space="0" w:color="auto"/>
            </w:tcBorders>
            <w:shd w:val="clear" w:color="auto" w:fill="C6EFCE"/>
            <w:noWrap/>
            <w:vAlign w:val="center"/>
          </w:tcPr>
          <w:p w14:paraId="436CD91A" w14:textId="36C3FDF5" w:rsidR="00C45D59" w:rsidRDefault="009B0962">
            <w:pPr>
              <w:pStyle w:val="P68B1DB1-Normal55"/>
              <w:keepNext/>
              <w:spacing w:before="40" w:after="0" w:line="240" w:lineRule="auto"/>
              <w:jc w:val="both"/>
              <w:rPr>
                <w:noProof/>
              </w:rPr>
            </w:pPr>
            <w:r>
              <w:rPr>
                <w:noProof/>
              </w:rPr>
              <w:t>Etapă</w:t>
            </w:r>
          </w:p>
        </w:tc>
        <w:tc>
          <w:tcPr>
            <w:tcW w:w="2430" w:type="dxa"/>
            <w:tcBorders>
              <w:top w:val="nil"/>
              <w:left w:val="nil"/>
              <w:bottom w:val="single" w:sz="4" w:space="0" w:color="auto"/>
              <w:right w:val="single" w:sz="4" w:space="0" w:color="auto"/>
            </w:tcBorders>
            <w:shd w:val="clear" w:color="auto" w:fill="C6EFCE"/>
            <w:noWrap/>
            <w:vAlign w:val="center"/>
          </w:tcPr>
          <w:p w14:paraId="41D19EC6" w14:textId="17F25FEC" w:rsidR="00C45D59" w:rsidRDefault="009B0962">
            <w:pPr>
              <w:pStyle w:val="P68B1DB1-Normal55"/>
              <w:keepNext/>
              <w:spacing w:before="40" w:after="0" w:line="240" w:lineRule="auto"/>
              <w:jc w:val="both"/>
              <w:rPr>
                <w:noProof/>
              </w:rPr>
            </w:pPr>
            <w:r>
              <w:rPr>
                <w:noProof/>
              </w:rPr>
              <w:t xml:space="preserve">Reforma contabilă: Situații financiare consolidate pentru administrația publică </w:t>
            </w:r>
          </w:p>
        </w:tc>
      </w:tr>
      <w:tr w:rsidR="00C45D59" w14:paraId="4CF1F331" w14:textId="77777777">
        <w:trPr>
          <w:trHeight w:val="302"/>
          <w:jc w:val="center"/>
        </w:trPr>
        <w:tc>
          <w:tcPr>
            <w:tcW w:w="1101" w:type="dxa"/>
            <w:tcBorders>
              <w:top w:val="nil"/>
              <w:left w:val="single" w:sz="4" w:space="0" w:color="auto"/>
              <w:bottom w:val="single" w:sz="4" w:space="0" w:color="auto"/>
              <w:right w:val="single" w:sz="4" w:space="0" w:color="auto"/>
            </w:tcBorders>
            <w:shd w:val="clear" w:color="auto" w:fill="C6EFCE"/>
            <w:noWrap/>
            <w:vAlign w:val="center"/>
          </w:tcPr>
          <w:p w14:paraId="47E55086" w14:textId="44B9D4F8" w:rsidR="00C45D59" w:rsidRDefault="009B0962">
            <w:pPr>
              <w:pStyle w:val="P68B1DB1-Normal55"/>
              <w:keepNext/>
              <w:spacing w:before="40" w:after="0" w:line="240" w:lineRule="auto"/>
              <w:jc w:val="both"/>
              <w:rPr>
                <w:noProof/>
              </w:rPr>
            </w:pPr>
            <w:r>
              <w:rPr>
                <w:noProof/>
              </w:rPr>
              <w:t>221</w:t>
            </w:r>
          </w:p>
        </w:tc>
        <w:tc>
          <w:tcPr>
            <w:tcW w:w="4677" w:type="dxa"/>
            <w:tcBorders>
              <w:top w:val="nil"/>
              <w:left w:val="nil"/>
              <w:bottom w:val="single" w:sz="4" w:space="0" w:color="auto"/>
              <w:right w:val="single" w:sz="4" w:space="0" w:color="auto"/>
            </w:tcBorders>
            <w:shd w:val="clear" w:color="auto" w:fill="C6EFCE"/>
            <w:noWrap/>
            <w:vAlign w:val="center"/>
          </w:tcPr>
          <w:p w14:paraId="434EF993" w14:textId="7F93ECA7" w:rsidR="00C45D59" w:rsidRDefault="009B0962">
            <w:pPr>
              <w:pStyle w:val="P68B1DB1-Normal55"/>
              <w:keepNext/>
              <w:spacing w:before="40" w:after="0" w:line="240" w:lineRule="auto"/>
              <w:jc w:val="both"/>
              <w:rPr>
                <w:noProof/>
              </w:rPr>
            </w:pPr>
            <w:r>
              <w:rPr>
                <w:noProof/>
              </w:rPr>
              <w:t>13-4.2. Modernizarea administrației publice, inclusiv prin accelerarea punerii în aplicare a investițiilor publice, îmbunătățirea cadrului privind achizițiile publice, măsuri de consolidare a capacităților și combaterea corupției – 16711_Profesionalizarea domeniului achizițiilor publice</w:t>
            </w:r>
          </w:p>
        </w:tc>
        <w:tc>
          <w:tcPr>
            <w:tcW w:w="1380" w:type="dxa"/>
            <w:tcBorders>
              <w:top w:val="nil"/>
              <w:left w:val="nil"/>
              <w:bottom w:val="single" w:sz="4" w:space="0" w:color="auto"/>
              <w:right w:val="single" w:sz="4" w:space="0" w:color="auto"/>
            </w:tcBorders>
            <w:shd w:val="clear" w:color="auto" w:fill="C6EFCE"/>
            <w:noWrap/>
            <w:vAlign w:val="center"/>
          </w:tcPr>
          <w:p w14:paraId="47C94E86" w14:textId="5DB8D22C" w:rsidR="00C45D59" w:rsidRDefault="009B0962">
            <w:pPr>
              <w:pStyle w:val="P68B1DB1-Normal55"/>
              <w:keepNext/>
              <w:spacing w:before="40" w:after="0" w:line="240" w:lineRule="auto"/>
              <w:jc w:val="both"/>
              <w:rPr>
                <w:noProof/>
              </w:rPr>
            </w:pPr>
            <w:r>
              <w:rPr>
                <w:noProof/>
              </w:rPr>
              <w:t>Țintă</w:t>
            </w:r>
          </w:p>
        </w:tc>
        <w:tc>
          <w:tcPr>
            <w:tcW w:w="2430" w:type="dxa"/>
            <w:tcBorders>
              <w:top w:val="nil"/>
              <w:left w:val="nil"/>
              <w:bottom w:val="single" w:sz="4" w:space="0" w:color="auto"/>
              <w:right w:val="single" w:sz="4" w:space="0" w:color="auto"/>
            </w:tcBorders>
            <w:shd w:val="clear" w:color="auto" w:fill="C6EFCE"/>
            <w:noWrap/>
            <w:vAlign w:val="center"/>
          </w:tcPr>
          <w:p w14:paraId="10D64785" w14:textId="121ABE09" w:rsidR="00C45D59" w:rsidRDefault="009B0962">
            <w:pPr>
              <w:pStyle w:val="P68B1DB1-Normal36"/>
              <w:keepNext/>
              <w:spacing w:before="40" w:after="0" w:line="240" w:lineRule="auto"/>
              <w:jc w:val="both"/>
              <w:rPr>
                <w:rFonts w:ascii="Times New Roman" w:hAnsi="Times New Roman"/>
                <w:noProof/>
              </w:rPr>
            </w:pPr>
            <w:r>
              <w:rPr>
                <w:rFonts w:ascii="Times New Roman" w:hAnsi="Times New Roman"/>
                <w:noProof/>
              </w:rPr>
              <w:t xml:space="preserve">Finalizarea programului de formare </w:t>
            </w:r>
            <w:r>
              <w:rPr>
                <w:rFonts w:ascii="Times New Roman" w:hAnsi="Times New Roman" w:cs="Times New Roman"/>
                <w:noProof/>
                <w:szCs w:val="18"/>
              </w:rPr>
              <w:t>intitulat: „Certificarea profesioniștilor din domeniul achizițiilor publice”</w:t>
            </w:r>
          </w:p>
        </w:tc>
      </w:tr>
      <w:tr w:rsidR="00C45D59" w14:paraId="70C472D8" w14:textId="77777777">
        <w:trPr>
          <w:trHeight w:val="302"/>
          <w:jc w:val="center"/>
        </w:trPr>
        <w:tc>
          <w:tcPr>
            <w:tcW w:w="1101" w:type="dxa"/>
            <w:tcBorders>
              <w:top w:val="nil"/>
              <w:left w:val="single" w:sz="4" w:space="0" w:color="auto"/>
              <w:bottom w:val="single" w:sz="4" w:space="0" w:color="auto"/>
              <w:right w:val="single" w:sz="4" w:space="0" w:color="auto"/>
            </w:tcBorders>
            <w:shd w:val="clear" w:color="auto" w:fill="C6EFCE"/>
            <w:noWrap/>
            <w:vAlign w:val="center"/>
          </w:tcPr>
          <w:tbl>
            <w:tblPr>
              <w:tblW w:w="0" w:type="dxa"/>
              <w:tblCellMar>
                <w:left w:w="0" w:type="dxa"/>
                <w:right w:w="0" w:type="dxa"/>
              </w:tblCellMar>
              <w:tblLook w:val="04A0" w:firstRow="1" w:lastRow="0" w:firstColumn="1" w:lastColumn="0" w:noHBand="0" w:noVBand="1"/>
            </w:tblPr>
            <w:tblGrid>
              <w:gridCol w:w="570"/>
              <w:gridCol w:w="5580"/>
              <w:gridCol w:w="1665"/>
              <w:gridCol w:w="2280"/>
            </w:tblGrid>
            <w:tr w:rsidR="00C45D59" w14:paraId="141203A0" w14:textId="77777777">
              <w:trPr>
                <w:trHeight w:val="300"/>
              </w:trPr>
              <w:tc>
                <w:tcPr>
                  <w:tcW w:w="570" w:type="dxa"/>
                  <w:shd w:val="clear" w:color="auto" w:fill="C6EFCE"/>
                  <w:vAlign w:val="center"/>
                  <w:hideMark/>
                </w:tcPr>
                <w:p w14:paraId="3A71D7A0" w14:textId="77777777" w:rsidR="00C45D59" w:rsidRDefault="009B0962">
                  <w:pPr>
                    <w:pStyle w:val="P68B1DB1-Normal11"/>
                    <w:keepNext/>
                    <w:spacing w:before="40" w:after="0" w:line="240" w:lineRule="auto"/>
                    <w:jc w:val="both"/>
                    <w:rPr>
                      <w:noProof/>
                    </w:rPr>
                  </w:pPr>
                  <w:r>
                    <w:rPr>
                      <w:noProof/>
                    </w:rPr>
                    <w:t>238 </w:t>
                  </w:r>
                </w:p>
              </w:tc>
              <w:tc>
                <w:tcPr>
                  <w:tcW w:w="5580" w:type="dxa"/>
                  <w:shd w:val="clear" w:color="auto" w:fill="C6EFCE"/>
                  <w:vAlign w:val="center"/>
                  <w:hideMark/>
                </w:tcPr>
                <w:p w14:paraId="3C69D93C" w14:textId="1B352566" w:rsidR="00C45D59" w:rsidRDefault="00C45D59">
                  <w:pPr>
                    <w:keepNext/>
                    <w:spacing w:before="40" w:after="0" w:line="240" w:lineRule="auto"/>
                    <w:jc w:val="both"/>
                    <w:rPr>
                      <w:rFonts w:ascii="Times New Roman" w:hAnsi="Times New Roman"/>
                      <w:noProof/>
                      <w:sz w:val="18"/>
                      <w:szCs w:val="18"/>
                    </w:rPr>
                  </w:pPr>
                </w:p>
              </w:tc>
              <w:tc>
                <w:tcPr>
                  <w:tcW w:w="1665" w:type="dxa"/>
                  <w:shd w:val="clear" w:color="auto" w:fill="C6EFCE"/>
                  <w:vAlign w:val="center"/>
                  <w:hideMark/>
                </w:tcPr>
                <w:p w14:paraId="43BFB0E8" w14:textId="77777777" w:rsidR="00C45D59" w:rsidRDefault="009B0962">
                  <w:pPr>
                    <w:pStyle w:val="P68B1DB1-Normal11"/>
                    <w:keepNext/>
                    <w:spacing w:before="40" w:after="0" w:line="240" w:lineRule="auto"/>
                    <w:jc w:val="both"/>
                    <w:rPr>
                      <w:noProof/>
                    </w:rPr>
                  </w:pPr>
                  <w:r>
                    <w:rPr>
                      <w:noProof/>
                    </w:rPr>
                    <w:t>Etapă </w:t>
                  </w:r>
                </w:p>
              </w:tc>
              <w:tc>
                <w:tcPr>
                  <w:tcW w:w="2280" w:type="dxa"/>
                  <w:shd w:val="clear" w:color="auto" w:fill="C6EFCE"/>
                  <w:vAlign w:val="center"/>
                  <w:hideMark/>
                </w:tcPr>
                <w:p w14:paraId="2BF29384" w14:textId="77777777" w:rsidR="00C45D59" w:rsidRDefault="009B0962">
                  <w:pPr>
                    <w:pStyle w:val="P68B1DB1-Normal11"/>
                    <w:keepNext/>
                    <w:spacing w:before="40" w:after="0" w:line="240" w:lineRule="auto"/>
                    <w:jc w:val="both"/>
                    <w:rPr>
                      <w:noProof/>
                    </w:rPr>
                  </w:pPr>
                  <w:r>
                    <w:rPr>
                      <w:noProof/>
                    </w:rPr>
                    <w:t> Formare privind medierea și sistemul digital unificat pentru centrele de mediere </w:t>
                  </w:r>
                </w:p>
              </w:tc>
            </w:tr>
          </w:tbl>
          <w:p w14:paraId="0BB9C211" w14:textId="77777777" w:rsidR="00C45D59" w:rsidRDefault="00C45D59">
            <w:pPr>
              <w:keepNext/>
              <w:spacing w:before="40" w:after="0" w:line="240" w:lineRule="auto"/>
              <w:jc w:val="both"/>
              <w:rPr>
                <w:rFonts w:ascii="Times New Roman" w:hAnsi="Times New Roman"/>
                <w:noProof/>
                <w:sz w:val="18"/>
                <w:szCs w:val="18"/>
              </w:rPr>
            </w:pPr>
          </w:p>
        </w:tc>
        <w:tc>
          <w:tcPr>
            <w:tcW w:w="4677" w:type="dxa"/>
            <w:tcBorders>
              <w:top w:val="nil"/>
              <w:left w:val="nil"/>
              <w:bottom w:val="single" w:sz="4" w:space="0" w:color="auto"/>
              <w:right w:val="single" w:sz="4" w:space="0" w:color="auto"/>
            </w:tcBorders>
            <w:shd w:val="clear" w:color="auto" w:fill="C6EFCE"/>
            <w:noWrap/>
            <w:vAlign w:val="center"/>
          </w:tcPr>
          <w:p w14:paraId="7056B1B5" w14:textId="60E877CB" w:rsidR="00C45D59" w:rsidRDefault="009B0962">
            <w:pPr>
              <w:pStyle w:val="P68B1DB1-Normal11"/>
              <w:keepNext/>
              <w:spacing w:before="40" w:after="0" w:line="240" w:lineRule="auto"/>
              <w:jc w:val="both"/>
              <w:rPr>
                <w:noProof/>
              </w:rPr>
            </w:pPr>
            <w:r>
              <w:rPr>
                <w:noProof/>
              </w:rPr>
              <w:t>14-4.3. Îmbunătățirea eficienței sistemului de justiție – 16575 Accelerarea administrării justiției </w:t>
            </w:r>
          </w:p>
        </w:tc>
        <w:tc>
          <w:tcPr>
            <w:tcW w:w="1380" w:type="dxa"/>
            <w:tcBorders>
              <w:top w:val="nil"/>
              <w:left w:val="nil"/>
              <w:bottom w:val="single" w:sz="4" w:space="0" w:color="auto"/>
              <w:right w:val="single" w:sz="4" w:space="0" w:color="auto"/>
            </w:tcBorders>
            <w:shd w:val="clear" w:color="auto" w:fill="C6EFCE"/>
            <w:noWrap/>
            <w:vAlign w:val="center"/>
          </w:tcPr>
          <w:p w14:paraId="48EC5B0C" w14:textId="7B3992E9" w:rsidR="00C45D59" w:rsidRDefault="009B0962">
            <w:pPr>
              <w:pStyle w:val="P68B1DB1-Normal11"/>
              <w:keepNext/>
              <w:spacing w:before="40" w:after="0" w:line="240" w:lineRule="auto"/>
              <w:jc w:val="both"/>
              <w:rPr>
                <w:noProof/>
              </w:rPr>
            </w:pPr>
            <w:r>
              <w:rPr>
                <w:noProof/>
              </w:rPr>
              <w:t>Etapă</w:t>
            </w:r>
          </w:p>
        </w:tc>
        <w:tc>
          <w:tcPr>
            <w:tcW w:w="2430" w:type="dxa"/>
            <w:tcBorders>
              <w:top w:val="nil"/>
              <w:left w:val="nil"/>
              <w:bottom w:val="single" w:sz="4" w:space="0" w:color="auto"/>
              <w:right w:val="single" w:sz="4" w:space="0" w:color="auto"/>
            </w:tcBorders>
            <w:shd w:val="clear" w:color="auto" w:fill="C6EFCE"/>
            <w:noWrap/>
            <w:vAlign w:val="center"/>
          </w:tcPr>
          <w:p w14:paraId="2E6DC396" w14:textId="37282AC6" w:rsidR="00C45D59" w:rsidRDefault="009B0962">
            <w:pPr>
              <w:pStyle w:val="P68B1DB1-Normal11"/>
              <w:keepNext/>
              <w:spacing w:before="40" w:after="0" w:line="240" w:lineRule="auto"/>
              <w:jc w:val="both"/>
              <w:rPr>
                <w:noProof/>
              </w:rPr>
            </w:pPr>
            <w:r>
              <w:rPr>
                <w:noProof/>
              </w:rPr>
              <w:t>Formare privind medierea și sistemul digital unificat pentru centrele de mediere</w:t>
            </w:r>
          </w:p>
        </w:tc>
      </w:tr>
      <w:tr w:rsidR="00C45D59" w14:paraId="6B53EAE1" w14:textId="77777777">
        <w:trPr>
          <w:trHeight w:val="302"/>
          <w:jc w:val="center"/>
        </w:trPr>
        <w:tc>
          <w:tcPr>
            <w:tcW w:w="1101" w:type="dxa"/>
            <w:tcBorders>
              <w:top w:val="nil"/>
              <w:left w:val="single" w:sz="4" w:space="0" w:color="auto"/>
              <w:bottom w:val="single" w:sz="4" w:space="0" w:color="auto"/>
              <w:right w:val="single" w:sz="4" w:space="0" w:color="auto"/>
            </w:tcBorders>
            <w:shd w:val="clear" w:color="auto" w:fill="C6EFCE"/>
            <w:noWrap/>
            <w:vAlign w:val="center"/>
          </w:tcPr>
          <w:p w14:paraId="01A3A713" w14:textId="77777777" w:rsidR="00C45D59" w:rsidRDefault="009B0962">
            <w:pPr>
              <w:pStyle w:val="P68B1DB1-Normal11"/>
              <w:keepNext/>
              <w:spacing w:before="40" w:after="0" w:line="240" w:lineRule="auto"/>
              <w:jc w:val="both"/>
              <w:rPr>
                <w:rFonts w:eastAsia="Times New Roman" w:cs="Times New Roman"/>
                <w:noProof/>
              </w:rPr>
            </w:pPr>
            <w:r>
              <w:rPr>
                <w:noProof/>
              </w:rPr>
              <w:t>252</w:t>
            </w:r>
          </w:p>
        </w:tc>
        <w:tc>
          <w:tcPr>
            <w:tcW w:w="4677" w:type="dxa"/>
            <w:tcBorders>
              <w:top w:val="nil"/>
              <w:left w:val="nil"/>
              <w:bottom w:val="single" w:sz="4" w:space="0" w:color="auto"/>
              <w:right w:val="single" w:sz="4" w:space="0" w:color="auto"/>
            </w:tcBorders>
            <w:shd w:val="clear" w:color="auto" w:fill="C6EFCE"/>
            <w:noWrap/>
            <w:vAlign w:val="center"/>
          </w:tcPr>
          <w:p w14:paraId="622EDC07" w14:textId="77777777" w:rsidR="00C45D59" w:rsidRDefault="009B0962">
            <w:pPr>
              <w:pStyle w:val="P68B1DB1-Normal11"/>
              <w:keepNext/>
              <w:spacing w:before="40" w:after="0" w:line="240" w:lineRule="auto"/>
              <w:jc w:val="both"/>
              <w:rPr>
                <w:rFonts w:eastAsia="Times New Roman" w:cs="Times New Roman"/>
                <w:noProof/>
              </w:rPr>
            </w:pPr>
            <w:r>
              <w:rPr>
                <w:noProof/>
              </w:rPr>
              <w:t>16-4.5. Promovarea cercetării și inovării – 16971_Cercetare – Creare – Inovare</w:t>
            </w:r>
          </w:p>
        </w:tc>
        <w:tc>
          <w:tcPr>
            <w:tcW w:w="1380" w:type="dxa"/>
            <w:tcBorders>
              <w:top w:val="nil"/>
              <w:left w:val="nil"/>
              <w:bottom w:val="single" w:sz="4" w:space="0" w:color="auto"/>
              <w:right w:val="single" w:sz="4" w:space="0" w:color="auto"/>
            </w:tcBorders>
            <w:shd w:val="clear" w:color="auto" w:fill="C6EFCE"/>
            <w:noWrap/>
            <w:vAlign w:val="center"/>
          </w:tcPr>
          <w:p w14:paraId="16BE4058" w14:textId="77777777" w:rsidR="00C45D59" w:rsidRDefault="009B0962">
            <w:pPr>
              <w:pStyle w:val="P68B1DB1-Normal11"/>
              <w:keepNext/>
              <w:spacing w:before="40" w:after="0" w:line="240" w:lineRule="auto"/>
              <w:jc w:val="both"/>
              <w:rPr>
                <w:rFonts w:eastAsia="Times New Roman" w:cs="Times New Roman"/>
                <w:noProof/>
              </w:rPr>
            </w:pPr>
            <w:r>
              <w:rPr>
                <w:noProof/>
              </w:rPr>
              <w:t>Etapă</w:t>
            </w:r>
          </w:p>
        </w:tc>
        <w:tc>
          <w:tcPr>
            <w:tcW w:w="2430" w:type="dxa"/>
            <w:tcBorders>
              <w:top w:val="nil"/>
              <w:left w:val="nil"/>
              <w:bottom w:val="single" w:sz="4" w:space="0" w:color="auto"/>
              <w:right w:val="single" w:sz="4" w:space="0" w:color="auto"/>
            </w:tcBorders>
            <w:shd w:val="clear" w:color="auto" w:fill="C6EFCE"/>
            <w:noWrap/>
            <w:vAlign w:val="center"/>
          </w:tcPr>
          <w:p w14:paraId="7EE4651B" w14:textId="23A0EF7E" w:rsidR="00C45D59" w:rsidRDefault="009B0962">
            <w:pPr>
              <w:pStyle w:val="P68B1DB1-Normal11"/>
              <w:keepNext/>
              <w:spacing w:before="40" w:after="0" w:line="240" w:lineRule="auto"/>
              <w:jc w:val="both"/>
              <w:rPr>
                <w:rFonts w:eastAsia="Times New Roman" w:cs="Times New Roman"/>
                <w:noProof/>
              </w:rPr>
            </w:pPr>
            <w:r>
              <w:rPr>
                <w:noProof/>
              </w:rPr>
              <w:t>Realizarea cercetării – Creare – Proiecte inovatoare</w:t>
            </w:r>
          </w:p>
        </w:tc>
      </w:tr>
      <w:tr w:rsidR="00C45D59" w14:paraId="27051A4A" w14:textId="77777777">
        <w:trPr>
          <w:trHeight w:val="302"/>
          <w:jc w:val="center"/>
        </w:trPr>
        <w:tc>
          <w:tcPr>
            <w:tcW w:w="1101" w:type="dxa"/>
            <w:tcBorders>
              <w:top w:val="nil"/>
              <w:left w:val="single" w:sz="4" w:space="0" w:color="auto"/>
              <w:bottom w:val="single" w:sz="4" w:space="0" w:color="auto"/>
              <w:right w:val="single" w:sz="4" w:space="0" w:color="auto"/>
            </w:tcBorders>
            <w:shd w:val="clear" w:color="auto" w:fill="C6EFCE"/>
            <w:noWrap/>
            <w:vAlign w:val="center"/>
          </w:tcPr>
          <w:p w14:paraId="51CE9C75" w14:textId="204798A7" w:rsidR="00C45D59" w:rsidRDefault="009B0962">
            <w:pPr>
              <w:pStyle w:val="P68B1DB1-Normal55"/>
              <w:keepNext/>
              <w:spacing w:before="40" w:after="0" w:line="240" w:lineRule="auto"/>
              <w:jc w:val="both"/>
              <w:rPr>
                <w:noProof/>
                <w:szCs w:val="18"/>
              </w:rPr>
            </w:pPr>
            <w:r>
              <w:rPr>
                <w:noProof/>
              </w:rPr>
              <w:t>276</w:t>
            </w:r>
          </w:p>
        </w:tc>
        <w:tc>
          <w:tcPr>
            <w:tcW w:w="4677" w:type="dxa"/>
            <w:tcBorders>
              <w:top w:val="nil"/>
              <w:left w:val="nil"/>
              <w:bottom w:val="single" w:sz="4" w:space="0" w:color="auto"/>
              <w:right w:val="single" w:sz="4" w:space="0" w:color="auto"/>
            </w:tcBorders>
            <w:shd w:val="clear" w:color="auto" w:fill="C6EFCE"/>
            <w:noWrap/>
            <w:vAlign w:val="center"/>
          </w:tcPr>
          <w:p w14:paraId="7E5510F6" w14:textId="75B7F9EF" w:rsidR="00C45D59" w:rsidRDefault="009B0962">
            <w:pPr>
              <w:pStyle w:val="P68B1DB1-Normal55"/>
              <w:keepNext/>
              <w:spacing w:before="40" w:after="0" w:line="240" w:lineRule="auto"/>
              <w:jc w:val="both"/>
              <w:rPr>
                <w:noProof/>
                <w:szCs w:val="18"/>
              </w:rPr>
            </w:pPr>
            <w:r>
              <w:rPr>
                <w:noProof/>
              </w:rPr>
              <w:t>17-4.6. Modernizarea și îmbunătățirea rezilienței sectoarelor economice cheie – 16937_Sistemul digital integrat de gestionare a programelor pentru administrarea lucrărilor tehnice și a activelor structurale al Ministerului Infrastructurii și Transporturilor</w:t>
            </w:r>
          </w:p>
        </w:tc>
        <w:tc>
          <w:tcPr>
            <w:tcW w:w="1380" w:type="dxa"/>
            <w:tcBorders>
              <w:top w:val="nil"/>
              <w:left w:val="nil"/>
              <w:bottom w:val="single" w:sz="4" w:space="0" w:color="auto"/>
              <w:right w:val="single" w:sz="4" w:space="0" w:color="auto"/>
            </w:tcBorders>
            <w:shd w:val="clear" w:color="auto" w:fill="C6EFCE"/>
            <w:noWrap/>
            <w:vAlign w:val="center"/>
          </w:tcPr>
          <w:p w14:paraId="2078B31E" w14:textId="2DFC39AA" w:rsidR="00C45D59" w:rsidRDefault="009B0962">
            <w:pPr>
              <w:pStyle w:val="P68B1DB1-Normal55"/>
              <w:keepNext/>
              <w:spacing w:before="40" w:after="0" w:line="240" w:lineRule="auto"/>
              <w:jc w:val="both"/>
              <w:rPr>
                <w:noProof/>
                <w:szCs w:val="18"/>
              </w:rPr>
            </w:pPr>
            <w:r>
              <w:rPr>
                <w:noProof/>
              </w:rPr>
              <w:t>Etapă</w:t>
            </w:r>
          </w:p>
        </w:tc>
        <w:tc>
          <w:tcPr>
            <w:tcW w:w="2430" w:type="dxa"/>
            <w:tcBorders>
              <w:top w:val="nil"/>
              <w:left w:val="nil"/>
              <w:bottom w:val="single" w:sz="4" w:space="0" w:color="auto"/>
              <w:right w:val="single" w:sz="4" w:space="0" w:color="auto"/>
            </w:tcBorders>
            <w:shd w:val="clear" w:color="auto" w:fill="C6EFCE"/>
            <w:noWrap/>
            <w:vAlign w:val="center"/>
          </w:tcPr>
          <w:p w14:paraId="517C4237" w14:textId="6DDFD890" w:rsidR="00C45D59" w:rsidRDefault="009B0962">
            <w:pPr>
              <w:pStyle w:val="P68B1DB1-Normal11"/>
              <w:keepNext/>
              <w:spacing w:before="40" w:after="0" w:line="240" w:lineRule="auto"/>
              <w:jc w:val="both"/>
              <w:rPr>
                <w:noProof/>
              </w:rPr>
            </w:pPr>
            <w:r>
              <w:rPr>
                <w:noProof/>
              </w:rPr>
              <w:t>Sistemul informatic de gestionare a portofoliului (PMIS)</w:t>
            </w:r>
          </w:p>
        </w:tc>
      </w:tr>
      <w:tr w:rsidR="00C45D59" w14:paraId="0C3AA035" w14:textId="77777777">
        <w:trPr>
          <w:trHeight w:val="302"/>
          <w:jc w:val="center"/>
        </w:trPr>
        <w:tc>
          <w:tcPr>
            <w:tcW w:w="1101" w:type="dxa"/>
            <w:tcBorders>
              <w:top w:val="nil"/>
              <w:left w:val="single" w:sz="4" w:space="0" w:color="auto"/>
              <w:bottom w:val="single" w:sz="4" w:space="0" w:color="auto"/>
              <w:right w:val="single" w:sz="4" w:space="0" w:color="auto"/>
            </w:tcBorders>
            <w:shd w:val="clear" w:color="auto" w:fill="C6EFCE"/>
            <w:noWrap/>
            <w:vAlign w:val="center"/>
          </w:tcPr>
          <w:p w14:paraId="0731EF17" w14:textId="77777777" w:rsidR="00C45D59" w:rsidRDefault="009B0962">
            <w:pPr>
              <w:pStyle w:val="P68B1DB1-Normal55"/>
              <w:keepNext/>
              <w:spacing w:before="40" w:after="0" w:line="240" w:lineRule="auto"/>
              <w:jc w:val="both"/>
              <w:rPr>
                <w:rFonts w:cs="Times New Roman"/>
                <w:noProof/>
                <w:szCs w:val="18"/>
              </w:rPr>
            </w:pPr>
            <w:r>
              <w:rPr>
                <w:noProof/>
              </w:rPr>
              <w:t>268b</w:t>
            </w:r>
          </w:p>
        </w:tc>
        <w:tc>
          <w:tcPr>
            <w:tcW w:w="4677" w:type="dxa"/>
            <w:tcBorders>
              <w:top w:val="nil"/>
              <w:left w:val="nil"/>
              <w:bottom w:val="single" w:sz="4" w:space="0" w:color="auto"/>
              <w:right w:val="single" w:sz="4" w:space="0" w:color="auto"/>
            </w:tcBorders>
            <w:shd w:val="clear" w:color="auto" w:fill="C6EFCE"/>
            <w:noWrap/>
            <w:vAlign w:val="center"/>
          </w:tcPr>
          <w:p w14:paraId="21AE04D2" w14:textId="77777777" w:rsidR="00C45D59" w:rsidRDefault="009B0962">
            <w:pPr>
              <w:pStyle w:val="P68B1DB1-Normal55"/>
              <w:keepNext/>
              <w:spacing w:before="40" w:after="0" w:line="240" w:lineRule="auto"/>
              <w:jc w:val="both"/>
              <w:rPr>
                <w:rFonts w:cs="Times New Roman"/>
                <w:noProof/>
                <w:szCs w:val="18"/>
              </w:rPr>
            </w:pPr>
            <w:r>
              <w:rPr>
                <w:noProof/>
              </w:rPr>
              <w:t>17-4.6. Modernizarea și îmbunătățirea rezilienței sectoarelor economice cheie – 16982_Reforma organizațională în sectorul feroviar</w:t>
            </w:r>
          </w:p>
        </w:tc>
        <w:tc>
          <w:tcPr>
            <w:tcW w:w="1380" w:type="dxa"/>
            <w:tcBorders>
              <w:top w:val="nil"/>
              <w:left w:val="nil"/>
              <w:bottom w:val="single" w:sz="4" w:space="0" w:color="auto"/>
              <w:right w:val="single" w:sz="4" w:space="0" w:color="auto"/>
            </w:tcBorders>
            <w:shd w:val="clear" w:color="auto" w:fill="C6EFCE"/>
            <w:noWrap/>
            <w:vAlign w:val="center"/>
          </w:tcPr>
          <w:p w14:paraId="2BFBC05C" w14:textId="77777777" w:rsidR="00C45D59" w:rsidRDefault="009B0962">
            <w:pPr>
              <w:pStyle w:val="P68B1DB1-Normal55"/>
              <w:keepNext/>
              <w:spacing w:before="40" w:after="0" w:line="240" w:lineRule="auto"/>
              <w:jc w:val="both"/>
              <w:rPr>
                <w:rFonts w:cs="Times New Roman"/>
                <w:noProof/>
                <w:szCs w:val="18"/>
              </w:rPr>
            </w:pPr>
            <w:r>
              <w:rPr>
                <w:noProof/>
              </w:rPr>
              <w:t>Etapă</w:t>
            </w:r>
          </w:p>
        </w:tc>
        <w:tc>
          <w:tcPr>
            <w:tcW w:w="2430" w:type="dxa"/>
            <w:tcBorders>
              <w:top w:val="nil"/>
              <w:left w:val="nil"/>
              <w:bottom w:val="single" w:sz="4" w:space="0" w:color="auto"/>
              <w:right w:val="single" w:sz="4" w:space="0" w:color="auto"/>
            </w:tcBorders>
            <w:shd w:val="clear" w:color="auto" w:fill="C6EFCE"/>
            <w:noWrap/>
            <w:vAlign w:val="center"/>
          </w:tcPr>
          <w:p w14:paraId="740F5B9E" w14:textId="77777777" w:rsidR="00C45D59" w:rsidRDefault="009B0962">
            <w:pPr>
              <w:pStyle w:val="P68B1DB1-Normal11"/>
              <w:keepNext/>
              <w:spacing w:before="40" w:after="0" w:line="240" w:lineRule="auto"/>
              <w:jc w:val="both"/>
              <w:rPr>
                <w:rFonts w:cs="Times New Roman"/>
                <w:noProof/>
              </w:rPr>
            </w:pPr>
            <w:r>
              <w:rPr>
                <w:noProof/>
              </w:rPr>
              <w:t>Programul multianual de investiții, noul acord contractual și directorul tehnic</w:t>
            </w:r>
          </w:p>
        </w:tc>
      </w:tr>
      <w:tr w:rsidR="00C45D59" w14:paraId="6D849A08" w14:textId="77777777">
        <w:trPr>
          <w:trHeight w:val="302"/>
          <w:jc w:val="center"/>
        </w:trPr>
        <w:tc>
          <w:tcPr>
            <w:tcW w:w="1101" w:type="dxa"/>
            <w:tcBorders>
              <w:top w:val="nil"/>
              <w:left w:val="single" w:sz="4" w:space="0" w:color="auto"/>
              <w:bottom w:val="single" w:sz="4" w:space="0" w:color="auto"/>
              <w:right w:val="single" w:sz="4" w:space="0" w:color="auto"/>
            </w:tcBorders>
            <w:shd w:val="clear" w:color="auto" w:fill="C6EFCE"/>
            <w:noWrap/>
            <w:vAlign w:val="center"/>
          </w:tcPr>
          <w:p w14:paraId="4020C2A2"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294</w:t>
            </w:r>
          </w:p>
        </w:tc>
        <w:tc>
          <w:tcPr>
            <w:tcW w:w="4677" w:type="dxa"/>
            <w:tcBorders>
              <w:top w:val="nil"/>
              <w:left w:val="nil"/>
              <w:bottom w:val="single" w:sz="4" w:space="0" w:color="auto"/>
              <w:right w:val="single" w:sz="4" w:space="0" w:color="auto"/>
            </w:tcBorders>
            <w:shd w:val="clear" w:color="auto" w:fill="C6EFCE"/>
            <w:noWrap/>
            <w:vAlign w:val="center"/>
          </w:tcPr>
          <w:p w14:paraId="43D78F3A"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17-4.6. Modernizarea și îmbunătățirea rezilienței sectoarelor economice cheie – 16944_Planul general pentru reînnoirea flotei elene de transport maritim de pasageri</w:t>
            </w:r>
          </w:p>
        </w:tc>
        <w:tc>
          <w:tcPr>
            <w:tcW w:w="1380" w:type="dxa"/>
            <w:tcBorders>
              <w:top w:val="nil"/>
              <w:left w:val="nil"/>
              <w:bottom w:val="single" w:sz="4" w:space="0" w:color="auto"/>
              <w:right w:val="single" w:sz="4" w:space="0" w:color="auto"/>
            </w:tcBorders>
            <w:shd w:val="clear" w:color="auto" w:fill="C6EFCE"/>
            <w:noWrap/>
            <w:vAlign w:val="center"/>
          </w:tcPr>
          <w:p w14:paraId="3F9E7DC3" w14:textId="77777777" w:rsidR="00C45D59" w:rsidRDefault="009B0962">
            <w:pPr>
              <w:pStyle w:val="P68B1DB1-Normal55"/>
              <w:keepNext/>
              <w:spacing w:before="40" w:after="0" w:line="240" w:lineRule="auto"/>
              <w:jc w:val="both"/>
              <w:rPr>
                <w:rFonts w:eastAsia="Times New Roman" w:cs="Times New Roman"/>
                <w:noProof/>
                <w:szCs w:val="18"/>
              </w:rPr>
            </w:pPr>
            <w:r>
              <w:rPr>
                <w:noProof/>
              </w:rPr>
              <w:t>Etapă</w:t>
            </w:r>
          </w:p>
        </w:tc>
        <w:tc>
          <w:tcPr>
            <w:tcW w:w="2430" w:type="dxa"/>
            <w:tcBorders>
              <w:top w:val="nil"/>
              <w:left w:val="nil"/>
              <w:bottom w:val="single" w:sz="4" w:space="0" w:color="auto"/>
              <w:right w:val="single" w:sz="4" w:space="0" w:color="auto"/>
            </w:tcBorders>
            <w:shd w:val="clear" w:color="auto" w:fill="C6EFCE"/>
            <w:noWrap/>
            <w:vAlign w:val="center"/>
          </w:tcPr>
          <w:p w14:paraId="3E4B6593" w14:textId="77777777" w:rsidR="00C45D59" w:rsidRDefault="009B0962">
            <w:pPr>
              <w:pStyle w:val="P68B1DB1-Normal11"/>
              <w:keepNext/>
              <w:spacing w:before="40" w:after="0" w:line="240" w:lineRule="auto"/>
              <w:jc w:val="both"/>
              <w:rPr>
                <w:rFonts w:eastAsia="Times New Roman" w:cs="Times New Roman"/>
                <w:noProof/>
              </w:rPr>
            </w:pPr>
            <w:r>
              <w:rPr>
                <w:noProof/>
              </w:rPr>
              <w:t>Planul general pentru reînnoirea flotei elene de transport maritim de pasageri</w:t>
            </w:r>
          </w:p>
        </w:tc>
      </w:tr>
      <w:tr w:rsidR="00C45D59" w14:paraId="1A85D99F" w14:textId="77777777">
        <w:trPr>
          <w:trHeight w:val="302"/>
          <w:jc w:val="center"/>
        </w:trPr>
        <w:tc>
          <w:tcPr>
            <w:tcW w:w="1101" w:type="dxa"/>
            <w:tcBorders>
              <w:top w:val="nil"/>
              <w:left w:val="single" w:sz="4" w:space="0" w:color="auto"/>
              <w:bottom w:val="single" w:sz="4" w:space="0" w:color="auto"/>
              <w:right w:val="single" w:sz="4" w:space="0" w:color="auto"/>
            </w:tcBorders>
            <w:shd w:val="clear" w:color="auto" w:fill="C6EFCE"/>
            <w:noWrap/>
            <w:vAlign w:val="center"/>
          </w:tcPr>
          <w:p w14:paraId="08CC1121" w14:textId="5F80C0CA" w:rsidR="00C45D59" w:rsidRDefault="009B0962">
            <w:pPr>
              <w:pStyle w:val="P68B1DB1-Normal55"/>
              <w:keepNext/>
              <w:spacing w:before="40" w:after="0" w:line="240" w:lineRule="auto"/>
              <w:jc w:val="both"/>
              <w:rPr>
                <w:noProof/>
              </w:rPr>
            </w:pPr>
            <w:r>
              <w:rPr>
                <w:noProof/>
              </w:rPr>
              <w:t>296</w:t>
            </w:r>
          </w:p>
        </w:tc>
        <w:tc>
          <w:tcPr>
            <w:tcW w:w="4677" w:type="dxa"/>
            <w:tcBorders>
              <w:top w:val="nil"/>
              <w:left w:val="nil"/>
              <w:bottom w:val="single" w:sz="4" w:space="0" w:color="auto"/>
              <w:right w:val="single" w:sz="4" w:space="0" w:color="auto"/>
            </w:tcBorders>
            <w:shd w:val="clear" w:color="auto" w:fill="C6EFCE"/>
            <w:noWrap/>
            <w:vAlign w:val="center"/>
          </w:tcPr>
          <w:p w14:paraId="17B9CA3A" w14:textId="4F5323B5" w:rsidR="00C45D59" w:rsidRDefault="009B0962">
            <w:pPr>
              <w:pStyle w:val="P68B1DB1-Normal55"/>
              <w:keepNext/>
              <w:spacing w:before="40" w:after="0" w:line="240" w:lineRule="auto"/>
              <w:jc w:val="both"/>
              <w:rPr>
                <w:noProof/>
              </w:rPr>
            </w:pPr>
            <w:r>
              <w:rPr>
                <w:noProof/>
              </w:rPr>
              <w:t>17-4.6. Modernizarea și îmbunătățirea rezilienței sectoarelor economice cheie -_16921_Recalificare și actualizare a competențelor în turism</w:t>
            </w:r>
          </w:p>
        </w:tc>
        <w:tc>
          <w:tcPr>
            <w:tcW w:w="1380" w:type="dxa"/>
            <w:tcBorders>
              <w:top w:val="nil"/>
              <w:left w:val="nil"/>
              <w:bottom w:val="single" w:sz="4" w:space="0" w:color="auto"/>
              <w:right w:val="single" w:sz="4" w:space="0" w:color="auto"/>
            </w:tcBorders>
            <w:shd w:val="clear" w:color="auto" w:fill="C6EFCE"/>
            <w:noWrap/>
            <w:vAlign w:val="center"/>
          </w:tcPr>
          <w:p w14:paraId="4D8FBF21" w14:textId="2BF0CB35" w:rsidR="00C45D59" w:rsidRDefault="009B0962">
            <w:pPr>
              <w:pStyle w:val="P68B1DB1-Normal55"/>
              <w:keepNext/>
              <w:spacing w:before="40" w:after="0" w:line="240" w:lineRule="auto"/>
              <w:jc w:val="both"/>
              <w:rPr>
                <w:noProof/>
              </w:rPr>
            </w:pPr>
            <w:r>
              <w:rPr>
                <w:noProof/>
              </w:rPr>
              <w:t>Etapă</w:t>
            </w:r>
          </w:p>
        </w:tc>
        <w:tc>
          <w:tcPr>
            <w:tcW w:w="2430" w:type="dxa"/>
            <w:tcBorders>
              <w:top w:val="nil"/>
              <w:left w:val="nil"/>
              <w:bottom w:val="single" w:sz="4" w:space="0" w:color="auto"/>
              <w:right w:val="single" w:sz="4" w:space="0" w:color="auto"/>
            </w:tcBorders>
            <w:shd w:val="clear" w:color="auto" w:fill="C6EFCE"/>
            <w:noWrap/>
            <w:vAlign w:val="center"/>
          </w:tcPr>
          <w:p w14:paraId="1EA42756" w14:textId="4FB06C92" w:rsidR="00C45D59" w:rsidRDefault="009B0962">
            <w:pPr>
              <w:pStyle w:val="P68B1DB1-Normal55"/>
              <w:keepNext/>
              <w:spacing w:before="40" w:after="0" w:line="240" w:lineRule="auto"/>
              <w:jc w:val="both"/>
              <w:rPr>
                <w:noProof/>
                <w:szCs w:val="18"/>
              </w:rPr>
            </w:pPr>
            <w:r>
              <w:rPr>
                <w:noProof/>
              </w:rPr>
              <w:t xml:space="preserve">Recalificarea și actualizarea competențelor în turism </w:t>
            </w:r>
          </w:p>
        </w:tc>
      </w:tr>
      <w:tr w:rsidR="00C45D59" w14:paraId="30C4AF14" w14:textId="77777777">
        <w:trPr>
          <w:trHeight w:val="302"/>
          <w:jc w:val="center"/>
        </w:trPr>
        <w:tc>
          <w:tcPr>
            <w:tcW w:w="1101" w:type="dxa"/>
            <w:tcBorders>
              <w:top w:val="nil"/>
              <w:left w:val="single" w:sz="4" w:space="0" w:color="auto"/>
              <w:bottom w:val="single" w:sz="4" w:space="0" w:color="auto"/>
              <w:right w:val="single" w:sz="4" w:space="0" w:color="auto"/>
            </w:tcBorders>
            <w:shd w:val="clear" w:color="auto" w:fill="C6EFCE"/>
            <w:noWrap/>
          </w:tcPr>
          <w:p w14:paraId="131618C0" w14:textId="77777777" w:rsidR="00C45D59" w:rsidRDefault="009B0962">
            <w:pPr>
              <w:pStyle w:val="P68B1DB1-Normal55"/>
              <w:keepNext/>
              <w:spacing w:before="40" w:after="0" w:line="240" w:lineRule="auto"/>
              <w:jc w:val="both"/>
              <w:rPr>
                <w:rFonts w:cs="Times New Roman"/>
                <w:noProof/>
                <w:szCs w:val="18"/>
              </w:rPr>
            </w:pPr>
            <w:r>
              <w:rPr>
                <w:noProof/>
              </w:rPr>
              <w:t>332</w:t>
            </w:r>
          </w:p>
        </w:tc>
        <w:tc>
          <w:tcPr>
            <w:tcW w:w="4677" w:type="dxa"/>
            <w:tcBorders>
              <w:top w:val="nil"/>
              <w:left w:val="nil"/>
              <w:bottom w:val="single" w:sz="4" w:space="0" w:color="auto"/>
              <w:right w:val="single" w:sz="4" w:space="0" w:color="auto"/>
            </w:tcBorders>
            <w:shd w:val="clear" w:color="auto" w:fill="C6EFCE"/>
            <w:noWrap/>
          </w:tcPr>
          <w:p w14:paraId="51C02A55" w14:textId="1A6F4C55" w:rsidR="00C45D59" w:rsidRDefault="009B0962">
            <w:pPr>
              <w:pStyle w:val="P68B1DB1-Normal55"/>
              <w:keepNext/>
              <w:spacing w:before="40" w:after="0" w:line="240" w:lineRule="auto"/>
              <w:jc w:val="both"/>
              <w:rPr>
                <w:rFonts w:cs="Times New Roman"/>
                <w:noProof/>
                <w:szCs w:val="18"/>
              </w:rPr>
            </w:pPr>
            <w:r>
              <w:rPr>
                <w:noProof/>
              </w:rPr>
              <w:t>4-1.4. Utilizarea durabilă a resurselor, reziliența la schimbările climatice și protecția mediului – 16983_Inspecție primară a rezistenței seismice a clădirilor sau a instalațiilor sportive</w:t>
            </w:r>
          </w:p>
        </w:tc>
        <w:tc>
          <w:tcPr>
            <w:tcW w:w="1380" w:type="dxa"/>
            <w:tcBorders>
              <w:top w:val="nil"/>
              <w:left w:val="nil"/>
              <w:bottom w:val="single" w:sz="4" w:space="0" w:color="auto"/>
              <w:right w:val="single" w:sz="4" w:space="0" w:color="auto"/>
            </w:tcBorders>
            <w:shd w:val="clear" w:color="auto" w:fill="C6EFCE"/>
            <w:noWrap/>
          </w:tcPr>
          <w:p w14:paraId="5424DBA4" w14:textId="77777777" w:rsidR="00C45D59" w:rsidRDefault="009B0962">
            <w:pPr>
              <w:pStyle w:val="P68B1DB1-Normal55"/>
              <w:keepNext/>
              <w:spacing w:before="40" w:after="0" w:line="240" w:lineRule="auto"/>
              <w:jc w:val="both"/>
              <w:rPr>
                <w:rFonts w:cs="Times New Roman"/>
                <w:noProof/>
                <w:szCs w:val="18"/>
              </w:rPr>
            </w:pPr>
            <w:r>
              <w:rPr>
                <w:noProof/>
              </w:rPr>
              <w:t>Etapă</w:t>
            </w:r>
          </w:p>
        </w:tc>
        <w:tc>
          <w:tcPr>
            <w:tcW w:w="2430" w:type="dxa"/>
            <w:tcBorders>
              <w:top w:val="nil"/>
              <w:left w:val="nil"/>
              <w:bottom w:val="single" w:sz="4" w:space="0" w:color="auto"/>
              <w:right w:val="single" w:sz="4" w:space="0" w:color="auto"/>
            </w:tcBorders>
            <w:shd w:val="clear" w:color="auto" w:fill="C6EFCE"/>
            <w:noWrap/>
          </w:tcPr>
          <w:p w14:paraId="250AF779" w14:textId="039FFD31" w:rsidR="00C45D59" w:rsidRDefault="009B0962">
            <w:pPr>
              <w:pStyle w:val="P68B1DB1-Normal55"/>
              <w:keepNext/>
              <w:spacing w:before="40" w:after="0" w:line="240" w:lineRule="auto"/>
              <w:jc w:val="both"/>
              <w:rPr>
                <w:rFonts w:cs="Times New Roman"/>
                <w:noProof/>
                <w:szCs w:val="18"/>
              </w:rPr>
            </w:pPr>
            <w:r>
              <w:rPr>
                <w:noProof/>
              </w:rPr>
              <w:t>Finalizarea inspecțiilor seismice primare</w:t>
            </w:r>
          </w:p>
        </w:tc>
      </w:tr>
      <w:tr w:rsidR="00C45D59" w14:paraId="633A1480" w14:textId="77777777">
        <w:trPr>
          <w:trHeight w:val="302"/>
          <w:jc w:val="center"/>
        </w:trPr>
        <w:tc>
          <w:tcPr>
            <w:tcW w:w="1101" w:type="dxa"/>
            <w:tcBorders>
              <w:top w:val="nil"/>
              <w:left w:val="single" w:sz="4" w:space="0" w:color="auto"/>
              <w:bottom w:val="single" w:sz="4" w:space="0" w:color="auto"/>
              <w:right w:val="single" w:sz="4" w:space="0" w:color="auto"/>
            </w:tcBorders>
            <w:shd w:val="clear" w:color="auto" w:fill="C6EFCE"/>
            <w:noWrap/>
          </w:tcPr>
          <w:p w14:paraId="047D6F1B" w14:textId="77777777" w:rsidR="00C45D59" w:rsidRDefault="009B0962">
            <w:pPr>
              <w:pStyle w:val="P68B1DB1-Normal55"/>
              <w:keepNext/>
              <w:spacing w:before="40" w:after="0" w:line="259" w:lineRule="auto"/>
              <w:jc w:val="both"/>
              <w:rPr>
                <w:rFonts w:cs="Times New Roman"/>
                <w:noProof/>
              </w:rPr>
            </w:pPr>
            <w:r>
              <w:rPr>
                <w:noProof/>
              </w:rPr>
              <w:t>336</w:t>
            </w:r>
          </w:p>
        </w:tc>
        <w:tc>
          <w:tcPr>
            <w:tcW w:w="4677" w:type="dxa"/>
            <w:tcBorders>
              <w:top w:val="nil"/>
              <w:left w:val="nil"/>
              <w:bottom w:val="single" w:sz="4" w:space="0" w:color="auto"/>
              <w:right w:val="single" w:sz="4" w:space="0" w:color="auto"/>
            </w:tcBorders>
            <w:shd w:val="clear" w:color="auto" w:fill="C6EFCE"/>
            <w:noWrap/>
          </w:tcPr>
          <w:p w14:paraId="5B1C144E" w14:textId="77777777" w:rsidR="00C45D59" w:rsidRDefault="009B0962">
            <w:pPr>
              <w:pStyle w:val="P68B1DB1-Normal55"/>
              <w:keepNext/>
              <w:spacing w:before="40" w:after="0" w:line="259" w:lineRule="auto"/>
              <w:jc w:val="both"/>
              <w:rPr>
                <w:rFonts w:cs="Times New Roman"/>
                <w:noProof/>
              </w:rPr>
            </w:pPr>
            <w:r>
              <w:rPr>
                <w:noProof/>
              </w:rPr>
              <w:t>10-3.3. Îmbunătățirea rezilienței, a accesibilității și a sustenabilității asistenței medicale – 16984_Reforma doctorului personal</w:t>
            </w:r>
          </w:p>
        </w:tc>
        <w:tc>
          <w:tcPr>
            <w:tcW w:w="1380" w:type="dxa"/>
            <w:tcBorders>
              <w:top w:val="nil"/>
              <w:left w:val="nil"/>
              <w:bottom w:val="single" w:sz="4" w:space="0" w:color="auto"/>
              <w:right w:val="single" w:sz="4" w:space="0" w:color="auto"/>
            </w:tcBorders>
            <w:shd w:val="clear" w:color="auto" w:fill="C6EFCE"/>
            <w:noWrap/>
          </w:tcPr>
          <w:p w14:paraId="5F43E8B3" w14:textId="77777777" w:rsidR="00C45D59" w:rsidRDefault="009B0962">
            <w:pPr>
              <w:pStyle w:val="P68B1DB1-Normal55"/>
              <w:keepNext/>
              <w:spacing w:before="40" w:after="0" w:line="259" w:lineRule="auto"/>
              <w:jc w:val="both"/>
              <w:rPr>
                <w:rFonts w:cs="Times New Roman"/>
                <w:noProof/>
              </w:rPr>
            </w:pPr>
            <w:r>
              <w:rPr>
                <w:noProof/>
              </w:rPr>
              <w:t>Etapă</w:t>
            </w:r>
          </w:p>
        </w:tc>
        <w:tc>
          <w:tcPr>
            <w:tcW w:w="2430" w:type="dxa"/>
            <w:tcBorders>
              <w:top w:val="nil"/>
              <w:left w:val="nil"/>
              <w:bottom w:val="single" w:sz="4" w:space="0" w:color="auto"/>
              <w:right w:val="single" w:sz="4" w:space="0" w:color="auto"/>
            </w:tcBorders>
            <w:shd w:val="clear" w:color="auto" w:fill="C6EFCE"/>
            <w:noWrap/>
          </w:tcPr>
          <w:p w14:paraId="4B42F83D" w14:textId="77777777" w:rsidR="00C45D59" w:rsidRDefault="009B0962">
            <w:pPr>
              <w:pStyle w:val="P68B1DB1-Normal55"/>
              <w:keepNext/>
              <w:spacing w:before="40" w:after="0" w:line="259" w:lineRule="auto"/>
              <w:jc w:val="both"/>
              <w:rPr>
                <w:rFonts w:cs="Times New Roman"/>
                <w:noProof/>
              </w:rPr>
            </w:pPr>
            <w:r>
              <w:rPr>
                <w:noProof/>
              </w:rPr>
              <w:t xml:space="preserve">Reforma medicilor personali – înregistrare </w:t>
            </w:r>
          </w:p>
        </w:tc>
      </w:tr>
      <w:tr w:rsidR="00C45D59" w14:paraId="2E4D18E1" w14:textId="77777777">
        <w:trPr>
          <w:trHeight w:val="302"/>
          <w:jc w:val="center"/>
        </w:trPr>
        <w:tc>
          <w:tcPr>
            <w:tcW w:w="1101" w:type="dxa"/>
            <w:tcBorders>
              <w:top w:val="nil"/>
              <w:left w:val="single" w:sz="4" w:space="0" w:color="auto"/>
              <w:bottom w:val="single" w:sz="4" w:space="0" w:color="auto"/>
              <w:right w:val="single" w:sz="4" w:space="0" w:color="auto"/>
            </w:tcBorders>
            <w:shd w:val="clear" w:color="auto" w:fill="C6EFCE"/>
            <w:noWrap/>
          </w:tcPr>
          <w:p w14:paraId="46315242" w14:textId="77777777" w:rsidR="00C45D59" w:rsidRDefault="009B0962">
            <w:pPr>
              <w:pStyle w:val="P68B1DB1-Normal55"/>
              <w:keepNext/>
              <w:spacing w:before="40" w:after="0" w:line="259" w:lineRule="auto"/>
              <w:jc w:val="both"/>
              <w:rPr>
                <w:rFonts w:cs="Times New Roman"/>
                <w:noProof/>
              </w:rPr>
            </w:pPr>
            <w:r>
              <w:rPr>
                <w:noProof/>
              </w:rPr>
              <w:t>344</w:t>
            </w:r>
          </w:p>
        </w:tc>
        <w:tc>
          <w:tcPr>
            <w:tcW w:w="4677" w:type="dxa"/>
            <w:tcBorders>
              <w:top w:val="nil"/>
              <w:left w:val="nil"/>
              <w:bottom w:val="single" w:sz="4" w:space="0" w:color="auto"/>
              <w:right w:val="single" w:sz="4" w:space="0" w:color="auto"/>
            </w:tcBorders>
            <w:shd w:val="clear" w:color="auto" w:fill="C6EFCE"/>
            <w:noWrap/>
          </w:tcPr>
          <w:p w14:paraId="6D2D8D0F" w14:textId="77777777" w:rsidR="00C45D59" w:rsidRDefault="009B0962">
            <w:pPr>
              <w:pStyle w:val="P68B1DB1-Normal55"/>
              <w:keepNext/>
              <w:spacing w:before="40" w:after="0" w:line="259" w:lineRule="auto"/>
              <w:jc w:val="both"/>
              <w:rPr>
                <w:rFonts w:cs="Times New Roman"/>
                <w:noProof/>
              </w:rPr>
            </w:pPr>
            <w:r>
              <w:rPr>
                <w:noProof/>
              </w:rPr>
              <w:t>13-4.2. Modernizarea administrației publice, inclusiv prin accelerarea punerii în aplicare a investițiilor publice, îmbunătățirea cadrului privind achizițiile publice, măsuri de consolidare a capacităților și combaterea corupției – 16986_Finalizarea cadastrului național</w:t>
            </w:r>
          </w:p>
        </w:tc>
        <w:tc>
          <w:tcPr>
            <w:tcW w:w="1380" w:type="dxa"/>
            <w:tcBorders>
              <w:top w:val="nil"/>
              <w:left w:val="nil"/>
              <w:bottom w:val="single" w:sz="4" w:space="0" w:color="auto"/>
              <w:right w:val="single" w:sz="4" w:space="0" w:color="auto"/>
            </w:tcBorders>
            <w:shd w:val="clear" w:color="auto" w:fill="C6EFCE"/>
            <w:noWrap/>
          </w:tcPr>
          <w:p w14:paraId="0789658C" w14:textId="77777777" w:rsidR="00C45D59" w:rsidRDefault="009B0962">
            <w:pPr>
              <w:pStyle w:val="P68B1DB1-Normal55"/>
              <w:keepNext/>
              <w:spacing w:before="40" w:after="0" w:line="259" w:lineRule="auto"/>
              <w:jc w:val="both"/>
              <w:rPr>
                <w:rFonts w:cs="Times New Roman"/>
                <w:noProof/>
              </w:rPr>
            </w:pPr>
            <w:r>
              <w:rPr>
                <w:noProof/>
              </w:rPr>
              <w:t>Țintă</w:t>
            </w:r>
          </w:p>
        </w:tc>
        <w:tc>
          <w:tcPr>
            <w:tcW w:w="2430" w:type="dxa"/>
            <w:tcBorders>
              <w:top w:val="nil"/>
              <w:left w:val="nil"/>
              <w:bottom w:val="single" w:sz="4" w:space="0" w:color="auto"/>
              <w:right w:val="single" w:sz="4" w:space="0" w:color="auto"/>
            </w:tcBorders>
            <w:shd w:val="clear" w:color="auto" w:fill="C6EFCE"/>
            <w:noWrap/>
          </w:tcPr>
          <w:p w14:paraId="3D097152" w14:textId="77777777" w:rsidR="00C45D59" w:rsidRDefault="009B0962">
            <w:pPr>
              <w:pStyle w:val="P68B1DB1-Normal55"/>
              <w:keepNext/>
              <w:spacing w:before="40" w:after="0" w:line="259" w:lineRule="auto"/>
              <w:jc w:val="both"/>
              <w:rPr>
                <w:rFonts w:cs="Times New Roman"/>
                <w:noProof/>
              </w:rPr>
            </w:pPr>
            <w:r>
              <w:rPr>
                <w:noProof/>
              </w:rPr>
              <w:t>Cartografiere cadastrală – finalizare</w:t>
            </w:r>
          </w:p>
        </w:tc>
      </w:tr>
      <w:tr w:rsidR="00C45D59" w14:paraId="04223E30" w14:textId="77777777">
        <w:trPr>
          <w:trHeight w:val="302"/>
          <w:jc w:val="center"/>
        </w:trPr>
        <w:tc>
          <w:tcPr>
            <w:tcW w:w="1101" w:type="dxa"/>
            <w:tcBorders>
              <w:top w:val="nil"/>
              <w:left w:val="single" w:sz="4" w:space="0" w:color="auto"/>
              <w:bottom w:val="single" w:sz="4" w:space="0" w:color="auto"/>
              <w:right w:val="single" w:sz="4" w:space="0" w:color="auto"/>
            </w:tcBorders>
            <w:shd w:val="clear" w:color="auto" w:fill="C6EFCE"/>
            <w:noWrap/>
            <w:vAlign w:val="center"/>
          </w:tcPr>
          <w:p w14:paraId="17BF68FB" w14:textId="1AFA763A" w:rsidR="00C45D59" w:rsidRDefault="009B0962">
            <w:pPr>
              <w:pStyle w:val="P68B1DB1-Normal55"/>
              <w:keepNext/>
              <w:spacing w:before="40" w:after="0" w:line="259" w:lineRule="auto"/>
              <w:jc w:val="both"/>
              <w:rPr>
                <w:noProof/>
              </w:rPr>
            </w:pPr>
            <w:r>
              <w:rPr>
                <w:noProof/>
              </w:rPr>
              <w:t>346</w:t>
            </w:r>
          </w:p>
        </w:tc>
        <w:tc>
          <w:tcPr>
            <w:tcW w:w="4677" w:type="dxa"/>
            <w:tcBorders>
              <w:top w:val="nil"/>
              <w:left w:val="nil"/>
              <w:bottom w:val="single" w:sz="4" w:space="0" w:color="auto"/>
              <w:right w:val="single" w:sz="4" w:space="0" w:color="auto"/>
            </w:tcBorders>
            <w:shd w:val="clear" w:color="auto" w:fill="C6EFCE"/>
            <w:noWrap/>
            <w:vAlign w:val="center"/>
          </w:tcPr>
          <w:p w14:paraId="252B35F5" w14:textId="15965189" w:rsidR="00C45D59" w:rsidRDefault="009B0962">
            <w:pPr>
              <w:pStyle w:val="P68B1DB1-Normal55"/>
              <w:keepNext/>
              <w:spacing w:before="40" w:after="0" w:line="259" w:lineRule="auto"/>
              <w:jc w:val="both"/>
              <w:rPr>
                <w:noProof/>
              </w:rPr>
            </w:pPr>
            <w:r>
              <w:rPr>
                <w:noProof/>
              </w:rPr>
              <w:t>16-4.5. Promovarea cercetării și inovării – 16622_ORIZONT 2020 „Marca de excelență”: societăți de finanțare</w:t>
            </w:r>
          </w:p>
        </w:tc>
        <w:tc>
          <w:tcPr>
            <w:tcW w:w="1380" w:type="dxa"/>
            <w:tcBorders>
              <w:top w:val="nil"/>
              <w:left w:val="nil"/>
              <w:bottom w:val="single" w:sz="4" w:space="0" w:color="auto"/>
              <w:right w:val="single" w:sz="4" w:space="0" w:color="auto"/>
            </w:tcBorders>
            <w:shd w:val="clear" w:color="auto" w:fill="C6EFCE"/>
            <w:noWrap/>
            <w:vAlign w:val="center"/>
          </w:tcPr>
          <w:p w14:paraId="05C1CA81" w14:textId="42C2ACAB" w:rsidR="00C45D59" w:rsidRDefault="009B0962">
            <w:pPr>
              <w:pStyle w:val="P68B1DB1-Normal55"/>
              <w:keepNext/>
              <w:spacing w:before="40" w:after="0" w:line="259" w:lineRule="auto"/>
              <w:jc w:val="both"/>
              <w:rPr>
                <w:noProof/>
              </w:rPr>
            </w:pPr>
            <w:r>
              <w:rPr>
                <w:noProof/>
              </w:rPr>
              <w:t>Etapă</w:t>
            </w:r>
          </w:p>
        </w:tc>
        <w:tc>
          <w:tcPr>
            <w:tcW w:w="2430" w:type="dxa"/>
            <w:tcBorders>
              <w:top w:val="nil"/>
              <w:left w:val="nil"/>
              <w:bottom w:val="single" w:sz="4" w:space="0" w:color="auto"/>
              <w:right w:val="single" w:sz="4" w:space="0" w:color="auto"/>
            </w:tcBorders>
            <w:shd w:val="clear" w:color="auto" w:fill="C6EFCE"/>
            <w:noWrap/>
            <w:vAlign w:val="center"/>
          </w:tcPr>
          <w:p w14:paraId="768269D0" w14:textId="51AB67D5" w:rsidR="00C45D59" w:rsidRDefault="009B0962">
            <w:pPr>
              <w:pStyle w:val="P68B1DB1-Normal55"/>
              <w:keepNext/>
              <w:spacing w:before="40" w:after="0" w:line="259" w:lineRule="auto"/>
              <w:jc w:val="both"/>
              <w:rPr>
                <w:noProof/>
              </w:rPr>
            </w:pPr>
            <w:r>
              <w:rPr>
                <w:noProof/>
              </w:rPr>
              <w:t>Executarea proiectelor</w:t>
            </w:r>
          </w:p>
        </w:tc>
      </w:tr>
      <w:tr w:rsidR="00C45D59" w14:paraId="3B90D180" w14:textId="77777777">
        <w:trPr>
          <w:trHeight w:val="302"/>
          <w:jc w:val="center"/>
        </w:trPr>
        <w:tc>
          <w:tcPr>
            <w:tcW w:w="1101" w:type="dxa"/>
            <w:tcBorders>
              <w:top w:val="nil"/>
              <w:left w:val="single" w:sz="4" w:space="0" w:color="auto"/>
              <w:bottom w:val="single" w:sz="4" w:space="0" w:color="auto"/>
              <w:right w:val="single" w:sz="4" w:space="0" w:color="auto"/>
            </w:tcBorders>
            <w:shd w:val="clear" w:color="auto" w:fill="C6EFCE"/>
            <w:noWrap/>
          </w:tcPr>
          <w:p w14:paraId="7AD15D13" w14:textId="59147B51" w:rsidR="00C45D59" w:rsidRDefault="009B0962">
            <w:pPr>
              <w:pStyle w:val="P68B1DB1-Normal11"/>
              <w:keepNext/>
              <w:spacing w:before="40" w:after="0" w:line="259" w:lineRule="auto"/>
              <w:jc w:val="both"/>
              <w:rPr>
                <w:noProof/>
              </w:rPr>
            </w:pPr>
            <w:r>
              <w:rPr>
                <w:noProof/>
              </w:rPr>
              <w:t>349a</w:t>
            </w:r>
          </w:p>
        </w:tc>
        <w:tc>
          <w:tcPr>
            <w:tcW w:w="4677" w:type="dxa"/>
            <w:tcBorders>
              <w:top w:val="nil"/>
              <w:left w:val="nil"/>
              <w:bottom w:val="single" w:sz="4" w:space="0" w:color="auto"/>
              <w:right w:val="single" w:sz="4" w:space="0" w:color="auto"/>
            </w:tcBorders>
            <w:shd w:val="clear" w:color="auto" w:fill="C6EFCE"/>
            <w:noWrap/>
          </w:tcPr>
          <w:p w14:paraId="4CEC8BB3" w14:textId="5E107249" w:rsidR="00C45D59" w:rsidRDefault="009B0962">
            <w:pPr>
              <w:pStyle w:val="P68B1DB1-Normal16"/>
              <w:keepNext/>
              <w:spacing w:before="40" w:after="0" w:line="259" w:lineRule="auto"/>
              <w:jc w:val="both"/>
              <w:rPr>
                <w:noProof/>
              </w:rPr>
            </w:pPr>
            <w:r>
              <w:rPr>
                <w:noProof/>
              </w:rPr>
              <w:t>17-4.6. Modernizarea și îmbunătățirea rezilienței sectoarelor economice cheie – 16999_Lucrări de refacere în urma efectelor devastatoare ale furtunilor „DANIEL”, „ELIAS” și „IANOS”</w:t>
            </w:r>
          </w:p>
        </w:tc>
        <w:tc>
          <w:tcPr>
            <w:tcW w:w="1380" w:type="dxa"/>
            <w:tcBorders>
              <w:top w:val="nil"/>
              <w:left w:val="nil"/>
              <w:bottom w:val="single" w:sz="4" w:space="0" w:color="auto"/>
              <w:right w:val="single" w:sz="4" w:space="0" w:color="auto"/>
            </w:tcBorders>
            <w:shd w:val="clear" w:color="auto" w:fill="C6EFCE"/>
            <w:noWrap/>
          </w:tcPr>
          <w:p w14:paraId="29B83E27" w14:textId="7D2C636A" w:rsidR="00C45D59" w:rsidRDefault="009B0962">
            <w:pPr>
              <w:pStyle w:val="P68B1DB1-Normal11"/>
              <w:keepNext/>
              <w:spacing w:before="40" w:after="0" w:line="259" w:lineRule="auto"/>
              <w:jc w:val="both"/>
              <w:rPr>
                <w:noProof/>
              </w:rPr>
            </w:pPr>
            <w:r>
              <w:rPr>
                <w:noProof/>
              </w:rPr>
              <w:t>Etapă</w:t>
            </w:r>
          </w:p>
        </w:tc>
        <w:tc>
          <w:tcPr>
            <w:tcW w:w="2430" w:type="dxa"/>
            <w:tcBorders>
              <w:top w:val="nil"/>
              <w:left w:val="nil"/>
              <w:bottom w:val="single" w:sz="4" w:space="0" w:color="auto"/>
              <w:right w:val="single" w:sz="4" w:space="0" w:color="auto"/>
            </w:tcBorders>
            <w:shd w:val="clear" w:color="auto" w:fill="C6EFCE"/>
            <w:noWrap/>
          </w:tcPr>
          <w:p w14:paraId="1C3515C4" w14:textId="0C662A34" w:rsidR="00C45D59" w:rsidRDefault="009B0962">
            <w:pPr>
              <w:pStyle w:val="P68B1DB1-Normal16"/>
              <w:keepNext/>
              <w:spacing w:before="40" w:after="0" w:line="259" w:lineRule="auto"/>
              <w:jc w:val="both"/>
              <w:rPr>
                <w:noProof/>
              </w:rPr>
            </w:pPr>
            <w:r>
              <w:rPr>
                <w:noProof/>
              </w:rPr>
              <w:t>Restaurarea tronsoanelor rutiere</w:t>
            </w:r>
          </w:p>
        </w:tc>
      </w:tr>
      <w:tr w:rsidR="00C45D59" w14:paraId="32555CB7" w14:textId="77777777">
        <w:trPr>
          <w:trHeight w:val="302"/>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tcPr>
          <w:p w14:paraId="5EC02B28" w14:textId="77777777" w:rsidR="00C45D59" w:rsidRDefault="009B0962">
            <w:pPr>
              <w:pStyle w:val="P68B1DB1-Normal55"/>
              <w:keepNext/>
              <w:spacing w:before="40" w:after="0" w:line="259" w:lineRule="auto"/>
              <w:jc w:val="both"/>
              <w:rPr>
                <w:rFonts w:cs="Times New Roman"/>
                <w:noProof/>
              </w:rPr>
            </w:pPr>
            <w:r>
              <w:rPr>
                <w:noProof/>
              </w:rPr>
              <w:t>357</w:t>
            </w:r>
          </w:p>
        </w:tc>
        <w:tc>
          <w:tcPr>
            <w:tcW w:w="4677" w:type="dxa"/>
            <w:tcBorders>
              <w:top w:val="single" w:sz="4" w:space="0" w:color="auto"/>
              <w:left w:val="nil"/>
              <w:bottom w:val="single" w:sz="4" w:space="0" w:color="auto"/>
              <w:right w:val="single" w:sz="4" w:space="0" w:color="auto"/>
            </w:tcBorders>
            <w:shd w:val="clear" w:color="auto" w:fill="C6EFCE"/>
            <w:noWrap/>
          </w:tcPr>
          <w:p w14:paraId="0D4478F2" w14:textId="77777777" w:rsidR="00C45D59" w:rsidRDefault="009B0962">
            <w:pPr>
              <w:pStyle w:val="P68B1DB1-Normal55"/>
              <w:keepNext/>
              <w:spacing w:before="40" w:after="0" w:line="259" w:lineRule="auto"/>
              <w:jc w:val="both"/>
              <w:rPr>
                <w:rFonts w:cs="Times New Roman"/>
                <w:noProof/>
              </w:rPr>
            </w:pPr>
            <w:r>
              <w:rPr>
                <w:noProof/>
              </w:rPr>
              <w:t>20-5.1. Reformele REPowerEU – 16990_Capacitate de rețea și de stocare – promovarea investițiilor în stocare</w:t>
            </w:r>
          </w:p>
        </w:tc>
        <w:tc>
          <w:tcPr>
            <w:tcW w:w="1380" w:type="dxa"/>
            <w:tcBorders>
              <w:top w:val="single" w:sz="4" w:space="0" w:color="auto"/>
              <w:left w:val="nil"/>
              <w:bottom w:val="single" w:sz="4" w:space="0" w:color="auto"/>
              <w:right w:val="single" w:sz="4" w:space="0" w:color="auto"/>
            </w:tcBorders>
            <w:shd w:val="clear" w:color="auto" w:fill="C6EFCE"/>
            <w:noWrap/>
          </w:tcPr>
          <w:p w14:paraId="16E0A678" w14:textId="77777777" w:rsidR="00C45D59" w:rsidRDefault="009B0962">
            <w:pPr>
              <w:pStyle w:val="P68B1DB1-Normal55"/>
              <w:keepNext/>
              <w:spacing w:before="40" w:after="0" w:line="259" w:lineRule="auto"/>
              <w:jc w:val="both"/>
              <w:rPr>
                <w:rFonts w:cs="Times New Roman"/>
                <w:noProof/>
              </w:rPr>
            </w:pPr>
            <w:r>
              <w:rPr>
                <w:noProof/>
              </w:rPr>
              <w:t xml:space="preserve">Etapă </w:t>
            </w:r>
          </w:p>
        </w:tc>
        <w:tc>
          <w:tcPr>
            <w:tcW w:w="2430" w:type="dxa"/>
            <w:tcBorders>
              <w:top w:val="single" w:sz="4" w:space="0" w:color="auto"/>
              <w:left w:val="nil"/>
              <w:bottom w:val="single" w:sz="4" w:space="0" w:color="auto"/>
              <w:right w:val="single" w:sz="4" w:space="0" w:color="auto"/>
            </w:tcBorders>
            <w:shd w:val="clear" w:color="auto" w:fill="C6EFCE"/>
            <w:noWrap/>
          </w:tcPr>
          <w:p w14:paraId="435F192B" w14:textId="77777777" w:rsidR="00C45D59" w:rsidRDefault="009B0962">
            <w:pPr>
              <w:pStyle w:val="P68B1DB1-Normal55"/>
              <w:keepNext/>
              <w:spacing w:before="40" w:after="0" w:line="259" w:lineRule="auto"/>
              <w:jc w:val="both"/>
              <w:rPr>
                <w:rFonts w:cs="Times New Roman"/>
                <w:noProof/>
              </w:rPr>
            </w:pPr>
            <w:r>
              <w:rPr>
                <w:noProof/>
              </w:rPr>
              <w:t>Intrarea în vigoare a actelor juridice</w:t>
            </w:r>
          </w:p>
        </w:tc>
      </w:tr>
      <w:tr w:rsidR="00C45D59" w14:paraId="0B77D8EE" w14:textId="77777777">
        <w:trPr>
          <w:trHeight w:val="302"/>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tcPr>
          <w:p w14:paraId="0FD2A702" w14:textId="77777777" w:rsidR="00C45D59" w:rsidRDefault="009B0962">
            <w:pPr>
              <w:pStyle w:val="P68B1DB1-Normal55"/>
              <w:keepNext/>
              <w:spacing w:before="40" w:after="0" w:line="259" w:lineRule="auto"/>
              <w:jc w:val="both"/>
              <w:rPr>
                <w:rFonts w:eastAsia="Times New Roman" w:cs="Times New Roman"/>
                <w:noProof/>
                <w:szCs w:val="18"/>
              </w:rPr>
            </w:pPr>
            <w:r>
              <w:rPr>
                <w:noProof/>
              </w:rPr>
              <w:t>362</w:t>
            </w:r>
          </w:p>
        </w:tc>
        <w:tc>
          <w:tcPr>
            <w:tcW w:w="4677" w:type="dxa"/>
            <w:tcBorders>
              <w:top w:val="single" w:sz="4" w:space="0" w:color="auto"/>
              <w:left w:val="nil"/>
              <w:bottom w:val="single" w:sz="4" w:space="0" w:color="auto"/>
              <w:right w:val="single" w:sz="4" w:space="0" w:color="auto"/>
            </w:tcBorders>
            <w:shd w:val="clear" w:color="auto" w:fill="C6EFCE"/>
            <w:noWrap/>
          </w:tcPr>
          <w:p w14:paraId="1F5DB8FE" w14:textId="77777777" w:rsidR="00C45D59" w:rsidRDefault="009B0962">
            <w:pPr>
              <w:pStyle w:val="P68B1DB1-Normal55"/>
              <w:keepNext/>
              <w:spacing w:before="40" w:after="0" w:line="259" w:lineRule="auto"/>
              <w:jc w:val="both"/>
              <w:rPr>
                <w:rFonts w:eastAsia="Times New Roman" w:cs="Times New Roman"/>
                <w:noProof/>
                <w:szCs w:val="18"/>
              </w:rPr>
            </w:pPr>
            <w:r>
              <w:rPr>
                <w:noProof/>
              </w:rPr>
              <w:t>20-5. Reformele REPowerEU – 16992_Set de instrumente pentru promovarea partajării energiei, a autoconsumului și a comunităților de energie din surse regenerabile</w:t>
            </w:r>
          </w:p>
        </w:tc>
        <w:tc>
          <w:tcPr>
            <w:tcW w:w="1380" w:type="dxa"/>
            <w:tcBorders>
              <w:top w:val="single" w:sz="4" w:space="0" w:color="auto"/>
              <w:left w:val="nil"/>
              <w:bottom w:val="single" w:sz="4" w:space="0" w:color="auto"/>
              <w:right w:val="single" w:sz="4" w:space="0" w:color="auto"/>
            </w:tcBorders>
            <w:shd w:val="clear" w:color="auto" w:fill="C6EFCE"/>
            <w:noWrap/>
          </w:tcPr>
          <w:p w14:paraId="698EA3C4" w14:textId="77777777" w:rsidR="00C45D59" w:rsidRDefault="009B0962">
            <w:pPr>
              <w:pStyle w:val="P68B1DB1-Normal55"/>
              <w:keepNext/>
              <w:spacing w:before="40" w:after="0" w:line="259" w:lineRule="auto"/>
              <w:jc w:val="both"/>
              <w:rPr>
                <w:rFonts w:eastAsia="Times New Roman" w:cs="Times New Roman"/>
                <w:noProof/>
                <w:szCs w:val="18"/>
              </w:rPr>
            </w:pPr>
            <w:r>
              <w:rPr>
                <w:noProof/>
              </w:rPr>
              <w:t>Etapă</w:t>
            </w:r>
          </w:p>
        </w:tc>
        <w:tc>
          <w:tcPr>
            <w:tcW w:w="2430" w:type="dxa"/>
            <w:tcBorders>
              <w:top w:val="single" w:sz="4" w:space="0" w:color="auto"/>
              <w:left w:val="nil"/>
              <w:bottom w:val="single" w:sz="4" w:space="0" w:color="auto"/>
              <w:right w:val="single" w:sz="4" w:space="0" w:color="auto"/>
            </w:tcBorders>
            <w:shd w:val="clear" w:color="auto" w:fill="C6EFCE"/>
            <w:noWrap/>
            <w:vAlign w:val="bottom"/>
          </w:tcPr>
          <w:p w14:paraId="202D7896" w14:textId="77777777" w:rsidR="00C45D59" w:rsidRDefault="009B0962">
            <w:pPr>
              <w:pStyle w:val="P68B1DB1-Normal55"/>
              <w:keepNext/>
              <w:spacing w:before="40" w:after="0" w:line="259" w:lineRule="auto"/>
              <w:jc w:val="both"/>
              <w:rPr>
                <w:rFonts w:eastAsia="Times New Roman" w:cs="Times New Roman"/>
                <w:noProof/>
                <w:szCs w:val="18"/>
              </w:rPr>
            </w:pPr>
            <w:r>
              <w:rPr>
                <w:noProof/>
              </w:rPr>
              <w:t>Crearea Registrului consumatorilor autonomi și asistența tehnică pentru comunitățile de energie</w:t>
            </w:r>
          </w:p>
        </w:tc>
      </w:tr>
      <w:tr w:rsidR="00C45D59" w14:paraId="04407AEF" w14:textId="77777777">
        <w:trPr>
          <w:trHeight w:val="302"/>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tcPr>
          <w:p w14:paraId="0FC9CC0D" w14:textId="77777777" w:rsidR="00C45D59" w:rsidRDefault="009B0962">
            <w:pPr>
              <w:pStyle w:val="P68B1DB1-Normal55"/>
              <w:keepNext/>
              <w:spacing w:before="40" w:after="0" w:line="259" w:lineRule="auto"/>
              <w:jc w:val="both"/>
              <w:rPr>
                <w:rFonts w:eastAsia="Times New Roman" w:cs="Times New Roman"/>
                <w:bCs/>
                <w:noProof/>
                <w:szCs w:val="18"/>
              </w:rPr>
            </w:pPr>
            <w:r>
              <w:rPr>
                <w:noProof/>
              </w:rPr>
              <w:t>364</w:t>
            </w:r>
          </w:p>
        </w:tc>
        <w:tc>
          <w:tcPr>
            <w:tcW w:w="4677" w:type="dxa"/>
            <w:tcBorders>
              <w:top w:val="single" w:sz="4" w:space="0" w:color="auto"/>
              <w:left w:val="nil"/>
              <w:bottom w:val="single" w:sz="4" w:space="0" w:color="auto"/>
              <w:right w:val="single" w:sz="4" w:space="0" w:color="auto"/>
            </w:tcBorders>
            <w:shd w:val="clear" w:color="auto" w:fill="C6EFCE"/>
            <w:noWrap/>
          </w:tcPr>
          <w:p w14:paraId="4BA5BAEE" w14:textId="77777777" w:rsidR="00C45D59" w:rsidRDefault="009B0962">
            <w:pPr>
              <w:pStyle w:val="P68B1DB1-Normal55"/>
              <w:keepNext/>
              <w:spacing w:before="40" w:after="0" w:line="259" w:lineRule="auto"/>
              <w:jc w:val="both"/>
              <w:rPr>
                <w:rFonts w:eastAsia="Times New Roman" w:cs="Times New Roman"/>
                <w:bCs/>
                <w:noProof/>
                <w:szCs w:val="18"/>
              </w:rPr>
            </w:pPr>
            <w:r>
              <w:rPr>
                <w:noProof/>
              </w:rPr>
              <w:t>20-5. Reformele REPowerEU – 16993_Foaie de parcurs pentru intervenții inovatoare în domeniul eficienței energetice și identificarea de noi instrumente financiare</w:t>
            </w:r>
          </w:p>
        </w:tc>
        <w:tc>
          <w:tcPr>
            <w:tcW w:w="1380" w:type="dxa"/>
            <w:tcBorders>
              <w:top w:val="single" w:sz="4" w:space="0" w:color="auto"/>
              <w:left w:val="nil"/>
              <w:bottom w:val="single" w:sz="4" w:space="0" w:color="auto"/>
              <w:right w:val="single" w:sz="4" w:space="0" w:color="auto"/>
            </w:tcBorders>
            <w:shd w:val="clear" w:color="auto" w:fill="C6EFCE"/>
            <w:noWrap/>
          </w:tcPr>
          <w:p w14:paraId="30011CBF" w14:textId="77777777" w:rsidR="00C45D59" w:rsidRDefault="009B0962">
            <w:pPr>
              <w:pStyle w:val="P68B1DB1-Normal55"/>
              <w:keepNext/>
              <w:spacing w:before="40" w:after="0" w:line="259" w:lineRule="auto"/>
              <w:jc w:val="both"/>
              <w:rPr>
                <w:rFonts w:eastAsia="Times New Roman" w:cs="Times New Roman"/>
                <w:noProof/>
                <w:szCs w:val="18"/>
              </w:rPr>
            </w:pPr>
            <w:r>
              <w:rPr>
                <w:noProof/>
              </w:rPr>
              <w:t>Etapă</w:t>
            </w:r>
          </w:p>
        </w:tc>
        <w:tc>
          <w:tcPr>
            <w:tcW w:w="2430" w:type="dxa"/>
            <w:tcBorders>
              <w:top w:val="single" w:sz="4" w:space="0" w:color="auto"/>
              <w:left w:val="nil"/>
              <w:bottom w:val="single" w:sz="4" w:space="0" w:color="auto"/>
              <w:right w:val="single" w:sz="4" w:space="0" w:color="auto"/>
            </w:tcBorders>
            <w:shd w:val="clear" w:color="auto" w:fill="C6EFCE"/>
            <w:noWrap/>
          </w:tcPr>
          <w:p w14:paraId="35B88E86" w14:textId="77777777" w:rsidR="00C45D59" w:rsidRDefault="009B0962">
            <w:pPr>
              <w:pStyle w:val="P68B1DB1-Normal55"/>
              <w:keepNext/>
              <w:spacing w:before="40" w:after="0" w:line="259" w:lineRule="auto"/>
              <w:jc w:val="both"/>
              <w:rPr>
                <w:rFonts w:eastAsia="Times New Roman" w:cs="Times New Roman"/>
                <w:noProof/>
                <w:szCs w:val="18"/>
              </w:rPr>
            </w:pPr>
            <w:r>
              <w:rPr>
                <w:noProof/>
              </w:rPr>
              <w:t>Lansarea instrumentului financiar care nu este bazat pe granturi</w:t>
            </w:r>
          </w:p>
        </w:tc>
      </w:tr>
      <w:tr w:rsidR="00C45D59" w14:paraId="52ACDC1C" w14:textId="77777777">
        <w:trPr>
          <w:trHeight w:val="302"/>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38B8C48B" w14:textId="77777777" w:rsidR="00C45D59" w:rsidRDefault="00C45D59">
            <w:pPr>
              <w:keepNext/>
              <w:spacing w:before="40" w:after="0" w:line="259" w:lineRule="auto"/>
              <w:jc w:val="both"/>
              <w:rPr>
                <w:rFonts w:ascii="Times New Roman" w:eastAsia="Times New Roman" w:hAnsi="Times New Roman" w:cs="Times New Roman"/>
                <w:bCs/>
                <w:noProof/>
                <w:sz w:val="18"/>
                <w:szCs w:val="18"/>
              </w:rPr>
            </w:pPr>
          </w:p>
        </w:tc>
        <w:tc>
          <w:tcPr>
            <w:tcW w:w="4677" w:type="dxa"/>
            <w:tcBorders>
              <w:top w:val="single" w:sz="4" w:space="0" w:color="auto"/>
              <w:left w:val="nil"/>
              <w:bottom w:val="single" w:sz="4" w:space="0" w:color="auto"/>
              <w:right w:val="single" w:sz="4" w:space="0" w:color="auto"/>
            </w:tcBorders>
            <w:shd w:val="clear" w:color="auto" w:fill="C6EFCE"/>
            <w:noWrap/>
            <w:vAlign w:val="bottom"/>
          </w:tcPr>
          <w:p w14:paraId="2358D84C" w14:textId="77777777" w:rsidR="00C45D59" w:rsidRDefault="00C45D59">
            <w:pPr>
              <w:keepNext/>
              <w:spacing w:before="40" w:after="0" w:line="259" w:lineRule="auto"/>
              <w:jc w:val="both"/>
              <w:rPr>
                <w:rFonts w:ascii="Times New Roman" w:eastAsia="Times New Roman" w:hAnsi="Times New Roman" w:cs="Times New Roman"/>
                <w:bCs/>
                <w:noProof/>
                <w:sz w:val="18"/>
                <w:szCs w:val="18"/>
              </w:rPr>
            </w:pPr>
          </w:p>
        </w:tc>
        <w:tc>
          <w:tcPr>
            <w:tcW w:w="1380" w:type="dxa"/>
            <w:tcBorders>
              <w:top w:val="single" w:sz="4" w:space="0" w:color="auto"/>
              <w:left w:val="nil"/>
              <w:bottom w:val="single" w:sz="4" w:space="0" w:color="auto"/>
              <w:right w:val="single" w:sz="4" w:space="0" w:color="auto"/>
            </w:tcBorders>
            <w:shd w:val="clear" w:color="auto" w:fill="C6EFCE"/>
            <w:noWrap/>
            <w:vAlign w:val="bottom"/>
          </w:tcPr>
          <w:p w14:paraId="226EA03F" w14:textId="77777777" w:rsidR="00C45D59" w:rsidRDefault="009B0962">
            <w:pPr>
              <w:pStyle w:val="P68B1DB1-Normal55"/>
              <w:keepNext/>
              <w:spacing w:before="40" w:after="0" w:line="259" w:lineRule="auto"/>
              <w:jc w:val="both"/>
              <w:rPr>
                <w:rFonts w:eastAsia="Times New Roman" w:cs="Times New Roman"/>
                <w:noProof/>
                <w:szCs w:val="18"/>
              </w:rPr>
            </w:pPr>
            <w:r>
              <w:rPr>
                <w:noProof/>
              </w:rPr>
              <w:t>Cuantumul tranșei</w:t>
            </w:r>
          </w:p>
        </w:tc>
        <w:tc>
          <w:tcPr>
            <w:tcW w:w="2430" w:type="dxa"/>
            <w:tcBorders>
              <w:top w:val="single" w:sz="4" w:space="0" w:color="auto"/>
              <w:left w:val="nil"/>
              <w:bottom w:val="single" w:sz="4" w:space="0" w:color="auto"/>
              <w:right w:val="single" w:sz="4" w:space="0" w:color="auto"/>
            </w:tcBorders>
            <w:shd w:val="clear" w:color="auto" w:fill="C6EFCE"/>
            <w:noWrap/>
            <w:vAlign w:val="bottom"/>
          </w:tcPr>
          <w:p w14:paraId="0906530D" w14:textId="77777777" w:rsidR="00C45D59" w:rsidRDefault="009B0962">
            <w:pPr>
              <w:pStyle w:val="P68B1DB1-Normal55"/>
              <w:keepNext/>
              <w:spacing w:before="40" w:after="0" w:line="259" w:lineRule="auto"/>
              <w:jc w:val="both"/>
              <w:rPr>
                <w:rFonts w:eastAsia="Times New Roman" w:cs="Times New Roman"/>
                <w:noProof/>
                <w:szCs w:val="18"/>
              </w:rPr>
            </w:pPr>
            <w:r>
              <w:rPr>
                <w:noProof/>
              </w:rPr>
              <w:t>1 696 474 735 MIL.</w:t>
            </w:r>
          </w:p>
        </w:tc>
      </w:tr>
    </w:tbl>
    <w:p w14:paraId="4C84F577" w14:textId="6FF5D108" w:rsidR="00C45D59" w:rsidRDefault="00C45D59">
      <w:pPr>
        <w:keepNext/>
        <w:spacing w:before="40" w:after="0" w:line="259" w:lineRule="auto"/>
        <w:jc w:val="both"/>
        <w:rPr>
          <w:rFonts w:ascii="Times New Roman" w:eastAsia="Times New Roman" w:hAnsi="Times New Roman" w:cs="Times New Roman"/>
          <w:bCs/>
          <w:noProof/>
          <w:sz w:val="24"/>
          <w:szCs w:val="26"/>
        </w:rPr>
      </w:pPr>
    </w:p>
    <w:p w14:paraId="23C9A129" w14:textId="29472A9E" w:rsidR="00C45D59" w:rsidRDefault="001D5265">
      <w:pPr>
        <w:pStyle w:val="P68B1DB1-Normal5"/>
        <w:keepNext/>
        <w:numPr>
          <w:ilvl w:val="1"/>
          <w:numId w:val="93"/>
        </w:numPr>
        <w:spacing w:before="40" w:after="160" w:line="259" w:lineRule="auto"/>
        <w:ind w:left="0"/>
        <w:contextualSpacing/>
        <w:jc w:val="both"/>
        <w:rPr>
          <w:rFonts w:eastAsia="Times New Roman" w:cs="Times New Roman"/>
          <w:noProof/>
        </w:rPr>
      </w:pPr>
      <w:r>
        <w:rPr>
          <w:noProof/>
        </w:rPr>
        <w:t xml:space="preserve"> A noua cerere de plată (sprijin nerambursabil): </w:t>
      </w:r>
    </w:p>
    <w:p w14:paraId="09386DF3" w14:textId="77777777" w:rsidR="00C45D59" w:rsidRDefault="00C45D59">
      <w:pPr>
        <w:keepNext/>
        <w:spacing w:before="40" w:after="160" w:line="259" w:lineRule="auto"/>
        <w:contextualSpacing/>
        <w:jc w:val="both"/>
        <w:rPr>
          <w:rFonts w:ascii="Times New Roman" w:eastAsia="Times New Roman" w:hAnsi="Times New Roman" w:cs="Times New Roman"/>
          <w:noProof/>
          <w:sz w:val="24"/>
        </w:rPr>
      </w:pPr>
    </w:p>
    <w:tbl>
      <w:tblPr>
        <w:tblW w:w="10346" w:type="dxa"/>
        <w:jc w:val="center"/>
        <w:tblLook w:val="04A0" w:firstRow="1" w:lastRow="0" w:firstColumn="1" w:lastColumn="0" w:noHBand="0" w:noVBand="1"/>
      </w:tblPr>
      <w:tblGrid>
        <w:gridCol w:w="817"/>
        <w:gridCol w:w="4820"/>
        <w:gridCol w:w="1417"/>
        <w:gridCol w:w="3292"/>
      </w:tblGrid>
      <w:tr w:rsidR="00C45D59" w14:paraId="2DCC86C5" w14:textId="77777777">
        <w:trPr>
          <w:trHeight w:val="1124"/>
          <w:tblHeader/>
          <w:jc w:val="center"/>
        </w:trPr>
        <w:tc>
          <w:tcPr>
            <w:tcW w:w="817"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54DEC4C4" w14:textId="7F21BC1A" w:rsidR="00C45D59" w:rsidRDefault="009B0962">
            <w:pPr>
              <w:pStyle w:val="P68B1DB1-Normal15"/>
              <w:keepNext/>
              <w:spacing w:before="40" w:after="0" w:line="256" w:lineRule="auto"/>
              <w:jc w:val="center"/>
              <w:rPr>
                <w:rFonts w:eastAsia="Times New Roman"/>
                <w:bCs/>
                <w:noProof/>
              </w:rPr>
            </w:pPr>
            <w:r>
              <w:rPr>
                <w:noProof/>
              </w:rPr>
              <w:t xml:space="preserve"> </w:t>
            </w:r>
            <w:r>
              <w:rPr>
                <w:noProof/>
              </w:rPr>
              <w:br/>
              <w:t>Nr.</w:t>
            </w:r>
            <w:r w:rsidR="00CD2DBD">
              <w:rPr>
                <w:noProof/>
              </w:rPr>
              <w:t xml:space="preserve"> </w:t>
            </w:r>
            <w:r w:rsidR="001D5265">
              <w:rPr>
                <w:noProof/>
              </w:rPr>
              <w:t>crt.</w:t>
            </w:r>
            <w:r w:rsidRPr="001D5265">
              <w:rPr>
                <w:noProof/>
                <w:vertAlign w:val="superscript"/>
              </w:rPr>
              <w:t>2</w:t>
            </w:r>
          </w:p>
        </w:tc>
        <w:tc>
          <w:tcPr>
            <w:tcW w:w="4820"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012F639B" w14:textId="77777777" w:rsidR="00C45D59" w:rsidRDefault="009B0962">
            <w:pPr>
              <w:pStyle w:val="P68B1DB1-Normal10"/>
              <w:keepNext/>
              <w:spacing w:before="40" w:after="0" w:line="256" w:lineRule="auto"/>
              <w:jc w:val="center"/>
              <w:rPr>
                <w:rFonts w:eastAsia="Times New Roman" w:cs="Times New Roman"/>
                <w:bCs/>
                <w:noProof/>
                <w:szCs w:val="18"/>
              </w:rPr>
            </w:pPr>
            <w:r>
              <w:rPr>
                <w:noProof/>
              </w:rPr>
              <w:t>Măsură conexă (reformă sau investiții)</w:t>
            </w:r>
          </w:p>
        </w:tc>
        <w:tc>
          <w:tcPr>
            <w:tcW w:w="1417"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20CE0F7" w14:textId="77777777" w:rsidR="00C45D59" w:rsidRDefault="009B0962">
            <w:pPr>
              <w:pStyle w:val="P68B1DB1-Normal10"/>
              <w:keepNext/>
              <w:spacing w:before="40" w:after="0" w:line="256" w:lineRule="auto"/>
              <w:jc w:val="center"/>
              <w:rPr>
                <w:rFonts w:eastAsia="Times New Roman" w:cs="Times New Roman"/>
                <w:bCs/>
                <w:noProof/>
                <w:szCs w:val="18"/>
              </w:rPr>
            </w:pPr>
            <w:r>
              <w:rPr>
                <w:noProof/>
              </w:rPr>
              <w:t>Etapă/Obiectiv</w:t>
            </w:r>
          </w:p>
        </w:tc>
        <w:tc>
          <w:tcPr>
            <w:tcW w:w="329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31F2B4B" w14:textId="77777777" w:rsidR="00C45D59" w:rsidRDefault="009B0962">
            <w:pPr>
              <w:pStyle w:val="P68B1DB1-Normal10"/>
              <w:keepNext/>
              <w:spacing w:before="40" w:after="0" w:line="256" w:lineRule="auto"/>
              <w:jc w:val="center"/>
              <w:rPr>
                <w:rFonts w:eastAsia="Times New Roman" w:cs="Times New Roman"/>
                <w:bCs/>
                <w:noProof/>
                <w:szCs w:val="18"/>
              </w:rPr>
            </w:pPr>
            <w:r>
              <w:rPr>
                <w:noProof/>
              </w:rPr>
              <w:t>Nume</w:t>
            </w:r>
          </w:p>
        </w:tc>
      </w:tr>
      <w:tr w:rsidR="00C45D59" w14:paraId="5A4AA3EA"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A5AFD56" w14:textId="77777777" w:rsidR="00C45D59" w:rsidRDefault="009B0962">
            <w:pPr>
              <w:pStyle w:val="P68B1DB1-Normal55"/>
              <w:keepNext/>
              <w:spacing w:before="40" w:after="0" w:line="240" w:lineRule="auto"/>
              <w:jc w:val="both"/>
              <w:rPr>
                <w:rFonts w:eastAsia="Times New Roman" w:cs="Times New Roman"/>
                <w:noProof/>
                <w:szCs w:val="18"/>
              </w:rPr>
            </w:pPr>
            <w:r>
              <w:rPr>
                <w:noProof/>
              </w:rPr>
              <w:t>3</w:t>
            </w:r>
          </w:p>
        </w:tc>
        <w:tc>
          <w:tcPr>
            <w:tcW w:w="482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FB58C32"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 1-1.1. Energie electrică – 16870_Intervenții pentru interconectarea rețelelor de energie electrică ale insulelor și investiții în rețeaua de energie electrică</w:t>
            </w:r>
          </w:p>
        </w:tc>
        <w:tc>
          <w:tcPr>
            <w:tcW w:w="1417" w:type="dxa"/>
            <w:tcBorders>
              <w:top w:val="single" w:sz="4" w:space="0" w:color="auto"/>
              <w:left w:val="nil"/>
              <w:bottom w:val="single" w:sz="4" w:space="0" w:color="auto"/>
              <w:right w:val="single" w:sz="4" w:space="0" w:color="auto"/>
            </w:tcBorders>
            <w:shd w:val="clear" w:color="auto" w:fill="C6EFCE"/>
            <w:noWrap/>
            <w:vAlign w:val="center"/>
            <w:hideMark/>
          </w:tcPr>
          <w:p w14:paraId="62D021FB"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Etapă</w:t>
            </w:r>
          </w:p>
        </w:tc>
        <w:tc>
          <w:tcPr>
            <w:tcW w:w="3292" w:type="dxa"/>
            <w:tcBorders>
              <w:top w:val="single" w:sz="4" w:space="0" w:color="auto"/>
              <w:left w:val="nil"/>
              <w:bottom w:val="single" w:sz="4" w:space="0" w:color="auto"/>
              <w:right w:val="single" w:sz="4" w:space="0" w:color="auto"/>
            </w:tcBorders>
            <w:shd w:val="clear" w:color="auto" w:fill="C6EFCE"/>
            <w:noWrap/>
            <w:vAlign w:val="center"/>
            <w:hideMark/>
          </w:tcPr>
          <w:p w14:paraId="65B48B23"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 xml:space="preserve">Interconectarea insulelor </w:t>
            </w:r>
          </w:p>
        </w:tc>
      </w:tr>
      <w:tr w:rsidR="00C45D59" w14:paraId="52B07ECF"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C7F3EEA" w14:textId="77777777" w:rsidR="00C45D59" w:rsidRDefault="009B0962">
            <w:pPr>
              <w:pStyle w:val="P68B1DB1-Normal55"/>
              <w:keepNext/>
              <w:spacing w:before="40" w:after="0" w:line="240" w:lineRule="auto"/>
              <w:jc w:val="both"/>
              <w:rPr>
                <w:rFonts w:eastAsia="Times New Roman" w:cs="Times New Roman"/>
                <w:noProof/>
                <w:szCs w:val="18"/>
              </w:rPr>
            </w:pPr>
            <w:r>
              <w:rPr>
                <w:noProof/>
              </w:rPr>
              <w:t>15</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389DA154"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1-1.1. Accelerarea – 16871_Acțiuni de revitalizare a celor mai afectate teritorii (teritorii aflate în tranziție justă)</w:t>
            </w:r>
          </w:p>
        </w:tc>
        <w:tc>
          <w:tcPr>
            <w:tcW w:w="1417" w:type="dxa"/>
            <w:tcBorders>
              <w:top w:val="nil"/>
              <w:left w:val="nil"/>
              <w:bottom w:val="single" w:sz="4" w:space="0" w:color="auto"/>
              <w:right w:val="single" w:sz="4" w:space="0" w:color="auto"/>
            </w:tcBorders>
            <w:shd w:val="clear" w:color="auto" w:fill="C6EFCE"/>
            <w:noWrap/>
            <w:vAlign w:val="center"/>
            <w:hideMark/>
          </w:tcPr>
          <w:p w14:paraId="1242D2FC"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Țintă</w:t>
            </w:r>
          </w:p>
        </w:tc>
        <w:tc>
          <w:tcPr>
            <w:tcW w:w="3292" w:type="dxa"/>
            <w:tcBorders>
              <w:top w:val="nil"/>
              <w:left w:val="nil"/>
              <w:bottom w:val="single" w:sz="4" w:space="0" w:color="auto"/>
              <w:right w:val="single" w:sz="4" w:space="0" w:color="auto"/>
            </w:tcBorders>
            <w:shd w:val="clear" w:color="auto" w:fill="C6EFCE"/>
            <w:noWrap/>
            <w:vAlign w:val="center"/>
            <w:hideMark/>
          </w:tcPr>
          <w:p w14:paraId="28A4BB41"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Reabilitarea terenurilor</w:t>
            </w:r>
          </w:p>
        </w:tc>
      </w:tr>
      <w:tr w:rsidR="00C45D59" w14:paraId="0B9EF5F1"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7FDAF01" w14:textId="77777777" w:rsidR="00C45D59" w:rsidRDefault="009B0962">
            <w:pPr>
              <w:pStyle w:val="P68B1DB1-Normal55"/>
              <w:keepNext/>
              <w:spacing w:before="40" w:after="0" w:line="240" w:lineRule="auto"/>
              <w:jc w:val="both"/>
              <w:rPr>
                <w:rFonts w:eastAsia="Times New Roman" w:cs="Times New Roman"/>
                <w:noProof/>
                <w:szCs w:val="18"/>
              </w:rPr>
            </w:pPr>
            <w:r>
              <w:rPr>
                <w:noProof/>
              </w:rPr>
              <w:t>16</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3A2F911B"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1-1.1. Alimentare cu energie electrică – 16926_Sprijin pentru instalarea de sisteme de stocare pentru a îmbunătăți pătrunderea SRE</w:t>
            </w:r>
          </w:p>
        </w:tc>
        <w:tc>
          <w:tcPr>
            <w:tcW w:w="1417" w:type="dxa"/>
            <w:tcBorders>
              <w:top w:val="nil"/>
              <w:left w:val="nil"/>
              <w:bottom w:val="single" w:sz="4" w:space="0" w:color="auto"/>
              <w:right w:val="single" w:sz="4" w:space="0" w:color="auto"/>
            </w:tcBorders>
            <w:shd w:val="clear" w:color="auto" w:fill="C6EFCE"/>
            <w:noWrap/>
            <w:vAlign w:val="center"/>
            <w:hideMark/>
          </w:tcPr>
          <w:p w14:paraId="4DDE872F"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Etapă</w:t>
            </w:r>
          </w:p>
        </w:tc>
        <w:tc>
          <w:tcPr>
            <w:tcW w:w="3292" w:type="dxa"/>
            <w:tcBorders>
              <w:top w:val="nil"/>
              <w:left w:val="nil"/>
              <w:bottom w:val="single" w:sz="4" w:space="0" w:color="auto"/>
              <w:right w:val="single" w:sz="4" w:space="0" w:color="auto"/>
            </w:tcBorders>
            <w:shd w:val="clear" w:color="auto" w:fill="C6EFCE"/>
            <w:noWrap/>
            <w:vAlign w:val="center"/>
            <w:hideMark/>
          </w:tcPr>
          <w:p w14:paraId="6CF4EFC3"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Stocarea energiei – instalațiile de stocare a bateriilor instalate și lucrările de construcții civile ale stației de stocare a energiei hidraulice prin pompare Amfilochia</w:t>
            </w:r>
          </w:p>
        </w:tc>
      </w:tr>
      <w:tr w:rsidR="00C45D59" w14:paraId="55A1F51C"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C4DD9D1"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18</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01AA1AC5" w14:textId="56DB1412" w:rsidR="00C45D59" w:rsidRDefault="009B0962">
            <w:pPr>
              <w:pStyle w:val="P68B1DB1-Normal55"/>
              <w:keepNext/>
              <w:spacing w:before="40" w:after="0" w:line="240" w:lineRule="auto"/>
              <w:jc w:val="both"/>
              <w:rPr>
                <w:rFonts w:eastAsia="Times New Roman" w:cs="Times New Roman"/>
                <w:bCs/>
                <w:noProof/>
                <w:szCs w:val="18"/>
              </w:rPr>
            </w:pPr>
            <w:r>
              <w:rPr>
                <w:noProof/>
              </w:rPr>
              <w:t>1-1.1. Accelerarea alimentării cu energie electrică – modernizări ale rețelei 16900_HEDNO</w:t>
            </w:r>
          </w:p>
        </w:tc>
        <w:tc>
          <w:tcPr>
            <w:tcW w:w="1417" w:type="dxa"/>
            <w:tcBorders>
              <w:top w:val="nil"/>
              <w:left w:val="nil"/>
              <w:bottom w:val="single" w:sz="4" w:space="0" w:color="auto"/>
              <w:right w:val="single" w:sz="4" w:space="0" w:color="auto"/>
            </w:tcBorders>
            <w:shd w:val="clear" w:color="auto" w:fill="C6EFCE"/>
            <w:noWrap/>
            <w:vAlign w:val="center"/>
            <w:hideMark/>
          </w:tcPr>
          <w:p w14:paraId="75D1A425" w14:textId="77777777" w:rsidR="00C45D59" w:rsidRDefault="009B0962">
            <w:pPr>
              <w:pStyle w:val="P68B1DB1-Normal55"/>
              <w:keepNext/>
              <w:spacing w:before="40" w:after="0" w:line="240" w:lineRule="auto"/>
              <w:jc w:val="both"/>
              <w:rPr>
                <w:rFonts w:eastAsia="Times New Roman" w:cs="Times New Roman"/>
                <w:noProof/>
                <w:szCs w:val="18"/>
              </w:rPr>
            </w:pPr>
            <w:r>
              <w:rPr>
                <w:noProof/>
              </w:rPr>
              <w:t>Etapă</w:t>
            </w:r>
          </w:p>
        </w:tc>
        <w:tc>
          <w:tcPr>
            <w:tcW w:w="3292" w:type="dxa"/>
            <w:tcBorders>
              <w:top w:val="nil"/>
              <w:left w:val="nil"/>
              <w:bottom w:val="single" w:sz="4" w:space="0" w:color="auto"/>
              <w:right w:val="single" w:sz="4" w:space="0" w:color="auto"/>
            </w:tcBorders>
            <w:shd w:val="clear" w:color="auto" w:fill="C6EFCE"/>
            <w:noWrap/>
            <w:vAlign w:val="center"/>
            <w:hideMark/>
          </w:tcPr>
          <w:p w14:paraId="06932292" w14:textId="553EC81C" w:rsidR="00C45D59" w:rsidRDefault="009B0962">
            <w:pPr>
              <w:pStyle w:val="P68B1DB1-Normal55"/>
              <w:keepNext/>
              <w:spacing w:before="40" w:after="0" w:line="240" w:lineRule="auto"/>
              <w:jc w:val="both"/>
              <w:rPr>
                <w:rFonts w:eastAsia="Times New Roman" w:cs="Times New Roman"/>
                <w:noProof/>
                <w:szCs w:val="18"/>
              </w:rPr>
            </w:pPr>
            <w:r>
              <w:rPr>
                <w:noProof/>
              </w:rPr>
              <w:t>Modernizări ale rețelei HEDNO</w:t>
            </w:r>
          </w:p>
        </w:tc>
      </w:tr>
      <w:tr w:rsidR="00C45D59" w14:paraId="144DB50D"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145043F"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19</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0FC0ACE5" w14:textId="5B63B8F3" w:rsidR="00C45D59" w:rsidRDefault="009B0962">
            <w:pPr>
              <w:pStyle w:val="P68B1DB1-Normal55"/>
              <w:keepNext/>
              <w:spacing w:before="40" w:after="0" w:line="240" w:lineRule="auto"/>
              <w:jc w:val="both"/>
              <w:rPr>
                <w:rFonts w:eastAsia="Times New Roman" w:cs="Times New Roman"/>
                <w:bCs/>
                <w:noProof/>
                <w:szCs w:val="18"/>
              </w:rPr>
            </w:pPr>
            <w:r>
              <w:rPr>
                <w:noProof/>
              </w:rPr>
              <w:t xml:space="preserve">1-1.1. Alimentare – 16899_ Stații electrice HV/MV ale operatorului elen al rețelei de distribuție a energiei electrice (HEDNO) </w:t>
            </w:r>
          </w:p>
        </w:tc>
        <w:tc>
          <w:tcPr>
            <w:tcW w:w="1417" w:type="dxa"/>
            <w:tcBorders>
              <w:top w:val="nil"/>
              <w:left w:val="nil"/>
              <w:bottom w:val="single" w:sz="4" w:space="0" w:color="auto"/>
              <w:right w:val="single" w:sz="4" w:space="0" w:color="auto"/>
            </w:tcBorders>
            <w:shd w:val="clear" w:color="auto" w:fill="C6EFCE"/>
            <w:noWrap/>
            <w:vAlign w:val="center"/>
            <w:hideMark/>
          </w:tcPr>
          <w:p w14:paraId="6DB59605" w14:textId="77777777" w:rsidR="00C45D59" w:rsidRDefault="009B0962">
            <w:pPr>
              <w:pStyle w:val="P68B1DB1-Normal55"/>
              <w:keepNext/>
              <w:spacing w:before="40" w:after="0" w:line="240" w:lineRule="auto"/>
              <w:jc w:val="both"/>
              <w:rPr>
                <w:rFonts w:eastAsia="Times New Roman" w:cs="Times New Roman"/>
                <w:noProof/>
                <w:szCs w:val="18"/>
              </w:rPr>
            </w:pPr>
            <w:r>
              <w:rPr>
                <w:noProof/>
              </w:rPr>
              <w:t>Etapă</w:t>
            </w:r>
          </w:p>
        </w:tc>
        <w:tc>
          <w:tcPr>
            <w:tcW w:w="3292" w:type="dxa"/>
            <w:tcBorders>
              <w:top w:val="nil"/>
              <w:left w:val="nil"/>
              <w:bottom w:val="single" w:sz="4" w:space="0" w:color="auto"/>
              <w:right w:val="single" w:sz="4" w:space="0" w:color="auto"/>
            </w:tcBorders>
            <w:shd w:val="clear" w:color="auto" w:fill="C6EFCE"/>
            <w:noWrap/>
            <w:vAlign w:val="center"/>
            <w:hideMark/>
          </w:tcPr>
          <w:p w14:paraId="6A492CEF" w14:textId="77777777" w:rsidR="00C45D59" w:rsidRDefault="009B0962">
            <w:pPr>
              <w:pStyle w:val="P68B1DB1-Normal11"/>
              <w:keepNext/>
              <w:spacing w:before="40" w:after="0" w:line="240" w:lineRule="auto"/>
              <w:jc w:val="both"/>
              <w:rPr>
                <w:rFonts w:eastAsia="Times New Roman" w:cs="Times New Roman"/>
                <w:noProof/>
              </w:rPr>
            </w:pPr>
            <w:r>
              <w:rPr>
                <w:noProof/>
              </w:rPr>
              <w:t>Substații HEDNO – HV/MV</w:t>
            </w:r>
          </w:p>
        </w:tc>
      </w:tr>
      <w:tr w:rsidR="00C45D59" w14:paraId="6DE2466C"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427809A"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26</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7A7D555B"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2-1.2. Renovare – 16872_Renovarea energetică a clădirilor rezidențiale</w:t>
            </w:r>
          </w:p>
        </w:tc>
        <w:tc>
          <w:tcPr>
            <w:tcW w:w="1417" w:type="dxa"/>
            <w:tcBorders>
              <w:top w:val="nil"/>
              <w:left w:val="nil"/>
              <w:bottom w:val="single" w:sz="4" w:space="0" w:color="auto"/>
              <w:right w:val="single" w:sz="4" w:space="0" w:color="auto"/>
            </w:tcBorders>
            <w:shd w:val="clear" w:color="auto" w:fill="C6EFCE"/>
            <w:noWrap/>
            <w:vAlign w:val="center"/>
            <w:hideMark/>
          </w:tcPr>
          <w:p w14:paraId="354073DA" w14:textId="77777777" w:rsidR="00C45D59" w:rsidRDefault="009B0962">
            <w:pPr>
              <w:pStyle w:val="P68B1DB1-Normal55"/>
              <w:keepNext/>
              <w:spacing w:before="40" w:after="0" w:line="240" w:lineRule="auto"/>
              <w:jc w:val="both"/>
              <w:rPr>
                <w:rFonts w:eastAsia="Times New Roman" w:cs="Times New Roman"/>
                <w:noProof/>
                <w:szCs w:val="18"/>
              </w:rPr>
            </w:pPr>
            <w:r>
              <w:rPr>
                <w:noProof/>
              </w:rPr>
              <w:t>Țintă</w:t>
            </w:r>
          </w:p>
        </w:tc>
        <w:tc>
          <w:tcPr>
            <w:tcW w:w="3292" w:type="dxa"/>
            <w:tcBorders>
              <w:top w:val="nil"/>
              <w:left w:val="nil"/>
              <w:bottom w:val="single" w:sz="4" w:space="0" w:color="auto"/>
              <w:right w:val="single" w:sz="4" w:space="0" w:color="auto"/>
            </w:tcBorders>
            <w:shd w:val="clear" w:color="auto" w:fill="C6EFCE"/>
            <w:noWrap/>
            <w:vAlign w:val="center"/>
            <w:hideMark/>
          </w:tcPr>
          <w:p w14:paraId="04A94C57" w14:textId="77777777" w:rsidR="00C45D59" w:rsidRDefault="009B0962">
            <w:pPr>
              <w:pStyle w:val="P68B1DB1-Normal55"/>
              <w:keepNext/>
              <w:spacing w:before="40" w:after="0" w:line="240" w:lineRule="auto"/>
              <w:jc w:val="both"/>
              <w:rPr>
                <w:rFonts w:eastAsia="Times New Roman" w:cs="Times New Roman"/>
                <w:noProof/>
                <w:szCs w:val="18"/>
              </w:rPr>
            </w:pPr>
            <w:r>
              <w:rPr>
                <w:noProof/>
              </w:rPr>
              <w:t>Renovarea locuințelor – renovarea locuințelor # 3</w:t>
            </w:r>
          </w:p>
        </w:tc>
      </w:tr>
      <w:tr w:rsidR="00C45D59" w14:paraId="4A6F15F2"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CB48C81"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29</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557F00A9"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2-1.2. Renovare – 16879_Pregătirea planurilor urbane pentru punerea în aplicare a reformei politicii urbane</w:t>
            </w:r>
          </w:p>
        </w:tc>
        <w:tc>
          <w:tcPr>
            <w:tcW w:w="1417" w:type="dxa"/>
            <w:tcBorders>
              <w:top w:val="nil"/>
              <w:left w:val="nil"/>
              <w:bottom w:val="single" w:sz="4" w:space="0" w:color="auto"/>
              <w:right w:val="single" w:sz="4" w:space="0" w:color="auto"/>
            </w:tcBorders>
            <w:shd w:val="clear" w:color="auto" w:fill="C6EFCE"/>
            <w:noWrap/>
            <w:vAlign w:val="center"/>
            <w:hideMark/>
          </w:tcPr>
          <w:p w14:paraId="04493E65" w14:textId="77777777" w:rsidR="00C45D59" w:rsidRDefault="009B0962">
            <w:pPr>
              <w:pStyle w:val="P68B1DB1-Normal55"/>
              <w:keepNext/>
              <w:spacing w:before="40" w:after="0" w:line="240" w:lineRule="auto"/>
              <w:jc w:val="both"/>
              <w:rPr>
                <w:rFonts w:eastAsia="Times New Roman" w:cs="Times New Roman"/>
                <w:noProof/>
                <w:szCs w:val="18"/>
              </w:rPr>
            </w:pPr>
            <w:r>
              <w:rPr>
                <w:noProof/>
              </w:rPr>
              <w:t>Etapă</w:t>
            </w:r>
          </w:p>
        </w:tc>
        <w:tc>
          <w:tcPr>
            <w:tcW w:w="3292" w:type="dxa"/>
            <w:tcBorders>
              <w:top w:val="nil"/>
              <w:left w:val="nil"/>
              <w:bottom w:val="single" w:sz="4" w:space="0" w:color="auto"/>
              <w:right w:val="single" w:sz="4" w:space="0" w:color="auto"/>
            </w:tcBorders>
            <w:shd w:val="clear" w:color="auto" w:fill="C6EFCE"/>
            <w:noWrap/>
            <w:vAlign w:val="center"/>
            <w:hideMark/>
          </w:tcPr>
          <w:p w14:paraId="08EB6ADB" w14:textId="77777777" w:rsidR="00C45D59" w:rsidRDefault="009B0962">
            <w:pPr>
              <w:pStyle w:val="P68B1DB1-Normal55"/>
              <w:keepNext/>
              <w:spacing w:before="40" w:after="0" w:line="240" w:lineRule="auto"/>
              <w:jc w:val="both"/>
              <w:rPr>
                <w:rFonts w:eastAsia="Times New Roman" w:cs="Times New Roman"/>
                <w:noProof/>
                <w:szCs w:val="18"/>
              </w:rPr>
            </w:pPr>
            <w:r>
              <w:rPr>
                <w:noProof/>
              </w:rPr>
              <w:t>Etape pregătitoare pentru planurile urbane</w:t>
            </w:r>
          </w:p>
        </w:tc>
      </w:tr>
      <w:tr w:rsidR="00C45D59" w14:paraId="27EC16B8"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2A9BC35"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30</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64A6082E"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2-1.2. Renovare – 16894_Stabilirea unei noi amenajări speciale a teritoriului pentru SRE, industrie și turism</w:t>
            </w:r>
          </w:p>
        </w:tc>
        <w:tc>
          <w:tcPr>
            <w:tcW w:w="1417" w:type="dxa"/>
            <w:tcBorders>
              <w:top w:val="nil"/>
              <w:left w:val="nil"/>
              <w:bottom w:val="single" w:sz="4" w:space="0" w:color="auto"/>
              <w:right w:val="single" w:sz="4" w:space="0" w:color="auto"/>
            </w:tcBorders>
            <w:shd w:val="clear" w:color="auto" w:fill="C6EFCE"/>
            <w:noWrap/>
            <w:vAlign w:val="center"/>
            <w:hideMark/>
          </w:tcPr>
          <w:p w14:paraId="5094BF20" w14:textId="77777777" w:rsidR="00C45D59" w:rsidRDefault="009B0962">
            <w:pPr>
              <w:pStyle w:val="P68B1DB1-Normal55"/>
              <w:keepNext/>
              <w:spacing w:before="40" w:after="0" w:line="240" w:lineRule="auto"/>
              <w:jc w:val="both"/>
              <w:rPr>
                <w:rFonts w:eastAsia="Times New Roman" w:cs="Times New Roman"/>
                <w:noProof/>
                <w:szCs w:val="18"/>
              </w:rPr>
            </w:pPr>
            <w:r>
              <w:rPr>
                <w:noProof/>
              </w:rPr>
              <w:t>Etapă</w:t>
            </w:r>
          </w:p>
        </w:tc>
        <w:tc>
          <w:tcPr>
            <w:tcW w:w="3292" w:type="dxa"/>
            <w:tcBorders>
              <w:top w:val="nil"/>
              <w:left w:val="nil"/>
              <w:bottom w:val="single" w:sz="4" w:space="0" w:color="auto"/>
              <w:right w:val="single" w:sz="4" w:space="0" w:color="auto"/>
            </w:tcBorders>
            <w:shd w:val="clear" w:color="auto" w:fill="C6EFCE"/>
            <w:noWrap/>
            <w:vAlign w:val="center"/>
            <w:hideMark/>
          </w:tcPr>
          <w:p w14:paraId="75751679" w14:textId="77777777" w:rsidR="00C45D59" w:rsidRDefault="009B0962">
            <w:pPr>
              <w:pStyle w:val="P68B1DB1-Normal55"/>
              <w:keepNext/>
              <w:spacing w:before="40" w:after="0" w:line="240" w:lineRule="auto"/>
              <w:jc w:val="both"/>
              <w:rPr>
                <w:rFonts w:eastAsia="Times New Roman" w:cs="Times New Roman"/>
                <w:noProof/>
                <w:szCs w:val="18"/>
              </w:rPr>
            </w:pPr>
            <w:r>
              <w:rPr>
                <w:noProof/>
              </w:rPr>
              <w:t>Adoptarea cadrelor spațiale speciale</w:t>
            </w:r>
          </w:p>
        </w:tc>
      </w:tr>
      <w:tr w:rsidR="00C45D59" w14:paraId="63BDC01E"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73066F0"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36</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06E9D3B7"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2-1.2. Renovare – 16874_Energie și antreprenoriat</w:t>
            </w:r>
          </w:p>
        </w:tc>
        <w:tc>
          <w:tcPr>
            <w:tcW w:w="1417" w:type="dxa"/>
            <w:tcBorders>
              <w:top w:val="nil"/>
              <w:left w:val="nil"/>
              <w:bottom w:val="single" w:sz="4" w:space="0" w:color="auto"/>
              <w:right w:val="single" w:sz="4" w:space="0" w:color="auto"/>
            </w:tcBorders>
            <w:shd w:val="clear" w:color="auto" w:fill="C6EFCE"/>
            <w:noWrap/>
            <w:vAlign w:val="center"/>
            <w:hideMark/>
          </w:tcPr>
          <w:p w14:paraId="536BD4BE" w14:textId="77777777" w:rsidR="00C45D59" w:rsidRDefault="009B0962">
            <w:pPr>
              <w:pStyle w:val="P68B1DB1-Normal55"/>
              <w:keepNext/>
              <w:spacing w:before="40" w:after="0" w:line="240" w:lineRule="auto"/>
              <w:jc w:val="both"/>
              <w:rPr>
                <w:rFonts w:eastAsia="Times New Roman" w:cs="Times New Roman"/>
                <w:noProof/>
                <w:szCs w:val="18"/>
              </w:rPr>
            </w:pPr>
            <w:r>
              <w:rPr>
                <w:noProof/>
              </w:rPr>
              <w:t>Țintă</w:t>
            </w:r>
          </w:p>
        </w:tc>
        <w:tc>
          <w:tcPr>
            <w:tcW w:w="3292" w:type="dxa"/>
            <w:tcBorders>
              <w:top w:val="nil"/>
              <w:left w:val="nil"/>
              <w:bottom w:val="single" w:sz="4" w:space="0" w:color="auto"/>
              <w:right w:val="single" w:sz="4" w:space="0" w:color="auto"/>
            </w:tcBorders>
            <w:shd w:val="clear" w:color="auto" w:fill="C6EFCE"/>
            <w:noWrap/>
            <w:vAlign w:val="center"/>
            <w:hideMark/>
          </w:tcPr>
          <w:p w14:paraId="6ACD5EE1" w14:textId="77777777" w:rsidR="00C45D59" w:rsidRDefault="009B0962">
            <w:pPr>
              <w:pStyle w:val="P68B1DB1-Normal55"/>
              <w:keepNext/>
              <w:spacing w:before="40" w:after="0" w:line="240" w:lineRule="auto"/>
              <w:jc w:val="both"/>
              <w:rPr>
                <w:rFonts w:eastAsia="Times New Roman" w:cs="Times New Roman"/>
                <w:noProof/>
                <w:szCs w:val="18"/>
              </w:rPr>
            </w:pPr>
            <w:r>
              <w:rPr>
                <w:noProof/>
              </w:rPr>
              <w:t>Eficiența energetică în sectorul privat</w:t>
            </w:r>
          </w:p>
        </w:tc>
      </w:tr>
      <w:tr w:rsidR="00C45D59" w14:paraId="274B77E0"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1802BC6" w14:textId="77777777" w:rsidR="00C45D59" w:rsidRDefault="009B0962">
            <w:pPr>
              <w:pStyle w:val="P68B1DB1-Normal55"/>
              <w:keepNext/>
              <w:spacing w:before="40" w:after="0" w:line="240" w:lineRule="auto"/>
              <w:jc w:val="both"/>
              <w:rPr>
                <w:rFonts w:cs="Times New Roman"/>
                <w:noProof/>
                <w:szCs w:val="18"/>
              </w:rPr>
            </w:pPr>
            <w:r>
              <w:rPr>
                <w:noProof/>
              </w:rPr>
              <w:t>39</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2D1BFB7C" w14:textId="77777777" w:rsidR="00C45D59" w:rsidRDefault="009B0962">
            <w:pPr>
              <w:pStyle w:val="P68B1DB1-Normal55"/>
              <w:keepNext/>
              <w:spacing w:before="40" w:after="0" w:line="240" w:lineRule="auto"/>
              <w:jc w:val="both"/>
              <w:rPr>
                <w:rFonts w:cs="Times New Roman"/>
                <w:noProof/>
                <w:szCs w:val="18"/>
              </w:rPr>
            </w:pPr>
            <w:r>
              <w:rPr>
                <w:noProof/>
              </w:rPr>
              <w:t>2-1.2. Renovare – 16932_Centrul Olimpic de Atletism din Atena</w:t>
            </w:r>
          </w:p>
        </w:tc>
        <w:tc>
          <w:tcPr>
            <w:tcW w:w="1417" w:type="dxa"/>
            <w:tcBorders>
              <w:top w:val="nil"/>
              <w:left w:val="nil"/>
              <w:bottom w:val="single" w:sz="4" w:space="0" w:color="auto"/>
              <w:right w:val="single" w:sz="4" w:space="0" w:color="auto"/>
            </w:tcBorders>
            <w:shd w:val="clear" w:color="auto" w:fill="C6EFCE"/>
            <w:noWrap/>
            <w:vAlign w:val="center"/>
            <w:hideMark/>
          </w:tcPr>
          <w:p w14:paraId="258B9280" w14:textId="77777777" w:rsidR="00C45D59" w:rsidRDefault="009B0962">
            <w:pPr>
              <w:pStyle w:val="P68B1DB1-Normal55"/>
              <w:keepNext/>
              <w:spacing w:before="40" w:after="0" w:line="240" w:lineRule="auto"/>
              <w:jc w:val="both"/>
              <w:rPr>
                <w:rFonts w:cs="Times New Roman"/>
                <w:noProof/>
                <w:szCs w:val="18"/>
              </w:rPr>
            </w:pPr>
            <w:r>
              <w:rPr>
                <w:noProof/>
              </w:rPr>
              <w:t>Etapă</w:t>
            </w:r>
          </w:p>
        </w:tc>
        <w:tc>
          <w:tcPr>
            <w:tcW w:w="3292" w:type="dxa"/>
            <w:tcBorders>
              <w:top w:val="nil"/>
              <w:left w:val="nil"/>
              <w:bottom w:val="single" w:sz="4" w:space="0" w:color="auto"/>
              <w:right w:val="single" w:sz="4" w:space="0" w:color="auto"/>
            </w:tcBorders>
            <w:shd w:val="clear" w:color="auto" w:fill="C6EFCE"/>
            <w:noWrap/>
            <w:vAlign w:val="center"/>
            <w:hideMark/>
          </w:tcPr>
          <w:p w14:paraId="767FFE4B" w14:textId="77777777" w:rsidR="00C45D59" w:rsidRDefault="009B0962">
            <w:pPr>
              <w:pStyle w:val="P68B1DB1-Normal55"/>
              <w:keepNext/>
              <w:spacing w:before="40" w:after="0" w:line="240" w:lineRule="auto"/>
              <w:jc w:val="both"/>
              <w:rPr>
                <w:rFonts w:cs="Times New Roman"/>
                <w:noProof/>
                <w:szCs w:val="18"/>
              </w:rPr>
            </w:pPr>
            <w:r>
              <w:rPr>
                <w:noProof/>
              </w:rPr>
              <w:t>OAKA – executarea lucrărilor</w:t>
            </w:r>
          </w:p>
        </w:tc>
      </w:tr>
      <w:tr w:rsidR="00C45D59" w14:paraId="1630FC7B"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542888C"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40</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347D10DE"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2-1.2. Renovare – 16873_ – Intervenții în zonele rezidențiale și în parcul imobiliar</w:t>
            </w:r>
          </w:p>
        </w:tc>
        <w:tc>
          <w:tcPr>
            <w:tcW w:w="1417" w:type="dxa"/>
            <w:tcBorders>
              <w:top w:val="nil"/>
              <w:left w:val="nil"/>
              <w:bottom w:val="single" w:sz="4" w:space="0" w:color="auto"/>
              <w:right w:val="single" w:sz="4" w:space="0" w:color="auto"/>
            </w:tcBorders>
            <w:shd w:val="clear" w:color="auto" w:fill="C6EFCE"/>
            <w:noWrap/>
            <w:vAlign w:val="center"/>
            <w:hideMark/>
          </w:tcPr>
          <w:p w14:paraId="3CFCDC5B" w14:textId="77777777" w:rsidR="00C45D59" w:rsidRDefault="009B0962">
            <w:pPr>
              <w:pStyle w:val="P68B1DB1-Normal55"/>
              <w:keepNext/>
              <w:spacing w:before="40" w:after="0" w:line="240" w:lineRule="auto"/>
              <w:jc w:val="both"/>
              <w:rPr>
                <w:rFonts w:eastAsia="Times New Roman" w:cs="Times New Roman"/>
                <w:noProof/>
                <w:szCs w:val="18"/>
              </w:rPr>
            </w:pPr>
            <w:r>
              <w:rPr>
                <w:noProof/>
              </w:rPr>
              <w:t>Etapă</w:t>
            </w:r>
          </w:p>
        </w:tc>
        <w:tc>
          <w:tcPr>
            <w:tcW w:w="3292" w:type="dxa"/>
            <w:tcBorders>
              <w:top w:val="nil"/>
              <w:left w:val="nil"/>
              <w:bottom w:val="single" w:sz="4" w:space="0" w:color="auto"/>
              <w:right w:val="single" w:sz="4" w:space="0" w:color="auto"/>
            </w:tcBorders>
            <w:shd w:val="clear" w:color="auto" w:fill="C6EFCE"/>
            <w:noWrap/>
            <w:vAlign w:val="center"/>
            <w:hideMark/>
          </w:tcPr>
          <w:p w14:paraId="4B9E6261" w14:textId="77777777" w:rsidR="00C45D59" w:rsidRDefault="009B0962">
            <w:pPr>
              <w:pStyle w:val="P68B1DB1-Normal36"/>
              <w:keepNext/>
              <w:spacing w:before="40" w:after="0" w:line="240" w:lineRule="auto"/>
              <w:jc w:val="both"/>
              <w:rPr>
                <w:rFonts w:ascii="Times New Roman" w:eastAsia="Times New Roman" w:hAnsi="Times New Roman" w:cs="Times New Roman"/>
                <w:noProof/>
                <w:szCs w:val="18"/>
              </w:rPr>
            </w:pPr>
            <w:r>
              <w:rPr>
                <w:rFonts w:ascii="Times New Roman" w:hAnsi="Times New Roman"/>
                <w:noProof/>
              </w:rPr>
              <w:t>Intervenții urbane –</w:t>
            </w:r>
            <w:r>
              <w:rPr>
                <w:rFonts w:ascii="Times New Roman" w:hAnsi="Times New Roman" w:cs="Times New Roman"/>
                <w:noProof/>
                <w:color w:val="A4262C"/>
                <w:szCs w:val="18"/>
                <w:bdr w:val="none" w:sz="0" w:space="0" w:color="auto" w:frame="1"/>
              </w:rPr>
              <w:t xml:space="preserve"> </w:t>
            </w:r>
            <w:r>
              <w:rPr>
                <w:rFonts w:ascii="Times New Roman" w:hAnsi="Times New Roman"/>
                <w:noProof/>
              </w:rPr>
              <w:t>Executarea lucrărilor</w:t>
            </w:r>
          </w:p>
        </w:tc>
      </w:tr>
      <w:tr w:rsidR="00C45D59" w14:paraId="253D4329"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052BAF8"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41</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30DBB674"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2-1.2. Renovare – 16875_Dezvoltarea infrastructurii și restaurarea clădirilor în fosta proprietate regală din Tatoi</w:t>
            </w:r>
          </w:p>
        </w:tc>
        <w:tc>
          <w:tcPr>
            <w:tcW w:w="1417" w:type="dxa"/>
            <w:tcBorders>
              <w:top w:val="nil"/>
              <w:left w:val="nil"/>
              <w:bottom w:val="single" w:sz="4" w:space="0" w:color="auto"/>
              <w:right w:val="single" w:sz="4" w:space="0" w:color="auto"/>
            </w:tcBorders>
            <w:shd w:val="clear" w:color="auto" w:fill="C6EFCE"/>
            <w:noWrap/>
            <w:vAlign w:val="center"/>
            <w:hideMark/>
          </w:tcPr>
          <w:p w14:paraId="77F34B71" w14:textId="77777777" w:rsidR="00C45D59" w:rsidRDefault="009B0962">
            <w:pPr>
              <w:pStyle w:val="P68B1DB1-Normal55"/>
              <w:keepNext/>
              <w:spacing w:before="40" w:after="0" w:line="240" w:lineRule="auto"/>
              <w:jc w:val="both"/>
              <w:rPr>
                <w:rFonts w:eastAsia="Times New Roman" w:cs="Times New Roman"/>
                <w:noProof/>
                <w:szCs w:val="18"/>
              </w:rPr>
            </w:pPr>
            <w:r>
              <w:rPr>
                <w:noProof/>
              </w:rPr>
              <w:t>Etapă</w:t>
            </w:r>
          </w:p>
        </w:tc>
        <w:tc>
          <w:tcPr>
            <w:tcW w:w="3292" w:type="dxa"/>
            <w:tcBorders>
              <w:top w:val="nil"/>
              <w:left w:val="nil"/>
              <w:bottom w:val="single" w:sz="4" w:space="0" w:color="auto"/>
              <w:right w:val="single" w:sz="4" w:space="0" w:color="auto"/>
            </w:tcBorders>
            <w:shd w:val="clear" w:color="auto" w:fill="C6EFCE"/>
            <w:noWrap/>
            <w:vAlign w:val="center"/>
            <w:hideMark/>
          </w:tcPr>
          <w:p w14:paraId="4BA21CF2" w14:textId="77777777" w:rsidR="00C45D59" w:rsidRDefault="009B0962">
            <w:pPr>
              <w:pStyle w:val="P68B1DB1-Normal55"/>
              <w:keepNext/>
              <w:spacing w:before="40" w:after="0" w:line="240" w:lineRule="auto"/>
              <w:jc w:val="both"/>
              <w:rPr>
                <w:rFonts w:eastAsia="Times New Roman" w:cs="Times New Roman"/>
                <w:noProof/>
                <w:szCs w:val="18"/>
              </w:rPr>
            </w:pPr>
            <w:r>
              <w:rPr>
                <w:noProof/>
              </w:rPr>
              <w:t>Tatoi – restaurată</w:t>
            </w:r>
          </w:p>
        </w:tc>
      </w:tr>
      <w:tr w:rsidR="00C45D59" w14:paraId="1849F8EB"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A464E2B" w14:textId="77777777" w:rsidR="00C45D59" w:rsidRDefault="009B0962">
            <w:pPr>
              <w:pStyle w:val="P68B1DB1-Normal55"/>
              <w:keepNext/>
              <w:spacing w:before="40" w:after="0" w:line="240" w:lineRule="auto"/>
              <w:jc w:val="both"/>
              <w:rPr>
                <w:noProof/>
              </w:rPr>
            </w:pPr>
            <w:r>
              <w:rPr>
                <w:noProof/>
              </w:rPr>
              <w:t>52</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36318C08" w14:textId="77777777" w:rsidR="00C45D59" w:rsidRDefault="009B0962">
            <w:pPr>
              <w:pStyle w:val="P68B1DB1-Normal55"/>
              <w:keepNext/>
              <w:spacing w:before="40" w:after="0" w:line="240" w:lineRule="auto"/>
              <w:jc w:val="both"/>
              <w:rPr>
                <w:noProof/>
              </w:rPr>
            </w:pPr>
            <w:r>
              <w:rPr>
                <w:noProof/>
              </w:rPr>
              <w:t>3-1.3. Reîncărcare și realimentare – 16924_ Electromobilitate</w:t>
            </w:r>
          </w:p>
        </w:tc>
        <w:tc>
          <w:tcPr>
            <w:tcW w:w="1417" w:type="dxa"/>
            <w:tcBorders>
              <w:top w:val="nil"/>
              <w:left w:val="nil"/>
              <w:bottom w:val="single" w:sz="4" w:space="0" w:color="auto"/>
              <w:right w:val="single" w:sz="4" w:space="0" w:color="auto"/>
            </w:tcBorders>
            <w:shd w:val="clear" w:color="auto" w:fill="C6EFCE"/>
            <w:noWrap/>
            <w:vAlign w:val="center"/>
            <w:hideMark/>
          </w:tcPr>
          <w:p w14:paraId="25D5E287" w14:textId="77777777" w:rsidR="00C45D59" w:rsidRDefault="009B0962">
            <w:pPr>
              <w:pStyle w:val="P68B1DB1-Normal55"/>
              <w:keepNext/>
              <w:spacing w:before="40" w:after="0" w:line="240" w:lineRule="auto"/>
              <w:jc w:val="both"/>
              <w:rPr>
                <w:noProof/>
              </w:rPr>
            </w:pPr>
            <w:r>
              <w:rPr>
                <w:noProof/>
              </w:rPr>
              <w:t>Țintă</w:t>
            </w:r>
          </w:p>
        </w:tc>
        <w:tc>
          <w:tcPr>
            <w:tcW w:w="3292" w:type="dxa"/>
            <w:tcBorders>
              <w:top w:val="nil"/>
              <w:left w:val="nil"/>
              <w:bottom w:val="single" w:sz="4" w:space="0" w:color="auto"/>
              <w:right w:val="single" w:sz="4" w:space="0" w:color="auto"/>
            </w:tcBorders>
            <w:shd w:val="clear" w:color="auto" w:fill="C6EFCE"/>
            <w:noWrap/>
            <w:vAlign w:val="center"/>
            <w:hideMark/>
          </w:tcPr>
          <w:p w14:paraId="196023CC" w14:textId="54358F1E" w:rsidR="00C45D59" w:rsidRDefault="009B0962">
            <w:pPr>
              <w:pStyle w:val="P68B1DB1-Normal55"/>
              <w:keepNext/>
              <w:spacing w:before="40" w:after="0" w:line="240" w:lineRule="auto"/>
              <w:jc w:val="both"/>
              <w:rPr>
                <w:noProof/>
              </w:rPr>
            </w:pPr>
            <w:r>
              <w:rPr>
                <w:noProof/>
              </w:rPr>
              <w:t>Autobuze – înlocuirea cu autobuze electrice și intrarea în vigoare a dispozițiilor legale privind proprietatea asupra Organizației de transport urban din Salonic (OASTH)</w:t>
            </w:r>
          </w:p>
        </w:tc>
      </w:tr>
      <w:tr w:rsidR="00C45D59" w14:paraId="17BA2576"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8DEFE80"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53</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4DD65801"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3-1.3. Reîncărcare și realimentare – 16831_Produc- E verde</w:t>
            </w:r>
          </w:p>
        </w:tc>
        <w:tc>
          <w:tcPr>
            <w:tcW w:w="1417" w:type="dxa"/>
            <w:tcBorders>
              <w:top w:val="nil"/>
              <w:left w:val="nil"/>
              <w:bottom w:val="single" w:sz="4" w:space="0" w:color="auto"/>
              <w:right w:val="single" w:sz="4" w:space="0" w:color="auto"/>
            </w:tcBorders>
            <w:shd w:val="clear" w:color="auto" w:fill="C6EFCE"/>
            <w:noWrap/>
            <w:vAlign w:val="center"/>
            <w:hideMark/>
          </w:tcPr>
          <w:p w14:paraId="32FB0098" w14:textId="77777777" w:rsidR="00C45D59" w:rsidRDefault="009B0962">
            <w:pPr>
              <w:pStyle w:val="P68B1DB1-Normal55"/>
              <w:keepNext/>
              <w:spacing w:before="40" w:after="0" w:line="240" w:lineRule="auto"/>
              <w:jc w:val="both"/>
              <w:rPr>
                <w:rFonts w:eastAsia="Times New Roman" w:cs="Times New Roman"/>
                <w:noProof/>
                <w:szCs w:val="18"/>
              </w:rPr>
            </w:pPr>
            <w:r>
              <w:rPr>
                <w:noProof/>
              </w:rPr>
              <w:t>Etapă</w:t>
            </w:r>
          </w:p>
        </w:tc>
        <w:tc>
          <w:tcPr>
            <w:tcW w:w="3292" w:type="dxa"/>
            <w:tcBorders>
              <w:top w:val="nil"/>
              <w:left w:val="nil"/>
              <w:bottom w:val="single" w:sz="4" w:space="0" w:color="auto"/>
              <w:right w:val="single" w:sz="4" w:space="0" w:color="auto"/>
            </w:tcBorders>
            <w:shd w:val="clear" w:color="auto" w:fill="C6EFCE"/>
            <w:noWrap/>
            <w:vAlign w:val="center"/>
            <w:hideMark/>
          </w:tcPr>
          <w:p w14:paraId="6252A614" w14:textId="0CF47A84" w:rsidR="00C45D59" w:rsidRDefault="009B0962">
            <w:pPr>
              <w:pStyle w:val="P68B1DB1-Normal58"/>
              <w:keepNext/>
              <w:spacing w:before="40" w:after="0" w:line="240" w:lineRule="auto"/>
              <w:jc w:val="both"/>
              <w:rPr>
                <w:noProof/>
              </w:rPr>
            </w:pPr>
            <w:r>
              <w:rPr>
                <w:noProof/>
              </w:rPr>
              <w:t>CSC – Platforma și aprobarea autorizațiilor</w:t>
            </w:r>
          </w:p>
        </w:tc>
      </w:tr>
      <w:tr w:rsidR="00C45D59" w14:paraId="3FFA3D22"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B3BCB53"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54</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1FF4167B"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3-1.3. Reîncărcare și realimentare – 16831_Produc- E verde</w:t>
            </w:r>
          </w:p>
        </w:tc>
        <w:tc>
          <w:tcPr>
            <w:tcW w:w="1417" w:type="dxa"/>
            <w:tcBorders>
              <w:top w:val="nil"/>
              <w:left w:val="nil"/>
              <w:bottom w:val="single" w:sz="4" w:space="0" w:color="auto"/>
              <w:right w:val="single" w:sz="4" w:space="0" w:color="auto"/>
            </w:tcBorders>
            <w:shd w:val="clear" w:color="auto" w:fill="C6EFCE"/>
            <w:noWrap/>
            <w:vAlign w:val="center"/>
            <w:hideMark/>
          </w:tcPr>
          <w:p w14:paraId="720F32AA" w14:textId="77777777" w:rsidR="00C45D59" w:rsidRDefault="009B0962">
            <w:pPr>
              <w:pStyle w:val="P68B1DB1-Normal55"/>
              <w:keepNext/>
              <w:spacing w:before="40" w:after="0" w:line="240" w:lineRule="auto"/>
              <w:jc w:val="both"/>
              <w:rPr>
                <w:rFonts w:eastAsia="Times New Roman" w:cs="Times New Roman"/>
                <w:noProof/>
                <w:szCs w:val="18"/>
              </w:rPr>
            </w:pPr>
            <w:r>
              <w:rPr>
                <w:noProof/>
              </w:rPr>
              <w:t>Etapă</w:t>
            </w:r>
          </w:p>
        </w:tc>
        <w:tc>
          <w:tcPr>
            <w:tcW w:w="3292" w:type="dxa"/>
            <w:tcBorders>
              <w:top w:val="nil"/>
              <w:left w:val="nil"/>
              <w:bottom w:val="single" w:sz="4" w:space="0" w:color="auto"/>
              <w:right w:val="single" w:sz="4" w:space="0" w:color="auto"/>
            </w:tcBorders>
            <w:shd w:val="clear" w:color="auto" w:fill="C6EFCE"/>
            <w:noWrap/>
            <w:vAlign w:val="center"/>
            <w:hideMark/>
          </w:tcPr>
          <w:p w14:paraId="4C17969F" w14:textId="77777777" w:rsidR="00C45D59" w:rsidRDefault="009B0962">
            <w:pPr>
              <w:pStyle w:val="P68B1DB1-Normal55"/>
              <w:keepNext/>
              <w:spacing w:before="40" w:after="0" w:line="240" w:lineRule="auto"/>
              <w:jc w:val="both"/>
              <w:rPr>
                <w:rFonts w:eastAsia="Times New Roman" w:cs="Times New Roman"/>
                <w:noProof/>
                <w:szCs w:val="18"/>
              </w:rPr>
            </w:pPr>
            <w:r>
              <w:rPr>
                <w:noProof/>
              </w:rPr>
              <w:t xml:space="preserve">Unități industriale – finalizarea lucrărilor de construcții și instalarea echipamentelor </w:t>
            </w:r>
          </w:p>
        </w:tc>
      </w:tr>
      <w:tr w:rsidR="00C45D59" w14:paraId="2866FC93"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E08265A" w14:textId="77777777" w:rsidR="00C45D59" w:rsidRDefault="009B0962">
            <w:pPr>
              <w:pStyle w:val="P68B1DB1-Normal55"/>
              <w:keepNext/>
              <w:spacing w:before="40" w:after="0" w:line="240" w:lineRule="auto"/>
              <w:jc w:val="both"/>
              <w:rPr>
                <w:noProof/>
              </w:rPr>
            </w:pPr>
            <w:r>
              <w:rPr>
                <w:noProof/>
              </w:rPr>
              <w:t>59a</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19B44535" w14:textId="77777777" w:rsidR="00C45D59" w:rsidRDefault="009B0962">
            <w:pPr>
              <w:pStyle w:val="P68B1DB1-Normal11"/>
              <w:keepNext/>
              <w:spacing w:before="40" w:after="0" w:line="240" w:lineRule="auto"/>
              <w:jc w:val="both"/>
              <w:rPr>
                <w:noProof/>
              </w:rPr>
            </w:pPr>
            <w:r>
              <w:rPr>
                <w:noProof/>
              </w:rPr>
              <w:t>4-1.4. Utilizarea durabilă a resurselor, reziliența la schimbările climatice și protecția mediului – 16772_Legea privind gestionarea deșeurilor pentru depozitarea și reciclarea durabilă a deșeurilor</w:t>
            </w:r>
          </w:p>
        </w:tc>
        <w:tc>
          <w:tcPr>
            <w:tcW w:w="1417" w:type="dxa"/>
            <w:tcBorders>
              <w:top w:val="nil"/>
              <w:left w:val="nil"/>
              <w:bottom w:val="single" w:sz="4" w:space="0" w:color="auto"/>
              <w:right w:val="single" w:sz="4" w:space="0" w:color="auto"/>
            </w:tcBorders>
            <w:shd w:val="clear" w:color="auto" w:fill="C6EFCE"/>
            <w:noWrap/>
            <w:vAlign w:val="center"/>
            <w:hideMark/>
          </w:tcPr>
          <w:p w14:paraId="33CFB522" w14:textId="77777777" w:rsidR="00C45D59" w:rsidRDefault="009B0962">
            <w:pPr>
              <w:pStyle w:val="P68B1DB1-Normal55"/>
              <w:keepNext/>
              <w:spacing w:before="40" w:after="0" w:line="240" w:lineRule="auto"/>
              <w:jc w:val="both"/>
              <w:rPr>
                <w:noProof/>
              </w:rPr>
            </w:pPr>
            <w:r>
              <w:rPr>
                <w:noProof/>
              </w:rPr>
              <w:t>Etapă</w:t>
            </w:r>
          </w:p>
        </w:tc>
        <w:tc>
          <w:tcPr>
            <w:tcW w:w="3292" w:type="dxa"/>
            <w:tcBorders>
              <w:top w:val="nil"/>
              <w:left w:val="nil"/>
              <w:bottom w:val="single" w:sz="4" w:space="0" w:color="auto"/>
              <w:right w:val="single" w:sz="4" w:space="0" w:color="auto"/>
            </w:tcBorders>
            <w:shd w:val="clear" w:color="auto" w:fill="C6EFCE"/>
            <w:noWrap/>
            <w:vAlign w:val="center"/>
            <w:hideMark/>
          </w:tcPr>
          <w:p w14:paraId="426499A4" w14:textId="466DC264" w:rsidR="00C45D59" w:rsidRDefault="009B0962">
            <w:pPr>
              <w:pStyle w:val="P68B1DB1-Normal49"/>
              <w:keepNext/>
              <w:spacing w:before="40" w:after="0" w:line="240" w:lineRule="auto"/>
              <w:jc w:val="both"/>
              <w:rPr>
                <w:rFonts w:ascii="Times New Roman" w:hAnsi="Times New Roman"/>
                <w:noProof/>
              </w:rPr>
            </w:pPr>
            <w:r>
              <w:rPr>
                <w:rFonts w:ascii="Times New Roman" w:eastAsia="Times New Roman" w:hAnsi="Times New Roman" w:cs="Times New Roman"/>
                <w:noProof/>
                <w:color w:val="212121"/>
              </w:rPr>
              <w:t>Evaluarea adecvării manageriale a</w:t>
            </w:r>
            <w:r>
              <w:rPr>
                <w:rFonts w:ascii="Times New Roman" w:hAnsi="Times New Roman"/>
                <w:noProof/>
              </w:rPr>
              <w:t xml:space="preserve"> organismelor de gestionare a deșeurilor solide (FODSA) de către autoritatea de reglementare</w:t>
            </w:r>
          </w:p>
        </w:tc>
      </w:tr>
      <w:tr w:rsidR="00C45D59" w14:paraId="2B11635D"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1F45EA2"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63</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66DF2E69"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4-1.4. Utilizarea durabilă a resurselor, reziliența la schimbările climatice și protecția mediului – 16849_Planul național de reîmpădurire, măsuri de refacere și prevenire („antiNERO”), de combatere a eroziunii și de protecție împotriva inundațiilor</w:t>
            </w:r>
          </w:p>
        </w:tc>
        <w:tc>
          <w:tcPr>
            <w:tcW w:w="1417" w:type="dxa"/>
            <w:tcBorders>
              <w:top w:val="nil"/>
              <w:left w:val="nil"/>
              <w:bottom w:val="single" w:sz="4" w:space="0" w:color="auto"/>
              <w:right w:val="single" w:sz="4" w:space="0" w:color="auto"/>
            </w:tcBorders>
            <w:shd w:val="clear" w:color="auto" w:fill="C6EFCE"/>
            <w:noWrap/>
            <w:vAlign w:val="center"/>
            <w:hideMark/>
          </w:tcPr>
          <w:p w14:paraId="1B046FE0" w14:textId="77777777" w:rsidR="00C45D59" w:rsidRDefault="009B0962">
            <w:pPr>
              <w:pStyle w:val="P68B1DB1-Normal55"/>
              <w:keepNext/>
              <w:spacing w:before="40" w:after="0" w:line="240" w:lineRule="auto"/>
              <w:jc w:val="both"/>
              <w:rPr>
                <w:rFonts w:eastAsia="Times New Roman" w:cs="Times New Roman"/>
                <w:noProof/>
                <w:szCs w:val="18"/>
              </w:rPr>
            </w:pPr>
            <w:r>
              <w:rPr>
                <w:noProof/>
              </w:rPr>
              <w:t>Etapă</w:t>
            </w:r>
          </w:p>
        </w:tc>
        <w:tc>
          <w:tcPr>
            <w:tcW w:w="3292" w:type="dxa"/>
            <w:tcBorders>
              <w:top w:val="nil"/>
              <w:left w:val="nil"/>
              <w:bottom w:val="single" w:sz="4" w:space="0" w:color="auto"/>
              <w:right w:val="single" w:sz="4" w:space="0" w:color="auto"/>
            </w:tcBorders>
            <w:shd w:val="clear" w:color="auto" w:fill="C6EFCE"/>
            <w:noWrap/>
            <w:vAlign w:val="center"/>
            <w:hideMark/>
          </w:tcPr>
          <w:p w14:paraId="1444B646" w14:textId="77777777" w:rsidR="00C45D59" w:rsidRDefault="009B0962">
            <w:pPr>
              <w:pStyle w:val="P68B1DB1-Normal55"/>
              <w:keepNext/>
              <w:spacing w:before="40" w:after="0" w:line="240" w:lineRule="auto"/>
              <w:jc w:val="both"/>
              <w:rPr>
                <w:rFonts w:eastAsia="Times New Roman" w:cs="Times New Roman"/>
                <w:noProof/>
                <w:szCs w:val="18"/>
              </w:rPr>
            </w:pPr>
            <w:r>
              <w:rPr>
                <w:noProof/>
              </w:rPr>
              <w:t>Reîmpădurire, refacere și prevenire – execuție</w:t>
            </w:r>
          </w:p>
        </w:tc>
      </w:tr>
      <w:tr w:rsidR="00C45D59" w14:paraId="31149B1E"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51DA8A5"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64</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6DDBB52E"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4-1.4. Utilizarea durabilă a resurselor, reziliența la schimbările climatice și protecția mediului – 16851_Protecția biodiversității ca motor al creșterii durabile</w:t>
            </w:r>
          </w:p>
        </w:tc>
        <w:tc>
          <w:tcPr>
            <w:tcW w:w="1417" w:type="dxa"/>
            <w:tcBorders>
              <w:top w:val="nil"/>
              <w:left w:val="nil"/>
              <w:bottom w:val="single" w:sz="4" w:space="0" w:color="auto"/>
              <w:right w:val="single" w:sz="4" w:space="0" w:color="auto"/>
            </w:tcBorders>
            <w:shd w:val="clear" w:color="auto" w:fill="C6EFCE"/>
            <w:noWrap/>
            <w:vAlign w:val="center"/>
            <w:hideMark/>
          </w:tcPr>
          <w:p w14:paraId="20C28D7D" w14:textId="77777777" w:rsidR="00C45D59" w:rsidRDefault="009B0962">
            <w:pPr>
              <w:pStyle w:val="P68B1DB1-Normal55"/>
              <w:keepNext/>
              <w:spacing w:before="40" w:after="0" w:line="240" w:lineRule="auto"/>
              <w:jc w:val="both"/>
              <w:rPr>
                <w:rFonts w:eastAsia="Times New Roman" w:cs="Times New Roman"/>
                <w:noProof/>
                <w:szCs w:val="18"/>
              </w:rPr>
            </w:pPr>
            <w:r>
              <w:rPr>
                <w:noProof/>
              </w:rPr>
              <w:t>Etapă</w:t>
            </w:r>
          </w:p>
        </w:tc>
        <w:tc>
          <w:tcPr>
            <w:tcW w:w="3292" w:type="dxa"/>
            <w:tcBorders>
              <w:top w:val="nil"/>
              <w:left w:val="nil"/>
              <w:bottom w:val="single" w:sz="4" w:space="0" w:color="auto"/>
              <w:right w:val="single" w:sz="4" w:space="0" w:color="auto"/>
            </w:tcBorders>
            <w:shd w:val="clear" w:color="auto" w:fill="C6EFCE"/>
            <w:noWrap/>
            <w:vAlign w:val="center"/>
            <w:hideMark/>
          </w:tcPr>
          <w:p w14:paraId="62BABDEA" w14:textId="77777777" w:rsidR="00C45D59" w:rsidRDefault="009B0962">
            <w:pPr>
              <w:pStyle w:val="P68B1DB1-Normal55"/>
              <w:keepNext/>
              <w:spacing w:before="40" w:after="0" w:line="240" w:lineRule="auto"/>
              <w:jc w:val="both"/>
              <w:rPr>
                <w:rFonts w:eastAsia="Times New Roman" w:cs="Times New Roman"/>
                <w:noProof/>
                <w:szCs w:val="18"/>
              </w:rPr>
            </w:pPr>
            <w:r>
              <w:rPr>
                <w:noProof/>
              </w:rPr>
              <w:t>Biodiversitate</w:t>
            </w:r>
          </w:p>
        </w:tc>
      </w:tr>
      <w:tr w:rsidR="00C45D59" w14:paraId="4BC65E9B"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E8F90F5"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73</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64B8F6A5" w14:textId="7BC74453" w:rsidR="00C45D59" w:rsidRDefault="009B0962">
            <w:pPr>
              <w:pStyle w:val="P68B1DB1-Normal11"/>
              <w:keepNext/>
              <w:spacing w:before="40" w:after="0" w:line="240" w:lineRule="auto"/>
              <w:jc w:val="both"/>
              <w:rPr>
                <w:noProof/>
              </w:rPr>
            </w:pPr>
            <w:r>
              <w:rPr>
                <w:noProof/>
              </w:rPr>
              <w:t>4-1.4. Utilizarea durabilă a resurselor, reziliența la schimbările climatice și protecția mediului – 16846_ Infrastructuri de gestionare a apelor urbane reziduale și a nămolurilor de epurare și achiziționarea de echipamente municipale de gestionare a deșeurilor</w:t>
            </w:r>
          </w:p>
        </w:tc>
        <w:tc>
          <w:tcPr>
            <w:tcW w:w="1417" w:type="dxa"/>
            <w:tcBorders>
              <w:top w:val="nil"/>
              <w:left w:val="nil"/>
              <w:bottom w:val="single" w:sz="4" w:space="0" w:color="auto"/>
              <w:right w:val="single" w:sz="4" w:space="0" w:color="auto"/>
            </w:tcBorders>
            <w:shd w:val="clear" w:color="auto" w:fill="C6EFCE"/>
            <w:noWrap/>
            <w:vAlign w:val="center"/>
            <w:hideMark/>
          </w:tcPr>
          <w:p w14:paraId="26DB0AA9" w14:textId="77777777" w:rsidR="00C45D59" w:rsidRDefault="009B0962">
            <w:pPr>
              <w:pStyle w:val="P68B1DB1-Normal11"/>
              <w:keepNext/>
              <w:spacing w:before="40" w:after="0" w:line="240" w:lineRule="auto"/>
              <w:jc w:val="both"/>
              <w:rPr>
                <w:rFonts w:eastAsia="Times New Roman" w:cs="Times New Roman"/>
                <w:noProof/>
              </w:rPr>
            </w:pPr>
            <w:r>
              <w:rPr>
                <w:noProof/>
              </w:rPr>
              <w:t>Etapă</w:t>
            </w:r>
          </w:p>
        </w:tc>
        <w:tc>
          <w:tcPr>
            <w:tcW w:w="3292" w:type="dxa"/>
            <w:tcBorders>
              <w:top w:val="nil"/>
              <w:left w:val="nil"/>
              <w:bottom w:val="single" w:sz="4" w:space="0" w:color="auto"/>
              <w:right w:val="single" w:sz="4" w:space="0" w:color="auto"/>
            </w:tcBorders>
            <w:shd w:val="clear" w:color="auto" w:fill="C6EFCE"/>
            <w:noWrap/>
            <w:vAlign w:val="center"/>
            <w:hideMark/>
          </w:tcPr>
          <w:p w14:paraId="3C34AC64" w14:textId="77777777" w:rsidR="00C45D59" w:rsidRDefault="009B0962">
            <w:pPr>
              <w:pStyle w:val="P68B1DB1-Normal11"/>
              <w:keepNext/>
              <w:spacing w:before="40" w:after="0" w:line="240" w:lineRule="auto"/>
              <w:jc w:val="both"/>
              <w:rPr>
                <w:rFonts w:eastAsia="Times New Roman" w:cs="Times New Roman"/>
                <w:noProof/>
              </w:rPr>
            </w:pPr>
            <w:r>
              <w:rPr>
                <w:noProof/>
              </w:rPr>
              <w:t>Proiecte de infrastructură de gestionare a apelor urbane reziduale și a nămolurilor construite</w:t>
            </w:r>
          </w:p>
        </w:tc>
      </w:tr>
      <w:tr w:rsidR="00C45D59" w14:paraId="4D6E80A8"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8122B55" w14:textId="0B4DA56B" w:rsidR="00C45D59" w:rsidRDefault="009B0962">
            <w:pPr>
              <w:pStyle w:val="P68B1DB1-Normal11"/>
              <w:keepNext/>
              <w:spacing w:before="40" w:after="0" w:line="240" w:lineRule="auto"/>
              <w:jc w:val="both"/>
              <w:rPr>
                <w:rFonts w:eastAsia="Times New Roman" w:cs="Times New Roman"/>
                <w:noProof/>
              </w:rPr>
            </w:pPr>
            <w:r>
              <w:rPr>
                <w:noProof/>
              </w:rPr>
              <w:t xml:space="preserve">73a </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2D9BE80D" w14:textId="7AC49B41" w:rsidR="00C45D59" w:rsidRDefault="009B0962">
            <w:pPr>
              <w:pStyle w:val="P68B1DB1-Normal11"/>
              <w:spacing w:line="240" w:lineRule="auto"/>
              <w:jc w:val="both"/>
              <w:rPr>
                <w:noProof/>
              </w:rPr>
            </w:pPr>
            <w:r>
              <w:rPr>
                <w:noProof/>
              </w:rPr>
              <w:t>4-1.4. Utilizarea durabilă a resurselor, reziliența la schimbările climatice și protecția mediului – 16846_ Infrastructuri de gestionare a apelor urbane reziduale și a nămolurilor de epurare și achiziționarea de echipamente municipale de gestionare a deșeurilor</w:t>
            </w:r>
          </w:p>
        </w:tc>
        <w:tc>
          <w:tcPr>
            <w:tcW w:w="1417" w:type="dxa"/>
            <w:tcBorders>
              <w:top w:val="nil"/>
              <w:left w:val="nil"/>
              <w:bottom w:val="single" w:sz="4" w:space="0" w:color="auto"/>
              <w:right w:val="single" w:sz="4" w:space="0" w:color="auto"/>
            </w:tcBorders>
            <w:shd w:val="clear" w:color="auto" w:fill="C6EFCE"/>
            <w:noWrap/>
            <w:vAlign w:val="center"/>
            <w:hideMark/>
          </w:tcPr>
          <w:p w14:paraId="497699F8" w14:textId="10D3626E" w:rsidR="00C45D59" w:rsidRDefault="009B0962">
            <w:pPr>
              <w:pStyle w:val="P68B1DB1-Normal11"/>
              <w:spacing w:line="240" w:lineRule="auto"/>
              <w:jc w:val="both"/>
              <w:rPr>
                <w:noProof/>
              </w:rPr>
            </w:pPr>
            <w:r>
              <w:rPr>
                <w:noProof/>
              </w:rPr>
              <w:t>Țintă</w:t>
            </w:r>
          </w:p>
        </w:tc>
        <w:tc>
          <w:tcPr>
            <w:tcW w:w="3292" w:type="dxa"/>
            <w:tcBorders>
              <w:top w:val="nil"/>
              <w:left w:val="nil"/>
              <w:bottom w:val="single" w:sz="4" w:space="0" w:color="auto"/>
              <w:right w:val="single" w:sz="4" w:space="0" w:color="auto"/>
            </w:tcBorders>
            <w:shd w:val="clear" w:color="auto" w:fill="C6EFCE"/>
            <w:noWrap/>
            <w:vAlign w:val="center"/>
            <w:hideMark/>
          </w:tcPr>
          <w:p w14:paraId="059CCD99" w14:textId="191F65F0" w:rsidR="00C45D59" w:rsidRDefault="009B0962">
            <w:pPr>
              <w:pStyle w:val="P68B1DB1-Normal11"/>
              <w:spacing w:line="240" w:lineRule="auto"/>
              <w:jc w:val="both"/>
              <w:rPr>
                <w:noProof/>
              </w:rPr>
            </w:pPr>
            <w:r>
              <w:rPr>
                <w:noProof/>
              </w:rPr>
              <w:t>Achiziționarea a 130 vehicule electrice de colectare a deșeurilor</w:t>
            </w:r>
          </w:p>
        </w:tc>
      </w:tr>
      <w:tr w:rsidR="00C45D59" w14:paraId="5ED6FD48"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42837D4" w14:textId="7BC8345C" w:rsidR="00C45D59" w:rsidRDefault="009B0962">
            <w:pPr>
              <w:pStyle w:val="P68B1DB1-Normal11"/>
              <w:keepNext/>
              <w:spacing w:before="40" w:after="0" w:line="240" w:lineRule="auto"/>
              <w:jc w:val="both"/>
              <w:rPr>
                <w:rFonts w:eastAsia="Times New Roman" w:cs="Times New Roman"/>
                <w:bCs/>
                <w:noProof/>
              </w:rPr>
            </w:pPr>
            <w:r>
              <w:rPr>
                <w:noProof/>
              </w:rPr>
              <w:t>74</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65F2797C" w14:textId="0861E82D" w:rsidR="00C45D59" w:rsidRDefault="009B0962">
            <w:pPr>
              <w:pStyle w:val="P68B1DB1-Normal55"/>
              <w:keepNext/>
              <w:spacing w:before="40" w:after="0" w:line="240" w:lineRule="auto"/>
              <w:jc w:val="both"/>
              <w:rPr>
                <w:rFonts w:eastAsia="Times New Roman" w:cs="Times New Roman"/>
                <w:bCs/>
                <w:noProof/>
                <w:szCs w:val="18"/>
              </w:rPr>
            </w:pPr>
            <w:r>
              <w:rPr>
                <w:noProof/>
              </w:rPr>
              <w:t>4-1.4. Utilizarea durabilă a resurselor, reziliența la schimbările climatice și protecția mediului – 16850_Proiecte privind alimentarea cu apă potabilă și economisirea acesteia</w:t>
            </w:r>
          </w:p>
        </w:tc>
        <w:tc>
          <w:tcPr>
            <w:tcW w:w="1417" w:type="dxa"/>
            <w:tcBorders>
              <w:top w:val="nil"/>
              <w:left w:val="nil"/>
              <w:bottom w:val="single" w:sz="4" w:space="0" w:color="auto"/>
              <w:right w:val="single" w:sz="4" w:space="0" w:color="auto"/>
            </w:tcBorders>
            <w:shd w:val="clear" w:color="auto" w:fill="C6EFCE"/>
            <w:noWrap/>
            <w:vAlign w:val="center"/>
            <w:hideMark/>
          </w:tcPr>
          <w:p w14:paraId="222B701A" w14:textId="77777777" w:rsidR="00C45D59" w:rsidRDefault="009B0962">
            <w:pPr>
              <w:pStyle w:val="P68B1DB1-Normal55"/>
              <w:keepNext/>
              <w:spacing w:before="40" w:after="0" w:line="240" w:lineRule="auto"/>
              <w:jc w:val="both"/>
              <w:rPr>
                <w:rFonts w:eastAsia="Times New Roman" w:cs="Times New Roman"/>
                <w:noProof/>
                <w:szCs w:val="18"/>
              </w:rPr>
            </w:pPr>
            <w:r>
              <w:rPr>
                <w:noProof/>
              </w:rPr>
              <w:t>Etapă</w:t>
            </w:r>
          </w:p>
        </w:tc>
        <w:tc>
          <w:tcPr>
            <w:tcW w:w="3292" w:type="dxa"/>
            <w:tcBorders>
              <w:top w:val="nil"/>
              <w:left w:val="nil"/>
              <w:bottom w:val="single" w:sz="4" w:space="0" w:color="auto"/>
              <w:right w:val="single" w:sz="4" w:space="0" w:color="auto"/>
            </w:tcBorders>
            <w:shd w:val="clear" w:color="auto" w:fill="C6EFCE"/>
            <w:noWrap/>
            <w:vAlign w:val="center"/>
            <w:hideMark/>
          </w:tcPr>
          <w:p w14:paraId="7778580E" w14:textId="25D7EC3B" w:rsidR="00C45D59" w:rsidRDefault="009B0962">
            <w:pPr>
              <w:pStyle w:val="P68B1DB1-Normal58"/>
              <w:keepNext/>
              <w:spacing w:before="40" w:after="0" w:line="240" w:lineRule="auto"/>
              <w:jc w:val="both"/>
              <w:rPr>
                <w:noProof/>
              </w:rPr>
            </w:pPr>
            <w:r>
              <w:rPr>
                <w:noProof/>
              </w:rPr>
              <w:t>Proiecte de alimentare cu apă și de economisire a apei</w:t>
            </w:r>
          </w:p>
        </w:tc>
      </w:tr>
      <w:tr w:rsidR="00C45D59" w14:paraId="7F5A5A6C"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8BF9815" w14:textId="77777777" w:rsidR="00C45D59" w:rsidRDefault="009B0962">
            <w:pPr>
              <w:pStyle w:val="P68B1DB1-Normal11"/>
              <w:keepNext/>
              <w:spacing w:before="40" w:after="0" w:line="240" w:lineRule="auto"/>
              <w:jc w:val="both"/>
              <w:rPr>
                <w:rFonts w:eastAsia="Times New Roman" w:cs="Times New Roman"/>
                <w:bCs/>
                <w:noProof/>
              </w:rPr>
            </w:pPr>
            <w:r>
              <w:rPr>
                <w:noProof/>
              </w:rPr>
              <w:t xml:space="preserve"> 81</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693A512B"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4-1.4. Utilizarea durabilă a resurselor, reziliența la schimbările climatice și protecția mediului – 16910_Gestionarea și monitorizarea protecției civile</w:t>
            </w:r>
          </w:p>
        </w:tc>
        <w:tc>
          <w:tcPr>
            <w:tcW w:w="1417" w:type="dxa"/>
            <w:tcBorders>
              <w:top w:val="nil"/>
              <w:left w:val="nil"/>
              <w:bottom w:val="single" w:sz="4" w:space="0" w:color="auto"/>
              <w:right w:val="single" w:sz="4" w:space="0" w:color="auto"/>
            </w:tcBorders>
            <w:shd w:val="clear" w:color="auto" w:fill="C6EFCE"/>
            <w:noWrap/>
            <w:vAlign w:val="center"/>
            <w:hideMark/>
          </w:tcPr>
          <w:p w14:paraId="7D48BC0E" w14:textId="77777777" w:rsidR="00C45D59" w:rsidRDefault="009B0962">
            <w:pPr>
              <w:pStyle w:val="P68B1DB1-Normal55"/>
              <w:keepNext/>
              <w:spacing w:before="40" w:after="0" w:line="240" w:lineRule="auto"/>
              <w:jc w:val="both"/>
              <w:rPr>
                <w:rFonts w:eastAsia="Times New Roman" w:cs="Times New Roman"/>
                <w:noProof/>
                <w:szCs w:val="18"/>
              </w:rPr>
            </w:pPr>
            <w:r>
              <w:rPr>
                <w:noProof/>
              </w:rPr>
              <w:t>Etapă</w:t>
            </w:r>
          </w:p>
        </w:tc>
        <w:tc>
          <w:tcPr>
            <w:tcW w:w="3292" w:type="dxa"/>
            <w:tcBorders>
              <w:top w:val="nil"/>
              <w:left w:val="nil"/>
              <w:bottom w:val="single" w:sz="4" w:space="0" w:color="auto"/>
              <w:right w:val="single" w:sz="4" w:space="0" w:color="auto"/>
            </w:tcBorders>
            <w:shd w:val="clear" w:color="auto" w:fill="C6EFCE"/>
            <w:noWrap/>
            <w:vAlign w:val="center"/>
            <w:hideMark/>
          </w:tcPr>
          <w:p w14:paraId="6A635254" w14:textId="77530E80" w:rsidR="00C45D59" w:rsidRDefault="009B0962">
            <w:pPr>
              <w:pStyle w:val="P68B1DB1-Normal16"/>
              <w:keepNext/>
              <w:spacing w:before="40" w:after="0" w:line="240" w:lineRule="auto"/>
              <w:jc w:val="both"/>
              <w:rPr>
                <w:rFonts w:eastAsia="Times New Roman"/>
                <w:noProof/>
              </w:rPr>
            </w:pPr>
            <w:r>
              <w:rPr>
                <w:noProof/>
              </w:rPr>
              <w:t>Livrarea de echipamente și lucrări de construcție și renovare în clădiri predefinite</w:t>
            </w:r>
          </w:p>
        </w:tc>
      </w:tr>
      <w:tr w:rsidR="00C45D59" w14:paraId="5D294B9D"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84BCF61"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82</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1F5F96AE"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4-1.4. Utilizarea durabilă a resurselor, reziliența la schimbările climatice și protecția mediului – 16911_Mijloace aeriene de gestionare a crizelor</w:t>
            </w:r>
          </w:p>
        </w:tc>
        <w:tc>
          <w:tcPr>
            <w:tcW w:w="1417" w:type="dxa"/>
            <w:tcBorders>
              <w:top w:val="nil"/>
              <w:left w:val="nil"/>
              <w:bottom w:val="single" w:sz="4" w:space="0" w:color="auto"/>
              <w:right w:val="single" w:sz="4" w:space="0" w:color="auto"/>
            </w:tcBorders>
            <w:shd w:val="clear" w:color="auto" w:fill="C6EFCE"/>
            <w:noWrap/>
            <w:vAlign w:val="center"/>
            <w:hideMark/>
          </w:tcPr>
          <w:p w14:paraId="31244DE7" w14:textId="77777777" w:rsidR="00C45D59" w:rsidRDefault="009B0962">
            <w:pPr>
              <w:pStyle w:val="P68B1DB1-Normal55"/>
              <w:keepNext/>
              <w:spacing w:before="40" w:after="0" w:line="240" w:lineRule="auto"/>
              <w:jc w:val="both"/>
              <w:rPr>
                <w:rFonts w:eastAsia="Times New Roman" w:cs="Times New Roman"/>
                <w:noProof/>
                <w:szCs w:val="18"/>
              </w:rPr>
            </w:pPr>
            <w:r>
              <w:rPr>
                <w:noProof/>
              </w:rPr>
              <w:t>Etapă</w:t>
            </w:r>
          </w:p>
        </w:tc>
        <w:tc>
          <w:tcPr>
            <w:tcW w:w="3292" w:type="dxa"/>
            <w:tcBorders>
              <w:top w:val="nil"/>
              <w:left w:val="nil"/>
              <w:bottom w:val="single" w:sz="4" w:space="0" w:color="auto"/>
              <w:right w:val="single" w:sz="4" w:space="0" w:color="auto"/>
            </w:tcBorders>
            <w:shd w:val="clear" w:color="auto" w:fill="C6EFCE"/>
            <w:noWrap/>
            <w:vAlign w:val="center"/>
            <w:hideMark/>
          </w:tcPr>
          <w:p w14:paraId="58CD75B3" w14:textId="77777777" w:rsidR="00C45D59" w:rsidRDefault="009B0962">
            <w:pPr>
              <w:pStyle w:val="P68B1DB1-Normal55"/>
              <w:keepNext/>
              <w:spacing w:before="40" w:after="0" w:line="240" w:lineRule="auto"/>
              <w:jc w:val="both"/>
              <w:rPr>
                <w:rFonts w:eastAsia="Times New Roman" w:cs="Times New Roman"/>
                <w:noProof/>
                <w:szCs w:val="18"/>
              </w:rPr>
            </w:pPr>
            <w:r>
              <w:rPr>
                <w:noProof/>
              </w:rPr>
              <w:t>Finalizarea proiectului de mijloace aeriene pentru gestionarea crizelor</w:t>
            </w:r>
          </w:p>
        </w:tc>
      </w:tr>
      <w:tr w:rsidR="00C45D59" w14:paraId="2BA71542"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4469BFB"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83</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73DAACC5"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4-1.4. Utilizarea durabilă a resurselor, reziliența la schimbările climatice și protecția mediului – 16912_Echipamente de combatere a incendiilor forestiere, de prevenire și de răspuns</w:t>
            </w:r>
          </w:p>
        </w:tc>
        <w:tc>
          <w:tcPr>
            <w:tcW w:w="1417" w:type="dxa"/>
            <w:tcBorders>
              <w:top w:val="nil"/>
              <w:left w:val="nil"/>
              <w:bottom w:val="single" w:sz="4" w:space="0" w:color="auto"/>
              <w:right w:val="single" w:sz="4" w:space="0" w:color="auto"/>
            </w:tcBorders>
            <w:shd w:val="clear" w:color="auto" w:fill="C6EFCE"/>
            <w:noWrap/>
            <w:vAlign w:val="center"/>
            <w:hideMark/>
          </w:tcPr>
          <w:p w14:paraId="2722F170" w14:textId="77777777" w:rsidR="00C45D59" w:rsidRDefault="009B0962">
            <w:pPr>
              <w:pStyle w:val="P68B1DB1-Normal55"/>
              <w:keepNext/>
              <w:spacing w:before="40" w:after="0" w:line="240" w:lineRule="auto"/>
              <w:jc w:val="both"/>
              <w:rPr>
                <w:rFonts w:eastAsia="Times New Roman" w:cs="Times New Roman"/>
                <w:noProof/>
                <w:szCs w:val="18"/>
              </w:rPr>
            </w:pPr>
            <w:r>
              <w:rPr>
                <w:noProof/>
              </w:rPr>
              <w:t>Etapă</w:t>
            </w:r>
          </w:p>
        </w:tc>
        <w:tc>
          <w:tcPr>
            <w:tcW w:w="3292" w:type="dxa"/>
            <w:tcBorders>
              <w:top w:val="nil"/>
              <w:left w:val="nil"/>
              <w:bottom w:val="single" w:sz="4" w:space="0" w:color="auto"/>
              <w:right w:val="single" w:sz="4" w:space="0" w:color="auto"/>
            </w:tcBorders>
            <w:shd w:val="clear" w:color="auto" w:fill="C6EFCE"/>
            <w:noWrap/>
            <w:vAlign w:val="center"/>
            <w:hideMark/>
          </w:tcPr>
          <w:p w14:paraId="02951083" w14:textId="77777777" w:rsidR="00C45D59" w:rsidRDefault="009B0962">
            <w:pPr>
              <w:pStyle w:val="P68B1DB1-Normal55"/>
              <w:keepNext/>
              <w:spacing w:before="40" w:after="0" w:line="240" w:lineRule="auto"/>
              <w:jc w:val="both"/>
              <w:rPr>
                <w:rFonts w:eastAsia="Times New Roman" w:cs="Times New Roman"/>
                <w:noProof/>
                <w:szCs w:val="18"/>
              </w:rPr>
            </w:pPr>
            <w:r>
              <w:rPr>
                <w:noProof/>
              </w:rPr>
              <w:t>Finalizarea echipamentelor de combatere a pădurilor</w:t>
            </w:r>
          </w:p>
        </w:tc>
      </w:tr>
      <w:tr w:rsidR="00C45D59" w14:paraId="511ACABC"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tcPr>
          <w:p w14:paraId="43E74A23" w14:textId="77777777" w:rsidR="00C45D59" w:rsidRDefault="009B0962">
            <w:pPr>
              <w:pStyle w:val="P68B1DB1-Normal11"/>
              <w:spacing w:line="240" w:lineRule="auto"/>
              <w:jc w:val="both"/>
              <w:rPr>
                <w:noProof/>
              </w:rPr>
            </w:pPr>
            <w:r>
              <w:rPr>
                <w:noProof/>
              </w:rPr>
              <w:t>316</w:t>
            </w:r>
          </w:p>
        </w:tc>
        <w:tc>
          <w:tcPr>
            <w:tcW w:w="4820" w:type="dxa"/>
            <w:tcBorders>
              <w:top w:val="nil"/>
              <w:left w:val="single" w:sz="4" w:space="0" w:color="auto"/>
              <w:bottom w:val="single" w:sz="4" w:space="0" w:color="auto"/>
              <w:right w:val="single" w:sz="4" w:space="0" w:color="auto"/>
            </w:tcBorders>
            <w:shd w:val="clear" w:color="auto" w:fill="C6EFCE"/>
            <w:noWrap/>
          </w:tcPr>
          <w:p w14:paraId="1B14044C" w14:textId="77777777" w:rsidR="00C45D59" w:rsidRDefault="009B0962">
            <w:pPr>
              <w:pStyle w:val="P68B1DB1-Normal55"/>
              <w:spacing w:line="240" w:lineRule="auto"/>
              <w:jc w:val="both"/>
              <w:rPr>
                <w:noProof/>
              </w:rPr>
            </w:pPr>
            <w:r>
              <w:rPr>
                <w:noProof/>
              </w:rPr>
              <w:t>4-1.4. Utilizarea durabilă a resurselor, reziliența la schimbările climatice și protecția mediului – 16285_ Strategia națională privind apa</w:t>
            </w:r>
          </w:p>
        </w:tc>
        <w:tc>
          <w:tcPr>
            <w:tcW w:w="1417" w:type="dxa"/>
            <w:tcBorders>
              <w:top w:val="nil"/>
              <w:left w:val="nil"/>
              <w:bottom w:val="single" w:sz="4" w:space="0" w:color="auto"/>
              <w:right w:val="single" w:sz="4" w:space="0" w:color="auto"/>
            </w:tcBorders>
            <w:shd w:val="clear" w:color="auto" w:fill="C6EFCE"/>
            <w:noWrap/>
          </w:tcPr>
          <w:p w14:paraId="69F59A71" w14:textId="77777777" w:rsidR="00C45D59" w:rsidRDefault="009B0962">
            <w:pPr>
              <w:pStyle w:val="P68B1DB1-Normal55"/>
              <w:spacing w:line="240" w:lineRule="auto"/>
              <w:jc w:val="both"/>
              <w:rPr>
                <w:noProof/>
              </w:rPr>
            </w:pPr>
            <w:r>
              <w:rPr>
                <w:noProof/>
              </w:rPr>
              <w:t>Etapă</w:t>
            </w:r>
          </w:p>
        </w:tc>
        <w:tc>
          <w:tcPr>
            <w:tcW w:w="3292" w:type="dxa"/>
            <w:tcBorders>
              <w:top w:val="nil"/>
              <w:left w:val="nil"/>
              <w:bottom w:val="single" w:sz="4" w:space="0" w:color="auto"/>
              <w:right w:val="single" w:sz="4" w:space="0" w:color="auto"/>
            </w:tcBorders>
            <w:shd w:val="clear" w:color="auto" w:fill="C6EFCE"/>
            <w:noWrap/>
          </w:tcPr>
          <w:p w14:paraId="0E32E228" w14:textId="77777777" w:rsidR="00C45D59" w:rsidRDefault="009B0962">
            <w:pPr>
              <w:pStyle w:val="P68B1DB1-Normal55"/>
              <w:spacing w:line="240" w:lineRule="auto"/>
              <w:jc w:val="both"/>
              <w:rPr>
                <w:noProof/>
              </w:rPr>
            </w:pPr>
            <w:r>
              <w:rPr>
                <w:noProof/>
              </w:rPr>
              <w:t>Strategia națională privind apa și extinderea responsabilităților a două servicii de furnizare a apei</w:t>
            </w:r>
          </w:p>
        </w:tc>
      </w:tr>
      <w:tr w:rsidR="00C45D59" w14:paraId="050DF48E"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5DBD1D1"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90</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1D0D0BE1"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5-2.1. Connect – 16818_Infrastructura de fibră optică din clădiri</w:t>
            </w:r>
          </w:p>
        </w:tc>
        <w:tc>
          <w:tcPr>
            <w:tcW w:w="1417" w:type="dxa"/>
            <w:tcBorders>
              <w:top w:val="nil"/>
              <w:left w:val="nil"/>
              <w:bottom w:val="single" w:sz="4" w:space="0" w:color="auto"/>
              <w:right w:val="single" w:sz="4" w:space="0" w:color="auto"/>
            </w:tcBorders>
            <w:shd w:val="clear" w:color="auto" w:fill="C6EFCE"/>
            <w:noWrap/>
            <w:vAlign w:val="center"/>
            <w:hideMark/>
          </w:tcPr>
          <w:p w14:paraId="188D7F1F" w14:textId="77777777" w:rsidR="00C45D59" w:rsidRDefault="009B0962">
            <w:pPr>
              <w:pStyle w:val="P68B1DB1-Normal55"/>
              <w:keepNext/>
              <w:spacing w:before="40" w:after="0" w:line="240" w:lineRule="auto"/>
              <w:jc w:val="both"/>
              <w:rPr>
                <w:rFonts w:eastAsia="Times New Roman" w:cs="Times New Roman"/>
                <w:noProof/>
                <w:szCs w:val="18"/>
              </w:rPr>
            </w:pPr>
            <w:r>
              <w:rPr>
                <w:noProof/>
              </w:rPr>
              <w:t>Țintă</w:t>
            </w:r>
          </w:p>
        </w:tc>
        <w:tc>
          <w:tcPr>
            <w:tcW w:w="3292" w:type="dxa"/>
            <w:tcBorders>
              <w:top w:val="nil"/>
              <w:left w:val="nil"/>
              <w:bottom w:val="single" w:sz="4" w:space="0" w:color="auto"/>
              <w:right w:val="single" w:sz="4" w:space="0" w:color="auto"/>
            </w:tcBorders>
            <w:shd w:val="clear" w:color="auto" w:fill="C6EFCE"/>
            <w:noWrap/>
            <w:vAlign w:val="center"/>
            <w:hideMark/>
          </w:tcPr>
          <w:p w14:paraId="07528D93" w14:textId="77777777" w:rsidR="00C45D59" w:rsidRDefault="009B0962">
            <w:pPr>
              <w:pStyle w:val="P68B1DB1-Normal55"/>
              <w:keepNext/>
              <w:spacing w:before="40" w:after="0" w:line="240" w:lineRule="auto"/>
              <w:jc w:val="both"/>
              <w:rPr>
                <w:rFonts w:eastAsia="Times New Roman" w:cs="Times New Roman"/>
                <w:noProof/>
                <w:szCs w:val="18"/>
              </w:rPr>
            </w:pPr>
            <w:r>
              <w:rPr>
                <w:noProof/>
              </w:rPr>
              <w:t>Execuția proiectului „Infrastructura de fibră optică în clădiri”</w:t>
            </w:r>
          </w:p>
        </w:tc>
      </w:tr>
      <w:tr w:rsidR="00C45D59" w14:paraId="0CC7967A"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C921493" w14:textId="3719CDD8" w:rsidR="00C45D59" w:rsidRDefault="009B0962">
            <w:pPr>
              <w:pStyle w:val="P68B1DB1-Normal55"/>
              <w:keepNext/>
              <w:spacing w:before="40" w:after="0" w:line="240" w:lineRule="auto"/>
              <w:jc w:val="both"/>
              <w:rPr>
                <w:noProof/>
              </w:rPr>
            </w:pPr>
            <w:r>
              <w:rPr>
                <w:noProof/>
              </w:rPr>
              <w:t>92a</w:t>
            </w:r>
          </w:p>
        </w:tc>
        <w:tc>
          <w:tcPr>
            <w:tcW w:w="4820" w:type="dxa"/>
            <w:tcBorders>
              <w:top w:val="nil"/>
              <w:left w:val="single" w:sz="4" w:space="0" w:color="auto"/>
              <w:bottom w:val="single" w:sz="4" w:space="0" w:color="auto"/>
              <w:right w:val="single" w:sz="4" w:space="0" w:color="auto"/>
            </w:tcBorders>
            <w:shd w:val="clear" w:color="auto" w:fill="C6EFCE"/>
            <w:noWrap/>
            <w:vAlign w:val="center"/>
          </w:tcPr>
          <w:p w14:paraId="1B2C373A" w14:textId="47218A45" w:rsidR="00C45D59" w:rsidRDefault="009B0962">
            <w:pPr>
              <w:pStyle w:val="P68B1DB1-Normal55"/>
              <w:keepNext/>
              <w:spacing w:before="40" w:after="0" w:line="240" w:lineRule="auto"/>
              <w:jc w:val="both"/>
              <w:rPr>
                <w:noProof/>
              </w:rPr>
            </w:pPr>
            <w:r>
              <w:rPr>
                <w:noProof/>
              </w:rPr>
              <w:t>5-2.1. Connect – 16855_Sateliți de mici dimensiuni</w:t>
            </w:r>
          </w:p>
        </w:tc>
        <w:tc>
          <w:tcPr>
            <w:tcW w:w="1417" w:type="dxa"/>
            <w:tcBorders>
              <w:top w:val="nil"/>
              <w:left w:val="nil"/>
              <w:bottom w:val="single" w:sz="4" w:space="0" w:color="auto"/>
              <w:right w:val="single" w:sz="4" w:space="0" w:color="auto"/>
            </w:tcBorders>
            <w:shd w:val="clear" w:color="auto" w:fill="C6EFCE"/>
            <w:noWrap/>
            <w:vAlign w:val="center"/>
          </w:tcPr>
          <w:p w14:paraId="0A4F6E29" w14:textId="78710AA3" w:rsidR="00C45D59" w:rsidRDefault="009B0962">
            <w:pPr>
              <w:pStyle w:val="P68B1DB1-Normal55"/>
              <w:keepNext/>
              <w:spacing w:before="40" w:after="0" w:line="240" w:lineRule="auto"/>
              <w:jc w:val="both"/>
              <w:rPr>
                <w:noProof/>
              </w:rPr>
            </w:pPr>
            <w:r>
              <w:rPr>
                <w:noProof/>
              </w:rPr>
              <w:t>Etapă</w:t>
            </w:r>
          </w:p>
        </w:tc>
        <w:tc>
          <w:tcPr>
            <w:tcW w:w="3292" w:type="dxa"/>
            <w:tcBorders>
              <w:top w:val="nil"/>
              <w:left w:val="nil"/>
              <w:bottom w:val="single" w:sz="4" w:space="0" w:color="auto"/>
              <w:right w:val="single" w:sz="4" w:space="0" w:color="auto"/>
            </w:tcBorders>
            <w:shd w:val="clear" w:color="auto" w:fill="C6EFCE"/>
            <w:noWrap/>
            <w:vAlign w:val="center"/>
          </w:tcPr>
          <w:p w14:paraId="2441D651" w14:textId="716A0F30" w:rsidR="00C45D59" w:rsidRDefault="009B0962">
            <w:pPr>
              <w:pStyle w:val="P68B1DB1-Normal55"/>
              <w:keepNext/>
              <w:spacing w:before="40" w:after="0" w:line="240" w:lineRule="auto"/>
              <w:jc w:val="both"/>
              <w:rPr>
                <w:noProof/>
              </w:rPr>
            </w:pPr>
            <w:r>
              <w:rPr>
                <w:noProof/>
              </w:rPr>
              <w:t>Semnarea modificării acordului privind proiectul și transferul fondurilor</w:t>
            </w:r>
          </w:p>
        </w:tc>
      </w:tr>
      <w:tr w:rsidR="00C45D59" w14:paraId="26234C76"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3F6819C"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95</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32D72A78"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 6-2.2. Modernizare – 16778_Digitalizarea arhivelor și a serviciilor conexe</w:t>
            </w:r>
          </w:p>
        </w:tc>
        <w:tc>
          <w:tcPr>
            <w:tcW w:w="1417" w:type="dxa"/>
            <w:tcBorders>
              <w:top w:val="nil"/>
              <w:left w:val="nil"/>
              <w:bottom w:val="single" w:sz="4" w:space="0" w:color="auto"/>
              <w:right w:val="single" w:sz="4" w:space="0" w:color="auto"/>
            </w:tcBorders>
            <w:shd w:val="clear" w:color="auto" w:fill="C6EFCE"/>
            <w:noWrap/>
            <w:vAlign w:val="center"/>
            <w:hideMark/>
          </w:tcPr>
          <w:p w14:paraId="03850D8C" w14:textId="77777777" w:rsidR="00C45D59" w:rsidRDefault="009B0962">
            <w:pPr>
              <w:pStyle w:val="P68B1DB1-Normal55"/>
              <w:keepNext/>
              <w:spacing w:before="40" w:after="0" w:line="240" w:lineRule="auto"/>
              <w:jc w:val="both"/>
              <w:rPr>
                <w:rFonts w:eastAsia="Times New Roman" w:cs="Times New Roman"/>
                <w:noProof/>
                <w:szCs w:val="18"/>
              </w:rPr>
            </w:pPr>
            <w:r>
              <w:rPr>
                <w:noProof/>
              </w:rPr>
              <w:t>Etapă</w:t>
            </w:r>
          </w:p>
        </w:tc>
        <w:tc>
          <w:tcPr>
            <w:tcW w:w="3292" w:type="dxa"/>
            <w:tcBorders>
              <w:top w:val="nil"/>
              <w:left w:val="nil"/>
              <w:bottom w:val="single" w:sz="4" w:space="0" w:color="auto"/>
              <w:right w:val="single" w:sz="4" w:space="0" w:color="auto"/>
            </w:tcBorders>
            <w:shd w:val="clear" w:color="auto" w:fill="C6EFCE"/>
            <w:noWrap/>
            <w:vAlign w:val="center"/>
            <w:hideMark/>
          </w:tcPr>
          <w:p w14:paraId="22656012" w14:textId="77777777" w:rsidR="00C45D59" w:rsidRDefault="009B0962">
            <w:pPr>
              <w:pStyle w:val="P68B1DB1-Normal55"/>
              <w:keepNext/>
              <w:spacing w:before="40" w:after="0" w:line="240" w:lineRule="auto"/>
              <w:jc w:val="both"/>
              <w:rPr>
                <w:rFonts w:eastAsia="Times New Roman" w:cs="Times New Roman"/>
                <w:noProof/>
                <w:szCs w:val="18"/>
              </w:rPr>
            </w:pPr>
            <w:r>
              <w:rPr>
                <w:noProof/>
              </w:rPr>
              <w:t>Digitalizarea arhivelor</w:t>
            </w:r>
          </w:p>
        </w:tc>
      </w:tr>
      <w:tr w:rsidR="00C45D59" w14:paraId="008130AA"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3390E01"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99</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2EDB0C9D"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 6-2.2. Modernizare – 16929_Către servicii orientate către client ale administrației publice prin simplificarea și îmbunătățirea proceselor, a îmbunătățirilor sistemelor și a conformității cu strategiile și politicile europene</w:t>
            </w:r>
          </w:p>
        </w:tc>
        <w:tc>
          <w:tcPr>
            <w:tcW w:w="1417" w:type="dxa"/>
            <w:tcBorders>
              <w:top w:val="nil"/>
              <w:left w:val="nil"/>
              <w:bottom w:val="single" w:sz="4" w:space="0" w:color="auto"/>
              <w:right w:val="single" w:sz="4" w:space="0" w:color="auto"/>
            </w:tcBorders>
            <w:shd w:val="clear" w:color="auto" w:fill="C6EFCE"/>
            <w:noWrap/>
            <w:vAlign w:val="center"/>
            <w:hideMark/>
          </w:tcPr>
          <w:p w14:paraId="247FAB1E" w14:textId="77777777" w:rsidR="00C45D59" w:rsidRDefault="009B0962">
            <w:pPr>
              <w:pStyle w:val="P68B1DB1-Normal55"/>
              <w:keepNext/>
              <w:spacing w:before="40" w:after="0" w:line="240" w:lineRule="auto"/>
              <w:jc w:val="both"/>
              <w:rPr>
                <w:rFonts w:eastAsia="Times New Roman" w:cs="Times New Roman"/>
                <w:noProof/>
                <w:szCs w:val="18"/>
              </w:rPr>
            </w:pPr>
            <w:r>
              <w:rPr>
                <w:noProof/>
              </w:rPr>
              <w:t>Etapă</w:t>
            </w:r>
          </w:p>
        </w:tc>
        <w:tc>
          <w:tcPr>
            <w:tcW w:w="3292" w:type="dxa"/>
            <w:tcBorders>
              <w:top w:val="nil"/>
              <w:left w:val="nil"/>
              <w:bottom w:val="single" w:sz="4" w:space="0" w:color="auto"/>
              <w:right w:val="single" w:sz="4" w:space="0" w:color="auto"/>
            </w:tcBorders>
            <w:shd w:val="clear" w:color="auto" w:fill="C6EFCE"/>
            <w:noWrap/>
            <w:vAlign w:val="center"/>
            <w:hideMark/>
          </w:tcPr>
          <w:p w14:paraId="50D46DB2" w14:textId="77777777" w:rsidR="00C45D59" w:rsidRDefault="009B0962">
            <w:pPr>
              <w:pStyle w:val="P68B1DB1-Normal55"/>
              <w:keepNext/>
              <w:spacing w:before="40" w:after="0" w:line="240" w:lineRule="auto"/>
              <w:jc w:val="both"/>
              <w:rPr>
                <w:rFonts w:eastAsia="Times New Roman" w:cs="Times New Roman"/>
                <w:noProof/>
                <w:szCs w:val="18"/>
              </w:rPr>
            </w:pPr>
            <w:r>
              <w:rPr>
                <w:noProof/>
              </w:rPr>
              <w:t>Reducerea sarcinii administrative în administrația publică</w:t>
            </w:r>
          </w:p>
        </w:tc>
      </w:tr>
      <w:tr w:rsidR="00C45D59" w14:paraId="6C8C682A" w14:textId="77777777">
        <w:trPr>
          <w:trHeight w:val="300"/>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734ABEB" w14:textId="77777777" w:rsidR="00C45D59" w:rsidRDefault="009B0962">
            <w:pPr>
              <w:pStyle w:val="P68B1DB1-Normal11"/>
              <w:keepNext/>
              <w:spacing w:before="40" w:after="0" w:line="240" w:lineRule="auto"/>
              <w:jc w:val="both"/>
              <w:rPr>
                <w:rFonts w:eastAsia="Times New Roman" w:cs="Times New Roman"/>
                <w:noProof/>
              </w:rPr>
            </w:pPr>
            <w:r>
              <w:rPr>
                <w:noProof/>
              </w:rPr>
              <w:t>108</w:t>
            </w:r>
          </w:p>
        </w:tc>
        <w:tc>
          <w:tcPr>
            <w:tcW w:w="4820" w:type="dxa"/>
            <w:tcBorders>
              <w:top w:val="nil"/>
              <w:left w:val="single" w:sz="4" w:space="0" w:color="auto"/>
              <w:bottom w:val="single" w:sz="4" w:space="0" w:color="auto"/>
              <w:right w:val="single" w:sz="4" w:space="0" w:color="auto"/>
            </w:tcBorders>
            <w:shd w:val="clear" w:color="auto" w:fill="C6EFCE"/>
            <w:noWrap/>
            <w:vAlign w:val="center"/>
          </w:tcPr>
          <w:p w14:paraId="3AB43F1F" w14:textId="77777777" w:rsidR="00C45D59" w:rsidRDefault="009B0962">
            <w:pPr>
              <w:pStyle w:val="P68B1DB1-Normal11"/>
              <w:keepNext/>
              <w:spacing w:before="40" w:after="0" w:line="240" w:lineRule="auto"/>
              <w:jc w:val="both"/>
              <w:rPr>
                <w:rFonts w:eastAsia="Times New Roman" w:cs="Times New Roman"/>
                <w:noProof/>
              </w:rPr>
            </w:pPr>
            <w:r>
              <w:rPr>
                <w:noProof/>
              </w:rPr>
              <w:t>6-2.2. Modernizare – 16779_Servicii web și Centrul de interoperabilitate de nouă generație (KED)</w:t>
            </w:r>
          </w:p>
        </w:tc>
        <w:tc>
          <w:tcPr>
            <w:tcW w:w="1417" w:type="dxa"/>
            <w:tcBorders>
              <w:top w:val="nil"/>
              <w:left w:val="nil"/>
              <w:bottom w:val="single" w:sz="4" w:space="0" w:color="auto"/>
              <w:right w:val="single" w:sz="4" w:space="0" w:color="auto"/>
            </w:tcBorders>
            <w:shd w:val="clear" w:color="auto" w:fill="C6EFCE"/>
            <w:noWrap/>
            <w:vAlign w:val="center"/>
          </w:tcPr>
          <w:p w14:paraId="2FE66B18" w14:textId="77777777" w:rsidR="00C45D59" w:rsidRDefault="009B0962">
            <w:pPr>
              <w:pStyle w:val="P68B1DB1-Normal11"/>
              <w:keepNext/>
              <w:spacing w:before="40" w:after="0" w:line="240" w:lineRule="auto"/>
              <w:jc w:val="both"/>
              <w:rPr>
                <w:rFonts w:eastAsia="Times New Roman" w:cs="Times New Roman"/>
                <w:noProof/>
              </w:rPr>
            </w:pPr>
            <w:r>
              <w:rPr>
                <w:noProof/>
              </w:rPr>
              <w:t>Etapă</w:t>
            </w:r>
          </w:p>
        </w:tc>
        <w:tc>
          <w:tcPr>
            <w:tcW w:w="3292" w:type="dxa"/>
            <w:tcBorders>
              <w:top w:val="nil"/>
              <w:left w:val="nil"/>
              <w:bottom w:val="single" w:sz="4" w:space="0" w:color="auto"/>
              <w:right w:val="single" w:sz="4" w:space="0" w:color="auto"/>
            </w:tcBorders>
            <w:shd w:val="clear" w:color="auto" w:fill="C6EFCE"/>
            <w:noWrap/>
            <w:vAlign w:val="center"/>
            <w:hideMark/>
          </w:tcPr>
          <w:p w14:paraId="35A74199" w14:textId="77777777" w:rsidR="00C45D59" w:rsidRDefault="009B0962">
            <w:pPr>
              <w:pStyle w:val="P68B1DB1-Normal16"/>
              <w:keepNext/>
              <w:spacing w:before="40" w:after="0" w:line="240" w:lineRule="auto"/>
              <w:jc w:val="both"/>
              <w:rPr>
                <w:rFonts w:eastAsia="Times New Roman"/>
                <w:noProof/>
              </w:rPr>
            </w:pPr>
            <w:r>
              <w:rPr>
                <w:noProof/>
              </w:rPr>
              <w:t>Furnizarea de servicii web și Centrul de interoperabilitate de nouă generație (KED)</w:t>
            </w:r>
          </w:p>
        </w:tc>
      </w:tr>
      <w:tr w:rsidR="00C45D59" w14:paraId="46754E50"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1850E70" w14:textId="77777777" w:rsidR="00C45D59" w:rsidRDefault="009B0962">
            <w:pPr>
              <w:pStyle w:val="P68B1DB1-Normal55"/>
              <w:keepNext/>
              <w:spacing w:before="40" w:after="0" w:line="240" w:lineRule="auto"/>
              <w:jc w:val="both"/>
              <w:rPr>
                <w:noProof/>
              </w:rPr>
            </w:pPr>
            <w:r>
              <w:rPr>
                <w:noProof/>
              </w:rPr>
              <w:t>110b</w:t>
            </w:r>
          </w:p>
        </w:tc>
        <w:tc>
          <w:tcPr>
            <w:tcW w:w="4820" w:type="dxa"/>
            <w:tcBorders>
              <w:top w:val="nil"/>
              <w:left w:val="single" w:sz="4" w:space="0" w:color="auto"/>
              <w:bottom w:val="single" w:sz="4" w:space="0" w:color="auto"/>
              <w:right w:val="single" w:sz="4" w:space="0" w:color="auto"/>
            </w:tcBorders>
            <w:shd w:val="clear" w:color="auto" w:fill="C6EFCE"/>
            <w:noWrap/>
            <w:vAlign w:val="center"/>
          </w:tcPr>
          <w:p w14:paraId="4887D034" w14:textId="77777777" w:rsidR="00C45D59" w:rsidRDefault="009B0962">
            <w:pPr>
              <w:pStyle w:val="P68B1DB1-Normal55"/>
              <w:keepNext/>
              <w:spacing w:before="40" w:after="0" w:line="240" w:lineRule="auto"/>
              <w:jc w:val="both"/>
              <w:rPr>
                <w:noProof/>
              </w:rPr>
            </w:pPr>
            <w:r>
              <w:rPr>
                <w:noProof/>
              </w:rPr>
              <w:t>6-2.2. Modernizare – 16780_Modernizarea ghișeelor unice ale administrației publice</w:t>
            </w:r>
          </w:p>
        </w:tc>
        <w:tc>
          <w:tcPr>
            <w:tcW w:w="1417" w:type="dxa"/>
            <w:tcBorders>
              <w:top w:val="nil"/>
              <w:left w:val="nil"/>
              <w:bottom w:val="single" w:sz="4" w:space="0" w:color="auto"/>
              <w:right w:val="single" w:sz="4" w:space="0" w:color="auto"/>
            </w:tcBorders>
            <w:shd w:val="clear" w:color="auto" w:fill="C6EFCE"/>
            <w:noWrap/>
            <w:vAlign w:val="center"/>
          </w:tcPr>
          <w:p w14:paraId="1D4B3BDA" w14:textId="77777777" w:rsidR="00C45D59" w:rsidRDefault="009B0962">
            <w:pPr>
              <w:pStyle w:val="P68B1DB1-Normal55"/>
              <w:keepNext/>
              <w:spacing w:before="40" w:after="0" w:line="240" w:lineRule="auto"/>
              <w:jc w:val="both"/>
              <w:rPr>
                <w:noProof/>
              </w:rPr>
            </w:pPr>
            <w:r>
              <w:rPr>
                <w:noProof/>
              </w:rPr>
              <w:t>Etapă</w:t>
            </w:r>
          </w:p>
        </w:tc>
        <w:tc>
          <w:tcPr>
            <w:tcW w:w="3292" w:type="dxa"/>
            <w:tcBorders>
              <w:top w:val="nil"/>
              <w:left w:val="nil"/>
              <w:bottom w:val="single" w:sz="4" w:space="0" w:color="auto"/>
              <w:right w:val="single" w:sz="4" w:space="0" w:color="auto"/>
            </w:tcBorders>
            <w:shd w:val="clear" w:color="auto" w:fill="C6EFCE"/>
            <w:noWrap/>
            <w:vAlign w:val="center"/>
          </w:tcPr>
          <w:p w14:paraId="6A43CF51" w14:textId="77777777" w:rsidR="00C45D59" w:rsidRDefault="009B0962">
            <w:pPr>
              <w:pStyle w:val="P68B1DB1-Normal55"/>
              <w:keepNext/>
              <w:spacing w:before="40" w:after="0" w:line="240" w:lineRule="auto"/>
              <w:jc w:val="both"/>
              <w:rPr>
                <w:noProof/>
              </w:rPr>
            </w:pPr>
            <w:r>
              <w:rPr>
                <w:noProof/>
              </w:rPr>
              <w:t>Renovarea ghișeelor unice ale administrației publice </w:t>
            </w:r>
          </w:p>
        </w:tc>
      </w:tr>
      <w:tr w:rsidR="00C45D59" w14:paraId="21B26171"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D4A1E85"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119</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3F81846C"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6-2.2. Modernizare – 16736_Noul sistem de achiziții publice</w:t>
            </w:r>
          </w:p>
        </w:tc>
        <w:tc>
          <w:tcPr>
            <w:tcW w:w="1417" w:type="dxa"/>
            <w:tcBorders>
              <w:top w:val="nil"/>
              <w:left w:val="nil"/>
              <w:bottom w:val="single" w:sz="4" w:space="0" w:color="auto"/>
              <w:right w:val="single" w:sz="4" w:space="0" w:color="auto"/>
            </w:tcBorders>
            <w:shd w:val="clear" w:color="auto" w:fill="C6EFCE"/>
            <w:noWrap/>
            <w:vAlign w:val="center"/>
            <w:hideMark/>
          </w:tcPr>
          <w:p w14:paraId="66C1EE3C" w14:textId="77777777" w:rsidR="00C45D59" w:rsidRDefault="009B0962">
            <w:pPr>
              <w:pStyle w:val="P68B1DB1-Normal55"/>
              <w:keepNext/>
              <w:spacing w:before="40" w:after="0" w:line="240" w:lineRule="auto"/>
              <w:jc w:val="both"/>
              <w:rPr>
                <w:rFonts w:eastAsia="Times New Roman" w:cs="Times New Roman"/>
                <w:noProof/>
                <w:szCs w:val="18"/>
              </w:rPr>
            </w:pPr>
            <w:r>
              <w:rPr>
                <w:noProof/>
              </w:rPr>
              <w:t>Etapă</w:t>
            </w:r>
          </w:p>
        </w:tc>
        <w:tc>
          <w:tcPr>
            <w:tcW w:w="3292" w:type="dxa"/>
            <w:tcBorders>
              <w:top w:val="nil"/>
              <w:left w:val="nil"/>
              <w:bottom w:val="single" w:sz="4" w:space="0" w:color="auto"/>
              <w:right w:val="single" w:sz="4" w:space="0" w:color="auto"/>
            </w:tcBorders>
            <w:shd w:val="clear" w:color="auto" w:fill="C6EFCE"/>
            <w:noWrap/>
            <w:vAlign w:val="center"/>
            <w:hideMark/>
          </w:tcPr>
          <w:p w14:paraId="38DD6D2E" w14:textId="77777777" w:rsidR="00C45D59" w:rsidRDefault="009B0962">
            <w:pPr>
              <w:pStyle w:val="P68B1DB1-Normal55"/>
              <w:keepNext/>
              <w:spacing w:before="40" w:after="0" w:line="240" w:lineRule="auto"/>
              <w:jc w:val="both"/>
              <w:rPr>
                <w:rFonts w:eastAsia="Times New Roman" w:cs="Times New Roman"/>
                <w:noProof/>
                <w:szCs w:val="18"/>
              </w:rPr>
            </w:pPr>
            <w:r>
              <w:rPr>
                <w:noProof/>
              </w:rPr>
              <w:t>Punerea în aplicare a noului sistem de achiziții publice</w:t>
            </w:r>
          </w:p>
        </w:tc>
      </w:tr>
      <w:tr w:rsidR="00C45D59" w14:paraId="2B530E31"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350FCD3"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120</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64FFFD25" w14:textId="7F903FFB" w:rsidR="00C45D59" w:rsidRDefault="009B0962">
            <w:pPr>
              <w:pStyle w:val="P68B1DB1-Normal55"/>
              <w:keepNext/>
              <w:spacing w:before="40" w:after="0" w:line="240" w:lineRule="auto"/>
              <w:jc w:val="both"/>
              <w:rPr>
                <w:rFonts w:eastAsia="Times New Roman" w:cs="Times New Roman"/>
                <w:bCs/>
                <w:noProof/>
                <w:szCs w:val="18"/>
              </w:rPr>
            </w:pPr>
            <w:r>
              <w:rPr>
                <w:noProof/>
              </w:rPr>
              <w:t>6-2.2. Modernizare – 16824_E-Registries</w:t>
            </w:r>
          </w:p>
        </w:tc>
        <w:tc>
          <w:tcPr>
            <w:tcW w:w="1417" w:type="dxa"/>
            <w:tcBorders>
              <w:top w:val="nil"/>
              <w:left w:val="nil"/>
              <w:bottom w:val="single" w:sz="4" w:space="0" w:color="auto"/>
              <w:right w:val="single" w:sz="4" w:space="0" w:color="auto"/>
            </w:tcBorders>
            <w:shd w:val="clear" w:color="auto" w:fill="C6EFCE"/>
            <w:noWrap/>
            <w:vAlign w:val="center"/>
            <w:hideMark/>
          </w:tcPr>
          <w:p w14:paraId="4B9F741E" w14:textId="77777777" w:rsidR="00C45D59" w:rsidRDefault="009B0962">
            <w:pPr>
              <w:pStyle w:val="P68B1DB1-Normal55"/>
              <w:keepNext/>
              <w:spacing w:before="40" w:after="0" w:line="240" w:lineRule="auto"/>
              <w:jc w:val="both"/>
              <w:rPr>
                <w:rFonts w:eastAsia="Times New Roman" w:cs="Times New Roman"/>
                <w:noProof/>
                <w:szCs w:val="18"/>
              </w:rPr>
            </w:pPr>
            <w:r>
              <w:rPr>
                <w:noProof/>
              </w:rPr>
              <w:t>Etapă</w:t>
            </w:r>
          </w:p>
        </w:tc>
        <w:tc>
          <w:tcPr>
            <w:tcW w:w="3292" w:type="dxa"/>
            <w:tcBorders>
              <w:top w:val="nil"/>
              <w:left w:val="nil"/>
              <w:bottom w:val="single" w:sz="4" w:space="0" w:color="auto"/>
              <w:right w:val="single" w:sz="4" w:space="0" w:color="auto"/>
            </w:tcBorders>
            <w:shd w:val="clear" w:color="auto" w:fill="C6EFCE"/>
            <w:noWrap/>
            <w:vAlign w:val="center"/>
            <w:hideMark/>
          </w:tcPr>
          <w:p w14:paraId="3F369085" w14:textId="46808CEE" w:rsidR="00C45D59" w:rsidRDefault="009B0962">
            <w:pPr>
              <w:pStyle w:val="P68B1DB1-Normal55"/>
              <w:keepNext/>
              <w:spacing w:before="40" w:after="0" w:line="240" w:lineRule="auto"/>
              <w:jc w:val="both"/>
              <w:rPr>
                <w:rFonts w:eastAsia="Times New Roman" w:cs="Times New Roman"/>
                <w:noProof/>
                <w:szCs w:val="18"/>
              </w:rPr>
            </w:pPr>
            <w:r>
              <w:rPr>
                <w:noProof/>
              </w:rPr>
              <w:t>Furnizarea de registre și/sau platforme electronice</w:t>
            </w:r>
          </w:p>
        </w:tc>
      </w:tr>
      <w:tr w:rsidR="00C45D59" w14:paraId="7515EF7A"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C543968"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123</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362B08D3"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6-2.2. Modernizare – 16854_Orașe inteligente</w:t>
            </w:r>
          </w:p>
        </w:tc>
        <w:tc>
          <w:tcPr>
            <w:tcW w:w="1417" w:type="dxa"/>
            <w:tcBorders>
              <w:top w:val="nil"/>
              <w:left w:val="nil"/>
              <w:bottom w:val="single" w:sz="4" w:space="0" w:color="auto"/>
              <w:right w:val="single" w:sz="4" w:space="0" w:color="auto"/>
            </w:tcBorders>
            <w:shd w:val="clear" w:color="auto" w:fill="C6EFCE"/>
            <w:noWrap/>
            <w:vAlign w:val="center"/>
            <w:hideMark/>
          </w:tcPr>
          <w:p w14:paraId="2BFE496A" w14:textId="77777777" w:rsidR="00C45D59" w:rsidRDefault="009B0962">
            <w:pPr>
              <w:pStyle w:val="P68B1DB1-Normal55"/>
              <w:keepNext/>
              <w:spacing w:before="40" w:after="0" w:line="240" w:lineRule="auto"/>
              <w:jc w:val="both"/>
              <w:rPr>
                <w:rFonts w:eastAsia="Times New Roman" w:cs="Times New Roman"/>
                <w:noProof/>
                <w:szCs w:val="18"/>
              </w:rPr>
            </w:pPr>
            <w:r>
              <w:rPr>
                <w:noProof/>
              </w:rPr>
              <w:t>Țintă</w:t>
            </w:r>
          </w:p>
        </w:tc>
        <w:tc>
          <w:tcPr>
            <w:tcW w:w="3292" w:type="dxa"/>
            <w:tcBorders>
              <w:top w:val="nil"/>
              <w:left w:val="nil"/>
              <w:bottom w:val="single" w:sz="4" w:space="0" w:color="auto"/>
              <w:right w:val="single" w:sz="4" w:space="0" w:color="auto"/>
            </w:tcBorders>
            <w:shd w:val="clear" w:color="auto" w:fill="C6EFCE"/>
            <w:noWrap/>
            <w:vAlign w:val="center"/>
            <w:hideMark/>
          </w:tcPr>
          <w:p w14:paraId="55533B47" w14:textId="77777777" w:rsidR="00C45D59" w:rsidRDefault="009B0962">
            <w:pPr>
              <w:pStyle w:val="P68B1DB1-Normal55"/>
              <w:keepNext/>
              <w:spacing w:before="40" w:after="0" w:line="240" w:lineRule="auto"/>
              <w:jc w:val="both"/>
              <w:rPr>
                <w:rFonts w:eastAsia="Times New Roman" w:cs="Times New Roman"/>
                <w:noProof/>
                <w:szCs w:val="18"/>
              </w:rPr>
            </w:pPr>
            <w:r>
              <w:rPr>
                <w:noProof/>
              </w:rPr>
              <w:t>Realizarea proiectelor de „orașe inteligente”</w:t>
            </w:r>
          </w:p>
        </w:tc>
      </w:tr>
      <w:tr w:rsidR="00C45D59" w14:paraId="13B8ED6E"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5910F9B"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124</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0910A9EB"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6-2.2. Modernizare – 16928_Încorporarea de noi tehnologii și tendințe în direcția unor servicii avansate ale administrației publice, creșterea eficienței și a eficacității și reducerea costurilor de funcționare, modernizare și întreținere a sistemelor</w:t>
            </w:r>
          </w:p>
        </w:tc>
        <w:tc>
          <w:tcPr>
            <w:tcW w:w="1417" w:type="dxa"/>
            <w:tcBorders>
              <w:top w:val="nil"/>
              <w:left w:val="nil"/>
              <w:bottom w:val="single" w:sz="4" w:space="0" w:color="auto"/>
              <w:right w:val="single" w:sz="4" w:space="0" w:color="auto"/>
            </w:tcBorders>
            <w:shd w:val="clear" w:color="auto" w:fill="C6EFCE"/>
            <w:noWrap/>
            <w:vAlign w:val="center"/>
            <w:hideMark/>
          </w:tcPr>
          <w:p w14:paraId="5F535278" w14:textId="77777777" w:rsidR="00C45D59" w:rsidRDefault="009B0962">
            <w:pPr>
              <w:pStyle w:val="P68B1DB1-Normal55"/>
              <w:keepNext/>
              <w:spacing w:before="40" w:after="0" w:line="240" w:lineRule="auto"/>
              <w:jc w:val="both"/>
              <w:rPr>
                <w:rFonts w:eastAsia="Times New Roman" w:cs="Times New Roman"/>
                <w:noProof/>
                <w:szCs w:val="18"/>
              </w:rPr>
            </w:pPr>
            <w:r>
              <w:rPr>
                <w:noProof/>
              </w:rPr>
              <w:t>Etapă</w:t>
            </w:r>
          </w:p>
        </w:tc>
        <w:tc>
          <w:tcPr>
            <w:tcW w:w="3292" w:type="dxa"/>
            <w:tcBorders>
              <w:top w:val="nil"/>
              <w:left w:val="nil"/>
              <w:bottom w:val="single" w:sz="4" w:space="0" w:color="auto"/>
              <w:right w:val="single" w:sz="4" w:space="0" w:color="auto"/>
            </w:tcBorders>
            <w:shd w:val="clear" w:color="auto" w:fill="C6EFCE"/>
            <w:noWrap/>
            <w:vAlign w:val="center"/>
            <w:hideMark/>
          </w:tcPr>
          <w:p w14:paraId="1A8FA4FB" w14:textId="6D120013" w:rsidR="00C45D59" w:rsidRDefault="009B0962">
            <w:pPr>
              <w:pStyle w:val="P68B1DB1-Normal36"/>
              <w:keepNext/>
              <w:spacing w:before="40" w:after="0" w:line="240" w:lineRule="auto"/>
              <w:jc w:val="both"/>
              <w:rPr>
                <w:rFonts w:ascii="Times New Roman" w:eastAsia="Times New Roman" w:hAnsi="Times New Roman" w:cs="Times New Roman"/>
                <w:noProof/>
                <w:szCs w:val="18"/>
              </w:rPr>
            </w:pPr>
            <w:r>
              <w:rPr>
                <w:rFonts w:ascii="Times New Roman" w:hAnsi="Times New Roman"/>
                <w:noProof/>
              </w:rPr>
              <w:t>Cadrul pentru încorporarea noilor tehnologii în administrația publică</w:t>
            </w:r>
            <w:r>
              <w:rPr>
                <w:rFonts w:ascii="Times New Roman" w:hAnsi="Times New Roman" w:cs="Times New Roman"/>
                <w:noProof/>
                <w:szCs w:val="18"/>
              </w:rPr>
              <w:t xml:space="preserve"> și o politică privind datele deschise și reutilizabile</w:t>
            </w:r>
          </w:p>
        </w:tc>
      </w:tr>
      <w:tr w:rsidR="00C45D59" w14:paraId="520E5584"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87949F0"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125</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20163FC6"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6-2.2. Modernizare – 16955_Modernizarea infrastructurii și a serviciilor de cloud computing ale infrastructurilor naționale de cercetare și tehnologie (GRNET)</w:t>
            </w:r>
          </w:p>
        </w:tc>
        <w:tc>
          <w:tcPr>
            <w:tcW w:w="1417" w:type="dxa"/>
            <w:tcBorders>
              <w:top w:val="nil"/>
              <w:left w:val="nil"/>
              <w:bottom w:val="single" w:sz="4" w:space="0" w:color="auto"/>
              <w:right w:val="single" w:sz="4" w:space="0" w:color="auto"/>
            </w:tcBorders>
            <w:shd w:val="clear" w:color="auto" w:fill="C6EFCE"/>
            <w:noWrap/>
            <w:vAlign w:val="center"/>
            <w:hideMark/>
          </w:tcPr>
          <w:p w14:paraId="109962A1" w14:textId="77777777" w:rsidR="00C45D59" w:rsidRDefault="009B0962">
            <w:pPr>
              <w:pStyle w:val="P68B1DB1-Normal55"/>
              <w:keepNext/>
              <w:spacing w:before="40" w:after="0" w:line="240" w:lineRule="auto"/>
              <w:jc w:val="both"/>
              <w:rPr>
                <w:rFonts w:eastAsia="Times New Roman" w:cs="Times New Roman"/>
                <w:noProof/>
                <w:szCs w:val="18"/>
              </w:rPr>
            </w:pPr>
            <w:r>
              <w:rPr>
                <w:noProof/>
              </w:rPr>
              <w:t>Etapă</w:t>
            </w:r>
          </w:p>
        </w:tc>
        <w:tc>
          <w:tcPr>
            <w:tcW w:w="3292" w:type="dxa"/>
            <w:tcBorders>
              <w:top w:val="nil"/>
              <w:left w:val="nil"/>
              <w:bottom w:val="single" w:sz="4" w:space="0" w:color="auto"/>
              <w:right w:val="single" w:sz="4" w:space="0" w:color="auto"/>
            </w:tcBorders>
            <w:shd w:val="clear" w:color="auto" w:fill="C6EFCE"/>
            <w:noWrap/>
            <w:vAlign w:val="center"/>
            <w:hideMark/>
          </w:tcPr>
          <w:p w14:paraId="676969D7" w14:textId="77777777" w:rsidR="00C45D59" w:rsidRDefault="009B0962">
            <w:pPr>
              <w:pStyle w:val="P68B1DB1-Normal55"/>
              <w:keepNext/>
              <w:spacing w:before="40" w:after="0" w:line="240" w:lineRule="auto"/>
              <w:jc w:val="both"/>
              <w:rPr>
                <w:rFonts w:eastAsia="Times New Roman" w:cs="Times New Roman"/>
                <w:noProof/>
                <w:szCs w:val="18"/>
              </w:rPr>
            </w:pPr>
            <w:r>
              <w:rPr>
                <w:noProof/>
              </w:rPr>
              <w:t>GRNET</w:t>
            </w:r>
          </w:p>
        </w:tc>
      </w:tr>
      <w:tr w:rsidR="00C45D59" w14:paraId="72552CF2"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AF37ED3" w14:textId="77777777" w:rsidR="00C45D59" w:rsidRDefault="009B0962">
            <w:pPr>
              <w:pStyle w:val="P68B1DB1-Normal55"/>
              <w:keepNext/>
              <w:spacing w:before="40" w:after="0" w:line="240" w:lineRule="auto"/>
              <w:jc w:val="both"/>
              <w:rPr>
                <w:noProof/>
              </w:rPr>
            </w:pPr>
            <w:r>
              <w:rPr>
                <w:noProof/>
              </w:rPr>
              <w:t>125a</w:t>
            </w:r>
          </w:p>
        </w:tc>
        <w:tc>
          <w:tcPr>
            <w:tcW w:w="4820" w:type="dxa"/>
            <w:tcBorders>
              <w:top w:val="nil"/>
              <w:left w:val="single" w:sz="4" w:space="0" w:color="auto"/>
              <w:bottom w:val="single" w:sz="4" w:space="0" w:color="auto"/>
              <w:right w:val="single" w:sz="4" w:space="0" w:color="auto"/>
            </w:tcBorders>
            <w:shd w:val="clear" w:color="auto" w:fill="C6EFCE"/>
            <w:noWrap/>
            <w:vAlign w:val="center"/>
          </w:tcPr>
          <w:p w14:paraId="3A551E46" w14:textId="77777777" w:rsidR="00C45D59" w:rsidRDefault="009B0962">
            <w:pPr>
              <w:pStyle w:val="P68B1DB1-Normal55"/>
              <w:keepNext/>
              <w:spacing w:before="40" w:after="0" w:line="240" w:lineRule="auto"/>
              <w:jc w:val="both"/>
              <w:rPr>
                <w:noProof/>
              </w:rPr>
            </w:pPr>
            <w:r>
              <w:rPr>
                <w:noProof/>
              </w:rPr>
              <w:t>6-2.2. Modernizare – 16955_Modernizarea infrastructurii și a serviciilor de cloud computing ale infrastructurilor naționale de cercetare și tehnologie (GRNET)</w:t>
            </w:r>
          </w:p>
        </w:tc>
        <w:tc>
          <w:tcPr>
            <w:tcW w:w="1417" w:type="dxa"/>
            <w:tcBorders>
              <w:top w:val="nil"/>
              <w:left w:val="nil"/>
              <w:bottom w:val="single" w:sz="4" w:space="0" w:color="auto"/>
              <w:right w:val="single" w:sz="4" w:space="0" w:color="auto"/>
            </w:tcBorders>
            <w:shd w:val="clear" w:color="auto" w:fill="C6EFCE"/>
            <w:noWrap/>
            <w:vAlign w:val="center"/>
          </w:tcPr>
          <w:p w14:paraId="6E77310E" w14:textId="77777777" w:rsidR="00C45D59" w:rsidRDefault="009B0962">
            <w:pPr>
              <w:pStyle w:val="P68B1DB1-Normal55"/>
              <w:keepNext/>
              <w:spacing w:before="40" w:after="0" w:line="240" w:lineRule="auto"/>
              <w:jc w:val="both"/>
              <w:rPr>
                <w:noProof/>
              </w:rPr>
            </w:pPr>
            <w:r>
              <w:rPr>
                <w:noProof/>
              </w:rPr>
              <w:t>Etapă</w:t>
            </w:r>
          </w:p>
        </w:tc>
        <w:tc>
          <w:tcPr>
            <w:tcW w:w="3292" w:type="dxa"/>
            <w:tcBorders>
              <w:top w:val="nil"/>
              <w:left w:val="nil"/>
              <w:bottom w:val="single" w:sz="4" w:space="0" w:color="auto"/>
              <w:right w:val="single" w:sz="4" w:space="0" w:color="auto"/>
            </w:tcBorders>
            <w:shd w:val="clear" w:color="auto" w:fill="C6EFCE"/>
            <w:noWrap/>
            <w:vAlign w:val="center"/>
          </w:tcPr>
          <w:p w14:paraId="6DA1C6D1" w14:textId="77777777" w:rsidR="00C45D59" w:rsidRDefault="009B0962">
            <w:pPr>
              <w:pStyle w:val="P68B1DB1-Normal55"/>
              <w:keepNext/>
              <w:spacing w:before="40" w:after="0" w:line="240" w:lineRule="auto"/>
              <w:jc w:val="both"/>
              <w:rPr>
                <w:noProof/>
              </w:rPr>
            </w:pPr>
            <w:r>
              <w:rPr>
                <w:noProof/>
              </w:rPr>
              <w:t>Extinderea GRNET</w:t>
            </w:r>
          </w:p>
        </w:tc>
      </w:tr>
      <w:tr w:rsidR="00C45D59" w14:paraId="6C78CF13"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8AA24D8"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127</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42543FB8" w14:textId="0CD586AC" w:rsidR="00C45D59" w:rsidRDefault="009B0962">
            <w:pPr>
              <w:pStyle w:val="P68B1DB1-Normal55"/>
              <w:keepNext/>
              <w:spacing w:before="40" w:after="0" w:line="240" w:lineRule="auto"/>
              <w:jc w:val="both"/>
              <w:rPr>
                <w:rFonts w:eastAsia="Times New Roman" w:cs="Times New Roman"/>
                <w:bCs/>
                <w:noProof/>
                <w:szCs w:val="18"/>
              </w:rPr>
            </w:pPr>
            <w:r>
              <w:rPr>
                <w:noProof/>
              </w:rPr>
              <w:t>6-2.2. Modernizare – 16956_Extinderea Syzefxis II</w:t>
            </w:r>
          </w:p>
        </w:tc>
        <w:tc>
          <w:tcPr>
            <w:tcW w:w="1417" w:type="dxa"/>
            <w:tcBorders>
              <w:top w:val="nil"/>
              <w:left w:val="nil"/>
              <w:bottom w:val="single" w:sz="4" w:space="0" w:color="auto"/>
              <w:right w:val="single" w:sz="4" w:space="0" w:color="auto"/>
            </w:tcBorders>
            <w:shd w:val="clear" w:color="auto" w:fill="C6EFCE"/>
            <w:noWrap/>
            <w:vAlign w:val="center"/>
            <w:hideMark/>
          </w:tcPr>
          <w:p w14:paraId="351D5A19" w14:textId="77777777" w:rsidR="00C45D59" w:rsidRDefault="009B0962">
            <w:pPr>
              <w:pStyle w:val="P68B1DB1-Normal55"/>
              <w:keepNext/>
              <w:spacing w:before="40" w:after="0" w:line="240" w:lineRule="auto"/>
              <w:jc w:val="both"/>
              <w:rPr>
                <w:rFonts w:eastAsia="Times New Roman" w:cs="Times New Roman"/>
                <w:noProof/>
                <w:szCs w:val="18"/>
              </w:rPr>
            </w:pPr>
            <w:r>
              <w:rPr>
                <w:noProof/>
              </w:rPr>
              <w:t>Etapă</w:t>
            </w:r>
          </w:p>
        </w:tc>
        <w:tc>
          <w:tcPr>
            <w:tcW w:w="3292" w:type="dxa"/>
            <w:tcBorders>
              <w:top w:val="nil"/>
              <w:left w:val="nil"/>
              <w:bottom w:val="single" w:sz="4" w:space="0" w:color="auto"/>
              <w:right w:val="single" w:sz="4" w:space="0" w:color="auto"/>
            </w:tcBorders>
            <w:shd w:val="clear" w:color="auto" w:fill="C6EFCE"/>
            <w:noWrap/>
            <w:vAlign w:val="center"/>
            <w:hideMark/>
          </w:tcPr>
          <w:p w14:paraId="42164C45" w14:textId="769C2D0D" w:rsidR="00C45D59" w:rsidRDefault="009B0962">
            <w:pPr>
              <w:pStyle w:val="P68B1DB1-Normal55"/>
              <w:keepNext/>
              <w:spacing w:before="40" w:after="0" w:line="240" w:lineRule="auto"/>
              <w:jc w:val="both"/>
              <w:rPr>
                <w:rFonts w:eastAsia="Times New Roman" w:cs="Times New Roman"/>
                <w:noProof/>
                <w:szCs w:val="18"/>
              </w:rPr>
            </w:pPr>
            <w:r>
              <w:rPr>
                <w:noProof/>
              </w:rPr>
              <w:t>SYZEFXIS II</w:t>
            </w:r>
          </w:p>
        </w:tc>
      </w:tr>
      <w:tr w:rsidR="00C45D59" w14:paraId="6B79BBC7"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9F036B2"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129</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4F6F1943"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6-2.2. Modernizare – 16842_BI central – analiza datelor</w:t>
            </w:r>
          </w:p>
        </w:tc>
        <w:tc>
          <w:tcPr>
            <w:tcW w:w="1417" w:type="dxa"/>
            <w:tcBorders>
              <w:top w:val="nil"/>
              <w:left w:val="nil"/>
              <w:bottom w:val="single" w:sz="4" w:space="0" w:color="auto"/>
              <w:right w:val="single" w:sz="4" w:space="0" w:color="auto"/>
            </w:tcBorders>
            <w:shd w:val="clear" w:color="auto" w:fill="C6EFCE"/>
            <w:noWrap/>
            <w:vAlign w:val="center"/>
            <w:hideMark/>
          </w:tcPr>
          <w:p w14:paraId="74290DEE" w14:textId="77777777" w:rsidR="00C45D59" w:rsidRDefault="009B0962">
            <w:pPr>
              <w:pStyle w:val="P68B1DB1-Normal55"/>
              <w:keepNext/>
              <w:spacing w:before="40" w:after="0" w:line="240" w:lineRule="auto"/>
              <w:jc w:val="both"/>
              <w:rPr>
                <w:rFonts w:eastAsia="Times New Roman" w:cs="Times New Roman"/>
                <w:noProof/>
                <w:szCs w:val="18"/>
              </w:rPr>
            </w:pPr>
            <w:r>
              <w:rPr>
                <w:noProof/>
              </w:rPr>
              <w:t>Etapă</w:t>
            </w:r>
          </w:p>
        </w:tc>
        <w:tc>
          <w:tcPr>
            <w:tcW w:w="3292" w:type="dxa"/>
            <w:tcBorders>
              <w:top w:val="nil"/>
              <w:left w:val="nil"/>
              <w:bottom w:val="single" w:sz="4" w:space="0" w:color="auto"/>
              <w:right w:val="single" w:sz="4" w:space="0" w:color="auto"/>
            </w:tcBorders>
            <w:shd w:val="clear" w:color="auto" w:fill="C6EFCE"/>
            <w:noWrap/>
            <w:vAlign w:val="center"/>
            <w:hideMark/>
          </w:tcPr>
          <w:p w14:paraId="6608678F" w14:textId="77777777" w:rsidR="00C45D59" w:rsidRDefault="009B0962">
            <w:pPr>
              <w:pStyle w:val="P68B1DB1-Normal55"/>
              <w:keepNext/>
              <w:spacing w:before="40" w:after="0" w:line="240" w:lineRule="auto"/>
              <w:jc w:val="both"/>
              <w:rPr>
                <w:rFonts w:eastAsia="Times New Roman" w:cs="Times New Roman"/>
                <w:noProof/>
                <w:szCs w:val="18"/>
              </w:rPr>
            </w:pPr>
            <w:r>
              <w:rPr>
                <w:noProof/>
              </w:rPr>
              <w:t>Furnizarea BI central</w:t>
            </w:r>
          </w:p>
        </w:tc>
      </w:tr>
      <w:tr w:rsidR="00C45D59" w14:paraId="0226CF32"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825B189" w14:textId="77777777" w:rsidR="00C45D59" w:rsidRDefault="009B0962">
            <w:pPr>
              <w:pStyle w:val="P68B1DB1-Normal11"/>
              <w:spacing w:line="240" w:lineRule="auto"/>
              <w:jc w:val="both"/>
              <w:rPr>
                <w:noProof/>
              </w:rPr>
            </w:pPr>
            <w:r>
              <w:rPr>
                <w:noProof/>
              </w:rPr>
              <w:t>131a</w:t>
            </w:r>
          </w:p>
        </w:tc>
        <w:tc>
          <w:tcPr>
            <w:tcW w:w="4820" w:type="dxa"/>
            <w:tcBorders>
              <w:top w:val="nil"/>
              <w:left w:val="single" w:sz="4" w:space="0" w:color="auto"/>
              <w:bottom w:val="single" w:sz="4" w:space="0" w:color="auto"/>
              <w:right w:val="single" w:sz="4" w:space="0" w:color="auto"/>
            </w:tcBorders>
            <w:shd w:val="clear" w:color="auto" w:fill="C6EFCE"/>
            <w:noWrap/>
            <w:vAlign w:val="center"/>
          </w:tcPr>
          <w:p w14:paraId="1918B282" w14:textId="77777777" w:rsidR="00C45D59" w:rsidRDefault="009B0962">
            <w:pPr>
              <w:pStyle w:val="P68B1DB1-Normal11"/>
              <w:keepNext/>
              <w:spacing w:before="40" w:after="0" w:line="240" w:lineRule="auto"/>
              <w:jc w:val="both"/>
              <w:rPr>
                <w:rFonts w:eastAsia="Times New Roman" w:cs="Times New Roman"/>
                <w:noProof/>
              </w:rPr>
            </w:pPr>
            <w:r>
              <w:rPr>
                <w:noProof/>
              </w:rPr>
              <w:t>7-2.3. Digitalizarea întreprinderilor – 16706_Transformarea digitală a IMM-urilor</w:t>
            </w:r>
          </w:p>
        </w:tc>
        <w:tc>
          <w:tcPr>
            <w:tcW w:w="1417" w:type="dxa"/>
            <w:tcBorders>
              <w:top w:val="nil"/>
              <w:left w:val="nil"/>
              <w:bottom w:val="single" w:sz="4" w:space="0" w:color="auto"/>
              <w:right w:val="single" w:sz="4" w:space="0" w:color="auto"/>
            </w:tcBorders>
            <w:shd w:val="clear" w:color="auto" w:fill="C6EFCE"/>
            <w:noWrap/>
            <w:vAlign w:val="center"/>
          </w:tcPr>
          <w:p w14:paraId="6384E19E" w14:textId="77777777" w:rsidR="00C45D59" w:rsidRDefault="009B0962">
            <w:pPr>
              <w:pStyle w:val="P68B1DB1-Normal11"/>
              <w:keepNext/>
              <w:spacing w:before="40" w:after="0" w:line="240" w:lineRule="auto"/>
              <w:jc w:val="both"/>
              <w:rPr>
                <w:rFonts w:eastAsia="Times New Roman" w:cs="Times New Roman"/>
                <w:noProof/>
              </w:rPr>
            </w:pPr>
            <w:r>
              <w:rPr>
                <w:noProof/>
              </w:rPr>
              <w:t>Etapă</w:t>
            </w:r>
          </w:p>
        </w:tc>
        <w:tc>
          <w:tcPr>
            <w:tcW w:w="3292" w:type="dxa"/>
            <w:tcBorders>
              <w:top w:val="nil"/>
              <w:left w:val="nil"/>
              <w:bottom w:val="single" w:sz="4" w:space="0" w:color="auto"/>
              <w:right w:val="single" w:sz="4" w:space="0" w:color="auto"/>
            </w:tcBorders>
            <w:shd w:val="clear" w:color="auto" w:fill="C6EFCE"/>
            <w:noWrap/>
            <w:vAlign w:val="center"/>
            <w:hideMark/>
          </w:tcPr>
          <w:p w14:paraId="7BD053AB" w14:textId="40EAB7BF" w:rsidR="00C45D59" w:rsidRDefault="009B0962">
            <w:pPr>
              <w:pStyle w:val="P68B1DB1-Normal11"/>
              <w:keepNext/>
              <w:spacing w:before="40" w:after="0" w:line="240" w:lineRule="auto"/>
              <w:jc w:val="both"/>
              <w:rPr>
                <w:noProof/>
              </w:rPr>
            </w:pPr>
            <w:r>
              <w:rPr>
                <w:noProof/>
              </w:rPr>
              <w:t>Transformarea digitală a IMM-urilor – Realizarea jalonului 2 al proiectelor de investiții pentru produse/servicii digitale</w:t>
            </w:r>
          </w:p>
        </w:tc>
      </w:tr>
      <w:tr w:rsidR="00C45D59" w14:paraId="536FDE74"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5E75F3F"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140</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383DC291"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 9-3.2. Educație, educație și formare profesională și competențe – 16913_O nouă strategie pentru învățarea pe tot parcursul vieții: Modernizarea și actualizarea sistemului de perfecționare și reconversie profesională al Greciei</w:t>
            </w:r>
          </w:p>
        </w:tc>
        <w:tc>
          <w:tcPr>
            <w:tcW w:w="1417" w:type="dxa"/>
            <w:tcBorders>
              <w:top w:val="nil"/>
              <w:left w:val="nil"/>
              <w:bottom w:val="single" w:sz="4" w:space="0" w:color="auto"/>
              <w:right w:val="single" w:sz="4" w:space="0" w:color="auto"/>
            </w:tcBorders>
            <w:shd w:val="clear" w:color="auto" w:fill="C6EFCE"/>
            <w:noWrap/>
            <w:vAlign w:val="center"/>
            <w:hideMark/>
          </w:tcPr>
          <w:p w14:paraId="345DF484" w14:textId="77777777" w:rsidR="00C45D59" w:rsidRDefault="009B0962">
            <w:pPr>
              <w:pStyle w:val="P68B1DB1-Normal55"/>
              <w:keepNext/>
              <w:spacing w:before="40" w:after="0" w:line="240" w:lineRule="auto"/>
              <w:jc w:val="both"/>
              <w:rPr>
                <w:rFonts w:eastAsia="Times New Roman" w:cs="Times New Roman"/>
                <w:noProof/>
                <w:szCs w:val="18"/>
              </w:rPr>
            </w:pPr>
            <w:r>
              <w:rPr>
                <w:noProof/>
              </w:rPr>
              <w:t>Etapă</w:t>
            </w:r>
          </w:p>
        </w:tc>
        <w:tc>
          <w:tcPr>
            <w:tcW w:w="3292" w:type="dxa"/>
            <w:tcBorders>
              <w:top w:val="nil"/>
              <w:left w:val="nil"/>
              <w:bottom w:val="single" w:sz="4" w:space="0" w:color="auto"/>
              <w:right w:val="single" w:sz="4" w:space="0" w:color="auto"/>
            </w:tcBorders>
            <w:shd w:val="clear" w:color="auto" w:fill="C6EFCE"/>
            <w:noWrap/>
            <w:vAlign w:val="center"/>
            <w:hideMark/>
          </w:tcPr>
          <w:p w14:paraId="137A3C81" w14:textId="77777777" w:rsidR="00C45D59" w:rsidRDefault="009B0962">
            <w:pPr>
              <w:pStyle w:val="P68B1DB1-Normal55"/>
              <w:keepNext/>
              <w:spacing w:before="40" w:after="0" w:line="240" w:lineRule="auto"/>
              <w:jc w:val="both"/>
              <w:rPr>
                <w:rFonts w:eastAsia="Times New Roman" w:cs="Times New Roman"/>
                <w:noProof/>
                <w:szCs w:val="18"/>
              </w:rPr>
            </w:pPr>
            <w:r>
              <w:rPr>
                <w:noProof/>
              </w:rPr>
              <w:t>Programe de formare pe tot parcursul vieții: validarea și certificarea competențelor dobândite</w:t>
            </w:r>
          </w:p>
        </w:tc>
      </w:tr>
      <w:tr w:rsidR="00C45D59" w14:paraId="6FB648A5" w14:textId="77777777">
        <w:trPr>
          <w:trHeight w:val="300"/>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hideMark/>
          </w:tcPr>
          <w:p w14:paraId="257A0AB4" w14:textId="77777777" w:rsidR="00C45D59" w:rsidRDefault="009B0962">
            <w:pPr>
              <w:pStyle w:val="P68B1DB1-Normal11"/>
              <w:keepNext/>
              <w:spacing w:before="40" w:after="0" w:line="240" w:lineRule="auto"/>
              <w:jc w:val="both"/>
              <w:rPr>
                <w:rFonts w:eastAsia="Times New Roman" w:cs="Times New Roman"/>
                <w:noProof/>
              </w:rPr>
            </w:pPr>
            <w:r>
              <w:rPr>
                <w:noProof/>
              </w:rPr>
              <w:t>134a</w:t>
            </w:r>
          </w:p>
        </w:tc>
        <w:tc>
          <w:tcPr>
            <w:tcW w:w="4820" w:type="dxa"/>
            <w:tcBorders>
              <w:top w:val="nil"/>
              <w:left w:val="single" w:sz="4" w:space="0" w:color="auto"/>
              <w:bottom w:val="single" w:sz="4" w:space="0" w:color="auto"/>
              <w:right w:val="single" w:sz="4" w:space="0" w:color="auto"/>
            </w:tcBorders>
            <w:shd w:val="clear" w:color="auto" w:fill="C6EFCE"/>
            <w:noWrap/>
            <w:hideMark/>
          </w:tcPr>
          <w:p w14:paraId="55F96784" w14:textId="77777777" w:rsidR="00C45D59" w:rsidRDefault="009B0962">
            <w:pPr>
              <w:pStyle w:val="P68B1DB1-Normal11"/>
              <w:keepNext/>
              <w:spacing w:before="40" w:after="0" w:line="240" w:lineRule="auto"/>
              <w:jc w:val="both"/>
              <w:rPr>
                <w:rFonts w:eastAsia="Times New Roman" w:cs="Times New Roman"/>
                <w:noProof/>
              </w:rPr>
            </w:pPr>
            <w:r>
              <w:rPr>
                <w:noProof/>
              </w:rPr>
              <w:t>8-3.1. Promovarea creării de locuri de muncă și a participării pe piața forței de muncă – 16750_Transformarea digitală a sistemelor de muncă</w:t>
            </w:r>
          </w:p>
        </w:tc>
        <w:tc>
          <w:tcPr>
            <w:tcW w:w="1417" w:type="dxa"/>
            <w:tcBorders>
              <w:top w:val="nil"/>
              <w:left w:val="nil"/>
              <w:bottom w:val="single" w:sz="4" w:space="0" w:color="auto"/>
              <w:right w:val="single" w:sz="4" w:space="0" w:color="auto"/>
            </w:tcBorders>
            <w:shd w:val="clear" w:color="auto" w:fill="C6EFCE"/>
            <w:noWrap/>
            <w:hideMark/>
          </w:tcPr>
          <w:p w14:paraId="5C0521C5" w14:textId="77777777" w:rsidR="00C45D59" w:rsidRDefault="009B0962">
            <w:pPr>
              <w:pStyle w:val="P68B1DB1-Normal11"/>
              <w:keepNext/>
              <w:spacing w:before="40" w:after="0" w:line="240" w:lineRule="auto"/>
              <w:jc w:val="both"/>
              <w:rPr>
                <w:rFonts w:eastAsia="Times New Roman" w:cs="Times New Roman"/>
                <w:noProof/>
              </w:rPr>
            </w:pPr>
            <w:r>
              <w:rPr>
                <w:noProof/>
              </w:rPr>
              <w:t>Etapă</w:t>
            </w:r>
          </w:p>
        </w:tc>
        <w:tc>
          <w:tcPr>
            <w:tcW w:w="3292" w:type="dxa"/>
            <w:tcBorders>
              <w:top w:val="nil"/>
              <w:left w:val="nil"/>
              <w:bottom w:val="single" w:sz="4" w:space="0" w:color="auto"/>
              <w:right w:val="single" w:sz="4" w:space="0" w:color="auto"/>
            </w:tcBorders>
            <w:shd w:val="clear" w:color="auto" w:fill="C6EFCE"/>
            <w:noWrap/>
            <w:hideMark/>
          </w:tcPr>
          <w:p w14:paraId="4BED7535" w14:textId="77777777" w:rsidR="00C45D59" w:rsidRDefault="009B0962">
            <w:pPr>
              <w:pStyle w:val="P68B1DB1-Normal11"/>
              <w:keepNext/>
              <w:spacing w:before="40" w:after="0" w:line="240" w:lineRule="auto"/>
              <w:jc w:val="both"/>
              <w:rPr>
                <w:rFonts w:eastAsia="Times New Roman" w:cs="Times New Roman"/>
                <w:noProof/>
              </w:rPr>
            </w:pPr>
            <w:r>
              <w:rPr>
                <w:noProof/>
              </w:rPr>
              <w:t>Furnizarea de sisteme informatice în domeniul muncii</w:t>
            </w:r>
          </w:p>
        </w:tc>
      </w:tr>
      <w:tr w:rsidR="00C45D59" w14:paraId="7060B984"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73BB578"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146</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68AD6F2B"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9-3.2. Educație, educație și formare profesională și competențe – 16792_Calificarea, recalificarea și perfecționarea forței de muncă prin intermediul unui model de formare reformat (Educație și formare profesională &amp; Reforma formării)</w:t>
            </w:r>
          </w:p>
        </w:tc>
        <w:tc>
          <w:tcPr>
            <w:tcW w:w="1417" w:type="dxa"/>
            <w:tcBorders>
              <w:top w:val="nil"/>
              <w:left w:val="nil"/>
              <w:bottom w:val="single" w:sz="4" w:space="0" w:color="auto"/>
              <w:right w:val="single" w:sz="4" w:space="0" w:color="auto"/>
            </w:tcBorders>
            <w:shd w:val="clear" w:color="auto" w:fill="C6EFCE"/>
            <w:noWrap/>
            <w:vAlign w:val="center"/>
            <w:hideMark/>
          </w:tcPr>
          <w:p w14:paraId="608EB5C3" w14:textId="77777777" w:rsidR="00C45D59" w:rsidRDefault="009B0962">
            <w:pPr>
              <w:pStyle w:val="P68B1DB1-Normal55"/>
              <w:keepNext/>
              <w:spacing w:before="40" w:after="0" w:line="240" w:lineRule="auto"/>
              <w:jc w:val="both"/>
              <w:rPr>
                <w:rFonts w:eastAsia="Times New Roman" w:cs="Times New Roman"/>
                <w:noProof/>
                <w:szCs w:val="18"/>
              </w:rPr>
            </w:pPr>
            <w:r>
              <w:rPr>
                <w:noProof/>
              </w:rPr>
              <w:t>Etapă</w:t>
            </w:r>
          </w:p>
        </w:tc>
        <w:tc>
          <w:tcPr>
            <w:tcW w:w="3292" w:type="dxa"/>
            <w:tcBorders>
              <w:top w:val="nil"/>
              <w:left w:val="nil"/>
              <w:bottom w:val="single" w:sz="4" w:space="0" w:color="auto"/>
              <w:right w:val="single" w:sz="4" w:space="0" w:color="auto"/>
            </w:tcBorders>
            <w:shd w:val="clear" w:color="auto" w:fill="C6EFCE"/>
            <w:noWrap/>
            <w:vAlign w:val="center"/>
            <w:hideMark/>
          </w:tcPr>
          <w:p w14:paraId="5DDFDE51" w14:textId="77777777" w:rsidR="00C45D59" w:rsidRDefault="009B0962">
            <w:pPr>
              <w:pStyle w:val="P68B1DB1-Normal11"/>
              <w:spacing w:after="0" w:line="240" w:lineRule="auto"/>
              <w:rPr>
                <w:rFonts w:eastAsia="Times New Roman" w:cs="Times New Roman"/>
                <w:noProof/>
              </w:rPr>
            </w:pPr>
            <w:r>
              <w:rPr>
                <w:noProof/>
              </w:rPr>
              <w:t>Sistemul de control al calității EFP, furnizarea de programe de formare sectoriale</w:t>
            </w:r>
          </w:p>
        </w:tc>
      </w:tr>
      <w:tr w:rsidR="00C45D59" w14:paraId="1CE6BA1E"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hideMark/>
          </w:tcPr>
          <w:p w14:paraId="49B9F2F7" w14:textId="77777777" w:rsidR="00C45D59" w:rsidRDefault="009B0962">
            <w:pPr>
              <w:pStyle w:val="P68B1DB1-Normal55"/>
              <w:keepNext/>
              <w:spacing w:before="40" w:after="0" w:line="240" w:lineRule="auto"/>
              <w:jc w:val="both"/>
              <w:rPr>
                <w:rFonts w:cs="Times New Roman"/>
                <w:noProof/>
                <w:szCs w:val="18"/>
              </w:rPr>
            </w:pPr>
            <w:r>
              <w:rPr>
                <w:noProof/>
              </w:rPr>
              <w:t>148b</w:t>
            </w:r>
          </w:p>
        </w:tc>
        <w:tc>
          <w:tcPr>
            <w:tcW w:w="4820" w:type="dxa"/>
            <w:tcBorders>
              <w:top w:val="nil"/>
              <w:left w:val="single" w:sz="4" w:space="0" w:color="auto"/>
              <w:bottom w:val="single" w:sz="4" w:space="0" w:color="auto"/>
              <w:right w:val="single" w:sz="4" w:space="0" w:color="auto"/>
            </w:tcBorders>
            <w:shd w:val="clear" w:color="auto" w:fill="C6EFCE"/>
            <w:noWrap/>
            <w:hideMark/>
          </w:tcPr>
          <w:p w14:paraId="7DAACADD" w14:textId="77777777" w:rsidR="00C45D59" w:rsidRDefault="009B0962">
            <w:pPr>
              <w:pStyle w:val="P68B1DB1-Normal55"/>
              <w:keepNext/>
              <w:spacing w:before="40" w:after="0" w:line="240" w:lineRule="auto"/>
              <w:jc w:val="both"/>
              <w:rPr>
                <w:rFonts w:cs="Times New Roman"/>
                <w:noProof/>
                <w:szCs w:val="18"/>
              </w:rPr>
            </w:pPr>
            <w:r>
              <w:rPr>
                <w:noProof/>
              </w:rPr>
              <w:t>9-3.2. Educație, educație și formare profesională și competențe – 16676_Transformarea digitală a educației</w:t>
            </w:r>
          </w:p>
        </w:tc>
        <w:tc>
          <w:tcPr>
            <w:tcW w:w="1417" w:type="dxa"/>
            <w:tcBorders>
              <w:top w:val="nil"/>
              <w:left w:val="nil"/>
              <w:bottom w:val="single" w:sz="4" w:space="0" w:color="auto"/>
              <w:right w:val="single" w:sz="4" w:space="0" w:color="auto"/>
            </w:tcBorders>
            <w:shd w:val="clear" w:color="auto" w:fill="C6EFCE"/>
            <w:noWrap/>
            <w:hideMark/>
          </w:tcPr>
          <w:p w14:paraId="1C357806" w14:textId="77777777" w:rsidR="00C45D59" w:rsidRDefault="009B0962">
            <w:pPr>
              <w:pStyle w:val="P68B1DB1-Normal55"/>
              <w:keepNext/>
              <w:spacing w:before="40" w:after="0" w:line="240" w:lineRule="auto"/>
              <w:jc w:val="both"/>
              <w:rPr>
                <w:rFonts w:cs="Times New Roman"/>
                <w:noProof/>
                <w:szCs w:val="18"/>
              </w:rPr>
            </w:pPr>
            <w:r>
              <w:rPr>
                <w:noProof/>
              </w:rPr>
              <w:t>Etapă</w:t>
            </w:r>
          </w:p>
        </w:tc>
        <w:tc>
          <w:tcPr>
            <w:tcW w:w="3292" w:type="dxa"/>
            <w:tcBorders>
              <w:top w:val="nil"/>
              <w:left w:val="nil"/>
              <w:bottom w:val="single" w:sz="4" w:space="0" w:color="auto"/>
              <w:right w:val="single" w:sz="4" w:space="0" w:color="auto"/>
            </w:tcBorders>
            <w:shd w:val="clear" w:color="auto" w:fill="C6EFCE"/>
            <w:noWrap/>
            <w:hideMark/>
          </w:tcPr>
          <w:p w14:paraId="4A4A3BD8" w14:textId="77777777" w:rsidR="00C45D59" w:rsidRDefault="009B0962">
            <w:pPr>
              <w:pStyle w:val="P68B1DB1-Normal11"/>
              <w:spacing w:after="0" w:line="240" w:lineRule="auto"/>
              <w:rPr>
                <w:noProof/>
              </w:rPr>
            </w:pPr>
            <w:r>
              <w:rPr>
                <w:noProof/>
              </w:rPr>
              <w:t>Transformarea digitală a educației</w:t>
            </w:r>
          </w:p>
        </w:tc>
      </w:tr>
      <w:tr w:rsidR="00C45D59" w14:paraId="44B876CF"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A7ED2E9"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149</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4E6E0F75" w14:textId="4F6A812F" w:rsidR="00C45D59" w:rsidRDefault="009B0962">
            <w:pPr>
              <w:pStyle w:val="P68B1DB1-Normal55"/>
              <w:keepNext/>
              <w:spacing w:before="40" w:after="0" w:line="240" w:lineRule="auto"/>
              <w:jc w:val="both"/>
              <w:rPr>
                <w:rFonts w:eastAsia="Times New Roman" w:cs="Times New Roman"/>
                <w:bCs/>
                <w:noProof/>
                <w:szCs w:val="18"/>
              </w:rPr>
            </w:pPr>
            <w:r>
              <w:rPr>
                <w:noProof/>
              </w:rPr>
              <w:t>9-3.2. Educație, educație și formare profesională și competențe – 16933_Modernizarea educației și formării profesionale (EFP): Achiziționarea de echipamente de laborator pentru laboratoarele unităților EFP</w:t>
            </w:r>
          </w:p>
        </w:tc>
        <w:tc>
          <w:tcPr>
            <w:tcW w:w="1417" w:type="dxa"/>
            <w:tcBorders>
              <w:top w:val="nil"/>
              <w:left w:val="nil"/>
              <w:bottom w:val="single" w:sz="4" w:space="0" w:color="auto"/>
              <w:right w:val="single" w:sz="4" w:space="0" w:color="auto"/>
            </w:tcBorders>
            <w:shd w:val="clear" w:color="auto" w:fill="C6EFCE"/>
            <w:noWrap/>
            <w:vAlign w:val="center"/>
            <w:hideMark/>
          </w:tcPr>
          <w:p w14:paraId="6F53DB09" w14:textId="77777777" w:rsidR="00C45D59" w:rsidRDefault="009B0962">
            <w:pPr>
              <w:pStyle w:val="P68B1DB1-Normal55"/>
              <w:keepNext/>
              <w:spacing w:before="40" w:after="0" w:line="240" w:lineRule="auto"/>
              <w:jc w:val="both"/>
              <w:rPr>
                <w:rFonts w:eastAsia="Times New Roman" w:cs="Times New Roman"/>
                <w:noProof/>
                <w:szCs w:val="18"/>
              </w:rPr>
            </w:pPr>
            <w:r>
              <w:rPr>
                <w:noProof/>
              </w:rPr>
              <w:t>Etapă</w:t>
            </w:r>
          </w:p>
        </w:tc>
        <w:tc>
          <w:tcPr>
            <w:tcW w:w="3292" w:type="dxa"/>
            <w:tcBorders>
              <w:top w:val="nil"/>
              <w:left w:val="nil"/>
              <w:bottom w:val="single" w:sz="4" w:space="0" w:color="auto"/>
              <w:right w:val="single" w:sz="4" w:space="0" w:color="auto"/>
            </w:tcBorders>
            <w:shd w:val="clear" w:color="auto" w:fill="C6EFCE"/>
            <w:noWrap/>
            <w:vAlign w:val="center"/>
            <w:hideMark/>
          </w:tcPr>
          <w:p w14:paraId="7F06D8CF" w14:textId="4021C365" w:rsidR="00C45D59" w:rsidRDefault="009B0962">
            <w:pPr>
              <w:pStyle w:val="P68B1DB1-Normal55"/>
              <w:keepNext/>
              <w:spacing w:before="40" w:after="0" w:line="240" w:lineRule="auto"/>
              <w:jc w:val="both"/>
              <w:rPr>
                <w:noProof/>
              </w:rPr>
            </w:pPr>
            <w:r>
              <w:rPr>
                <w:noProof/>
              </w:rPr>
              <w:t>Modernizarea laboratoarelor unităților EFP</w:t>
            </w:r>
          </w:p>
        </w:tc>
      </w:tr>
      <w:tr w:rsidR="00C45D59" w14:paraId="5B485CBE"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3B2B58B" w14:textId="77777777" w:rsidR="00C45D59" w:rsidRDefault="009B0962">
            <w:pPr>
              <w:pStyle w:val="P68B1DB1-Normal11"/>
              <w:keepNext/>
              <w:spacing w:before="40" w:after="0" w:line="240" w:lineRule="auto"/>
              <w:jc w:val="both"/>
              <w:rPr>
                <w:rFonts w:eastAsia="Times New Roman" w:cs="Times New Roman"/>
                <w:bCs/>
                <w:noProof/>
              </w:rPr>
            </w:pPr>
            <w:r>
              <w:rPr>
                <w:noProof/>
              </w:rPr>
              <w:t>150</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29EB873D"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9-3.2. Educație, educație și formare profesională și competențe – 16289_Strategie pentru excelență în universități &amp; inovare</w:t>
            </w:r>
          </w:p>
        </w:tc>
        <w:tc>
          <w:tcPr>
            <w:tcW w:w="1417" w:type="dxa"/>
            <w:tcBorders>
              <w:top w:val="nil"/>
              <w:left w:val="nil"/>
              <w:bottom w:val="single" w:sz="4" w:space="0" w:color="auto"/>
              <w:right w:val="single" w:sz="4" w:space="0" w:color="auto"/>
            </w:tcBorders>
            <w:shd w:val="clear" w:color="auto" w:fill="C6EFCE"/>
            <w:noWrap/>
            <w:vAlign w:val="center"/>
            <w:hideMark/>
          </w:tcPr>
          <w:p w14:paraId="4BAFFECF" w14:textId="77777777" w:rsidR="00C45D59" w:rsidRDefault="009B0962">
            <w:pPr>
              <w:pStyle w:val="P68B1DB1-Normal55"/>
              <w:keepNext/>
              <w:spacing w:before="40" w:after="0" w:line="240" w:lineRule="auto"/>
              <w:jc w:val="both"/>
              <w:rPr>
                <w:rFonts w:eastAsia="Times New Roman" w:cs="Times New Roman"/>
                <w:noProof/>
                <w:szCs w:val="18"/>
              </w:rPr>
            </w:pPr>
            <w:r>
              <w:rPr>
                <w:noProof/>
              </w:rPr>
              <w:t>Etapă</w:t>
            </w:r>
          </w:p>
        </w:tc>
        <w:tc>
          <w:tcPr>
            <w:tcW w:w="3292" w:type="dxa"/>
            <w:tcBorders>
              <w:top w:val="nil"/>
              <w:left w:val="nil"/>
              <w:bottom w:val="single" w:sz="4" w:space="0" w:color="auto"/>
              <w:right w:val="single" w:sz="4" w:space="0" w:color="auto"/>
            </w:tcBorders>
            <w:shd w:val="clear" w:color="auto" w:fill="C6EFCE"/>
            <w:noWrap/>
            <w:vAlign w:val="center"/>
            <w:hideMark/>
          </w:tcPr>
          <w:p w14:paraId="39CF2843" w14:textId="77777777" w:rsidR="00C45D59" w:rsidRDefault="009B0962">
            <w:pPr>
              <w:pStyle w:val="P68B1DB1-Normal55"/>
              <w:keepNext/>
              <w:spacing w:before="40" w:after="0" w:line="240" w:lineRule="auto"/>
              <w:jc w:val="both"/>
              <w:rPr>
                <w:rFonts w:eastAsia="Times New Roman" w:cs="Times New Roman"/>
                <w:noProof/>
                <w:szCs w:val="18"/>
              </w:rPr>
            </w:pPr>
            <w:r>
              <w:rPr>
                <w:noProof/>
              </w:rPr>
              <w:t>Executarea proiectelor de cercetare în colaborare și a proiectelor pentru universitățile din Grecia și emiterea deciziilor de aprobare pentru programele postuniversitare</w:t>
            </w:r>
          </w:p>
        </w:tc>
      </w:tr>
      <w:tr w:rsidR="00C45D59" w14:paraId="0546852A"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21ACD07"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152</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59383D83"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9-3.2. Educație, educație și formare profesională și competențe – 16934_Modernizarea educației și formării profesionale</w:t>
            </w:r>
          </w:p>
        </w:tc>
        <w:tc>
          <w:tcPr>
            <w:tcW w:w="1417" w:type="dxa"/>
            <w:tcBorders>
              <w:top w:val="nil"/>
              <w:left w:val="nil"/>
              <w:bottom w:val="single" w:sz="4" w:space="0" w:color="auto"/>
              <w:right w:val="single" w:sz="4" w:space="0" w:color="auto"/>
            </w:tcBorders>
            <w:shd w:val="clear" w:color="auto" w:fill="C6EFCE"/>
            <w:noWrap/>
            <w:vAlign w:val="center"/>
            <w:hideMark/>
          </w:tcPr>
          <w:p w14:paraId="5D9CBEBB" w14:textId="77777777" w:rsidR="00C45D59" w:rsidRDefault="009B0962">
            <w:pPr>
              <w:pStyle w:val="P68B1DB1-Normal11"/>
              <w:keepNext/>
              <w:spacing w:before="40" w:after="0" w:line="240" w:lineRule="auto"/>
              <w:jc w:val="both"/>
              <w:rPr>
                <w:rFonts w:eastAsia="Times New Roman" w:cs="Times New Roman"/>
                <w:noProof/>
              </w:rPr>
            </w:pPr>
            <w:r>
              <w:rPr>
                <w:noProof/>
              </w:rPr>
              <w:t>Etapă</w:t>
            </w:r>
          </w:p>
        </w:tc>
        <w:tc>
          <w:tcPr>
            <w:tcW w:w="3292" w:type="dxa"/>
            <w:tcBorders>
              <w:top w:val="nil"/>
              <w:left w:val="nil"/>
              <w:bottom w:val="single" w:sz="4" w:space="0" w:color="auto"/>
              <w:right w:val="single" w:sz="4" w:space="0" w:color="auto"/>
            </w:tcBorders>
            <w:shd w:val="clear" w:color="auto" w:fill="C6EFCE"/>
            <w:noWrap/>
            <w:vAlign w:val="center"/>
            <w:hideMark/>
          </w:tcPr>
          <w:p w14:paraId="614DEB3E" w14:textId="0F4007CA" w:rsidR="00C45D59" w:rsidRDefault="009B0962">
            <w:pPr>
              <w:pStyle w:val="P68B1DB1-Normal11"/>
              <w:keepNext/>
              <w:spacing w:before="40" w:after="0" w:line="240" w:lineRule="auto"/>
              <w:jc w:val="both"/>
              <w:rPr>
                <w:rFonts w:eastAsia="Times New Roman" w:cs="Times New Roman"/>
                <w:noProof/>
              </w:rPr>
            </w:pPr>
            <w:r>
              <w:rPr>
                <w:noProof/>
              </w:rPr>
              <w:t>Sistemele de informații ale EOPPEP și dezvoltarea unei platforme de învățare online pentru EFP</w:t>
            </w:r>
          </w:p>
        </w:tc>
      </w:tr>
      <w:tr w:rsidR="00C45D59" w14:paraId="6300C03C"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D6F555A" w14:textId="77777777" w:rsidR="00C45D59" w:rsidRDefault="009B0962">
            <w:pPr>
              <w:pStyle w:val="P68B1DB1-Normal11"/>
              <w:spacing w:line="240" w:lineRule="auto"/>
              <w:jc w:val="both"/>
              <w:rPr>
                <w:noProof/>
              </w:rPr>
            </w:pPr>
            <w:r>
              <w:rPr>
                <w:noProof/>
              </w:rPr>
              <w:t>156a</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332A4745" w14:textId="77777777" w:rsidR="00C45D59" w:rsidRDefault="009B0962">
            <w:pPr>
              <w:pStyle w:val="P68B1DB1-Normal11"/>
              <w:keepNext/>
              <w:spacing w:before="40" w:after="0" w:line="240" w:lineRule="auto"/>
              <w:jc w:val="both"/>
              <w:rPr>
                <w:rFonts w:eastAsia="Times New Roman" w:cs="Times New Roman"/>
                <w:noProof/>
              </w:rPr>
            </w:pPr>
            <w:r>
              <w:rPr>
                <w:noProof/>
              </w:rPr>
              <w:t>10-3.3. Îmbunătățirea rezilienței, a accesibilității și a sustenabilității asistenței medicale – 16816_Reducerea și raționalizarea cheltuielilor cu asistența medicală</w:t>
            </w:r>
          </w:p>
        </w:tc>
        <w:tc>
          <w:tcPr>
            <w:tcW w:w="1417" w:type="dxa"/>
            <w:tcBorders>
              <w:top w:val="nil"/>
              <w:left w:val="nil"/>
              <w:bottom w:val="single" w:sz="4" w:space="0" w:color="auto"/>
              <w:right w:val="single" w:sz="4" w:space="0" w:color="auto"/>
            </w:tcBorders>
            <w:shd w:val="clear" w:color="auto" w:fill="C6EFCE"/>
            <w:noWrap/>
            <w:vAlign w:val="center"/>
            <w:hideMark/>
          </w:tcPr>
          <w:p w14:paraId="77FCF95B" w14:textId="77777777" w:rsidR="00C45D59" w:rsidRDefault="009B0962">
            <w:pPr>
              <w:pStyle w:val="P68B1DB1-Normal11"/>
              <w:keepNext/>
              <w:spacing w:before="40" w:after="0" w:line="240" w:lineRule="auto"/>
              <w:jc w:val="both"/>
              <w:rPr>
                <w:rFonts w:eastAsia="Times New Roman" w:cs="Times New Roman"/>
                <w:noProof/>
              </w:rPr>
            </w:pPr>
            <w:r>
              <w:rPr>
                <w:noProof/>
              </w:rPr>
              <w:t>Țintă</w:t>
            </w:r>
          </w:p>
        </w:tc>
        <w:tc>
          <w:tcPr>
            <w:tcW w:w="3292" w:type="dxa"/>
            <w:tcBorders>
              <w:top w:val="nil"/>
              <w:left w:val="nil"/>
              <w:bottom w:val="single" w:sz="4" w:space="0" w:color="auto"/>
              <w:right w:val="single" w:sz="4" w:space="0" w:color="auto"/>
            </w:tcBorders>
            <w:shd w:val="clear" w:color="auto" w:fill="C6EFCE"/>
            <w:noWrap/>
            <w:vAlign w:val="center"/>
            <w:hideMark/>
          </w:tcPr>
          <w:p w14:paraId="3EF7095A" w14:textId="77777777" w:rsidR="00C45D59" w:rsidRDefault="009B0962">
            <w:pPr>
              <w:pStyle w:val="P68B1DB1-Normal11"/>
              <w:keepNext/>
              <w:spacing w:before="40" w:after="0" w:line="240" w:lineRule="auto"/>
              <w:jc w:val="both"/>
              <w:rPr>
                <w:rFonts w:cs="Times New Roman"/>
                <w:noProof/>
              </w:rPr>
            </w:pPr>
            <w:r>
              <w:rPr>
                <w:noProof/>
              </w:rPr>
              <w:t>C &amp; D farmaceutică</w:t>
            </w:r>
          </w:p>
          <w:p w14:paraId="262E8DC0" w14:textId="77777777" w:rsidR="00C45D59" w:rsidRDefault="009B0962">
            <w:pPr>
              <w:pStyle w:val="P68B1DB1-Normal11"/>
              <w:keepNext/>
              <w:spacing w:before="40" w:after="0" w:line="240" w:lineRule="auto"/>
              <w:jc w:val="both"/>
              <w:rPr>
                <w:noProof/>
              </w:rPr>
            </w:pPr>
            <w:r>
              <w:rPr>
                <w:noProof/>
              </w:rPr>
              <w:t>dovada investiției – etapa 2</w:t>
            </w:r>
          </w:p>
        </w:tc>
      </w:tr>
      <w:tr w:rsidR="00C45D59" w14:paraId="1FFDECCC"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EDBB48F" w14:textId="77777777" w:rsidR="00C45D59" w:rsidRDefault="009B0962">
            <w:pPr>
              <w:pStyle w:val="P68B1DB1-Normal55"/>
              <w:keepNext/>
              <w:spacing w:before="40" w:after="0" w:line="240" w:lineRule="auto"/>
              <w:jc w:val="both"/>
              <w:rPr>
                <w:rFonts w:cs="Times New Roman"/>
                <w:noProof/>
                <w:szCs w:val="18"/>
              </w:rPr>
            </w:pPr>
            <w:r>
              <w:rPr>
                <w:noProof/>
              </w:rPr>
              <w:t>158</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3DAAA7F8" w14:textId="77777777" w:rsidR="00C45D59" w:rsidRDefault="009B0962">
            <w:pPr>
              <w:pStyle w:val="P68B1DB1-Normal55"/>
              <w:keepNext/>
              <w:spacing w:before="40" w:after="0" w:line="240" w:lineRule="auto"/>
              <w:jc w:val="both"/>
              <w:rPr>
                <w:rFonts w:cs="Times New Roman"/>
                <w:noProof/>
                <w:szCs w:val="18"/>
              </w:rPr>
            </w:pPr>
            <w:r>
              <w:rPr>
                <w:noProof/>
              </w:rPr>
              <w:t>10-3.3. Îmbunătățirea rezilienței, a accesibilității și a sustenabilității asistenței medicale – 16816_Reducerea și raționalizarea cheltuielilor cu asistența medicală</w:t>
            </w:r>
          </w:p>
        </w:tc>
        <w:tc>
          <w:tcPr>
            <w:tcW w:w="1417" w:type="dxa"/>
            <w:tcBorders>
              <w:top w:val="nil"/>
              <w:left w:val="nil"/>
              <w:bottom w:val="single" w:sz="4" w:space="0" w:color="auto"/>
              <w:right w:val="single" w:sz="4" w:space="0" w:color="auto"/>
            </w:tcBorders>
            <w:shd w:val="clear" w:color="auto" w:fill="C6EFCE"/>
            <w:noWrap/>
            <w:vAlign w:val="center"/>
            <w:hideMark/>
          </w:tcPr>
          <w:p w14:paraId="56FA9CA6" w14:textId="77777777" w:rsidR="00C45D59" w:rsidRDefault="009B0962">
            <w:pPr>
              <w:pStyle w:val="P68B1DB1-Normal55"/>
              <w:keepNext/>
              <w:spacing w:before="40" w:after="0" w:line="240" w:lineRule="auto"/>
              <w:jc w:val="both"/>
              <w:rPr>
                <w:rFonts w:cs="Times New Roman"/>
                <w:noProof/>
                <w:szCs w:val="18"/>
              </w:rPr>
            </w:pPr>
            <w:r>
              <w:rPr>
                <w:noProof/>
              </w:rPr>
              <w:t>Țintă</w:t>
            </w:r>
          </w:p>
        </w:tc>
        <w:tc>
          <w:tcPr>
            <w:tcW w:w="3292" w:type="dxa"/>
            <w:tcBorders>
              <w:top w:val="nil"/>
              <w:left w:val="nil"/>
              <w:bottom w:val="single" w:sz="4" w:space="0" w:color="auto"/>
              <w:right w:val="single" w:sz="4" w:space="0" w:color="auto"/>
            </w:tcBorders>
            <w:shd w:val="clear" w:color="auto" w:fill="C6EFCE"/>
            <w:noWrap/>
            <w:vAlign w:val="center"/>
            <w:hideMark/>
          </w:tcPr>
          <w:p w14:paraId="6758780D" w14:textId="77777777" w:rsidR="00C45D59" w:rsidRDefault="009B0962">
            <w:pPr>
              <w:pStyle w:val="P68B1DB1-Normal55"/>
              <w:keepNext/>
              <w:spacing w:before="40" w:after="0" w:line="240" w:lineRule="auto"/>
              <w:jc w:val="both"/>
              <w:rPr>
                <w:rFonts w:cs="Times New Roman"/>
                <w:noProof/>
                <w:szCs w:val="18"/>
              </w:rPr>
            </w:pPr>
            <w:r>
              <w:rPr>
                <w:noProof/>
              </w:rPr>
              <w:t xml:space="preserve">Scăderea sumelor recuperate </w:t>
            </w:r>
          </w:p>
          <w:p w14:paraId="48026C34" w14:textId="77777777" w:rsidR="00C45D59" w:rsidRDefault="009B0962">
            <w:pPr>
              <w:pStyle w:val="P68B1DB1-Normal55"/>
              <w:keepNext/>
              <w:spacing w:before="40" w:after="0" w:line="240" w:lineRule="auto"/>
              <w:jc w:val="both"/>
              <w:rPr>
                <w:rFonts w:cs="Times New Roman"/>
                <w:noProof/>
                <w:szCs w:val="18"/>
              </w:rPr>
            </w:pPr>
            <w:r>
              <w:rPr>
                <w:noProof/>
              </w:rPr>
              <w:t>400 000 000 – etapa 4</w:t>
            </w:r>
          </w:p>
        </w:tc>
      </w:tr>
      <w:tr w:rsidR="00C45D59" w14:paraId="0B653DD9"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B7202C8" w14:textId="77777777" w:rsidR="00C45D59" w:rsidRDefault="009B0962">
            <w:pPr>
              <w:pStyle w:val="P68B1DB1-Normal11"/>
              <w:keepNext/>
              <w:spacing w:before="40" w:after="0" w:line="240" w:lineRule="auto"/>
              <w:jc w:val="both"/>
              <w:rPr>
                <w:noProof/>
              </w:rPr>
            </w:pPr>
            <w:r>
              <w:rPr>
                <w:noProof/>
              </w:rPr>
              <w:t>164a</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0FE1A719" w14:textId="77777777" w:rsidR="00C45D59" w:rsidRDefault="009B0962">
            <w:pPr>
              <w:pStyle w:val="P68B1DB1-Normal55"/>
              <w:keepNext/>
              <w:spacing w:before="40" w:after="0" w:line="240" w:lineRule="auto"/>
              <w:jc w:val="both"/>
              <w:rPr>
                <w:noProof/>
              </w:rPr>
            </w:pPr>
            <w:r>
              <w:rPr>
                <w:noProof/>
              </w:rPr>
              <w:t xml:space="preserve">10-3.3. Îmbunătățirea rezilienței, a accesibilității și a sustenabilității asistenței medicale – 16756_Reforme organizaționale în sistemul de sănătate </w:t>
            </w:r>
          </w:p>
        </w:tc>
        <w:tc>
          <w:tcPr>
            <w:tcW w:w="1417" w:type="dxa"/>
            <w:tcBorders>
              <w:top w:val="nil"/>
              <w:left w:val="nil"/>
              <w:bottom w:val="single" w:sz="4" w:space="0" w:color="auto"/>
              <w:right w:val="single" w:sz="4" w:space="0" w:color="auto"/>
            </w:tcBorders>
            <w:shd w:val="clear" w:color="auto" w:fill="C6EFCE"/>
            <w:noWrap/>
            <w:vAlign w:val="center"/>
            <w:hideMark/>
          </w:tcPr>
          <w:p w14:paraId="5ED4280C" w14:textId="77777777" w:rsidR="00C45D59" w:rsidRDefault="009B0962">
            <w:pPr>
              <w:pStyle w:val="P68B1DB1-Normal55"/>
              <w:keepNext/>
              <w:spacing w:before="40" w:after="0" w:line="240" w:lineRule="auto"/>
              <w:jc w:val="both"/>
              <w:rPr>
                <w:noProof/>
              </w:rPr>
            </w:pPr>
            <w:r>
              <w:rPr>
                <w:noProof/>
              </w:rPr>
              <w:t>Țintă</w:t>
            </w:r>
          </w:p>
        </w:tc>
        <w:tc>
          <w:tcPr>
            <w:tcW w:w="3292" w:type="dxa"/>
            <w:tcBorders>
              <w:top w:val="nil"/>
              <w:left w:val="nil"/>
              <w:bottom w:val="single" w:sz="4" w:space="0" w:color="auto"/>
              <w:right w:val="single" w:sz="4" w:space="0" w:color="auto"/>
            </w:tcBorders>
            <w:shd w:val="clear" w:color="auto" w:fill="C6EFCE"/>
            <w:noWrap/>
            <w:vAlign w:val="center"/>
            <w:hideMark/>
          </w:tcPr>
          <w:p w14:paraId="0C113685" w14:textId="77777777" w:rsidR="00C45D59" w:rsidRDefault="009B0962">
            <w:pPr>
              <w:pStyle w:val="P68B1DB1-Normal55"/>
              <w:keepNext/>
              <w:spacing w:before="40" w:after="0" w:line="240" w:lineRule="auto"/>
              <w:jc w:val="both"/>
              <w:rPr>
                <w:noProof/>
              </w:rPr>
            </w:pPr>
            <w:r>
              <w:rPr>
                <w:noProof/>
              </w:rPr>
              <w:t>Reducerea listei de așteptare pentru intervenții chirurgicale</w:t>
            </w:r>
          </w:p>
        </w:tc>
      </w:tr>
      <w:tr w:rsidR="00C45D59" w14:paraId="51884C72"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60263C8" w14:textId="77777777" w:rsidR="00C45D59" w:rsidRDefault="009B0962">
            <w:pPr>
              <w:pStyle w:val="P68B1DB1-Normal11"/>
              <w:keepNext/>
              <w:spacing w:before="40" w:after="0" w:line="240" w:lineRule="auto"/>
              <w:jc w:val="both"/>
              <w:rPr>
                <w:noProof/>
              </w:rPr>
            </w:pPr>
            <w:r>
              <w:rPr>
                <w:noProof/>
              </w:rPr>
              <w:t>164b</w:t>
            </w:r>
          </w:p>
        </w:tc>
        <w:tc>
          <w:tcPr>
            <w:tcW w:w="4820" w:type="dxa"/>
            <w:tcBorders>
              <w:top w:val="nil"/>
              <w:left w:val="single" w:sz="4" w:space="0" w:color="auto"/>
              <w:bottom w:val="single" w:sz="4" w:space="0" w:color="auto"/>
              <w:right w:val="single" w:sz="4" w:space="0" w:color="auto"/>
            </w:tcBorders>
            <w:shd w:val="clear" w:color="auto" w:fill="C6EFCE"/>
            <w:noWrap/>
            <w:vAlign w:val="center"/>
          </w:tcPr>
          <w:p w14:paraId="64BAC11A" w14:textId="77777777" w:rsidR="00C45D59" w:rsidRDefault="009B0962">
            <w:pPr>
              <w:pStyle w:val="P68B1DB1-Normal55"/>
              <w:keepNext/>
              <w:spacing w:before="40" w:after="0" w:line="240" w:lineRule="auto"/>
              <w:jc w:val="both"/>
              <w:rPr>
                <w:noProof/>
              </w:rPr>
            </w:pPr>
            <w:r>
              <w:rPr>
                <w:noProof/>
              </w:rPr>
              <w:t xml:space="preserve">10-3.3. Îmbunătățirea rezilienței, a accesibilității și a sustenabilității asistenței medicale – 16756_Reforme organizaționale în sistemul de sănătate </w:t>
            </w:r>
          </w:p>
        </w:tc>
        <w:tc>
          <w:tcPr>
            <w:tcW w:w="1417" w:type="dxa"/>
            <w:tcBorders>
              <w:top w:val="nil"/>
              <w:left w:val="nil"/>
              <w:bottom w:val="single" w:sz="4" w:space="0" w:color="auto"/>
              <w:right w:val="single" w:sz="4" w:space="0" w:color="auto"/>
            </w:tcBorders>
            <w:shd w:val="clear" w:color="auto" w:fill="C6EFCE"/>
            <w:noWrap/>
            <w:vAlign w:val="center"/>
          </w:tcPr>
          <w:p w14:paraId="6B8EED4A" w14:textId="77777777" w:rsidR="00C45D59" w:rsidRDefault="009B0962">
            <w:pPr>
              <w:pStyle w:val="P68B1DB1-Normal55"/>
              <w:keepNext/>
              <w:spacing w:before="40" w:after="0" w:line="240" w:lineRule="auto"/>
              <w:jc w:val="both"/>
              <w:rPr>
                <w:noProof/>
              </w:rPr>
            </w:pPr>
            <w:r>
              <w:rPr>
                <w:noProof/>
              </w:rPr>
              <w:t>Etapă</w:t>
            </w:r>
          </w:p>
        </w:tc>
        <w:tc>
          <w:tcPr>
            <w:tcW w:w="3292" w:type="dxa"/>
            <w:tcBorders>
              <w:top w:val="nil"/>
              <w:left w:val="nil"/>
              <w:bottom w:val="single" w:sz="4" w:space="0" w:color="auto"/>
              <w:right w:val="single" w:sz="4" w:space="0" w:color="auto"/>
            </w:tcBorders>
            <w:shd w:val="clear" w:color="auto" w:fill="C6EFCE"/>
            <w:noWrap/>
            <w:vAlign w:val="center"/>
          </w:tcPr>
          <w:p w14:paraId="653230D5" w14:textId="77777777" w:rsidR="00C45D59" w:rsidRDefault="009B0962">
            <w:pPr>
              <w:pStyle w:val="P68B1DB1-Normal55"/>
              <w:keepNext/>
              <w:spacing w:before="40" w:after="0" w:line="240" w:lineRule="auto"/>
              <w:jc w:val="both"/>
              <w:rPr>
                <w:noProof/>
              </w:rPr>
            </w:pPr>
            <w:r>
              <w:rPr>
                <w:noProof/>
              </w:rPr>
              <w:t>Navigarea în sistemul de sănătate și orientări pentru cetățeni</w:t>
            </w:r>
          </w:p>
        </w:tc>
      </w:tr>
      <w:tr w:rsidR="00C45D59" w14:paraId="5DB5C8BC"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4E98EEC"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165</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3F1CE7F3"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10-3.3. Îmbunătățirea rezilienței, accesibilității și sustenabilității asistenței medicale – 16783_Punerea în aplicare a Programului național de prevenire a sănătății publice „Spiros Doxiadis” (NPP „SD”)</w:t>
            </w:r>
          </w:p>
        </w:tc>
        <w:tc>
          <w:tcPr>
            <w:tcW w:w="1417" w:type="dxa"/>
            <w:tcBorders>
              <w:top w:val="nil"/>
              <w:left w:val="nil"/>
              <w:bottom w:val="single" w:sz="4" w:space="0" w:color="auto"/>
              <w:right w:val="single" w:sz="4" w:space="0" w:color="auto"/>
            </w:tcBorders>
            <w:shd w:val="clear" w:color="auto" w:fill="C6EFCE"/>
            <w:noWrap/>
            <w:vAlign w:val="center"/>
            <w:hideMark/>
          </w:tcPr>
          <w:p w14:paraId="52FB24A0" w14:textId="77777777" w:rsidR="00C45D59" w:rsidRDefault="009B0962">
            <w:pPr>
              <w:pStyle w:val="P68B1DB1-Normal55"/>
              <w:keepNext/>
              <w:spacing w:before="40" w:after="0" w:line="240" w:lineRule="auto"/>
              <w:jc w:val="both"/>
              <w:rPr>
                <w:rFonts w:eastAsia="Times New Roman" w:cs="Times New Roman"/>
                <w:noProof/>
                <w:szCs w:val="18"/>
              </w:rPr>
            </w:pPr>
            <w:r>
              <w:rPr>
                <w:noProof/>
              </w:rPr>
              <w:t>Etapă</w:t>
            </w:r>
          </w:p>
        </w:tc>
        <w:tc>
          <w:tcPr>
            <w:tcW w:w="3292" w:type="dxa"/>
            <w:tcBorders>
              <w:top w:val="nil"/>
              <w:left w:val="nil"/>
              <w:bottom w:val="single" w:sz="4" w:space="0" w:color="auto"/>
              <w:right w:val="single" w:sz="4" w:space="0" w:color="auto"/>
            </w:tcBorders>
            <w:shd w:val="clear" w:color="auto" w:fill="C6EFCE"/>
            <w:noWrap/>
            <w:vAlign w:val="center"/>
            <w:hideMark/>
          </w:tcPr>
          <w:p w14:paraId="07B8F5AE" w14:textId="77777777" w:rsidR="00C45D59" w:rsidRDefault="009B0962">
            <w:pPr>
              <w:pStyle w:val="P68B1DB1-Normal55"/>
              <w:keepNext/>
              <w:spacing w:before="40" w:after="0" w:line="240" w:lineRule="auto"/>
              <w:jc w:val="both"/>
              <w:rPr>
                <w:rFonts w:eastAsia="Times New Roman" w:cs="Times New Roman"/>
                <w:noProof/>
                <w:szCs w:val="18"/>
              </w:rPr>
            </w:pPr>
            <w:r>
              <w:rPr>
                <w:noProof/>
              </w:rPr>
              <w:t>Programul național de prevenire a sănătății publice „Spiros Doxiadis” – Prevenire primară</w:t>
            </w:r>
          </w:p>
        </w:tc>
      </w:tr>
      <w:tr w:rsidR="00C45D59" w14:paraId="7C82BBA1"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1E2BACD" w14:textId="77777777" w:rsidR="00C45D59" w:rsidRDefault="009B0962">
            <w:pPr>
              <w:pStyle w:val="P68B1DB1-Normal55"/>
              <w:keepNext/>
              <w:spacing w:before="40" w:after="0" w:line="240" w:lineRule="auto"/>
              <w:jc w:val="both"/>
              <w:rPr>
                <w:noProof/>
              </w:rPr>
            </w:pPr>
            <w:r>
              <w:rPr>
                <w:noProof/>
              </w:rPr>
              <w:t>165a</w:t>
            </w:r>
          </w:p>
        </w:tc>
        <w:tc>
          <w:tcPr>
            <w:tcW w:w="4820" w:type="dxa"/>
            <w:tcBorders>
              <w:top w:val="nil"/>
              <w:left w:val="single" w:sz="4" w:space="0" w:color="auto"/>
              <w:bottom w:val="single" w:sz="4" w:space="0" w:color="auto"/>
              <w:right w:val="single" w:sz="4" w:space="0" w:color="auto"/>
            </w:tcBorders>
            <w:shd w:val="clear" w:color="auto" w:fill="C6EFCE"/>
            <w:noWrap/>
            <w:vAlign w:val="center"/>
          </w:tcPr>
          <w:p w14:paraId="12251089" w14:textId="77777777" w:rsidR="00C45D59" w:rsidRDefault="009B0962">
            <w:pPr>
              <w:pStyle w:val="P68B1DB1-Normal55"/>
              <w:keepNext/>
              <w:spacing w:before="40" w:after="0" w:line="240" w:lineRule="auto"/>
              <w:jc w:val="both"/>
              <w:rPr>
                <w:noProof/>
              </w:rPr>
            </w:pPr>
            <w:r>
              <w:rPr>
                <w:noProof/>
              </w:rPr>
              <w:t>10-3.3. Îmbunătățirea rezilienței, accesibilității și sustenabilității asistenței medicale – 16783_Punerea în aplicare a Programului național de prevenire a sănătății publice „Spiros Doxiadis” (NPP „SD”)</w:t>
            </w:r>
          </w:p>
        </w:tc>
        <w:tc>
          <w:tcPr>
            <w:tcW w:w="1417" w:type="dxa"/>
            <w:tcBorders>
              <w:top w:val="nil"/>
              <w:left w:val="nil"/>
              <w:bottom w:val="single" w:sz="4" w:space="0" w:color="auto"/>
              <w:right w:val="single" w:sz="4" w:space="0" w:color="auto"/>
            </w:tcBorders>
            <w:shd w:val="clear" w:color="auto" w:fill="C6EFCE"/>
            <w:noWrap/>
            <w:vAlign w:val="center"/>
          </w:tcPr>
          <w:p w14:paraId="32F804E1" w14:textId="77777777" w:rsidR="00C45D59" w:rsidRDefault="009B0962">
            <w:pPr>
              <w:pStyle w:val="P68B1DB1-Normal55"/>
              <w:keepNext/>
              <w:spacing w:before="40" w:after="0" w:line="240" w:lineRule="auto"/>
              <w:jc w:val="both"/>
              <w:rPr>
                <w:noProof/>
              </w:rPr>
            </w:pPr>
            <w:r>
              <w:rPr>
                <w:noProof/>
              </w:rPr>
              <w:t>Etapă</w:t>
            </w:r>
          </w:p>
        </w:tc>
        <w:tc>
          <w:tcPr>
            <w:tcW w:w="3292" w:type="dxa"/>
            <w:tcBorders>
              <w:top w:val="nil"/>
              <w:left w:val="nil"/>
              <w:bottom w:val="single" w:sz="4" w:space="0" w:color="auto"/>
              <w:right w:val="single" w:sz="4" w:space="0" w:color="auto"/>
            </w:tcBorders>
            <w:shd w:val="clear" w:color="auto" w:fill="C6EFCE"/>
            <w:noWrap/>
            <w:vAlign w:val="center"/>
          </w:tcPr>
          <w:p w14:paraId="6FDFEC8C" w14:textId="77777777" w:rsidR="00C45D59" w:rsidRDefault="009B0962">
            <w:pPr>
              <w:pStyle w:val="P68B1DB1-Normal55"/>
              <w:keepNext/>
              <w:spacing w:before="40" w:after="0" w:line="240" w:lineRule="auto"/>
              <w:jc w:val="both"/>
              <w:rPr>
                <w:noProof/>
              </w:rPr>
            </w:pPr>
            <w:r>
              <w:rPr>
                <w:noProof/>
              </w:rPr>
              <w:t>Programul național de prevenire a sănătății publice „Spiros Doxiadis” – Prevenire secundară</w:t>
            </w:r>
          </w:p>
        </w:tc>
      </w:tr>
      <w:tr w:rsidR="00C45D59" w14:paraId="61597050"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E650A99" w14:textId="77777777" w:rsidR="00C45D59" w:rsidRDefault="009B0962">
            <w:pPr>
              <w:pStyle w:val="P68B1DB1-Normal55"/>
              <w:keepNext/>
              <w:spacing w:before="40" w:after="0" w:line="240" w:lineRule="auto"/>
              <w:jc w:val="both"/>
              <w:rPr>
                <w:noProof/>
              </w:rPr>
            </w:pPr>
            <w:r>
              <w:rPr>
                <w:noProof/>
              </w:rPr>
              <w:t>165b</w:t>
            </w:r>
          </w:p>
        </w:tc>
        <w:tc>
          <w:tcPr>
            <w:tcW w:w="4820" w:type="dxa"/>
            <w:tcBorders>
              <w:top w:val="nil"/>
              <w:left w:val="single" w:sz="4" w:space="0" w:color="auto"/>
              <w:bottom w:val="single" w:sz="4" w:space="0" w:color="auto"/>
              <w:right w:val="single" w:sz="4" w:space="0" w:color="auto"/>
            </w:tcBorders>
            <w:shd w:val="clear" w:color="auto" w:fill="C6EFCE"/>
            <w:noWrap/>
            <w:vAlign w:val="center"/>
          </w:tcPr>
          <w:p w14:paraId="455453D7" w14:textId="77777777" w:rsidR="00C45D59" w:rsidRDefault="009B0962">
            <w:pPr>
              <w:pStyle w:val="P68B1DB1-Normal55"/>
              <w:keepNext/>
              <w:spacing w:before="40" w:after="0" w:line="240" w:lineRule="auto"/>
              <w:jc w:val="both"/>
              <w:rPr>
                <w:noProof/>
              </w:rPr>
            </w:pPr>
            <w:r>
              <w:rPr>
                <w:noProof/>
              </w:rPr>
              <w:t>10-3.3. Îmbunătățirea rezilienței, accesibilității și sustenabilității asistenței medicale – 16783_Punerea în aplicare a Programului național de prevenire a sănătății publice „Spiros Doxiadis” (NPP „SD”)</w:t>
            </w:r>
          </w:p>
        </w:tc>
        <w:tc>
          <w:tcPr>
            <w:tcW w:w="1417" w:type="dxa"/>
            <w:tcBorders>
              <w:top w:val="nil"/>
              <w:left w:val="nil"/>
              <w:bottom w:val="single" w:sz="4" w:space="0" w:color="auto"/>
              <w:right w:val="single" w:sz="4" w:space="0" w:color="auto"/>
            </w:tcBorders>
            <w:shd w:val="clear" w:color="auto" w:fill="C6EFCE"/>
            <w:noWrap/>
            <w:vAlign w:val="center"/>
          </w:tcPr>
          <w:p w14:paraId="4F214B27" w14:textId="77777777" w:rsidR="00C45D59" w:rsidRDefault="009B0962">
            <w:pPr>
              <w:pStyle w:val="P68B1DB1-Normal55"/>
              <w:keepNext/>
              <w:spacing w:before="40" w:after="0" w:line="240" w:lineRule="auto"/>
              <w:jc w:val="both"/>
              <w:rPr>
                <w:noProof/>
              </w:rPr>
            </w:pPr>
            <w:r>
              <w:rPr>
                <w:noProof/>
              </w:rPr>
              <w:t>Etapă</w:t>
            </w:r>
          </w:p>
        </w:tc>
        <w:tc>
          <w:tcPr>
            <w:tcW w:w="3292" w:type="dxa"/>
            <w:tcBorders>
              <w:top w:val="nil"/>
              <w:left w:val="nil"/>
              <w:bottom w:val="single" w:sz="4" w:space="0" w:color="auto"/>
              <w:right w:val="single" w:sz="4" w:space="0" w:color="auto"/>
            </w:tcBorders>
            <w:shd w:val="clear" w:color="auto" w:fill="C6EFCE"/>
            <w:noWrap/>
            <w:vAlign w:val="center"/>
          </w:tcPr>
          <w:p w14:paraId="4B4CEE29" w14:textId="77777777" w:rsidR="00C45D59" w:rsidRDefault="009B0962">
            <w:pPr>
              <w:pStyle w:val="P68B1DB1-Normal55"/>
              <w:keepNext/>
              <w:spacing w:before="40" w:after="0" w:line="240" w:lineRule="auto"/>
              <w:jc w:val="both"/>
              <w:rPr>
                <w:noProof/>
              </w:rPr>
            </w:pPr>
            <w:r>
              <w:rPr>
                <w:noProof/>
              </w:rPr>
              <w:t>Monitorizarea sănătății</w:t>
            </w:r>
          </w:p>
        </w:tc>
      </w:tr>
      <w:tr w:rsidR="00C45D59" w14:paraId="131DAB93"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F368999"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166b</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2A4998F0"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10-3.3. Îmbunătățirea rezilienței, a accesibilității și a sustenabilității asistenței medicale – 16755_Investiții verzi – Reforma sistemului de asistență medicală primară</w:t>
            </w:r>
          </w:p>
        </w:tc>
        <w:tc>
          <w:tcPr>
            <w:tcW w:w="1417" w:type="dxa"/>
            <w:tcBorders>
              <w:top w:val="nil"/>
              <w:left w:val="nil"/>
              <w:bottom w:val="single" w:sz="4" w:space="0" w:color="auto"/>
              <w:right w:val="single" w:sz="4" w:space="0" w:color="auto"/>
            </w:tcBorders>
            <w:shd w:val="clear" w:color="auto" w:fill="C6EFCE"/>
            <w:noWrap/>
            <w:vAlign w:val="center"/>
            <w:hideMark/>
          </w:tcPr>
          <w:p w14:paraId="647CE74F" w14:textId="77777777" w:rsidR="00C45D59" w:rsidRDefault="009B0962">
            <w:pPr>
              <w:pStyle w:val="P68B1DB1-Normal55"/>
              <w:keepNext/>
              <w:spacing w:before="40" w:after="0" w:line="240" w:lineRule="auto"/>
              <w:jc w:val="both"/>
              <w:rPr>
                <w:rFonts w:eastAsia="Times New Roman" w:cs="Times New Roman"/>
                <w:noProof/>
                <w:szCs w:val="18"/>
              </w:rPr>
            </w:pPr>
            <w:r>
              <w:rPr>
                <w:noProof/>
              </w:rPr>
              <w:t>Țintă</w:t>
            </w:r>
          </w:p>
        </w:tc>
        <w:tc>
          <w:tcPr>
            <w:tcW w:w="3292" w:type="dxa"/>
            <w:tcBorders>
              <w:top w:val="nil"/>
              <w:left w:val="nil"/>
              <w:bottom w:val="single" w:sz="4" w:space="0" w:color="auto"/>
              <w:right w:val="single" w:sz="4" w:space="0" w:color="auto"/>
            </w:tcBorders>
            <w:shd w:val="clear" w:color="auto" w:fill="C6EFCE"/>
            <w:noWrap/>
            <w:vAlign w:val="center"/>
            <w:hideMark/>
          </w:tcPr>
          <w:p w14:paraId="26C29D6A" w14:textId="77777777" w:rsidR="00C45D59" w:rsidRDefault="009B0962">
            <w:pPr>
              <w:pStyle w:val="P68B1DB1-Normal36"/>
              <w:keepNext/>
              <w:spacing w:before="40" w:after="0" w:line="240" w:lineRule="auto"/>
              <w:jc w:val="both"/>
              <w:rPr>
                <w:rFonts w:ascii="Times New Roman" w:eastAsia="Times New Roman" w:hAnsi="Times New Roman" w:cs="Times New Roman"/>
                <w:noProof/>
                <w:szCs w:val="18"/>
              </w:rPr>
            </w:pPr>
            <w:r>
              <w:rPr>
                <w:rFonts w:ascii="Times New Roman" w:hAnsi="Times New Roman"/>
                <w:noProof/>
              </w:rPr>
              <w:t>PHC – unități de asistență medicală</w:t>
            </w:r>
            <w:r>
              <w:rPr>
                <w:rFonts w:ascii="Times New Roman" w:hAnsi="Times New Roman" w:cs="Times New Roman"/>
                <w:noProof/>
                <w:color w:val="000000"/>
                <w:szCs w:val="18"/>
              </w:rPr>
              <w:t xml:space="preserve"> </w:t>
            </w:r>
            <w:r>
              <w:rPr>
                <w:rFonts w:ascii="Times New Roman" w:hAnsi="Times New Roman"/>
                <w:noProof/>
              </w:rPr>
              <w:t>primară cu infrastructură renovată – etapa 3</w:t>
            </w:r>
          </w:p>
        </w:tc>
      </w:tr>
      <w:tr w:rsidR="00C45D59" w14:paraId="4D338679"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44BE57D" w14:textId="77777777" w:rsidR="00C45D59" w:rsidRDefault="009B0962">
            <w:pPr>
              <w:pStyle w:val="P68B1DB1-Normal55"/>
              <w:keepNext/>
              <w:spacing w:before="40" w:after="0" w:line="240" w:lineRule="auto"/>
              <w:jc w:val="both"/>
              <w:rPr>
                <w:noProof/>
              </w:rPr>
            </w:pPr>
            <w:r>
              <w:rPr>
                <w:noProof/>
              </w:rPr>
              <w:t>166c</w:t>
            </w:r>
          </w:p>
        </w:tc>
        <w:tc>
          <w:tcPr>
            <w:tcW w:w="4820" w:type="dxa"/>
            <w:tcBorders>
              <w:top w:val="nil"/>
              <w:left w:val="single" w:sz="4" w:space="0" w:color="auto"/>
              <w:bottom w:val="single" w:sz="4" w:space="0" w:color="auto"/>
              <w:right w:val="single" w:sz="4" w:space="0" w:color="auto"/>
            </w:tcBorders>
            <w:shd w:val="clear" w:color="auto" w:fill="C6EFCE"/>
            <w:noWrap/>
            <w:vAlign w:val="center"/>
          </w:tcPr>
          <w:p w14:paraId="1EAFEA5E" w14:textId="77777777" w:rsidR="00C45D59" w:rsidRDefault="009B0962">
            <w:pPr>
              <w:pStyle w:val="P68B1DB1-Normal55"/>
              <w:keepNext/>
              <w:spacing w:before="40" w:after="0" w:line="240" w:lineRule="auto"/>
              <w:jc w:val="both"/>
              <w:rPr>
                <w:noProof/>
              </w:rPr>
            </w:pPr>
            <w:r>
              <w:rPr>
                <w:noProof/>
              </w:rPr>
              <w:t>10-3.3. Îmbunătățirea rezilienței, a accesibilității și a sustenabilității asistenței medicale – 16755_Investiții verzi – Reforma sistemului de asistență medicală primară</w:t>
            </w:r>
          </w:p>
        </w:tc>
        <w:tc>
          <w:tcPr>
            <w:tcW w:w="1417" w:type="dxa"/>
            <w:tcBorders>
              <w:top w:val="nil"/>
              <w:left w:val="nil"/>
              <w:bottom w:val="single" w:sz="4" w:space="0" w:color="auto"/>
              <w:right w:val="single" w:sz="4" w:space="0" w:color="auto"/>
            </w:tcBorders>
            <w:shd w:val="clear" w:color="auto" w:fill="C6EFCE"/>
            <w:noWrap/>
            <w:vAlign w:val="center"/>
          </w:tcPr>
          <w:p w14:paraId="5DBED8A9" w14:textId="77777777" w:rsidR="00C45D59" w:rsidRDefault="009B0962">
            <w:pPr>
              <w:pStyle w:val="P68B1DB1-Normal55"/>
              <w:keepNext/>
              <w:spacing w:before="40" w:after="0" w:line="240" w:lineRule="auto"/>
              <w:jc w:val="both"/>
              <w:rPr>
                <w:noProof/>
              </w:rPr>
            </w:pPr>
            <w:r>
              <w:rPr>
                <w:noProof/>
              </w:rPr>
              <w:t>Etapă</w:t>
            </w:r>
          </w:p>
        </w:tc>
        <w:tc>
          <w:tcPr>
            <w:tcW w:w="3292" w:type="dxa"/>
            <w:tcBorders>
              <w:top w:val="nil"/>
              <w:left w:val="nil"/>
              <w:bottom w:val="single" w:sz="4" w:space="0" w:color="auto"/>
              <w:right w:val="single" w:sz="4" w:space="0" w:color="auto"/>
            </w:tcBorders>
            <w:shd w:val="clear" w:color="auto" w:fill="C6EFCE"/>
            <w:noWrap/>
            <w:vAlign w:val="center"/>
          </w:tcPr>
          <w:p w14:paraId="7D8AB44A" w14:textId="77777777" w:rsidR="00C45D59" w:rsidRDefault="009B0962">
            <w:pPr>
              <w:pStyle w:val="P68B1DB1-Normal55"/>
              <w:keepNext/>
              <w:spacing w:before="40" w:after="0" w:line="240" w:lineRule="auto"/>
              <w:jc w:val="both"/>
              <w:rPr>
                <w:noProof/>
              </w:rPr>
            </w:pPr>
            <w:r>
              <w:rPr>
                <w:noProof/>
              </w:rPr>
              <w:t>PHC – echipamente medicale</w:t>
            </w:r>
          </w:p>
        </w:tc>
      </w:tr>
      <w:tr w:rsidR="00C45D59" w14:paraId="66B5A185"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CBAB915" w14:textId="77777777" w:rsidR="00C45D59" w:rsidRDefault="009B0962">
            <w:pPr>
              <w:pStyle w:val="P68B1DB1-Normal55"/>
              <w:keepNext/>
              <w:spacing w:before="40" w:after="0" w:line="240" w:lineRule="auto"/>
              <w:jc w:val="both"/>
              <w:rPr>
                <w:noProof/>
              </w:rPr>
            </w:pPr>
            <w:r>
              <w:rPr>
                <w:noProof/>
              </w:rPr>
              <w:t>166d</w:t>
            </w:r>
          </w:p>
        </w:tc>
        <w:tc>
          <w:tcPr>
            <w:tcW w:w="4820" w:type="dxa"/>
            <w:tcBorders>
              <w:top w:val="nil"/>
              <w:left w:val="single" w:sz="4" w:space="0" w:color="auto"/>
              <w:bottom w:val="single" w:sz="4" w:space="0" w:color="auto"/>
              <w:right w:val="single" w:sz="4" w:space="0" w:color="auto"/>
            </w:tcBorders>
            <w:shd w:val="clear" w:color="auto" w:fill="C6EFCE"/>
            <w:noWrap/>
            <w:vAlign w:val="center"/>
          </w:tcPr>
          <w:p w14:paraId="325B2E66" w14:textId="77777777" w:rsidR="00C45D59" w:rsidRDefault="009B0962">
            <w:pPr>
              <w:pStyle w:val="P68B1DB1-Normal55"/>
              <w:keepNext/>
              <w:spacing w:before="40" w:after="0" w:line="240" w:lineRule="auto"/>
              <w:jc w:val="both"/>
              <w:rPr>
                <w:noProof/>
              </w:rPr>
            </w:pPr>
            <w:r>
              <w:rPr>
                <w:noProof/>
              </w:rPr>
              <w:t>10-3.3. Îmbunătățirea rezilienței, a accesibilității și a sustenabilității asistenței medicale – 16755_Investiții verzi – Reforma sistemului de asistență medicală primară</w:t>
            </w:r>
          </w:p>
        </w:tc>
        <w:tc>
          <w:tcPr>
            <w:tcW w:w="1417" w:type="dxa"/>
            <w:tcBorders>
              <w:top w:val="nil"/>
              <w:left w:val="nil"/>
              <w:bottom w:val="single" w:sz="4" w:space="0" w:color="auto"/>
              <w:right w:val="single" w:sz="4" w:space="0" w:color="auto"/>
            </w:tcBorders>
            <w:shd w:val="clear" w:color="auto" w:fill="C6EFCE"/>
            <w:noWrap/>
            <w:vAlign w:val="center"/>
          </w:tcPr>
          <w:p w14:paraId="6F0FDBBD" w14:textId="77777777" w:rsidR="00C45D59" w:rsidRDefault="009B0962">
            <w:pPr>
              <w:pStyle w:val="P68B1DB1-Normal55"/>
              <w:keepNext/>
              <w:spacing w:before="40" w:after="0" w:line="240" w:lineRule="auto"/>
              <w:jc w:val="both"/>
              <w:rPr>
                <w:noProof/>
              </w:rPr>
            </w:pPr>
            <w:r>
              <w:rPr>
                <w:noProof/>
              </w:rPr>
              <w:t>Etapă</w:t>
            </w:r>
          </w:p>
        </w:tc>
        <w:tc>
          <w:tcPr>
            <w:tcW w:w="3292" w:type="dxa"/>
            <w:tcBorders>
              <w:top w:val="nil"/>
              <w:left w:val="nil"/>
              <w:bottom w:val="single" w:sz="4" w:space="0" w:color="auto"/>
              <w:right w:val="single" w:sz="4" w:space="0" w:color="auto"/>
            </w:tcBorders>
            <w:shd w:val="clear" w:color="auto" w:fill="C6EFCE"/>
            <w:noWrap/>
            <w:vAlign w:val="center"/>
          </w:tcPr>
          <w:p w14:paraId="4E6DD5F3" w14:textId="77777777" w:rsidR="00C45D59" w:rsidRDefault="009B0962">
            <w:pPr>
              <w:pStyle w:val="P68B1DB1-Normal55"/>
              <w:keepNext/>
              <w:spacing w:before="40" w:after="0" w:line="240" w:lineRule="auto"/>
              <w:jc w:val="both"/>
              <w:rPr>
                <w:noProof/>
              </w:rPr>
            </w:pPr>
            <w:r>
              <w:rPr>
                <w:noProof/>
              </w:rPr>
              <w:t>PHC – Reformă și formare</w:t>
            </w:r>
          </w:p>
        </w:tc>
      </w:tr>
      <w:tr w:rsidR="00C45D59" w14:paraId="1DFF4E45"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10247C7"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170c</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2F887CAE" w14:textId="77777777" w:rsidR="00C45D59" w:rsidRDefault="009B0962">
            <w:pPr>
              <w:pStyle w:val="P68B1DB1-Normal11"/>
              <w:keepNext/>
              <w:spacing w:before="40" w:after="0" w:line="240" w:lineRule="auto"/>
              <w:jc w:val="both"/>
              <w:rPr>
                <w:rFonts w:eastAsia="Times New Roman" w:cs="Times New Roman"/>
                <w:bCs/>
                <w:noProof/>
              </w:rPr>
            </w:pPr>
            <w:r>
              <w:rPr>
                <w:noProof/>
              </w:rPr>
              <w:t>10-3.3. Îmbunătățirea rezilienței, a accesibilității și a sustenabilității asistenței medicale – 16795_Infrastructura de sănătate</w:t>
            </w:r>
          </w:p>
        </w:tc>
        <w:tc>
          <w:tcPr>
            <w:tcW w:w="1417" w:type="dxa"/>
            <w:tcBorders>
              <w:top w:val="nil"/>
              <w:left w:val="nil"/>
              <w:bottom w:val="single" w:sz="4" w:space="0" w:color="auto"/>
              <w:right w:val="single" w:sz="4" w:space="0" w:color="auto"/>
            </w:tcBorders>
            <w:shd w:val="clear" w:color="auto" w:fill="C6EFCE"/>
            <w:noWrap/>
            <w:vAlign w:val="center"/>
            <w:hideMark/>
          </w:tcPr>
          <w:p w14:paraId="2223DB75" w14:textId="77777777" w:rsidR="00C45D59" w:rsidRDefault="009B0962">
            <w:pPr>
              <w:pStyle w:val="P68B1DB1-Normal55"/>
              <w:keepNext/>
              <w:spacing w:before="40" w:after="0" w:line="240" w:lineRule="auto"/>
              <w:jc w:val="both"/>
              <w:rPr>
                <w:rFonts w:eastAsia="Times New Roman" w:cs="Times New Roman"/>
                <w:noProof/>
                <w:szCs w:val="18"/>
              </w:rPr>
            </w:pPr>
            <w:r>
              <w:rPr>
                <w:noProof/>
              </w:rPr>
              <w:t>Țintă</w:t>
            </w:r>
          </w:p>
        </w:tc>
        <w:tc>
          <w:tcPr>
            <w:tcW w:w="3292" w:type="dxa"/>
            <w:tcBorders>
              <w:top w:val="nil"/>
              <w:left w:val="nil"/>
              <w:bottom w:val="single" w:sz="4" w:space="0" w:color="auto"/>
              <w:right w:val="single" w:sz="4" w:space="0" w:color="auto"/>
            </w:tcBorders>
            <w:shd w:val="clear" w:color="auto" w:fill="C6EFCE"/>
            <w:noWrap/>
            <w:vAlign w:val="center"/>
            <w:hideMark/>
          </w:tcPr>
          <w:p w14:paraId="54A6CC7A" w14:textId="77777777" w:rsidR="00C45D59" w:rsidRDefault="009B0962">
            <w:pPr>
              <w:pStyle w:val="P68B1DB1-Normal55"/>
              <w:keepNext/>
              <w:spacing w:before="40" w:after="0" w:line="240" w:lineRule="auto"/>
              <w:jc w:val="both"/>
              <w:rPr>
                <w:rFonts w:eastAsia="Times New Roman" w:cs="Times New Roman"/>
                <w:noProof/>
                <w:szCs w:val="18"/>
              </w:rPr>
            </w:pPr>
            <w:r>
              <w:rPr>
                <w:noProof/>
              </w:rPr>
              <w:t>Modernizarea infrastructurii NHS – etapa 4</w:t>
            </w:r>
          </w:p>
        </w:tc>
      </w:tr>
      <w:tr w:rsidR="00C45D59" w14:paraId="0B0ECDDA"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66A80C2" w14:textId="77777777" w:rsidR="00C45D59" w:rsidRDefault="009B0962">
            <w:pPr>
              <w:pStyle w:val="P68B1DB1-Normal55"/>
              <w:keepNext/>
              <w:spacing w:before="40" w:after="0" w:line="240" w:lineRule="auto"/>
              <w:jc w:val="both"/>
              <w:rPr>
                <w:noProof/>
              </w:rPr>
            </w:pPr>
            <w:r>
              <w:rPr>
                <w:noProof/>
              </w:rPr>
              <w:t>170d</w:t>
            </w:r>
          </w:p>
        </w:tc>
        <w:tc>
          <w:tcPr>
            <w:tcW w:w="4820" w:type="dxa"/>
            <w:tcBorders>
              <w:top w:val="nil"/>
              <w:left w:val="single" w:sz="4" w:space="0" w:color="auto"/>
              <w:bottom w:val="single" w:sz="4" w:space="0" w:color="auto"/>
              <w:right w:val="single" w:sz="4" w:space="0" w:color="auto"/>
            </w:tcBorders>
            <w:shd w:val="clear" w:color="auto" w:fill="C6EFCE"/>
            <w:noWrap/>
            <w:vAlign w:val="center"/>
          </w:tcPr>
          <w:p w14:paraId="1EDA8E8F" w14:textId="77777777" w:rsidR="00C45D59" w:rsidRDefault="009B0962">
            <w:pPr>
              <w:pStyle w:val="P68B1DB1-Normal11"/>
              <w:keepNext/>
              <w:spacing w:before="40" w:after="0" w:line="240" w:lineRule="auto"/>
              <w:jc w:val="both"/>
              <w:rPr>
                <w:noProof/>
              </w:rPr>
            </w:pPr>
            <w:r>
              <w:rPr>
                <w:noProof/>
              </w:rPr>
              <w:t>10-3.3. Îmbunătățirea rezilienței, a accesibilității și a sustenabilității asistenței medicale – 16795_Infrastructura de sănătate</w:t>
            </w:r>
          </w:p>
        </w:tc>
        <w:tc>
          <w:tcPr>
            <w:tcW w:w="1417" w:type="dxa"/>
            <w:tcBorders>
              <w:top w:val="nil"/>
              <w:left w:val="nil"/>
              <w:bottom w:val="single" w:sz="4" w:space="0" w:color="auto"/>
              <w:right w:val="single" w:sz="4" w:space="0" w:color="auto"/>
            </w:tcBorders>
            <w:shd w:val="clear" w:color="auto" w:fill="C6EFCE"/>
            <w:noWrap/>
            <w:vAlign w:val="center"/>
          </w:tcPr>
          <w:p w14:paraId="419BD5FF" w14:textId="77777777" w:rsidR="00C45D59" w:rsidRDefault="009B0962">
            <w:pPr>
              <w:pStyle w:val="P68B1DB1-Normal55"/>
              <w:keepNext/>
              <w:spacing w:before="40" w:after="0" w:line="240" w:lineRule="auto"/>
              <w:jc w:val="both"/>
              <w:rPr>
                <w:noProof/>
              </w:rPr>
            </w:pPr>
            <w:r>
              <w:rPr>
                <w:noProof/>
              </w:rPr>
              <w:t>Țintă</w:t>
            </w:r>
          </w:p>
        </w:tc>
        <w:tc>
          <w:tcPr>
            <w:tcW w:w="3292" w:type="dxa"/>
            <w:tcBorders>
              <w:top w:val="nil"/>
              <w:left w:val="nil"/>
              <w:bottom w:val="single" w:sz="4" w:space="0" w:color="auto"/>
              <w:right w:val="single" w:sz="4" w:space="0" w:color="auto"/>
            </w:tcBorders>
            <w:shd w:val="clear" w:color="auto" w:fill="C6EFCE"/>
            <w:noWrap/>
            <w:vAlign w:val="center"/>
          </w:tcPr>
          <w:p w14:paraId="126D6D82" w14:textId="77777777" w:rsidR="00C45D59" w:rsidRDefault="009B0962">
            <w:pPr>
              <w:pStyle w:val="P68B1DB1-Normal55"/>
              <w:keepNext/>
              <w:spacing w:before="40" w:after="0" w:line="240" w:lineRule="auto"/>
              <w:jc w:val="both"/>
              <w:rPr>
                <w:noProof/>
              </w:rPr>
            </w:pPr>
            <w:r>
              <w:rPr>
                <w:noProof/>
              </w:rPr>
              <w:t>Modernizarea infrastructurii NHS – etapa 5</w:t>
            </w:r>
          </w:p>
        </w:tc>
      </w:tr>
      <w:tr w:rsidR="00C45D59" w14:paraId="3A95922B"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FB0557D"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171</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0ACC7EDF"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10-3.3. Îmbunătățirea rezilienței, a accesibilității și a sustenabilității asistenței medicale – 16757_Înființarea unui centru de radioterapie la Thoracic „Sotiria”</w:t>
            </w:r>
          </w:p>
        </w:tc>
        <w:tc>
          <w:tcPr>
            <w:tcW w:w="1417" w:type="dxa"/>
            <w:tcBorders>
              <w:top w:val="nil"/>
              <w:left w:val="nil"/>
              <w:bottom w:val="single" w:sz="4" w:space="0" w:color="auto"/>
              <w:right w:val="single" w:sz="4" w:space="0" w:color="auto"/>
            </w:tcBorders>
            <w:shd w:val="clear" w:color="auto" w:fill="C6EFCE"/>
            <w:noWrap/>
            <w:vAlign w:val="center"/>
            <w:hideMark/>
          </w:tcPr>
          <w:p w14:paraId="622BD80C" w14:textId="77777777" w:rsidR="00C45D59" w:rsidRDefault="009B0962">
            <w:pPr>
              <w:pStyle w:val="P68B1DB1-Normal55"/>
              <w:keepNext/>
              <w:spacing w:before="40" w:after="0" w:line="240" w:lineRule="auto"/>
              <w:jc w:val="both"/>
              <w:rPr>
                <w:rFonts w:eastAsia="Times New Roman" w:cs="Times New Roman"/>
                <w:noProof/>
                <w:szCs w:val="18"/>
              </w:rPr>
            </w:pPr>
            <w:r>
              <w:rPr>
                <w:noProof/>
              </w:rPr>
              <w:t>Etapă</w:t>
            </w:r>
          </w:p>
        </w:tc>
        <w:tc>
          <w:tcPr>
            <w:tcW w:w="3292" w:type="dxa"/>
            <w:tcBorders>
              <w:top w:val="nil"/>
              <w:left w:val="nil"/>
              <w:bottom w:val="single" w:sz="4" w:space="0" w:color="auto"/>
              <w:right w:val="single" w:sz="4" w:space="0" w:color="auto"/>
            </w:tcBorders>
            <w:shd w:val="clear" w:color="auto" w:fill="C6EFCE"/>
            <w:noWrap/>
            <w:vAlign w:val="center"/>
            <w:hideMark/>
          </w:tcPr>
          <w:p w14:paraId="470C368D" w14:textId="77777777" w:rsidR="00C45D59" w:rsidRDefault="009B0962">
            <w:pPr>
              <w:pStyle w:val="P68B1DB1-Normal55"/>
              <w:keepNext/>
              <w:spacing w:before="40" w:after="0" w:line="240" w:lineRule="auto"/>
              <w:jc w:val="both"/>
              <w:rPr>
                <w:rFonts w:eastAsia="Times New Roman" w:cs="Times New Roman"/>
                <w:noProof/>
                <w:szCs w:val="18"/>
              </w:rPr>
            </w:pPr>
            <w:r>
              <w:rPr>
                <w:noProof/>
              </w:rPr>
              <w:t>Centrul de radioterapie Sotiria</w:t>
            </w:r>
          </w:p>
        </w:tc>
      </w:tr>
      <w:tr w:rsidR="00C45D59" w14:paraId="0A625D6E"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7155863"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172</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28EC7C7F"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10-3.3. Îmbunătățirea rezilienței, accesibilității și sustenabilității asistenței medicale – 16793_Laboratoarele Clinice de Therapie și Hematologie Cell &amp; Gene din cadrul Spitalului General din Salonic „Papanikolaou”</w:t>
            </w:r>
          </w:p>
        </w:tc>
        <w:tc>
          <w:tcPr>
            <w:tcW w:w="1417" w:type="dxa"/>
            <w:tcBorders>
              <w:top w:val="nil"/>
              <w:left w:val="nil"/>
              <w:bottom w:val="single" w:sz="4" w:space="0" w:color="auto"/>
              <w:right w:val="single" w:sz="4" w:space="0" w:color="auto"/>
            </w:tcBorders>
            <w:shd w:val="clear" w:color="auto" w:fill="C6EFCE"/>
            <w:noWrap/>
            <w:vAlign w:val="center"/>
            <w:hideMark/>
          </w:tcPr>
          <w:p w14:paraId="1370E643" w14:textId="77777777" w:rsidR="00C45D59" w:rsidRDefault="009B0962">
            <w:pPr>
              <w:pStyle w:val="P68B1DB1-Normal55"/>
              <w:keepNext/>
              <w:spacing w:before="40" w:after="0" w:line="240" w:lineRule="auto"/>
              <w:jc w:val="both"/>
              <w:rPr>
                <w:rFonts w:eastAsia="Times New Roman" w:cs="Times New Roman"/>
                <w:noProof/>
                <w:szCs w:val="18"/>
              </w:rPr>
            </w:pPr>
            <w:r>
              <w:rPr>
                <w:noProof/>
              </w:rPr>
              <w:t>Etapă</w:t>
            </w:r>
          </w:p>
        </w:tc>
        <w:tc>
          <w:tcPr>
            <w:tcW w:w="3292" w:type="dxa"/>
            <w:tcBorders>
              <w:top w:val="nil"/>
              <w:left w:val="nil"/>
              <w:bottom w:val="single" w:sz="4" w:space="0" w:color="auto"/>
              <w:right w:val="single" w:sz="4" w:space="0" w:color="auto"/>
            </w:tcBorders>
            <w:shd w:val="clear" w:color="auto" w:fill="C6EFCE"/>
            <w:noWrap/>
            <w:vAlign w:val="center"/>
            <w:hideMark/>
          </w:tcPr>
          <w:p w14:paraId="6D3E4ECF" w14:textId="77777777" w:rsidR="00C45D59" w:rsidRDefault="009B0962">
            <w:pPr>
              <w:pStyle w:val="P68B1DB1-Normal55"/>
              <w:keepNext/>
              <w:spacing w:before="40" w:after="0" w:line="240" w:lineRule="auto"/>
              <w:jc w:val="both"/>
              <w:rPr>
                <w:rFonts w:eastAsia="Times New Roman" w:cs="Times New Roman"/>
                <w:noProof/>
                <w:szCs w:val="18"/>
              </w:rPr>
            </w:pPr>
            <w:r>
              <w:rPr>
                <w:noProof/>
              </w:rPr>
              <w:t xml:space="preserve">Spitalul Papanikolaou </w:t>
            </w:r>
          </w:p>
        </w:tc>
      </w:tr>
      <w:tr w:rsidR="00C45D59" w14:paraId="0926A83A"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AA6ECBF"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173</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70D54688"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10-3.3. Îmbunătățirea rezilienței, a accesibilității și a sustenabilității asistenței medicale – 16752_Transformarea digitală a sănătății (DigHealth)</w:t>
            </w:r>
          </w:p>
        </w:tc>
        <w:tc>
          <w:tcPr>
            <w:tcW w:w="1417" w:type="dxa"/>
            <w:tcBorders>
              <w:top w:val="nil"/>
              <w:left w:val="nil"/>
              <w:bottom w:val="single" w:sz="4" w:space="0" w:color="auto"/>
              <w:right w:val="single" w:sz="4" w:space="0" w:color="auto"/>
            </w:tcBorders>
            <w:shd w:val="clear" w:color="auto" w:fill="C6EFCE"/>
            <w:noWrap/>
            <w:vAlign w:val="center"/>
            <w:hideMark/>
          </w:tcPr>
          <w:p w14:paraId="40FFC605" w14:textId="77777777" w:rsidR="00C45D59" w:rsidRDefault="009B0962">
            <w:pPr>
              <w:pStyle w:val="P68B1DB1-Normal55"/>
              <w:keepNext/>
              <w:spacing w:before="40" w:after="0" w:line="240" w:lineRule="auto"/>
              <w:jc w:val="both"/>
              <w:rPr>
                <w:rFonts w:eastAsia="Times New Roman" w:cs="Times New Roman"/>
                <w:noProof/>
                <w:szCs w:val="18"/>
              </w:rPr>
            </w:pPr>
            <w:r>
              <w:rPr>
                <w:noProof/>
              </w:rPr>
              <w:t>Etapă</w:t>
            </w:r>
          </w:p>
        </w:tc>
        <w:tc>
          <w:tcPr>
            <w:tcW w:w="3292" w:type="dxa"/>
            <w:tcBorders>
              <w:top w:val="nil"/>
              <w:left w:val="nil"/>
              <w:bottom w:val="single" w:sz="4" w:space="0" w:color="auto"/>
              <w:right w:val="single" w:sz="4" w:space="0" w:color="auto"/>
            </w:tcBorders>
            <w:shd w:val="clear" w:color="auto" w:fill="C6EFCE"/>
            <w:noWrap/>
            <w:vAlign w:val="center"/>
            <w:hideMark/>
          </w:tcPr>
          <w:p w14:paraId="2F5C75F9" w14:textId="77777777" w:rsidR="00C45D59" w:rsidRDefault="009B0962">
            <w:pPr>
              <w:pStyle w:val="P68B1DB1-Normal11"/>
              <w:keepNext/>
              <w:spacing w:before="40" w:after="0" w:line="240" w:lineRule="auto"/>
              <w:jc w:val="both"/>
              <w:rPr>
                <w:rFonts w:eastAsia="Times New Roman" w:cs="Times New Roman"/>
                <w:noProof/>
              </w:rPr>
            </w:pPr>
            <w:r>
              <w:rPr>
                <w:noProof/>
              </w:rPr>
              <w:t>Transformarea digitală – toate subproiectele realizate, etapa 1</w:t>
            </w:r>
          </w:p>
        </w:tc>
      </w:tr>
      <w:tr w:rsidR="00C45D59" w14:paraId="5D3BA359"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B107996" w14:textId="77777777" w:rsidR="00C45D59" w:rsidRDefault="009B0962">
            <w:pPr>
              <w:pStyle w:val="P68B1DB1-Normal11"/>
              <w:spacing w:line="240" w:lineRule="auto"/>
              <w:jc w:val="both"/>
              <w:rPr>
                <w:noProof/>
              </w:rPr>
            </w:pPr>
            <w:r>
              <w:rPr>
                <w:noProof/>
              </w:rPr>
              <w:t>173a</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32153208" w14:textId="77777777" w:rsidR="00C45D59" w:rsidRDefault="009B0962">
            <w:pPr>
              <w:pStyle w:val="P68B1DB1-Normal11"/>
              <w:keepNext/>
              <w:spacing w:before="40" w:after="0" w:line="240" w:lineRule="auto"/>
              <w:jc w:val="both"/>
              <w:rPr>
                <w:rFonts w:eastAsia="Times New Roman" w:cs="Times New Roman"/>
                <w:noProof/>
              </w:rPr>
            </w:pPr>
            <w:r>
              <w:rPr>
                <w:noProof/>
              </w:rPr>
              <w:t>10-3.3. Îmbunătățirea rezilienței, a accesibilității și a sustenabilității asistenței medicale – 16752_Transformarea digitală a sănătății (DigHealth)</w:t>
            </w:r>
          </w:p>
        </w:tc>
        <w:tc>
          <w:tcPr>
            <w:tcW w:w="1417" w:type="dxa"/>
            <w:tcBorders>
              <w:top w:val="nil"/>
              <w:left w:val="nil"/>
              <w:bottom w:val="single" w:sz="4" w:space="0" w:color="auto"/>
              <w:right w:val="single" w:sz="4" w:space="0" w:color="auto"/>
            </w:tcBorders>
            <w:shd w:val="clear" w:color="auto" w:fill="C6EFCE"/>
            <w:noWrap/>
            <w:vAlign w:val="center"/>
            <w:hideMark/>
          </w:tcPr>
          <w:p w14:paraId="722D1BC5" w14:textId="77777777" w:rsidR="00C45D59" w:rsidRDefault="009B0962">
            <w:pPr>
              <w:pStyle w:val="P68B1DB1-Normal11"/>
              <w:keepNext/>
              <w:spacing w:before="40" w:after="0" w:line="240" w:lineRule="auto"/>
              <w:jc w:val="both"/>
              <w:rPr>
                <w:rFonts w:eastAsia="Times New Roman" w:cs="Times New Roman"/>
                <w:noProof/>
              </w:rPr>
            </w:pPr>
            <w:r>
              <w:rPr>
                <w:noProof/>
              </w:rPr>
              <w:t>Etapă</w:t>
            </w:r>
          </w:p>
        </w:tc>
        <w:tc>
          <w:tcPr>
            <w:tcW w:w="3292" w:type="dxa"/>
            <w:tcBorders>
              <w:top w:val="nil"/>
              <w:left w:val="nil"/>
              <w:bottom w:val="single" w:sz="4" w:space="0" w:color="auto"/>
              <w:right w:val="single" w:sz="4" w:space="0" w:color="auto"/>
            </w:tcBorders>
            <w:shd w:val="clear" w:color="auto" w:fill="C6EFCE"/>
            <w:noWrap/>
            <w:vAlign w:val="center"/>
            <w:hideMark/>
          </w:tcPr>
          <w:p w14:paraId="478F3D9E" w14:textId="77777777" w:rsidR="00C45D59" w:rsidRDefault="009B0962">
            <w:pPr>
              <w:pStyle w:val="P68B1DB1-Normal11"/>
              <w:keepNext/>
              <w:spacing w:before="40" w:after="0" w:line="240" w:lineRule="auto"/>
              <w:jc w:val="both"/>
              <w:rPr>
                <w:noProof/>
              </w:rPr>
            </w:pPr>
            <w:r>
              <w:rPr>
                <w:noProof/>
              </w:rPr>
              <w:t>Transformarea digitală – toate subproiectele realizate, etapa 2</w:t>
            </w:r>
          </w:p>
        </w:tc>
      </w:tr>
      <w:tr w:rsidR="00C45D59" w14:paraId="24CBF592"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3F67C13" w14:textId="77777777" w:rsidR="00C45D59" w:rsidRDefault="009B0962">
            <w:pPr>
              <w:pStyle w:val="P68B1DB1-Normal11"/>
              <w:spacing w:line="240" w:lineRule="auto"/>
              <w:jc w:val="both"/>
              <w:rPr>
                <w:noProof/>
              </w:rPr>
            </w:pPr>
            <w:r>
              <w:rPr>
                <w:noProof/>
              </w:rPr>
              <w:t>173b</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3202D093" w14:textId="77777777" w:rsidR="00C45D59" w:rsidRDefault="009B0962">
            <w:pPr>
              <w:pStyle w:val="P68B1DB1-Normal11"/>
              <w:keepNext/>
              <w:spacing w:before="40" w:after="0" w:line="240" w:lineRule="auto"/>
              <w:jc w:val="both"/>
              <w:rPr>
                <w:rFonts w:eastAsia="Times New Roman" w:cs="Times New Roman"/>
                <w:noProof/>
              </w:rPr>
            </w:pPr>
            <w:r>
              <w:rPr>
                <w:noProof/>
              </w:rPr>
              <w:t>10-3.3. Îmbunătățirea rezilienței, a accesibilității și a sustenabilității asistenței medicale – 16752_Transformarea digitală a sănătății (DigHealth)</w:t>
            </w:r>
          </w:p>
        </w:tc>
        <w:tc>
          <w:tcPr>
            <w:tcW w:w="1417" w:type="dxa"/>
            <w:tcBorders>
              <w:top w:val="nil"/>
              <w:left w:val="nil"/>
              <w:bottom w:val="single" w:sz="4" w:space="0" w:color="auto"/>
              <w:right w:val="single" w:sz="4" w:space="0" w:color="auto"/>
            </w:tcBorders>
            <w:shd w:val="clear" w:color="auto" w:fill="C6EFCE"/>
            <w:noWrap/>
            <w:vAlign w:val="center"/>
            <w:hideMark/>
          </w:tcPr>
          <w:p w14:paraId="310871EB" w14:textId="77777777" w:rsidR="00C45D59" w:rsidRDefault="009B0962">
            <w:pPr>
              <w:pStyle w:val="P68B1DB1-Normal11"/>
              <w:keepNext/>
              <w:spacing w:before="40" w:after="0" w:line="240" w:lineRule="auto"/>
              <w:jc w:val="both"/>
              <w:rPr>
                <w:rFonts w:eastAsia="Times New Roman" w:cs="Times New Roman"/>
                <w:noProof/>
              </w:rPr>
            </w:pPr>
            <w:r>
              <w:rPr>
                <w:noProof/>
              </w:rPr>
              <w:t>Etapă</w:t>
            </w:r>
          </w:p>
        </w:tc>
        <w:tc>
          <w:tcPr>
            <w:tcW w:w="3292" w:type="dxa"/>
            <w:tcBorders>
              <w:top w:val="nil"/>
              <w:left w:val="nil"/>
              <w:bottom w:val="single" w:sz="4" w:space="0" w:color="auto"/>
              <w:right w:val="single" w:sz="4" w:space="0" w:color="auto"/>
            </w:tcBorders>
            <w:shd w:val="clear" w:color="auto" w:fill="C6EFCE"/>
            <w:noWrap/>
            <w:vAlign w:val="center"/>
            <w:hideMark/>
          </w:tcPr>
          <w:p w14:paraId="2C070808" w14:textId="77777777" w:rsidR="00C45D59" w:rsidRDefault="009B0962">
            <w:pPr>
              <w:pStyle w:val="P68B1DB1-Normal11"/>
              <w:keepNext/>
              <w:spacing w:before="40" w:after="0" w:line="240" w:lineRule="auto"/>
              <w:jc w:val="both"/>
              <w:rPr>
                <w:noProof/>
              </w:rPr>
            </w:pPr>
            <w:r>
              <w:rPr>
                <w:noProof/>
              </w:rPr>
              <w:t>Transformarea digitală – toate subproiectele realizate, etapa 3</w:t>
            </w:r>
          </w:p>
        </w:tc>
      </w:tr>
      <w:tr w:rsidR="00C45D59" w14:paraId="2B20ADCD"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hideMark/>
          </w:tcPr>
          <w:p w14:paraId="3F98B3A3" w14:textId="77777777" w:rsidR="00C45D59" w:rsidRDefault="009B0962">
            <w:pPr>
              <w:pStyle w:val="P68B1DB1-Normal11"/>
              <w:keepNext/>
              <w:spacing w:before="40" w:after="0" w:line="240" w:lineRule="auto"/>
              <w:jc w:val="both"/>
              <w:rPr>
                <w:noProof/>
              </w:rPr>
            </w:pPr>
            <w:r>
              <w:rPr>
                <w:noProof/>
              </w:rPr>
              <w:t>174a</w:t>
            </w:r>
          </w:p>
        </w:tc>
        <w:tc>
          <w:tcPr>
            <w:tcW w:w="4820" w:type="dxa"/>
            <w:tcBorders>
              <w:top w:val="nil"/>
              <w:left w:val="single" w:sz="4" w:space="0" w:color="auto"/>
              <w:bottom w:val="single" w:sz="4" w:space="0" w:color="auto"/>
              <w:right w:val="single" w:sz="4" w:space="0" w:color="auto"/>
            </w:tcBorders>
            <w:shd w:val="clear" w:color="auto" w:fill="C6EFCE"/>
            <w:noWrap/>
            <w:hideMark/>
          </w:tcPr>
          <w:p w14:paraId="603046A2" w14:textId="5386780B" w:rsidR="00C45D59" w:rsidRDefault="009B0962">
            <w:pPr>
              <w:pStyle w:val="P68B1DB1-Normal11"/>
              <w:keepNext/>
              <w:spacing w:before="40" w:after="0" w:line="240" w:lineRule="auto"/>
              <w:jc w:val="both"/>
              <w:rPr>
                <w:noProof/>
              </w:rPr>
            </w:pPr>
            <w:r>
              <w:rPr>
                <w:noProof/>
              </w:rPr>
              <w:t>11-3.4. Sporirea accesului la politici sociale eficace și favorabile incluziunii – 16904_ Accesibilitatea și infrastructura de sprijin pentru intervențiile timpurii în copilărie, implementarea permanentă la nivel național a sistemului de asistență personală pentru persoanele cu handicap</w:t>
            </w:r>
          </w:p>
        </w:tc>
        <w:tc>
          <w:tcPr>
            <w:tcW w:w="1417" w:type="dxa"/>
            <w:tcBorders>
              <w:top w:val="nil"/>
              <w:left w:val="nil"/>
              <w:bottom w:val="single" w:sz="4" w:space="0" w:color="auto"/>
              <w:right w:val="single" w:sz="4" w:space="0" w:color="auto"/>
            </w:tcBorders>
            <w:shd w:val="clear" w:color="auto" w:fill="C6EFCE"/>
            <w:noWrap/>
            <w:hideMark/>
          </w:tcPr>
          <w:p w14:paraId="3712AD90" w14:textId="77777777" w:rsidR="00C45D59" w:rsidRDefault="009B0962">
            <w:pPr>
              <w:pStyle w:val="P68B1DB1-Normal11"/>
              <w:keepNext/>
              <w:spacing w:before="40" w:after="0" w:line="240" w:lineRule="auto"/>
              <w:jc w:val="both"/>
              <w:rPr>
                <w:rFonts w:cs="Times New Roman"/>
                <w:noProof/>
              </w:rPr>
            </w:pPr>
            <w:r>
              <w:rPr>
                <w:noProof/>
              </w:rPr>
              <w:t>Etapă</w:t>
            </w:r>
          </w:p>
        </w:tc>
        <w:tc>
          <w:tcPr>
            <w:tcW w:w="3292" w:type="dxa"/>
            <w:tcBorders>
              <w:top w:val="nil"/>
              <w:left w:val="nil"/>
              <w:bottom w:val="single" w:sz="4" w:space="0" w:color="auto"/>
              <w:right w:val="single" w:sz="4" w:space="0" w:color="auto"/>
            </w:tcBorders>
            <w:shd w:val="clear" w:color="auto" w:fill="C6EFCE"/>
            <w:noWrap/>
            <w:hideMark/>
          </w:tcPr>
          <w:p w14:paraId="629938B0" w14:textId="78BE386E" w:rsidR="00C45D59" w:rsidRDefault="009B0962">
            <w:pPr>
              <w:pStyle w:val="P68B1DB1-Normal11"/>
              <w:keepNext/>
              <w:spacing w:before="40" w:after="0" w:line="240" w:lineRule="auto"/>
              <w:jc w:val="both"/>
              <w:rPr>
                <w:rFonts w:cs="Times New Roman"/>
                <w:noProof/>
              </w:rPr>
            </w:pPr>
            <w:r>
              <w:rPr>
                <w:noProof/>
              </w:rPr>
              <w:t>Accesibilitate și infrastructură de sprijin, intervenții în copilăria timpurie, implementarea permanentă la nivel național a sistemului de asistență personală pentru persoanele cu handicap</w:t>
            </w:r>
          </w:p>
        </w:tc>
      </w:tr>
      <w:tr w:rsidR="00C45D59" w14:paraId="173E8D10"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FB86099" w14:textId="77777777" w:rsidR="00C45D59" w:rsidRDefault="009B0962">
            <w:pPr>
              <w:pStyle w:val="P68B1DB1-Normal55"/>
              <w:keepNext/>
              <w:spacing w:before="40" w:after="0" w:line="240" w:lineRule="auto"/>
              <w:jc w:val="both"/>
              <w:rPr>
                <w:noProof/>
              </w:rPr>
            </w:pPr>
            <w:r>
              <w:rPr>
                <w:noProof/>
              </w:rPr>
              <w:t>178</w:t>
            </w:r>
          </w:p>
        </w:tc>
        <w:tc>
          <w:tcPr>
            <w:tcW w:w="4820" w:type="dxa"/>
            <w:tcBorders>
              <w:top w:val="nil"/>
              <w:left w:val="single" w:sz="4" w:space="0" w:color="auto"/>
              <w:bottom w:val="single" w:sz="4" w:space="0" w:color="auto"/>
              <w:right w:val="single" w:sz="4" w:space="0" w:color="auto"/>
            </w:tcBorders>
            <w:shd w:val="clear" w:color="auto" w:fill="C6EFCE"/>
            <w:noWrap/>
            <w:vAlign w:val="center"/>
          </w:tcPr>
          <w:p w14:paraId="7F5EA039" w14:textId="77777777" w:rsidR="00C45D59" w:rsidRDefault="009B0962">
            <w:pPr>
              <w:pStyle w:val="P68B1DB1-Normal55"/>
              <w:keepNext/>
              <w:spacing w:before="40" w:after="0" w:line="240" w:lineRule="auto"/>
              <w:jc w:val="both"/>
              <w:rPr>
                <w:noProof/>
              </w:rPr>
            </w:pPr>
            <w:r>
              <w:rPr>
                <w:noProof/>
              </w:rPr>
              <w:t>11-3.4. Creșterea accesului la politici sociale eficace și favorabile incluziunii – 16919_Protecția copilului</w:t>
            </w:r>
          </w:p>
        </w:tc>
        <w:tc>
          <w:tcPr>
            <w:tcW w:w="1417" w:type="dxa"/>
            <w:tcBorders>
              <w:top w:val="nil"/>
              <w:left w:val="nil"/>
              <w:bottom w:val="single" w:sz="4" w:space="0" w:color="auto"/>
              <w:right w:val="single" w:sz="4" w:space="0" w:color="auto"/>
            </w:tcBorders>
            <w:shd w:val="clear" w:color="auto" w:fill="C6EFCE"/>
            <w:noWrap/>
            <w:vAlign w:val="center"/>
          </w:tcPr>
          <w:p w14:paraId="6C35B852" w14:textId="77777777" w:rsidR="00C45D59" w:rsidRDefault="009B0962">
            <w:pPr>
              <w:pStyle w:val="P68B1DB1-Normal55"/>
              <w:keepNext/>
              <w:spacing w:before="40" w:after="0" w:line="240" w:lineRule="auto"/>
              <w:jc w:val="both"/>
              <w:rPr>
                <w:noProof/>
              </w:rPr>
            </w:pPr>
            <w:r>
              <w:rPr>
                <w:noProof/>
              </w:rPr>
              <w:t>Etapă</w:t>
            </w:r>
          </w:p>
        </w:tc>
        <w:tc>
          <w:tcPr>
            <w:tcW w:w="3292" w:type="dxa"/>
            <w:tcBorders>
              <w:top w:val="nil"/>
              <w:left w:val="nil"/>
              <w:bottom w:val="single" w:sz="4" w:space="0" w:color="auto"/>
              <w:right w:val="single" w:sz="4" w:space="0" w:color="auto"/>
            </w:tcBorders>
            <w:shd w:val="clear" w:color="auto" w:fill="C6EFCE"/>
            <w:noWrap/>
            <w:vAlign w:val="center"/>
          </w:tcPr>
          <w:p w14:paraId="63ED0751" w14:textId="77777777" w:rsidR="00C45D59" w:rsidRDefault="009B0962">
            <w:pPr>
              <w:pStyle w:val="P68B1DB1-Normal55"/>
              <w:keepNext/>
              <w:spacing w:before="40" w:after="0" w:line="240" w:lineRule="auto"/>
              <w:jc w:val="both"/>
              <w:rPr>
                <w:noProof/>
              </w:rPr>
            </w:pPr>
            <w:r>
              <w:rPr>
                <w:noProof/>
              </w:rPr>
              <w:t>Apartamente cu viață independentă pentru dezinstituționalizarea persoanelor cu vârsta de până la 26 de ani</w:t>
            </w:r>
          </w:p>
        </w:tc>
      </w:tr>
      <w:tr w:rsidR="00C45D59" w14:paraId="4A1AC60B"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5B66219" w14:textId="77777777" w:rsidR="00C45D59" w:rsidRDefault="009B0962">
            <w:pPr>
              <w:pStyle w:val="P68B1DB1-Normal55"/>
              <w:keepNext/>
              <w:spacing w:before="40" w:after="0" w:line="240" w:lineRule="auto"/>
              <w:jc w:val="both"/>
              <w:rPr>
                <w:noProof/>
              </w:rPr>
            </w:pPr>
            <w:r>
              <w:rPr>
                <w:noProof/>
              </w:rPr>
              <w:t>179</w:t>
            </w:r>
          </w:p>
        </w:tc>
        <w:tc>
          <w:tcPr>
            <w:tcW w:w="4820" w:type="dxa"/>
            <w:tcBorders>
              <w:top w:val="nil"/>
              <w:left w:val="single" w:sz="4" w:space="0" w:color="auto"/>
              <w:bottom w:val="single" w:sz="4" w:space="0" w:color="auto"/>
              <w:right w:val="single" w:sz="4" w:space="0" w:color="auto"/>
            </w:tcBorders>
            <w:shd w:val="clear" w:color="auto" w:fill="C6EFCE"/>
            <w:noWrap/>
            <w:vAlign w:val="center"/>
          </w:tcPr>
          <w:p w14:paraId="50DE3744" w14:textId="77777777" w:rsidR="00C45D59" w:rsidRDefault="009B0962">
            <w:pPr>
              <w:pStyle w:val="P68B1DB1-Normal55"/>
              <w:keepNext/>
              <w:spacing w:before="40" w:after="0" w:line="240" w:lineRule="auto"/>
              <w:jc w:val="both"/>
              <w:rPr>
                <w:noProof/>
              </w:rPr>
            </w:pPr>
            <w:r>
              <w:rPr>
                <w:noProof/>
              </w:rPr>
              <w:t>11-3.4. Creșterea accesului la politici sociale eficace și favorabile incluziunii – 16904_Handicap</w:t>
            </w:r>
          </w:p>
        </w:tc>
        <w:tc>
          <w:tcPr>
            <w:tcW w:w="1417" w:type="dxa"/>
            <w:tcBorders>
              <w:top w:val="nil"/>
              <w:left w:val="nil"/>
              <w:bottom w:val="single" w:sz="4" w:space="0" w:color="auto"/>
              <w:right w:val="single" w:sz="4" w:space="0" w:color="auto"/>
            </w:tcBorders>
            <w:shd w:val="clear" w:color="auto" w:fill="C6EFCE"/>
            <w:noWrap/>
            <w:vAlign w:val="center"/>
          </w:tcPr>
          <w:p w14:paraId="77FB11E7" w14:textId="77777777" w:rsidR="00C45D59" w:rsidRDefault="009B0962">
            <w:pPr>
              <w:pStyle w:val="P68B1DB1-Normal55"/>
              <w:keepNext/>
              <w:spacing w:before="40" w:after="0" w:line="240" w:lineRule="auto"/>
              <w:jc w:val="both"/>
              <w:rPr>
                <w:noProof/>
              </w:rPr>
            </w:pPr>
            <w:r>
              <w:rPr>
                <w:noProof/>
              </w:rPr>
              <w:t>Etapă</w:t>
            </w:r>
          </w:p>
        </w:tc>
        <w:tc>
          <w:tcPr>
            <w:tcW w:w="3292" w:type="dxa"/>
            <w:tcBorders>
              <w:top w:val="nil"/>
              <w:left w:val="nil"/>
              <w:bottom w:val="single" w:sz="4" w:space="0" w:color="auto"/>
              <w:right w:val="single" w:sz="4" w:space="0" w:color="auto"/>
            </w:tcBorders>
            <w:shd w:val="clear" w:color="auto" w:fill="C6EFCE"/>
            <w:noWrap/>
            <w:vAlign w:val="center"/>
          </w:tcPr>
          <w:p w14:paraId="75EAC1D4" w14:textId="26778F40" w:rsidR="00C45D59" w:rsidRDefault="009B0962">
            <w:pPr>
              <w:pStyle w:val="P68B1DB1-Normal11"/>
              <w:keepNext/>
              <w:spacing w:before="40" w:after="0" w:line="240" w:lineRule="auto"/>
              <w:jc w:val="both"/>
              <w:rPr>
                <w:noProof/>
              </w:rPr>
            </w:pPr>
            <w:r>
              <w:rPr>
                <w:noProof/>
              </w:rPr>
              <w:t>Punerea în aplicare la nivel național a sistemului de asistență personală pentru persoanele cu handicap și evaluarea programului-pilot</w:t>
            </w:r>
          </w:p>
        </w:tc>
      </w:tr>
      <w:tr w:rsidR="00C45D59" w14:paraId="6306FC90"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tcPr>
          <w:p w14:paraId="002C80B9" w14:textId="77777777" w:rsidR="00C45D59" w:rsidRDefault="009B0962">
            <w:pPr>
              <w:pStyle w:val="P68B1DB1-Normal55"/>
              <w:keepNext/>
              <w:spacing w:before="40" w:after="0" w:line="240" w:lineRule="auto"/>
              <w:jc w:val="both"/>
              <w:rPr>
                <w:noProof/>
              </w:rPr>
            </w:pPr>
            <w:r>
              <w:rPr>
                <w:noProof/>
              </w:rPr>
              <w:t>181</w:t>
            </w:r>
          </w:p>
        </w:tc>
        <w:tc>
          <w:tcPr>
            <w:tcW w:w="4820" w:type="dxa"/>
            <w:tcBorders>
              <w:top w:val="nil"/>
              <w:left w:val="single" w:sz="4" w:space="0" w:color="auto"/>
              <w:bottom w:val="single" w:sz="4" w:space="0" w:color="auto"/>
              <w:right w:val="single" w:sz="4" w:space="0" w:color="auto"/>
            </w:tcBorders>
            <w:shd w:val="clear" w:color="auto" w:fill="C6EFCE"/>
            <w:noWrap/>
          </w:tcPr>
          <w:p w14:paraId="4652DBD3" w14:textId="77777777" w:rsidR="00C45D59" w:rsidRDefault="009B0962">
            <w:pPr>
              <w:pStyle w:val="P68B1DB1-Normal55"/>
              <w:keepNext/>
              <w:spacing w:before="40" w:after="0" w:line="240" w:lineRule="auto"/>
              <w:jc w:val="both"/>
              <w:rPr>
                <w:noProof/>
              </w:rPr>
            </w:pPr>
            <w:r>
              <w:rPr>
                <w:noProof/>
              </w:rPr>
              <w:t>11-3.4 sporirea accesului la politici sociale eficace și favorabile incluziunii – 16402_Locuințe sociale și la prețuri accesibile</w:t>
            </w:r>
          </w:p>
        </w:tc>
        <w:tc>
          <w:tcPr>
            <w:tcW w:w="1417" w:type="dxa"/>
            <w:tcBorders>
              <w:top w:val="nil"/>
              <w:left w:val="nil"/>
              <w:bottom w:val="single" w:sz="4" w:space="0" w:color="auto"/>
              <w:right w:val="single" w:sz="4" w:space="0" w:color="auto"/>
            </w:tcBorders>
            <w:shd w:val="clear" w:color="auto" w:fill="C6EFCE"/>
            <w:noWrap/>
          </w:tcPr>
          <w:p w14:paraId="73C80458" w14:textId="77777777" w:rsidR="00C45D59" w:rsidRDefault="009B0962">
            <w:pPr>
              <w:pStyle w:val="P68B1DB1-Normal55"/>
              <w:keepNext/>
              <w:spacing w:before="40" w:after="0" w:line="240" w:lineRule="auto"/>
              <w:jc w:val="both"/>
              <w:rPr>
                <w:noProof/>
              </w:rPr>
            </w:pPr>
            <w:r>
              <w:rPr>
                <w:noProof/>
              </w:rPr>
              <w:t>Etapă</w:t>
            </w:r>
          </w:p>
        </w:tc>
        <w:tc>
          <w:tcPr>
            <w:tcW w:w="3292" w:type="dxa"/>
            <w:tcBorders>
              <w:top w:val="nil"/>
              <w:left w:val="nil"/>
              <w:bottom w:val="single" w:sz="4" w:space="0" w:color="auto"/>
              <w:right w:val="single" w:sz="4" w:space="0" w:color="auto"/>
            </w:tcBorders>
            <w:shd w:val="clear" w:color="auto" w:fill="C6EFCE"/>
            <w:noWrap/>
          </w:tcPr>
          <w:p w14:paraId="5B5B9243" w14:textId="77777777" w:rsidR="00C45D59" w:rsidRDefault="009B0962">
            <w:pPr>
              <w:pStyle w:val="P68B1DB1-Normal55"/>
              <w:keepNext/>
              <w:spacing w:before="40" w:after="0" w:line="240" w:lineRule="auto"/>
              <w:jc w:val="both"/>
              <w:rPr>
                <w:noProof/>
              </w:rPr>
            </w:pPr>
            <w:r>
              <w:rPr>
                <w:noProof/>
              </w:rPr>
              <w:t>Strategia națională privind locuințele</w:t>
            </w:r>
          </w:p>
        </w:tc>
      </w:tr>
      <w:tr w:rsidR="00C45D59" w14:paraId="7FA682A0"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hideMark/>
          </w:tcPr>
          <w:p w14:paraId="1E14138E" w14:textId="77777777" w:rsidR="00C45D59" w:rsidRDefault="009B0962">
            <w:pPr>
              <w:pStyle w:val="P68B1DB1-Normal55"/>
              <w:keepNext/>
              <w:spacing w:before="40" w:after="0" w:line="240" w:lineRule="auto"/>
              <w:jc w:val="both"/>
              <w:rPr>
                <w:rFonts w:cs="Times New Roman"/>
                <w:noProof/>
                <w:szCs w:val="18"/>
              </w:rPr>
            </w:pPr>
            <w:r>
              <w:rPr>
                <w:noProof/>
              </w:rPr>
              <w:t>182a</w:t>
            </w:r>
          </w:p>
        </w:tc>
        <w:tc>
          <w:tcPr>
            <w:tcW w:w="4820" w:type="dxa"/>
            <w:tcBorders>
              <w:top w:val="nil"/>
              <w:left w:val="single" w:sz="4" w:space="0" w:color="auto"/>
              <w:bottom w:val="single" w:sz="4" w:space="0" w:color="auto"/>
              <w:right w:val="single" w:sz="4" w:space="0" w:color="auto"/>
            </w:tcBorders>
            <w:shd w:val="clear" w:color="auto" w:fill="C6EFCE"/>
            <w:noWrap/>
            <w:hideMark/>
          </w:tcPr>
          <w:p w14:paraId="033EF001" w14:textId="77777777" w:rsidR="00C45D59" w:rsidRDefault="009B0962">
            <w:pPr>
              <w:pStyle w:val="P68B1DB1-Normal55"/>
              <w:keepNext/>
              <w:spacing w:before="40" w:after="0" w:line="240" w:lineRule="auto"/>
              <w:jc w:val="both"/>
              <w:rPr>
                <w:rFonts w:cs="Times New Roman"/>
                <w:noProof/>
                <w:szCs w:val="18"/>
              </w:rPr>
            </w:pPr>
            <w:r>
              <w:rPr>
                <w:noProof/>
              </w:rPr>
              <w:t>11-3.4. Sporirea accesului la politici sociale eficace și favorabile incluziunii – 16925_Transformarea digitală a sistemului de sprijin social</w:t>
            </w:r>
          </w:p>
        </w:tc>
        <w:tc>
          <w:tcPr>
            <w:tcW w:w="1417" w:type="dxa"/>
            <w:tcBorders>
              <w:top w:val="nil"/>
              <w:left w:val="nil"/>
              <w:bottom w:val="single" w:sz="4" w:space="0" w:color="auto"/>
              <w:right w:val="single" w:sz="4" w:space="0" w:color="auto"/>
            </w:tcBorders>
            <w:shd w:val="clear" w:color="auto" w:fill="C6EFCE"/>
            <w:noWrap/>
            <w:hideMark/>
          </w:tcPr>
          <w:p w14:paraId="2089F96F" w14:textId="77777777" w:rsidR="00C45D59" w:rsidRDefault="009B0962">
            <w:pPr>
              <w:pStyle w:val="P68B1DB1-Normal55"/>
              <w:keepNext/>
              <w:spacing w:before="40" w:after="0" w:line="240" w:lineRule="auto"/>
              <w:jc w:val="both"/>
              <w:rPr>
                <w:rFonts w:cs="Times New Roman"/>
                <w:noProof/>
                <w:szCs w:val="18"/>
              </w:rPr>
            </w:pPr>
            <w:r>
              <w:rPr>
                <w:noProof/>
              </w:rPr>
              <w:t>Etapă</w:t>
            </w:r>
          </w:p>
        </w:tc>
        <w:tc>
          <w:tcPr>
            <w:tcW w:w="3292" w:type="dxa"/>
            <w:tcBorders>
              <w:top w:val="nil"/>
              <w:left w:val="nil"/>
              <w:bottom w:val="single" w:sz="4" w:space="0" w:color="auto"/>
              <w:right w:val="single" w:sz="4" w:space="0" w:color="auto"/>
            </w:tcBorders>
            <w:shd w:val="clear" w:color="auto" w:fill="C6EFCE"/>
            <w:noWrap/>
            <w:hideMark/>
          </w:tcPr>
          <w:p w14:paraId="6832CB1A" w14:textId="77777777" w:rsidR="00C45D59" w:rsidRDefault="009B0962">
            <w:pPr>
              <w:pStyle w:val="P68B1DB1-Normal55"/>
              <w:keepNext/>
              <w:spacing w:before="40" w:after="0" w:line="240" w:lineRule="auto"/>
              <w:jc w:val="both"/>
              <w:rPr>
                <w:rFonts w:cs="Times New Roman"/>
                <w:noProof/>
                <w:szCs w:val="18"/>
              </w:rPr>
            </w:pPr>
            <w:r>
              <w:rPr>
                <w:noProof/>
              </w:rPr>
              <w:t>Portalul național pentru persoanele cu handicap</w:t>
            </w:r>
          </w:p>
        </w:tc>
      </w:tr>
      <w:tr w:rsidR="00C45D59" w14:paraId="1505A32A"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1EE40B1" w14:textId="77777777" w:rsidR="00C45D59" w:rsidRDefault="009B0962">
            <w:pPr>
              <w:pStyle w:val="P68B1DB1-Normal55"/>
              <w:keepNext/>
              <w:spacing w:before="40" w:after="0" w:line="240" w:lineRule="auto"/>
              <w:jc w:val="both"/>
              <w:rPr>
                <w:rFonts w:cs="Times New Roman"/>
                <w:noProof/>
                <w:szCs w:val="18"/>
              </w:rPr>
            </w:pPr>
            <w:r>
              <w:rPr>
                <w:noProof/>
              </w:rPr>
              <w:t>182</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1C3496DA" w14:textId="77777777" w:rsidR="00C45D59" w:rsidRDefault="009B0962">
            <w:pPr>
              <w:pStyle w:val="P68B1DB1-Normal55"/>
              <w:keepNext/>
              <w:spacing w:before="40" w:after="0" w:line="240" w:lineRule="auto"/>
              <w:jc w:val="both"/>
              <w:rPr>
                <w:rFonts w:cs="Times New Roman"/>
                <w:noProof/>
                <w:szCs w:val="18"/>
              </w:rPr>
            </w:pPr>
            <w:r>
              <w:rPr>
                <w:noProof/>
              </w:rPr>
              <w:t>11-3.4. Sporirea accesului la politici sociale eficace și favorabile incluziunii – 16925_Transformarea digitală a sistemului de sprijin social</w:t>
            </w:r>
          </w:p>
        </w:tc>
        <w:tc>
          <w:tcPr>
            <w:tcW w:w="1417" w:type="dxa"/>
            <w:tcBorders>
              <w:top w:val="nil"/>
              <w:left w:val="nil"/>
              <w:bottom w:val="single" w:sz="4" w:space="0" w:color="auto"/>
              <w:right w:val="single" w:sz="4" w:space="0" w:color="auto"/>
            </w:tcBorders>
            <w:shd w:val="clear" w:color="auto" w:fill="C6EFCE"/>
            <w:noWrap/>
            <w:vAlign w:val="center"/>
            <w:hideMark/>
          </w:tcPr>
          <w:p w14:paraId="288BE6CA" w14:textId="77777777" w:rsidR="00C45D59" w:rsidRDefault="009B0962">
            <w:pPr>
              <w:pStyle w:val="P68B1DB1-Normal55"/>
              <w:keepNext/>
              <w:spacing w:before="40" w:after="0" w:line="240" w:lineRule="auto"/>
              <w:jc w:val="both"/>
              <w:rPr>
                <w:rFonts w:cs="Times New Roman"/>
                <w:noProof/>
                <w:szCs w:val="18"/>
              </w:rPr>
            </w:pPr>
            <w:r>
              <w:rPr>
                <w:noProof/>
              </w:rPr>
              <w:t>Etapă</w:t>
            </w:r>
          </w:p>
        </w:tc>
        <w:tc>
          <w:tcPr>
            <w:tcW w:w="3292" w:type="dxa"/>
            <w:tcBorders>
              <w:top w:val="nil"/>
              <w:left w:val="nil"/>
              <w:bottom w:val="single" w:sz="4" w:space="0" w:color="auto"/>
              <w:right w:val="single" w:sz="4" w:space="0" w:color="auto"/>
            </w:tcBorders>
            <w:shd w:val="clear" w:color="auto" w:fill="C6EFCE"/>
            <w:noWrap/>
            <w:vAlign w:val="center"/>
            <w:hideMark/>
          </w:tcPr>
          <w:p w14:paraId="1A2192B3" w14:textId="77777777" w:rsidR="00C45D59" w:rsidRDefault="009B0962">
            <w:pPr>
              <w:pStyle w:val="P68B1DB1-Normal55"/>
              <w:keepNext/>
              <w:spacing w:before="40" w:after="0" w:line="240" w:lineRule="auto"/>
              <w:jc w:val="both"/>
              <w:rPr>
                <w:rFonts w:cs="Times New Roman"/>
                <w:noProof/>
                <w:szCs w:val="18"/>
              </w:rPr>
            </w:pPr>
            <w:r>
              <w:rPr>
                <w:noProof/>
              </w:rPr>
              <w:t>Emiterea de carduri pentru dizabilitate pentru beneficiari</w:t>
            </w:r>
          </w:p>
        </w:tc>
      </w:tr>
      <w:tr w:rsidR="00C45D59" w14:paraId="689F9546"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hideMark/>
          </w:tcPr>
          <w:p w14:paraId="54FADB4D" w14:textId="77777777" w:rsidR="00C45D59" w:rsidRDefault="009B0962">
            <w:pPr>
              <w:pStyle w:val="P68B1DB1-Normal55"/>
              <w:keepNext/>
              <w:spacing w:before="40" w:after="0" w:line="240" w:lineRule="auto"/>
              <w:jc w:val="both"/>
              <w:rPr>
                <w:rFonts w:cs="Times New Roman"/>
                <w:noProof/>
                <w:szCs w:val="18"/>
              </w:rPr>
            </w:pPr>
            <w:r>
              <w:rPr>
                <w:noProof/>
              </w:rPr>
              <w:t>186a</w:t>
            </w:r>
          </w:p>
        </w:tc>
        <w:tc>
          <w:tcPr>
            <w:tcW w:w="4820" w:type="dxa"/>
            <w:tcBorders>
              <w:top w:val="nil"/>
              <w:left w:val="single" w:sz="4" w:space="0" w:color="auto"/>
              <w:bottom w:val="single" w:sz="4" w:space="0" w:color="auto"/>
              <w:right w:val="single" w:sz="4" w:space="0" w:color="auto"/>
            </w:tcBorders>
            <w:shd w:val="clear" w:color="auto" w:fill="C6EFCE"/>
            <w:noWrap/>
            <w:hideMark/>
          </w:tcPr>
          <w:p w14:paraId="36BC08D7" w14:textId="77777777" w:rsidR="00C45D59" w:rsidRDefault="009B0962">
            <w:pPr>
              <w:pStyle w:val="P68B1DB1-Normal55"/>
              <w:keepNext/>
              <w:spacing w:before="40" w:after="0" w:line="240" w:lineRule="auto"/>
              <w:jc w:val="both"/>
              <w:rPr>
                <w:rFonts w:cs="Times New Roman"/>
                <w:noProof/>
                <w:szCs w:val="18"/>
              </w:rPr>
            </w:pPr>
            <w:r>
              <w:rPr>
                <w:noProof/>
              </w:rPr>
              <w:t>11-3.4. Creșterea accesului la politici sociale eficace și favorabile incluziunii – 16922_Integrare socială</w:t>
            </w:r>
          </w:p>
        </w:tc>
        <w:tc>
          <w:tcPr>
            <w:tcW w:w="1417" w:type="dxa"/>
            <w:tcBorders>
              <w:top w:val="nil"/>
              <w:left w:val="nil"/>
              <w:bottom w:val="single" w:sz="4" w:space="0" w:color="auto"/>
              <w:right w:val="single" w:sz="4" w:space="0" w:color="auto"/>
            </w:tcBorders>
            <w:shd w:val="clear" w:color="auto" w:fill="C6EFCE"/>
            <w:noWrap/>
            <w:hideMark/>
          </w:tcPr>
          <w:p w14:paraId="66AC0136" w14:textId="77777777" w:rsidR="00C45D59" w:rsidRDefault="009B0962">
            <w:pPr>
              <w:pStyle w:val="P68B1DB1-Normal55"/>
              <w:keepNext/>
              <w:spacing w:before="40" w:after="0" w:line="240" w:lineRule="auto"/>
              <w:jc w:val="both"/>
              <w:rPr>
                <w:rFonts w:cs="Times New Roman"/>
                <w:noProof/>
                <w:szCs w:val="18"/>
              </w:rPr>
            </w:pPr>
            <w:r>
              <w:rPr>
                <w:noProof/>
              </w:rPr>
              <w:t>Etapă</w:t>
            </w:r>
          </w:p>
        </w:tc>
        <w:tc>
          <w:tcPr>
            <w:tcW w:w="3292" w:type="dxa"/>
            <w:tcBorders>
              <w:top w:val="nil"/>
              <w:left w:val="nil"/>
              <w:bottom w:val="single" w:sz="4" w:space="0" w:color="auto"/>
              <w:right w:val="single" w:sz="4" w:space="0" w:color="auto"/>
            </w:tcBorders>
            <w:shd w:val="clear" w:color="auto" w:fill="C6EFCE"/>
            <w:noWrap/>
            <w:hideMark/>
          </w:tcPr>
          <w:p w14:paraId="6FB75E0A" w14:textId="77777777" w:rsidR="00C45D59" w:rsidRDefault="009B0962">
            <w:pPr>
              <w:pStyle w:val="P68B1DB1-Normal55"/>
              <w:keepNext/>
              <w:spacing w:before="40" w:after="0" w:line="240" w:lineRule="auto"/>
              <w:jc w:val="both"/>
              <w:rPr>
                <w:rFonts w:cs="Times New Roman"/>
                <w:noProof/>
                <w:szCs w:val="18"/>
              </w:rPr>
            </w:pPr>
            <w:r>
              <w:rPr>
                <w:noProof/>
              </w:rPr>
              <w:t>Integrarea socială a grupurilor vulnerabile, formarea digitală</w:t>
            </w:r>
          </w:p>
        </w:tc>
      </w:tr>
      <w:tr w:rsidR="00C45D59" w14:paraId="115F908A"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D2E9125" w14:textId="77777777" w:rsidR="00C45D59" w:rsidRDefault="009B0962">
            <w:pPr>
              <w:pStyle w:val="P68B1DB1-Normal55"/>
              <w:keepNext/>
              <w:spacing w:before="40" w:after="0" w:line="240" w:lineRule="auto"/>
              <w:jc w:val="both"/>
              <w:rPr>
                <w:rFonts w:cs="Times New Roman"/>
                <w:noProof/>
                <w:szCs w:val="18"/>
              </w:rPr>
            </w:pPr>
            <w:r>
              <w:rPr>
                <w:noProof/>
              </w:rPr>
              <w:t>187</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0E8315CE" w14:textId="77777777" w:rsidR="00C45D59" w:rsidRDefault="009B0962">
            <w:pPr>
              <w:pStyle w:val="P68B1DB1-Normal55"/>
              <w:keepNext/>
              <w:spacing w:before="40" w:after="0" w:line="240" w:lineRule="auto"/>
              <w:jc w:val="both"/>
              <w:rPr>
                <w:rFonts w:cs="Times New Roman"/>
                <w:noProof/>
                <w:szCs w:val="18"/>
              </w:rPr>
            </w:pPr>
            <w:r>
              <w:rPr>
                <w:noProof/>
              </w:rPr>
              <w:t>11-3.4. Creșterea accesului la politici sociale eficace și favorabile incluziunii – 16688: Promovarea integrării populației de refugiați pe piața forței de muncă </w:t>
            </w:r>
          </w:p>
        </w:tc>
        <w:tc>
          <w:tcPr>
            <w:tcW w:w="1417" w:type="dxa"/>
            <w:tcBorders>
              <w:top w:val="nil"/>
              <w:left w:val="nil"/>
              <w:bottom w:val="single" w:sz="4" w:space="0" w:color="auto"/>
              <w:right w:val="single" w:sz="4" w:space="0" w:color="auto"/>
            </w:tcBorders>
            <w:shd w:val="clear" w:color="auto" w:fill="C6EFCE"/>
            <w:noWrap/>
            <w:vAlign w:val="center"/>
            <w:hideMark/>
          </w:tcPr>
          <w:p w14:paraId="55E83FC0" w14:textId="77777777" w:rsidR="00C45D59" w:rsidRDefault="009B0962">
            <w:pPr>
              <w:pStyle w:val="P68B1DB1-Normal55"/>
              <w:keepNext/>
              <w:spacing w:before="40" w:after="0" w:line="240" w:lineRule="auto"/>
              <w:jc w:val="both"/>
              <w:rPr>
                <w:rFonts w:cs="Times New Roman"/>
                <w:noProof/>
                <w:szCs w:val="18"/>
              </w:rPr>
            </w:pPr>
            <w:r>
              <w:rPr>
                <w:noProof/>
              </w:rPr>
              <w:t>Etapă</w:t>
            </w:r>
          </w:p>
        </w:tc>
        <w:tc>
          <w:tcPr>
            <w:tcW w:w="3292" w:type="dxa"/>
            <w:tcBorders>
              <w:top w:val="nil"/>
              <w:left w:val="nil"/>
              <w:bottom w:val="single" w:sz="4" w:space="0" w:color="auto"/>
              <w:right w:val="single" w:sz="4" w:space="0" w:color="auto"/>
            </w:tcBorders>
            <w:shd w:val="clear" w:color="auto" w:fill="C6EFCE"/>
            <w:noWrap/>
            <w:vAlign w:val="center"/>
            <w:hideMark/>
          </w:tcPr>
          <w:p w14:paraId="49E28044" w14:textId="77777777" w:rsidR="00C45D59" w:rsidRDefault="009B0962">
            <w:pPr>
              <w:pStyle w:val="P68B1DB1-Normal55"/>
              <w:keepNext/>
              <w:spacing w:before="40" w:after="0" w:line="240" w:lineRule="auto"/>
              <w:jc w:val="both"/>
              <w:rPr>
                <w:rFonts w:cs="Times New Roman"/>
                <w:noProof/>
                <w:szCs w:val="18"/>
              </w:rPr>
            </w:pPr>
            <w:r>
              <w:rPr>
                <w:noProof/>
              </w:rPr>
              <w:t>Integrarea refugiaților pe piața muncii</w:t>
            </w:r>
          </w:p>
        </w:tc>
      </w:tr>
      <w:tr w:rsidR="00C45D59" w14:paraId="31FC3434"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A38BDD3"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194</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0DD70A44"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12-4.1. O fiscalitate mai favorabilă creșterii economice și o mai bună administrare fiscală și colectare a impozitelor – 16611_Transformarea digitală a auditurilor fiscale</w:t>
            </w:r>
          </w:p>
        </w:tc>
        <w:tc>
          <w:tcPr>
            <w:tcW w:w="1417" w:type="dxa"/>
            <w:tcBorders>
              <w:top w:val="nil"/>
              <w:left w:val="nil"/>
              <w:bottom w:val="single" w:sz="4" w:space="0" w:color="auto"/>
              <w:right w:val="single" w:sz="4" w:space="0" w:color="auto"/>
            </w:tcBorders>
            <w:shd w:val="clear" w:color="auto" w:fill="C6EFCE"/>
            <w:noWrap/>
            <w:vAlign w:val="center"/>
            <w:hideMark/>
          </w:tcPr>
          <w:p w14:paraId="0DB1988A" w14:textId="77777777" w:rsidR="00C45D59" w:rsidRDefault="009B0962">
            <w:pPr>
              <w:pStyle w:val="P68B1DB1-Normal55"/>
              <w:keepNext/>
              <w:spacing w:before="40" w:after="0" w:line="240" w:lineRule="auto"/>
              <w:jc w:val="both"/>
              <w:rPr>
                <w:rFonts w:eastAsia="Times New Roman" w:cs="Times New Roman"/>
                <w:noProof/>
                <w:szCs w:val="18"/>
              </w:rPr>
            </w:pPr>
            <w:r>
              <w:rPr>
                <w:noProof/>
              </w:rPr>
              <w:t>Etapă</w:t>
            </w:r>
          </w:p>
        </w:tc>
        <w:tc>
          <w:tcPr>
            <w:tcW w:w="3292" w:type="dxa"/>
            <w:tcBorders>
              <w:top w:val="nil"/>
              <w:left w:val="nil"/>
              <w:bottom w:val="single" w:sz="4" w:space="0" w:color="auto"/>
              <w:right w:val="single" w:sz="4" w:space="0" w:color="auto"/>
            </w:tcBorders>
            <w:shd w:val="clear" w:color="auto" w:fill="C6EFCE"/>
            <w:noWrap/>
            <w:vAlign w:val="center"/>
            <w:hideMark/>
          </w:tcPr>
          <w:p w14:paraId="7135A4B2" w14:textId="77777777" w:rsidR="00C45D59" w:rsidRDefault="009B0962">
            <w:pPr>
              <w:pStyle w:val="P68B1DB1-Normal55"/>
              <w:keepNext/>
              <w:spacing w:before="40" w:after="0" w:line="240" w:lineRule="auto"/>
              <w:jc w:val="both"/>
              <w:rPr>
                <w:rFonts w:eastAsia="Times New Roman" w:cs="Times New Roman"/>
                <w:noProof/>
                <w:szCs w:val="18"/>
              </w:rPr>
            </w:pPr>
            <w:r>
              <w:rPr>
                <w:noProof/>
              </w:rPr>
              <w:t>Livrarea și punerea în funcțiune a sistemelor legate de transformarea digitală a auditurilor fiscale</w:t>
            </w:r>
          </w:p>
        </w:tc>
      </w:tr>
      <w:tr w:rsidR="00C45D59" w14:paraId="12AAF019"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36B8C54"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195</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3FF33966"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12-4.1. O fiscalitate mai favorabilă creșterii economice și o mai bună administrare fiscală și colectare a impozitelor – 16291_Transformarea digitală a administrației fiscale și vamale</w:t>
            </w:r>
          </w:p>
        </w:tc>
        <w:tc>
          <w:tcPr>
            <w:tcW w:w="1417" w:type="dxa"/>
            <w:tcBorders>
              <w:top w:val="nil"/>
              <w:left w:val="nil"/>
              <w:bottom w:val="single" w:sz="4" w:space="0" w:color="auto"/>
              <w:right w:val="single" w:sz="4" w:space="0" w:color="auto"/>
            </w:tcBorders>
            <w:shd w:val="clear" w:color="auto" w:fill="C6EFCE"/>
            <w:noWrap/>
            <w:vAlign w:val="center"/>
            <w:hideMark/>
          </w:tcPr>
          <w:p w14:paraId="70EDD172" w14:textId="77777777" w:rsidR="00C45D59" w:rsidRDefault="009B0962">
            <w:pPr>
              <w:pStyle w:val="P68B1DB1-Normal55"/>
              <w:keepNext/>
              <w:spacing w:before="40" w:after="0" w:line="240" w:lineRule="auto"/>
              <w:jc w:val="both"/>
              <w:rPr>
                <w:rFonts w:eastAsia="Times New Roman" w:cs="Times New Roman"/>
                <w:noProof/>
                <w:szCs w:val="18"/>
              </w:rPr>
            </w:pPr>
            <w:r>
              <w:rPr>
                <w:noProof/>
              </w:rPr>
              <w:t>Etapă</w:t>
            </w:r>
          </w:p>
        </w:tc>
        <w:tc>
          <w:tcPr>
            <w:tcW w:w="3292" w:type="dxa"/>
            <w:tcBorders>
              <w:top w:val="nil"/>
              <w:left w:val="nil"/>
              <w:bottom w:val="single" w:sz="4" w:space="0" w:color="auto"/>
              <w:right w:val="single" w:sz="4" w:space="0" w:color="auto"/>
            </w:tcBorders>
            <w:shd w:val="clear" w:color="auto" w:fill="C6EFCE"/>
            <w:noWrap/>
            <w:hideMark/>
          </w:tcPr>
          <w:p w14:paraId="2D809BF2" w14:textId="77777777" w:rsidR="00C45D59" w:rsidRDefault="009B0962">
            <w:pPr>
              <w:pStyle w:val="P68B1DB1-Normal55"/>
              <w:keepNext/>
              <w:spacing w:before="40" w:after="0" w:line="240" w:lineRule="auto"/>
              <w:jc w:val="both"/>
              <w:rPr>
                <w:noProof/>
              </w:rPr>
            </w:pPr>
            <w:r>
              <w:rPr>
                <w:noProof/>
              </w:rPr>
              <w:t>Realizarea primei faze a mediului informatic integrat de fiscalitate și audit al Autorității Independente pentru Venituri Publice</w:t>
            </w:r>
          </w:p>
          <w:p w14:paraId="39EB69D5" w14:textId="77777777" w:rsidR="00C45D59" w:rsidRDefault="00C45D59">
            <w:pPr>
              <w:keepNext/>
              <w:spacing w:before="40" w:after="0" w:line="240" w:lineRule="auto"/>
              <w:jc w:val="both"/>
              <w:rPr>
                <w:rFonts w:ascii="Times New Roman" w:hAnsi="Times New Roman"/>
                <w:noProof/>
                <w:sz w:val="18"/>
              </w:rPr>
            </w:pPr>
          </w:p>
          <w:p w14:paraId="317939CB" w14:textId="1747DED5" w:rsidR="00C45D59" w:rsidRDefault="009B0962">
            <w:pPr>
              <w:pStyle w:val="P68B1DB1-Normal55"/>
              <w:keepNext/>
              <w:spacing w:before="40" w:after="0" w:line="240" w:lineRule="auto"/>
              <w:jc w:val="both"/>
              <w:rPr>
                <w:rFonts w:eastAsia="Times New Roman" w:cs="Times New Roman"/>
                <w:noProof/>
                <w:szCs w:val="18"/>
                <w:highlight w:val="yellow"/>
                <w:u w:val="single"/>
              </w:rPr>
            </w:pPr>
            <w:r>
              <w:rPr>
                <w:noProof/>
              </w:rPr>
              <w:t>Realizarea de subproiecte ca parte a transformării digitale a AIVP</w:t>
            </w:r>
          </w:p>
        </w:tc>
      </w:tr>
      <w:tr w:rsidR="00C45D59" w14:paraId="08E04300"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DDDB8E8" w14:textId="1376003E" w:rsidR="00C45D59" w:rsidRDefault="009B0962">
            <w:pPr>
              <w:pStyle w:val="P68B1DB1-Normal55"/>
              <w:keepNext/>
              <w:spacing w:before="40" w:after="0" w:line="240" w:lineRule="auto"/>
              <w:jc w:val="both"/>
              <w:rPr>
                <w:noProof/>
              </w:rPr>
            </w:pPr>
            <w:r>
              <w:rPr>
                <w:noProof/>
              </w:rPr>
              <w:t>204a</w:t>
            </w:r>
          </w:p>
        </w:tc>
        <w:tc>
          <w:tcPr>
            <w:tcW w:w="4820" w:type="dxa"/>
            <w:tcBorders>
              <w:top w:val="nil"/>
              <w:left w:val="single" w:sz="4" w:space="0" w:color="auto"/>
              <w:bottom w:val="single" w:sz="4" w:space="0" w:color="auto"/>
              <w:right w:val="single" w:sz="4" w:space="0" w:color="auto"/>
            </w:tcBorders>
            <w:shd w:val="clear" w:color="auto" w:fill="C6EFCE"/>
            <w:noWrap/>
            <w:vAlign w:val="center"/>
          </w:tcPr>
          <w:p w14:paraId="2E0B7081" w14:textId="30F402F2" w:rsidR="00C45D59" w:rsidRDefault="009B0962">
            <w:pPr>
              <w:pStyle w:val="P68B1DB1-Normal55"/>
              <w:keepNext/>
              <w:spacing w:before="40" w:after="0" w:line="240" w:lineRule="auto"/>
              <w:jc w:val="both"/>
              <w:rPr>
                <w:noProof/>
              </w:rPr>
            </w:pPr>
            <w:r>
              <w:rPr>
                <w:noProof/>
              </w:rPr>
              <w:t>12-4.1. O fiscalitate mai favorabilă creșterii economice și o mai bună administrare fiscală și colectare a impozitelor – 16643_Codificarea și simplificarea legislației fiscale</w:t>
            </w:r>
          </w:p>
        </w:tc>
        <w:tc>
          <w:tcPr>
            <w:tcW w:w="1417" w:type="dxa"/>
            <w:tcBorders>
              <w:top w:val="nil"/>
              <w:left w:val="nil"/>
              <w:bottom w:val="single" w:sz="4" w:space="0" w:color="auto"/>
              <w:right w:val="single" w:sz="4" w:space="0" w:color="auto"/>
            </w:tcBorders>
            <w:shd w:val="clear" w:color="auto" w:fill="C6EFCE"/>
            <w:noWrap/>
            <w:vAlign w:val="center"/>
          </w:tcPr>
          <w:p w14:paraId="07E7BEA3" w14:textId="1C21CF24" w:rsidR="00C45D59" w:rsidRDefault="009B0962">
            <w:pPr>
              <w:pStyle w:val="P68B1DB1-Normal55"/>
              <w:keepNext/>
              <w:spacing w:before="40" w:after="0" w:line="240" w:lineRule="auto"/>
              <w:jc w:val="both"/>
              <w:rPr>
                <w:noProof/>
              </w:rPr>
            </w:pPr>
            <w:r>
              <w:rPr>
                <w:noProof/>
              </w:rPr>
              <w:t>Etapă</w:t>
            </w:r>
          </w:p>
        </w:tc>
        <w:tc>
          <w:tcPr>
            <w:tcW w:w="3292" w:type="dxa"/>
            <w:tcBorders>
              <w:top w:val="nil"/>
              <w:left w:val="nil"/>
              <w:bottom w:val="single" w:sz="4" w:space="0" w:color="auto"/>
              <w:right w:val="single" w:sz="4" w:space="0" w:color="auto"/>
            </w:tcBorders>
            <w:shd w:val="clear" w:color="auto" w:fill="C6EFCE"/>
            <w:noWrap/>
            <w:vAlign w:val="center"/>
          </w:tcPr>
          <w:p w14:paraId="6089286A" w14:textId="581447A8" w:rsidR="00C45D59" w:rsidRDefault="009B0962">
            <w:pPr>
              <w:pStyle w:val="P68B1DB1-Normal55"/>
              <w:keepNext/>
              <w:spacing w:before="40" w:after="0" w:line="240" w:lineRule="auto"/>
              <w:jc w:val="both"/>
              <w:rPr>
                <w:noProof/>
              </w:rPr>
            </w:pPr>
            <w:r>
              <w:rPr>
                <w:noProof/>
              </w:rPr>
              <w:t>Publicarea legislației primare și secundare pe site-ul web al contribuabilului</w:t>
            </w:r>
          </w:p>
        </w:tc>
      </w:tr>
      <w:tr w:rsidR="00C45D59" w14:paraId="639BC780"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2B44B45" w14:textId="77777777" w:rsidR="00C45D59" w:rsidRDefault="009B0962">
            <w:pPr>
              <w:pStyle w:val="P68B1DB1-Normal55"/>
              <w:keepNext/>
              <w:spacing w:before="40" w:after="0" w:line="240" w:lineRule="auto"/>
              <w:jc w:val="both"/>
              <w:rPr>
                <w:noProof/>
              </w:rPr>
            </w:pPr>
            <w:r>
              <w:rPr>
                <w:noProof/>
              </w:rPr>
              <w:t>211a</w:t>
            </w:r>
          </w:p>
        </w:tc>
        <w:tc>
          <w:tcPr>
            <w:tcW w:w="4820" w:type="dxa"/>
            <w:tcBorders>
              <w:top w:val="nil"/>
              <w:left w:val="single" w:sz="4" w:space="0" w:color="auto"/>
              <w:bottom w:val="single" w:sz="4" w:space="0" w:color="auto"/>
              <w:right w:val="single" w:sz="4" w:space="0" w:color="auto"/>
            </w:tcBorders>
            <w:shd w:val="clear" w:color="auto" w:fill="C6EFCE"/>
            <w:noWrap/>
            <w:vAlign w:val="center"/>
          </w:tcPr>
          <w:p w14:paraId="69B87479" w14:textId="77777777" w:rsidR="00C45D59" w:rsidRDefault="009B0962">
            <w:pPr>
              <w:pStyle w:val="P68B1DB1-Normal55"/>
              <w:keepNext/>
              <w:spacing w:before="40" w:after="0" w:line="240" w:lineRule="auto"/>
              <w:jc w:val="both"/>
              <w:rPr>
                <w:noProof/>
              </w:rPr>
            </w:pPr>
            <w:r>
              <w:rPr>
                <w:noProof/>
              </w:rPr>
              <w:t>13-4.2. Modernizarea administrației publice, inclusiv prin accelerarea punerii în aplicare a investițiilor publice, îmbunătățirea cadrului privind achizițiile publice, măsuri de consolidare a capacităților și combaterea corupției – 16952_Consolidarea cadrului național anticorupție prin intervenții specifice în domeniile detectării, prevenirii și sensibilizării</w:t>
            </w:r>
          </w:p>
        </w:tc>
        <w:tc>
          <w:tcPr>
            <w:tcW w:w="1417" w:type="dxa"/>
            <w:tcBorders>
              <w:top w:val="nil"/>
              <w:left w:val="nil"/>
              <w:bottom w:val="single" w:sz="4" w:space="0" w:color="auto"/>
              <w:right w:val="single" w:sz="4" w:space="0" w:color="auto"/>
            </w:tcBorders>
            <w:shd w:val="clear" w:color="auto" w:fill="C6EFCE"/>
            <w:noWrap/>
            <w:vAlign w:val="center"/>
          </w:tcPr>
          <w:p w14:paraId="64594110" w14:textId="77777777" w:rsidR="00C45D59" w:rsidRDefault="009B0962">
            <w:pPr>
              <w:pStyle w:val="P68B1DB1-Normal55"/>
              <w:keepNext/>
              <w:spacing w:before="40" w:after="0" w:line="240" w:lineRule="auto"/>
              <w:jc w:val="both"/>
              <w:rPr>
                <w:noProof/>
              </w:rPr>
            </w:pPr>
            <w:r>
              <w:rPr>
                <w:noProof/>
              </w:rPr>
              <w:t>Etapă</w:t>
            </w:r>
          </w:p>
        </w:tc>
        <w:tc>
          <w:tcPr>
            <w:tcW w:w="3292" w:type="dxa"/>
            <w:tcBorders>
              <w:top w:val="nil"/>
              <w:left w:val="nil"/>
              <w:bottom w:val="single" w:sz="4" w:space="0" w:color="auto"/>
              <w:right w:val="single" w:sz="4" w:space="0" w:color="auto"/>
            </w:tcBorders>
            <w:shd w:val="clear" w:color="auto" w:fill="C6EFCE"/>
            <w:noWrap/>
            <w:vAlign w:val="center"/>
          </w:tcPr>
          <w:p w14:paraId="4F21ED5C" w14:textId="09A0A059" w:rsidR="00C45D59" w:rsidRDefault="009B0962">
            <w:pPr>
              <w:pStyle w:val="P68B1DB1-Normal55"/>
              <w:keepNext/>
              <w:spacing w:before="40" w:after="0" w:line="240" w:lineRule="auto"/>
              <w:jc w:val="both"/>
              <w:rPr>
                <w:noProof/>
              </w:rPr>
            </w:pPr>
            <w:r>
              <w:rPr>
                <w:noProof/>
              </w:rPr>
              <w:t>Realizarea de proiecte de investiții pentru a sprijini capacitățile digitale și de infrastructură ale Autorității Naționale pentru Transparență</w:t>
            </w:r>
          </w:p>
        </w:tc>
      </w:tr>
      <w:tr w:rsidR="00C45D59" w14:paraId="3018221C"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FF671F5"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220</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6C7E9E5D"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13-4.2. Modernizarea administrației publice, inclusiv prin accelerarea punerii în aplicare a investițiilor publice, îmbunătățirea cadrului de achiziții publice, măsuri de consolidare a capacităților și combaterea corupției – 16705_Transformarea digitală a gestionării și supravegherii fiscale în guvernanță &amp; facturarea electronică</w:t>
            </w:r>
          </w:p>
        </w:tc>
        <w:tc>
          <w:tcPr>
            <w:tcW w:w="1417" w:type="dxa"/>
            <w:tcBorders>
              <w:top w:val="nil"/>
              <w:left w:val="nil"/>
              <w:bottom w:val="single" w:sz="4" w:space="0" w:color="auto"/>
              <w:right w:val="single" w:sz="4" w:space="0" w:color="auto"/>
            </w:tcBorders>
            <w:shd w:val="clear" w:color="auto" w:fill="C6EFCE"/>
            <w:noWrap/>
            <w:vAlign w:val="center"/>
            <w:hideMark/>
          </w:tcPr>
          <w:p w14:paraId="508E583C" w14:textId="77777777" w:rsidR="00C45D59" w:rsidRDefault="009B0962">
            <w:pPr>
              <w:pStyle w:val="P68B1DB1-Normal55"/>
              <w:keepNext/>
              <w:spacing w:before="40" w:after="0" w:line="240" w:lineRule="auto"/>
              <w:jc w:val="both"/>
              <w:rPr>
                <w:rFonts w:eastAsia="Times New Roman" w:cs="Times New Roman"/>
                <w:noProof/>
                <w:szCs w:val="18"/>
              </w:rPr>
            </w:pPr>
            <w:r>
              <w:rPr>
                <w:noProof/>
              </w:rPr>
              <w:t>Etapă</w:t>
            </w:r>
          </w:p>
        </w:tc>
        <w:tc>
          <w:tcPr>
            <w:tcW w:w="3292" w:type="dxa"/>
            <w:tcBorders>
              <w:top w:val="nil"/>
              <w:left w:val="nil"/>
              <w:bottom w:val="single" w:sz="4" w:space="0" w:color="auto"/>
              <w:right w:val="single" w:sz="4" w:space="0" w:color="auto"/>
            </w:tcBorders>
            <w:shd w:val="clear" w:color="auto" w:fill="C6EFCE"/>
            <w:noWrap/>
            <w:vAlign w:val="center"/>
            <w:hideMark/>
          </w:tcPr>
          <w:p w14:paraId="7FDBD8C6" w14:textId="77777777" w:rsidR="00C45D59" w:rsidRDefault="009B0962">
            <w:pPr>
              <w:pStyle w:val="P68B1DB1-Normal55"/>
              <w:keepNext/>
              <w:spacing w:before="40" w:after="0" w:line="240" w:lineRule="auto"/>
              <w:jc w:val="both"/>
              <w:rPr>
                <w:rFonts w:eastAsia="Times New Roman" w:cs="Times New Roman"/>
                <w:noProof/>
                <w:szCs w:val="18"/>
              </w:rPr>
            </w:pPr>
            <w:r>
              <w:rPr>
                <w:noProof/>
              </w:rPr>
              <w:t>Planificarea resurselor întreprinderilor guvernamentale (govERP)</w:t>
            </w:r>
          </w:p>
        </w:tc>
      </w:tr>
      <w:tr w:rsidR="00C45D59" w14:paraId="209BFF9E"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E03EB65"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237</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576A6545"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14-4.3. Îmbunătățirea eficienței sistemului de justiție – 16292_Noi clădiri judiciare</w:t>
            </w:r>
          </w:p>
        </w:tc>
        <w:tc>
          <w:tcPr>
            <w:tcW w:w="1417" w:type="dxa"/>
            <w:tcBorders>
              <w:top w:val="nil"/>
              <w:left w:val="nil"/>
              <w:bottom w:val="single" w:sz="4" w:space="0" w:color="auto"/>
              <w:right w:val="single" w:sz="4" w:space="0" w:color="auto"/>
            </w:tcBorders>
            <w:shd w:val="clear" w:color="auto" w:fill="C6EFCE"/>
            <w:noWrap/>
            <w:vAlign w:val="center"/>
            <w:hideMark/>
          </w:tcPr>
          <w:p w14:paraId="27BBF144" w14:textId="77777777" w:rsidR="00C45D59" w:rsidRDefault="009B0962">
            <w:pPr>
              <w:pStyle w:val="P68B1DB1-Normal55"/>
              <w:keepNext/>
              <w:spacing w:before="40" w:after="0" w:line="240" w:lineRule="auto"/>
              <w:jc w:val="both"/>
              <w:rPr>
                <w:rFonts w:eastAsia="Times New Roman" w:cs="Times New Roman"/>
                <w:noProof/>
                <w:szCs w:val="18"/>
              </w:rPr>
            </w:pPr>
            <w:r>
              <w:rPr>
                <w:noProof/>
              </w:rPr>
              <w:t>Etapă</w:t>
            </w:r>
          </w:p>
        </w:tc>
        <w:tc>
          <w:tcPr>
            <w:tcW w:w="3292" w:type="dxa"/>
            <w:tcBorders>
              <w:top w:val="nil"/>
              <w:left w:val="nil"/>
              <w:bottom w:val="single" w:sz="4" w:space="0" w:color="auto"/>
              <w:right w:val="single" w:sz="4" w:space="0" w:color="auto"/>
            </w:tcBorders>
            <w:shd w:val="clear" w:color="auto" w:fill="C6EFCE"/>
            <w:noWrap/>
            <w:vAlign w:val="center"/>
            <w:hideMark/>
          </w:tcPr>
          <w:p w14:paraId="70239870" w14:textId="77777777" w:rsidR="00C45D59" w:rsidRDefault="009B0962">
            <w:pPr>
              <w:pStyle w:val="P68B1DB1-Normal55"/>
              <w:keepNext/>
              <w:spacing w:before="40" w:after="0" w:line="240" w:lineRule="auto"/>
              <w:jc w:val="both"/>
              <w:rPr>
                <w:rFonts w:eastAsia="Times New Roman" w:cs="Times New Roman"/>
                <w:noProof/>
                <w:szCs w:val="18"/>
              </w:rPr>
            </w:pPr>
            <w:r>
              <w:rPr>
                <w:noProof/>
              </w:rPr>
              <w:t xml:space="preserve">Finalizarea lucrărilor de construcție și renovare – identitate electronică – certificate eliberate </w:t>
            </w:r>
          </w:p>
        </w:tc>
      </w:tr>
      <w:tr w:rsidR="00C45D59" w14:paraId="0226C447"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6A821B3"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239</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1B21A0BA"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14-4.3. Îmbunătățirea eficienței sistemului de justiție – 16727_Transformarea digitală a justiției (e-justiție)</w:t>
            </w:r>
          </w:p>
        </w:tc>
        <w:tc>
          <w:tcPr>
            <w:tcW w:w="1417" w:type="dxa"/>
            <w:tcBorders>
              <w:top w:val="nil"/>
              <w:left w:val="nil"/>
              <w:bottom w:val="single" w:sz="4" w:space="0" w:color="auto"/>
              <w:right w:val="single" w:sz="4" w:space="0" w:color="auto"/>
            </w:tcBorders>
            <w:shd w:val="clear" w:color="auto" w:fill="C6EFCE"/>
            <w:noWrap/>
            <w:vAlign w:val="center"/>
            <w:hideMark/>
          </w:tcPr>
          <w:p w14:paraId="741FCB18" w14:textId="77777777" w:rsidR="00C45D59" w:rsidRDefault="009B0962">
            <w:pPr>
              <w:pStyle w:val="P68B1DB1-Normal55"/>
              <w:keepNext/>
              <w:spacing w:before="40" w:after="0" w:line="240" w:lineRule="auto"/>
              <w:jc w:val="both"/>
              <w:rPr>
                <w:rFonts w:eastAsia="Times New Roman" w:cs="Times New Roman"/>
                <w:noProof/>
                <w:szCs w:val="18"/>
              </w:rPr>
            </w:pPr>
            <w:r>
              <w:rPr>
                <w:noProof/>
              </w:rPr>
              <w:t>Etapă</w:t>
            </w:r>
          </w:p>
        </w:tc>
        <w:tc>
          <w:tcPr>
            <w:tcW w:w="3292" w:type="dxa"/>
            <w:tcBorders>
              <w:top w:val="nil"/>
              <w:left w:val="nil"/>
              <w:bottom w:val="single" w:sz="4" w:space="0" w:color="auto"/>
              <w:right w:val="single" w:sz="4" w:space="0" w:color="auto"/>
            </w:tcBorders>
            <w:shd w:val="clear" w:color="auto" w:fill="C6EFCE"/>
            <w:noWrap/>
            <w:vAlign w:val="center"/>
            <w:hideMark/>
          </w:tcPr>
          <w:p w14:paraId="02BF5B86" w14:textId="77777777" w:rsidR="00C45D59" w:rsidRDefault="009B0962">
            <w:pPr>
              <w:pStyle w:val="P68B1DB1-Normal55"/>
              <w:keepNext/>
              <w:spacing w:before="40" w:after="0" w:line="240" w:lineRule="auto"/>
              <w:jc w:val="both"/>
              <w:rPr>
                <w:rFonts w:eastAsia="Times New Roman" w:cs="Times New Roman"/>
                <w:noProof/>
                <w:szCs w:val="18"/>
              </w:rPr>
            </w:pPr>
            <w:r>
              <w:rPr>
                <w:noProof/>
              </w:rPr>
              <w:t>Păstrarea evidențelor și actualizări informatice</w:t>
            </w:r>
          </w:p>
        </w:tc>
      </w:tr>
      <w:tr w:rsidR="00C45D59" w14:paraId="0C30CA34"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7E9B7E6"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243</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0C40F30F"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15-4.4. Consolidarea sectorului financiar și a piețelor de capital – 16581_Consolidarea supravegherii și a credibilității pieței de capital</w:t>
            </w:r>
          </w:p>
        </w:tc>
        <w:tc>
          <w:tcPr>
            <w:tcW w:w="1417" w:type="dxa"/>
            <w:tcBorders>
              <w:top w:val="nil"/>
              <w:left w:val="nil"/>
              <w:bottom w:val="single" w:sz="4" w:space="0" w:color="auto"/>
              <w:right w:val="single" w:sz="4" w:space="0" w:color="auto"/>
            </w:tcBorders>
            <w:shd w:val="clear" w:color="auto" w:fill="C6EFCE"/>
            <w:noWrap/>
            <w:vAlign w:val="center"/>
            <w:hideMark/>
          </w:tcPr>
          <w:p w14:paraId="32B94DA2" w14:textId="77777777" w:rsidR="00C45D59" w:rsidRDefault="009B0962">
            <w:pPr>
              <w:pStyle w:val="P68B1DB1-Normal55"/>
              <w:keepNext/>
              <w:spacing w:before="40" w:after="0" w:line="240" w:lineRule="auto"/>
              <w:jc w:val="both"/>
              <w:rPr>
                <w:rFonts w:eastAsia="Times New Roman" w:cs="Times New Roman"/>
                <w:noProof/>
                <w:szCs w:val="18"/>
              </w:rPr>
            </w:pPr>
            <w:r>
              <w:rPr>
                <w:noProof/>
              </w:rPr>
              <w:t>Etapă</w:t>
            </w:r>
          </w:p>
        </w:tc>
        <w:tc>
          <w:tcPr>
            <w:tcW w:w="3292" w:type="dxa"/>
            <w:tcBorders>
              <w:top w:val="nil"/>
              <w:left w:val="nil"/>
              <w:bottom w:val="single" w:sz="4" w:space="0" w:color="auto"/>
              <w:right w:val="single" w:sz="4" w:space="0" w:color="auto"/>
            </w:tcBorders>
            <w:shd w:val="clear" w:color="auto" w:fill="C6EFCE"/>
            <w:noWrap/>
            <w:vAlign w:val="center"/>
            <w:hideMark/>
          </w:tcPr>
          <w:p w14:paraId="09E408C3" w14:textId="77777777" w:rsidR="00C45D59" w:rsidRDefault="009B0962">
            <w:pPr>
              <w:pStyle w:val="P68B1DB1-Normal55"/>
              <w:keepNext/>
              <w:spacing w:before="40" w:after="0" w:line="240" w:lineRule="auto"/>
              <w:jc w:val="both"/>
              <w:rPr>
                <w:rFonts w:eastAsia="Times New Roman" w:cs="Times New Roman"/>
                <w:noProof/>
                <w:szCs w:val="18"/>
              </w:rPr>
            </w:pPr>
            <w:r>
              <w:rPr>
                <w:noProof/>
              </w:rPr>
              <w:t>Digitalizarea procesului de supraveghere al Comisiei elene pentru piața de capital</w:t>
            </w:r>
          </w:p>
        </w:tc>
      </w:tr>
      <w:tr w:rsidR="00C45D59" w14:paraId="349CB7A0"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6C9EA8E" w14:textId="77777777" w:rsidR="00C45D59" w:rsidRDefault="009B0962">
            <w:pPr>
              <w:pStyle w:val="P68B1DB1-Normal55"/>
              <w:keepNext/>
              <w:spacing w:before="40" w:after="0" w:line="240" w:lineRule="auto"/>
              <w:jc w:val="both"/>
              <w:rPr>
                <w:rFonts w:cs="Times New Roman"/>
                <w:noProof/>
                <w:szCs w:val="18"/>
              </w:rPr>
            </w:pPr>
            <w:r>
              <w:rPr>
                <w:noProof/>
              </w:rPr>
              <w:t>244c</w:t>
            </w:r>
          </w:p>
        </w:tc>
        <w:tc>
          <w:tcPr>
            <w:tcW w:w="4820" w:type="dxa"/>
            <w:tcBorders>
              <w:top w:val="nil"/>
              <w:left w:val="single" w:sz="4" w:space="0" w:color="auto"/>
              <w:bottom w:val="single" w:sz="4" w:space="0" w:color="auto"/>
              <w:right w:val="single" w:sz="4" w:space="0" w:color="auto"/>
            </w:tcBorders>
            <w:shd w:val="clear" w:color="auto" w:fill="C6EFCE"/>
            <w:noWrap/>
            <w:hideMark/>
          </w:tcPr>
          <w:p w14:paraId="4B38363B" w14:textId="77777777" w:rsidR="00C45D59" w:rsidRDefault="009B0962">
            <w:pPr>
              <w:pStyle w:val="P68B1DB1-Normal55"/>
              <w:keepNext/>
              <w:spacing w:before="40" w:after="0" w:line="240" w:lineRule="auto"/>
              <w:jc w:val="both"/>
              <w:rPr>
                <w:rFonts w:cs="Times New Roman"/>
                <w:noProof/>
                <w:szCs w:val="18"/>
              </w:rPr>
            </w:pPr>
            <w:r>
              <w:rPr>
                <w:noProof/>
              </w:rPr>
              <w:t>15-4.4. Consolidarea sectorului financiar și a piețelor de capital – 16957_Consolidarea capacității sistemului financiar de a depăși provocările moștenite și de a finanța economia reală</w:t>
            </w:r>
          </w:p>
        </w:tc>
        <w:tc>
          <w:tcPr>
            <w:tcW w:w="1417" w:type="dxa"/>
            <w:tcBorders>
              <w:top w:val="nil"/>
              <w:left w:val="nil"/>
              <w:bottom w:val="single" w:sz="4" w:space="0" w:color="auto"/>
              <w:right w:val="single" w:sz="4" w:space="0" w:color="auto"/>
            </w:tcBorders>
            <w:shd w:val="clear" w:color="auto" w:fill="C6EFCE"/>
            <w:noWrap/>
            <w:hideMark/>
          </w:tcPr>
          <w:p w14:paraId="46855DCF" w14:textId="77777777" w:rsidR="00C45D59" w:rsidRDefault="009B0962">
            <w:pPr>
              <w:pStyle w:val="P68B1DB1-Normal55"/>
              <w:keepNext/>
              <w:spacing w:before="40" w:after="0" w:line="240" w:lineRule="auto"/>
              <w:jc w:val="both"/>
              <w:rPr>
                <w:rFonts w:cs="Times New Roman"/>
                <w:noProof/>
                <w:szCs w:val="18"/>
              </w:rPr>
            </w:pPr>
            <w:r>
              <w:rPr>
                <w:noProof/>
              </w:rPr>
              <w:t>Etapă</w:t>
            </w:r>
          </w:p>
        </w:tc>
        <w:tc>
          <w:tcPr>
            <w:tcW w:w="3292" w:type="dxa"/>
            <w:tcBorders>
              <w:top w:val="nil"/>
              <w:left w:val="nil"/>
              <w:bottom w:val="single" w:sz="4" w:space="0" w:color="auto"/>
              <w:right w:val="single" w:sz="4" w:space="0" w:color="auto"/>
            </w:tcBorders>
            <w:shd w:val="clear" w:color="auto" w:fill="C6EFCE"/>
            <w:noWrap/>
            <w:hideMark/>
          </w:tcPr>
          <w:p w14:paraId="056CA904" w14:textId="3CBA680B" w:rsidR="00C45D59" w:rsidRDefault="009B0962">
            <w:pPr>
              <w:pStyle w:val="P68B1DB1-Normal11"/>
              <w:keepNext/>
              <w:spacing w:before="40" w:after="0" w:line="240" w:lineRule="auto"/>
              <w:jc w:val="both"/>
              <w:rPr>
                <w:noProof/>
                <w:highlight w:val="yellow"/>
              </w:rPr>
            </w:pPr>
            <w:r>
              <w:rPr>
                <w:noProof/>
              </w:rPr>
              <w:t>Furnizarea de sisteme informatice și modele de date, intrarea în vigoare a actelor juridice privind gestionarea cazurilor și reducerea întârzierilor în procedurile de asigurare a respectării legii</w:t>
            </w:r>
          </w:p>
        </w:tc>
      </w:tr>
      <w:tr w:rsidR="00C45D59" w14:paraId="6F809CFD"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B3D3F4D"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249</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77B2666E"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16-4.5. Promovarea cercetării și inovării – 16624_Creare – Extindere – Modernizarea infrastructurilor centrelor de cercetare sub supravegherea Secretariatului General pentru Cercetare și Inovare (GSRI)</w:t>
            </w:r>
          </w:p>
        </w:tc>
        <w:tc>
          <w:tcPr>
            <w:tcW w:w="1417" w:type="dxa"/>
            <w:tcBorders>
              <w:top w:val="nil"/>
              <w:left w:val="nil"/>
              <w:bottom w:val="single" w:sz="4" w:space="0" w:color="auto"/>
              <w:right w:val="single" w:sz="4" w:space="0" w:color="auto"/>
            </w:tcBorders>
            <w:shd w:val="clear" w:color="auto" w:fill="C6EFCE"/>
            <w:noWrap/>
            <w:vAlign w:val="center"/>
            <w:hideMark/>
          </w:tcPr>
          <w:p w14:paraId="121074BD" w14:textId="77777777" w:rsidR="00C45D59" w:rsidRDefault="009B0962">
            <w:pPr>
              <w:pStyle w:val="P68B1DB1-Normal55"/>
              <w:keepNext/>
              <w:spacing w:before="40" w:after="0" w:line="240" w:lineRule="auto"/>
              <w:jc w:val="both"/>
              <w:rPr>
                <w:rFonts w:eastAsia="Times New Roman" w:cs="Times New Roman"/>
                <w:noProof/>
                <w:szCs w:val="18"/>
              </w:rPr>
            </w:pPr>
            <w:r>
              <w:rPr>
                <w:noProof/>
              </w:rPr>
              <w:t>Etapă</w:t>
            </w:r>
          </w:p>
        </w:tc>
        <w:tc>
          <w:tcPr>
            <w:tcW w:w="3292" w:type="dxa"/>
            <w:tcBorders>
              <w:top w:val="nil"/>
              <w:left w:val="nil"/>
              <w:bottom w:val="single" w:sz="4" w:space="0" w:color="auto"/>
              <w:right w:val="single" w:sz="4" w:space="0" w:color="auto"/>
            </w:tcBorders>
            <w:shd w:val="clear" w:color="auto" w:fill="C6EFCE"/>
            <w:noWrap/>
            <w:vAlign w:val="center"/>
            <w:hideMark/>
          </w:tcPr>
          <w:p w14:paraId="1C5B23FF" w14:textId="79C8442E" w:rsidR="00C45D59" w:rsidRDefault="009B0962">
            <w:pPr>
              <w:keepNext/>
              <w:spacing w:before="40" w:after="0" w:line="240" w:lineRule="auto"/>
              <w:jc w:val="both"/>
              <w:rPr>
                <w:rFonts w:ascii="Times New Roman" w:eastAsia="Times New Roman" w:hAnsi="Times New Roman" w:cs="Times New Roman"/>
                <w:noProof/>
                <w:sz w:val="18"/>
                <w:szCs w:val="18"/>
              </w:rPr>
            </w:pPr>
            <w:r>
              <w:rPr>
                <w:rFonts w:ascii="Times New Roman" w:hAnsi="Times New Roman"/>
                <w:noProof/>
                <w:sz w:val="18"/>
              </w:rPr>
              <w:t>Realizarea de proiecte privind centrele de cercetare</w:t>
            </w:r>
            <w:r>
              <w:rPr>
                <w:noProof/>
              </w:rPr>
              <w:t xml:space="preserve"> </w:t>
            </w:r>
          </w:p>
        </w:tc>
      </w:tr>
      <w:tr w:rsidR="00C45D59" w14:paraId="61D21904"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4138E52"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250</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6D47B5BB"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16-4.5. Promovarea cercetării și inovării – 16618_Cercetare de bază &amp; aplicată</w:t>
            </w:r>
          </w:p>
        </w:tc>
        <w:tc>
          <w:tcPr>
            <w:tcW w:w="1417" w:type="dxa"/>
            <w:tcBorders>
              <w:top w:val="nil"/>
              <w:left w:val="nil"/>
              <w:bottom w:val="single" w:sz="4" w:space="0" w:color="auto"/>
              <w:right w:val="single" w:sz="4" w:space="0" w:color="auto"/>
            </w:tcBorders>
            <w:shd w:val="clear" w:color="auto" w:fill="C6EFCE"/>
            <w:noWrap/>
            <w:vAlign w:val="center"/>
            <w:hideMark/>
          </w:tcPr>
          <w:p w14:paraId="7313ADE2" w14:textId="77777777" w:rsidR="00C45D59" w:rsidRDefault="009B0962">
            <w:pPr>
              <w:pStyle w:val="P68B1DB1-Normal55"/>
              <w:keepNext/>
              <w:spacing w:before="40" w:after="0" w:line="240" w:lineRule="auto"/>
              <w:jc w:val="both"/>
              <w:rPr>
                <w:rFonts w:eastAsia="Times New Roman" w:cs="Times New Roman"/>
                <w:noProof/>
                <w:szCs w:val="18"/>
              </w:rPr>
            </w:pPr>
            <w:r>
              <w:rPr>
                <w:noProof/>
              </w:rPr>
              <w:t>Etapă</w:t>
            </w:r>
          </w:p>
        </w:tc>
        <w:tc>
          <w:tcPr>
            <w:tcW w:w="3292" w:type="dxa"/>
            <w:tcBorders>
              <w:top w:val="nil"/>
              <w:left w:val="nil"/>
              <w:bottom w:val="single" w:sz="4" w:space="0" w:color="auto"/>
              <w:right w:val="single" w:sz="4" w:space="0" w:color="auto"/>
            </w:tcBorders>
            <w:shd w:val="clear" w:color="auto" w:fill="C6EFCE"/>
            <w:noWrap/>
            <w:vAlign w:val="center"/>
            <w:hideMark/>
          </w:tcPr>
          <w:p w14:paraId="5502A71E" w14:textId="52B5485C" w:rsidR="00C45D59" w:rsidRDefault="009B0962">
            <w:pPr>
              <w:pStyle w:val="P68B1DB1-Normal55"/>
              <w:keepNext/>
              <w:spacing w:before="40" w:after="0" w:line="240" w:lineRule="auto"/>
              <w:jc w:val="both"/>
              <w:rPr>
                <w:rFonts w:eastAsia="Times New Roman" w:cs="Times New Roman"/>
                <w:noProof/>
                <w:szCs w:val="18"/>
              </w:rPr>
            </w:pPr>
            <w:r>
              <w:rPr>
                <w:noProof/>
              </w:rPr>
              <w:t>Realizarea proiectelor de cercetare de bază &amp; aplicate</w:t>
            </w:r>
          </w:p>
        </w:tc>
      </w:tr>
      <w:tr w:rsidR="00C45D59" w14:paraId="00707C06"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416969A"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251</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019C7E39"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16-4.5. Promovarea cercetării și inovării – 16654_TH 2 ORAX: Sistemul de eXemplare autonomă Ruggedizată operațională pe spaliere Holistic &amp; Hybrid</w:t>
            </w:r>
          </w:p>
        </w:tc>
        <w:tc>
          <w:tcPr>
            <w:tcW w:w="1417" w:type="dxa"/>
            <w:tcBorders>
              <w:top w:val="nil"/>
              <w:left w:val="nil"/>
              <w:bottom w:val="single" w:sz="4" w:space="0" w:color="auto"/>
              <w:right w:val="single" w:sz="4" w:space="0" w:color="auto"/>
            </w:tcBorders>
            <w:shd w:val="clear" w:color="auto" w:fill="C6EFCE"/>
            <w:noWrap/>
            <w:vAlign w:val="center"/>
            <w:hideMark/>
          </w:tcPr>
          <w:p w14:paraId="6BA2EFE0" w14:textId="77777777" w:rsidR="00C45D59" w:rsidRDefault="009B0962">
            <w:pPr>
              <w:pStyle w:val="P68B1DB1-Normal55"/>
              <w:keepNext/>
              <w:spacing w:before="40" w:after="0" w:line="240" w:lineRule="auto"/>
              <w:jc w:val="both"/>
              <w:rPr>
                <w:rFonts w:eastAsia="Times New Roman" w:cs="Times New Roman"/>
                <w:noProof/>
                <w:szCs w:val="18"/>
              </w:rPr>
            </w:pPr>
            <w:r>
              <w:rPr>
                <w:noProof/>
              </w:rPr>
              <w:t>Etapă</w:t>
            </w:r>
          </w:p>
        </w:tc>
        <w:tc>
          <w:tcPr>
            <w:tcW w:w="3292" w:type="dxa"/>
            <w:tcBorders>
              <w:top w:val="nil"/>
              <w:left w:val="nil"/>
              <w:bottom w:val="single" w:sz="4" w:space="0" w:color="auto"/>
              <w:right w:val="single" w:sz="4" w:space="0" w:color="auto"/>
            </w:tcBorders>
            <w:shd w:val="clear" w:color="auto" w:fill="C6EFCE"/>
            <w:noWrap/>
            <w:vAlign w:val="center"/>
            <w:hideMark/>
          </w:tcPr>
          <w:p w14:paraId="64D953CB" w14:textId="77777777" w:rsidR="00C45D59" w:rsidRDefault="009B0962">
            <w:pPr>
              <w:pStyle w:val="P68B1DB1-Normal55"/>
              <w:keepNext/>
              <w:spacing w:before="40" w:after="0" w:line="240" w:lineRule="auto"/>
              <w:jc w:val="both"/>
              <w:rPr>
                <w:rFonts w:eastAsia="Times New Roman" w:cs="Times New Roman"/>
                <w:noProof/>
                <w:szCs w:val="18"/>
              </w:rPr>
            </w:pPr>
            <w:r>
              <w:rPr>
                <w:noProof/>
              </w:rPr>
              <w:t>Executarea proiectului TH2ORAX</w:t>
            </w:r>
          </w:p>
        </w:tc>
      </w:tr>
      <w:tr w:rsidR="00C45D59" w14:paraId="683C9BF5"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ADCB238" w14:textId="77777777" w:rsidR="00C45D59" w:rsidRDefault="009B0962">
            <w:pPr>
              <w:pStyle w:val="P68B1DB1-Normal55"/>
              <w:keepNext/>
              <w:spacing w:before="40" w:after="0" w:line="240" w:lineRule="auto"/>
              <w:jc w:val="both"/>
              <w:rPr>
                <w:rFonts w:cs="Times New Roman"/>
                <w:noProof/>
                <w:szCs w:val="18"/>
              </w:rPr>
            </w:pPr>
            <w:r>
              <w:rPr>
                <w:noProof/>
              </w:rPr>
              <w:t>256</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4FADCBEF" w14:textId="09C544F2" w:rsidR="00C45D59" w:rsidRDefault="009B0962">
            <w:pPr>
              <w:pStyle w:val="P68B1DB1-Normal55"/>
              <w:keepNext/>
              <w:spacing w:before="40" w:after="0" w:line="240" w:lineRule="auto"/>
              <w:jc w:val="both"/>
              <w:rPr>
                <w:noProof/>
              </w:rPr>
            </w:pPr>
            <w:r>
              <w:rPr>
                <w:noProof/>
              </w:rPr>
              <w:t>17-4.6. Modernizarea și îmbunătățirea rezilienței sectoarelor economice cheie – 16628</w:t>
            </w:r>
          </w:p>
          <w:p w14:paraId="59757580" w14:textId="77777777" w:rsidR="00C45D59" w:rsidRDefault="009B0962">
            <w:pPr>
              <w:pStyle w:val="P68B1DB1-Normal55"/>
              <w:keepNext/>
              <w:spacing w:before="40" w:after="0" w:line="240" w:lineRule="auto"/>
              <w:jc w:val="both"/>
              <w:rPr>
                <w:rFonts w:cs="Times New Roman"/>
                <w:noProof/>
                <w:szCs w:val="18"/>
              </w:rPr>
            </w:pPr>
            <w:r>
              <w:rPr>
                <w:noProof/>
              </w:rPr>
              <w:t xml:space="preserve">Autostrada E-65 din Grecia </w:t>
            </w:r>
            <w:r>
              <w:rPr>
                <w:b/>
                <w:noProof/>
              </w:rPr>
              <w:t>Centrală</w:t>
            </w:r>
            <w:r>
              <w:rPr>
                <w:noProof/>
              </w:rPr>
              <w:t>: Secțiunea Trikala-Egnatia</w:t>
            </w:r>
          </w:p>
        </w:tc>
        <w:tc>
          <w:tcPr>
            <w:tcW w:w="1417" w:type="dxa"/>
            <w:tcBorders>
              <w:top w:val="nil"/>
              <w:left w:val="nil"/>
              <w:bottom w:val="single" w:sz="4" w:space="0" w:color="auto"/>
              <w:right w:val="single" w:sz="4" w:space="0" w:color="auto"/>
            </w:tcBorders>
            <w:shd w:val="clear" w:color="auto" w:fill="C6EFCE"/>
            <w:noWrap/>
            <w:vAlign w:val="center"/>
            <w:hideMark/>
          </w:tcPr>
          <w:p w14:paraId="0A299C00" w14:textId="77777777" w:rsidR="00C45D59" w:rsidRDefault="009B0962">
            <w:pPr>
              <w:pStyle w:val="P68B1DB1-Normal55"/>
              <w:keepNext/>
              <w:spacing w:before="40" w:after="0" w:line="240" w:lineRule="auto"/>
              <w:jc w:val="both"/>
              <w:rPr>
                <w:rFonts w:cs="Times New Roman"/>
                <w:noProof/>
                <w:szCs w:val="18"/>
              </w:rPr>
            </w:pPr>
            <w:r>
              <w:rPr>
                <w:noProof/>
              </w:rPr>
              <w:t>Etapă</w:t>
            </w:r>
          </w:p>
        </w:tc>
        <w:tc>
          <w:tcPr>
            <w:tcW w:w="3292" w:type="dxa"/>
            <w:tcBorders>
              <w:top w:val="nil"/>
              <w:left w:val="nil"/>
              <w:bottom w:val="single" w:sz="4" w:space="0" w:color="auto"/>
              <w:right w:val="single" w:sz="4" w:space="0" w:color="auto"/>
            </w:tcBorders>
            <w:shd w:val="clear" w:color="auto" w:fill="C6EFCE"/>
            <w:noWrap/>
            <w:vAlign w:val="center"/>
            <w:hideMark/>
          </w:tcPr>
          <w:p w14:paraId="79526012" w14:textId="77777777" w:rsidR="00C45D59" w:rsidRDefault="009B0962">
            <w:pPr>
              <w:pStyle w:val="P68B1DB1-Normal55"/>
              <w:keepNext/>
              <w:spacing w:before="40" w:after="0" w:line="240" w:lineRule="auto"/>
              <w:jc w:val="both"/>
              <w:rPr>
                <w:rFonts w:cs="Times New Roman"/>
                <w:noProof/>
                <w:szCs w:val="18"/>
              </w:rPr>
            </w:pPr>
            <w:r>
              <w:rPr>
                <w:noProof/>
              </w:rPr>
              <w:t>Lucrări E-65 – finalizare</w:t>
            </w:r>
          </w:p>
        </w:tc>
      </w:tr>
      <w:tr w:rsidR="00C45D59" w14:paraId="0747FF11"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837E4EF"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262</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1356AA59" w14:textId="6FF2B115" w:rsidR="00C45D59" w:rsidRDefault="009B0962">
            <w:pPr>
              <w:pStyle w:val="P68B1DB1-Normal55"/>
              <w:keepNext/>
              <w:spacing w:before="40" w:after="0" w:line="240" w:lineRule="auto"/>
              <w:jc w:val="both"/>
              <w:rPr>
                <w:rFonts w:eastAsia="Times New Roman" w:cs="Times New Roman"/>
                <w:bCs/>
                <w:noProof/>
                <w:szCs w:val="18"/>
              </w:rPr>
            </w:pPr>
            <w:r>
              <w:rPr>
                <w:noProof/>
              </w:rPr>
              <w:t>17-4.6. Modernizarea și îmbunătățirea rezilienței sectoarelor economice esențiale – autostrada nordică 16630_Cretan (Β.Ο.Α.Κ.)</w:t>
            </w:r>
          </w:p>
        </w:tc>
        <w:tc>
          <w:tcPr>
            <w:tcW w:w="1417" w:type="dxa"/>
            <w:tcBorders>
              <w:top w:val="nil"/>
              <w:left w:val="nil"/>
              <w:bottom w:val="single" w:sz="4" w:space="0" w:color="auto"/>
              <w:right w:val="single" w:sz="4" w:space="0" w:color="auto"/>
            </w:tcBorders>
            <w:shd w:val="clear" w:color="auto" w:fill="C6EFCE"/>
            <w:noWrap/>
            <w:vAlign w:val="center"/>
            <w:hideMark/>
          </w:tcPr>
          <w:p w14:paraId="7ED1E62E" w14:textId="77777777" w:rsidR="00C45D59" w:rsidRDefault="009B0962">
            <w:pPr>
              <w:pStyle w:val="P68B1DB1-Normal55"/>
              <w:keepNext/>
              <w:spacing w:before="40" w:after="0" w:line="240" w:lineRule="auto"/>
              <w:jc w:val="both"/>
              <w:rPr>
                <w:rFonts w:eastAsia="Times New Roman" w:cs="Times New Roman"/>
                <w:noProof/>
                <w:szCs w:val="18"/>
              </w:rPr>
            </w:pPr>
            <w:r>
              <w:rPr>
                <w:noProof/>
              </w:rPr>
              <w:t>Etapă</w:t>
            </w:r>
          </w:p>
        </w:tc>
        <w:tc>
          <w:tcPr>
            <w:tcW w:w="3292" w:type="dxa"/>
            <w:tcBorders>
              <w:top w:val="nil"/>
              <w:left w:val="nil"/>
              <w:bottom w:val="single" w:sz="4" w:space="0" w:color="auto"/>
              <w:right w:val="single" w:sz="4" w:space="0" w:color="auto"/>
            </w:tcBorders>
            <w:shd w:val="clear" w:color="auto" w:fill="C6EFCE"/>
            <w:noWrap/>
            <w:vAlign w:val="center"/>
            <w:hideMark/>
          </w:tcPr>
          <w:p w14:paraId="55786859" w14:textId="77777777" w:rsidR="00C45D59" w:rsidRDefault="009B0962">
            <w:pPr>
              <w:pStyle w:val="P68B1DB1-Normal55"/>
              <w:keepNext/>
              <w:spacing w:before="40" w:after="0" w:line="240" w:lineRule="auto"/>
              <w:jc w:val="both"/>
              <w:rPr>
                <w:rFonts w:eastAsia="Times New Roman" w:cs="Times New Roman"/>
                <w:noProof/>
                <w:szCs w:val="18"/>
              </w:rPr>
            </w:pPr>
            <w:r>
              <w:rPr>
                <w:noProof/>
              </w:rPr>
              <w:t>Lucrări executate finanțate prin MRR</w:t>
            </w:r>
          </w:p>
        </w:tc>
      </w:tr>
      <w:tr w:rsidR="00C45D59" w14:paraId="422B7B06"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010F5C1" w14:textId="77777777" w:rsidR="00C45D59" w:rsidRDefault="009B0962">
            <w:pPr>
              <w:pStyle w:val="P68B1DB1-Normal55"/>
              <w:keepNext/>
              <w:spacing w:before="40" w:after="0" w:line="240" w:lineRule="auto"/>
              <w:jc w:val="both"/>
              <w:rPr>
                <w:noProof/>
              </w:rPr>
            </w:pPr>
            <w:r>
              <w:rPr>
                <w:noProof/>
              </w:rPr>
              <w:t>262a</w:t>
            </w:r>
          </w:p>
        </w:tc>
        <w:tc>
          <w:tcPr>
            <w:tcW w:w="4820" w:type="dxa"/>
            <w:tcBorders>
              <w:top w:val="nil"/>
              <w:left w:val="single" w:sz="4" w:space="0" w:color="auto"/>
              <w:bottom w:val="single" w:sz="4" w:space="0" w:color="auto"/>
              <w:right w:val="single" w:sz="4" w:space="0" w:color="auto"/>
            </w:tcBorders>
            <w:shd w:val="clear" w:color="auto" w:fill="C6EFCE"/>
            <w:noWrap/>
            <w:vAlign w:val="center"/>
          </w:tcPr>
          <w:p w14:paraId="55B0F15C" w14:textId="77777777" w:rsidR="00C45D59" w:rsidRDefault="009B0962">
            <w:pPr>
              <w:pStyle w:val="P68B1DB1-Normal55"/>
              <w:keepNext/>
              <w:spacing w:before="40" w:after="0" w:line="240" w:lineRule="auto"/>
              <w:jc w:val="both"/>
              <w:rPr>
                <w:noProof/>
              </w:rPr>
            </w:pPr>
            <w:r>
              <w:rPr>
                <w:noProof/>
              </w:rPr>
              <w:t>17-4.6. Modernizarea și îmbunătățirea rezilienței sectoarelor economice esențiale – autostrada nordică 16630_Cretan (Β.Ο.Α.Κ.)</w:t>
            </w:r>
          </w:p>
        </w:tc>
        <w:tc>
          <w:tcPr>
            <w:tcW w:w="1417" w:type="dxa"/>
            <w:tcBorders>
              <w:top w:val="nil"/>
              <w:left w:val="nil"/>
              <w:bottom w:val="single" w:sz="4" w:space="0" w:color="auto"/>
              <w:right w:val="single" w:sz="4" w:space="0" w:color="auto"/>
            </w:tcBorders>
            <w:shd w:val="clear" w:color="auto" w:fill="C6EFCE"/>
            <w:noWrap/>
            <w:vAlign w:val="center"/>
          </w:tcPr>
          <w:p w14:paraId="00284731" w14:textId="77777777" w:rsidR="00C45D59" w:rsidRDefault="009B0962">
            <w:pPr>
              <w:pStyle w:val="P68B1DB1-Normal55"/>
              <w:keepNext/>
              <w:spacing w:before="40" w:after="0" w:line="240" w:lineRule="auto"/>
              <w:jc w:val="both"/>
              <w:rPr>
                <w:noProof/>
              </w:rPr>
            </w:pPr>
            <w:r>
              <w:rPr>
                <w:noProof/>
              </w:rPr>
              <w:t>Etapă</w:t>
            </w:r>
          </w:p>
        </w:tc>
        <w:tc>
          <w:tcPr>
            <w:tcW w:w="3292" w:type="dxa"/>
            <w:tcBorders>
              <w:top w:val="nil"/>
              <w:left w:val="nil"/>
              <w:bottom w:val="single" w:sz="4" w:space="0" w:color="auto"/>
              <w:right w:val="single" w:sz="4" w:space="0" w:color="auto"/>
            </w:tcBorders>
            <w:shd w:val="clear" w:color="auto" w:fill="C6EFCE"/>
            <w:noWrap/>
            <w:vAlign w:val="center"/>
          </w:tcPr>
          <w:p w14:paraId="243FE471" w14:textId="77777777" w:rsidR="00C45D59" w:rsidRDefault="009B0962">
            <w:pPr>
              <w:pStyle w:val="P68B1DB1-Normal55"/>
              <w:keepNext/>
              <w:spacing w:before="40" w:after="0" w:line="240" w:lineRule="auto"/>
              <w:jc w:val="both"/>
              <w:rPr>
                <w:noProof/>
              </w:rPr>
            </w:pPr>
            <w:r>
              <w:rPr>
                <w:noProof/>
              </w:rPr>
              <w:t>Lucrări executate finanțate prin MRR</w:t>
            </w:r>
          </w:p>
        </w:tc>
      </w:tr>
      <w:tr w:rsidR="00C45D59" w14:paraId="51FF0938"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91B7158" w14:textId="77777777" w:rsidR="00C45D59" w:rsidRDefault="009B0962">
            <w:pPr>
              <w:pStyle w:val="P68B1DB1-Normal55"/>
              <w:keepNext/>
              <w:spacing w:before="40" w:after="0" w:line="240" w:lineRule="auto"/>
              <w:jc w:val="both"/>
              <w:rPr>
                <w:rFonts w:cs="Times New Roman"/>
                <w:noProof/>
                <w:szCs w:val="18"/>
              </w:rPr>
            </w:pPr>
            <w:r>
              <w:rPr>
                <w:noProof/>
              </w:rPr>
              <w:t>268c</w:t>
            </w:r>
          </w:p>
        </w:tc>
        <w:tc>
          <w:tcPr>
            <w:tcW w:w="4820" w:type="dxa"/>
            <w:tcBorders>
              <w:top w:val="nil"/>
              <w:left w:val="single" w:sz="4" w:space="0" w:color="auto"/>
              <w:bottom w:val="single" w:sz="4" w:space="0" w:color="auto"/>
              <w:right w:val="single" w:sz="4" w:space="0" w:color="auto"/>
            </w:tcBorders>
            <w:shd w:val="clear" w:color="auto" w:fill="C6EFCE"/>
            <w:noWrap/>
            <w:hideMark/>
          </w:tcPr>
          <w:p w14:paraId="4CD8007B" w14:textId="77777777" w:rsidR="00C45D59" w:rsidRDefault="009B0962">
            <w:pPr>
              <w:pStyle w:val="P68B1DB1-Normal55"/>
              <w:keepNext/>
              <w:spacing w:before="40" w:after="0" w:line="240" w:lineRule="auto"/>
              <w:jc w:val="both"/>
              <w:rPr>
                <w:rFonts w:cs="Times New Roman"/>
                <w:noProof/>
                <w:szCs w:val="18"/>
              </w:rPr>
            </w:pPr>
            <w:r>
              <w:rPr>
                <w:noProof/>
              </w:rPr>
              <w:t>17-4.6. Modernizarea și îmbunătățirea rezilienței sectoarelor economice cheie – 16982_Reforma organizațională în sectorul feroviar</w:t>
            </w:r>
          </w:p>
        </w:tc>
        <w:tc>
          <w:tcPr>
            <w:tcW w:w="1417" w:type="dxa"/>
            <w:tcBorders>
              <w:top w:val="nil"/>
              <w:left w:val="nil"/>
              <w:bottom w:val="single" w:sz="4" w:space="0" w:color="auto"/>
              <w:right w:val="single" w:sz="4" w:space="0" w:color="auto"/>
            </w:tcBorders>
            <w:shd w:val="clear" w:color="auto" w:fill="C6EFCE"/>
            <w:noWrap/>
            <w:hideMark/>
          </w:tcPr>
          <w:p w14:paraId="15973B6A" w14:textId="77777777" w:rsidR="00C45D59" w:rsidRDefault="009B0962">
            <w:pPr>
              <w:pStyle w:val="P68B1DB1-Normal55"/>
              <w:keepNext/>
              <w:spacing w:before="40" w:after="0" w:line="240" w:lineRule="auto"/>
              <w:jc w:val="both"/>
              <w:rPr>
                <w:rFonts w:cs="Times New Roman"/>
                <w:noProof/>
                <w:szCs w:val="18"/>
              </w:rPr>
            </w:pPr>
            <w:r>
              <w:rPr>
                <w:noProof/>
              </w:rPr>
              <w:t>Etapă</w:t>
            </w:r>
          </w:p>
        </w:tc>
        <w:tc>
          <w:tcPr>
            <w:tcW w:w="3292" w:type="dxa"/>
            <w:tcBorders>
              <w:top w:val="nil"/>
              <w:left w:val="nil"/>
              <w:bottom w:val="single" w:sz="4" w:space="0" w:color="auto"/>
              <w:right w:val="single" w:sz="4" w:space="0" w:color="auto"/>
            </w:tcBorders>
            <w:shd w:val="clear" w:color="auto" w:fill="C6EFCE"/>
            <w:noWrap/>
            <w:hideMark/>
          </w:tcPr>
          <w:p w14:paraId="65CF04FB" w14:textId="6316639E" w:rsidR="00C45D59" w:rsidRDefault="009B0962">
            <w:pPr>
              <w:pStyle w:val="P68B1DB1-Normal11"/>
              <w:keepNext/>
              <w:spacing w:before="40" w:after="0" w:line="240" w:lineRule="auto"/>
              <w:jc w:val="both"/>
              <w:rPr>
                <w:rFonts w:cs="Times New Roman"/>
                <w:noProof/>
              </w:rPr>
            </w:pPr>
            <w:r>
              <w:rPr>
                <w:noProof/>
              </w:rPr>
              <w:t>Noua structură organizațională</w:t>
            </w:r>
          </w:p>
        </w:tc>
      </w:tr>
      <w:tr w:rsidR="00C45D59" w14:paraId="380624BA"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01182BC" w14:textId="77777777" w:rsidR="00C45D59" w:rsidRDefault="009B0962">
            <w:pPr>
              <w:pStyle w:val="P68B1DB1-Normal55"/>
              <w:keepNext/>
              <w:spacing w:before="40" w:after="0" w:line="240" w:lineRule="auto"/>
              <w:jc w:val="both"/>
              <w:rPr>
                <w:rFonts w:cs="Times New Roman"/>
                <w:noProof/>
                <w:szCs w:val="18"/>
              </w:rPr>
            </w:pPr>
            <w:r>
              <w:rPr>
                <w:noProof/>
              </w:rPr>
              <w:t>269</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7AD13485" w14:textId="56364609" w:rsidR="00C45D59" w:rsidRDefault="009B0962">
            <w:pPr>
              <w:pStyle w:val="P68B1DB1-Normal11"/>
              <w:keepNext/>
              <w:spacing w:before="40" w:after="0" w:line="240" w:lineRule="auto"/>
              <w:jc w:val="both"/>
              <w:rPr>
                <w:rFonts w:cs="Times New Roman"/>
                <w:noProof/>
              </w:rPr>
            </w:pPr>
            <w:r>
              <w:rPr>
                <w:noProof/>
              </w:rPr>
              <w:t>17-4.6. Modernizarea și îmbunătățirea rezilienței sectoarelor economice cheie – 16833_Modernizarea aeroporturilor regionale – retragerea DAAD</w:t>
            </w:r>
          </w:p>
        </w:tc>
        <w:tc>
          <w:tcPr>
            <w:tcW w:w="1417" w:type="dxa"/>
            <w:tcBorders>
              <w:top w:val="nil"/>
              <w:left w:val="nil"/>
              <w:bottom w:val="single" w:sz="4" w:space="0" w:color="auto"/>
              <w:right w:val="single" w:sz="4" w:space="0" w:color="auto"/>
            </w:tcBorders>
            <w:shd w:val="clear" w:color="auto" w:fill="C6EFCE"/>
            <w:noWrap/>
            <w:vAlign w:val="center"/>
            <w:hideMark/>
          </w:tcPr>
          <w:p w14:paraId="46D8C46F" w14:textId="77777777" w:rsidR="00C45D59" w:rsidRDefault="009B0962">
            <w:pPr>
              <w:pStyle w:val="P68B1DB1-Normal55"/>
              <w:keepNext/>
              <w:spacing w:before="40" w:after="0" w:line="240" w:lineRule="auto"/>
              <w:jc w:val="both"/>
              <w:rPr>
                <w:rFonts w:cs="Times New Roman"/>
                <w:noProof/>
                <w:szCs w:val="18"/>
              </w:rPr>
            </w:pPr>
            <w:r>
              <w:rPr>
                <w:noProof/>
              </w:rPr>
              <w:t>Etapă</w:t>
            </w:r>
          </w:p>
        </w:tc>
        <w:tc>
          <w:tcPr>
            <w:tcW w:w="3292" w:type="dxa"/>
            <w:tcBorders>
              <w:top w:val="nil"/>
              <w:left w:val="nil"/>
              <w:bottom w:val="single" w:sz="4" w:space="0" w:color="auto"/>
              <w:right w:val="single" w:sz="4" w:space="0" w:color="auto"/>
            </w:tcBorders>
            <w:shd w:val="clear" w:color="auto" w:fill="C6EFCE"/>
            <w:noWrap/>
            <w:vAlign w:val="center"/>
            <w:hideMark/>
          </w:tcPr>
          <w:p w14:paraId="04F4A261" w14:textId="77777777" w:rsidR="00C45D59" w:rsidRDefault="009B0962">
            <w:pPr>
              <w:pStyle w:val="P68B1DB1-Normal16"/>
              <w:keepNext/>
              <w:spacing w:before="40" w:after="0" w:line="240" w:lineRule="auto"/>
              <w:jc w:val="both"/>
              <w:rPr>
                <w:rFonts w:eastAsiaTheme="minorEastAsia"/>
                <w:noProof/>
              </w:rPr>
            </w:pPr>
            <w:r>
              <w:rPr>
                <w:noProof/>
              </w:rPr>
              <w:t xml:space="preserve">Retragerea documentelor de acceptare a abaterilor și de acțiune (DAAD) </w:t>
            </w:r>
          </w:p>
        </w:tc>
      </w:tr>
      <w:tr w:rsidR="00C45D59" w14:paraId="06ACD380"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01B4D01"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272</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5265EB1D"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17-4.6. Modernizarea și îmbunătățirea rezilienței sectoarelor economice esențiale – 16949_Poduri inteligente</w:t>
            </w:r>
          </w:p>
        </w:tc>
        <w:tc>
          <w:tcPr>
            <w:tcW w:w="1417" w:type="dxa"/>
            <w:tcBorders>
              <w:top w:val="nil"/>
              <w:left w:val="nil"/>
              <w:bottom w:val="single" w:sz="4" w:space="0" w:color="auto"/>
              <w:right w:val="single" w:sz="4" w:space="0" w:color="auto"/>
            </w:tcBorders>
            <w:shd w:val="clear" w:color="auto" w:fill="C6EFCE"/>
            <w:noWrap/>
            <w:vAlign w:val="center"/>
            <w:hideMark/>
          </w:tcPr>
          <w:p w14:paraId="2AF9A9E1" w14:textId="77777777" w:rsidR="00C45D59" w:rsidRDefault="009B0962">
            <w:pPr>
              <w:pStyle w:val="P68B1DB1-Normal55"/>
              <w:keepNext/>
              <w:spacing w:before="40" w:after="0" w:line="240" w:lineRule="auto"/>
              <w:jc w:val="both"/>
              <w:rPr>
                <w:rFonts w:eastAsia="Times New Roman" w:cs="Times New Roman"/>
                <w:noProof/>
                <w:szCs w:val="18"/>
              </w:rPr>
            </w:pPr>
            <w:r>
              <w:rPr>
                <w:noProof/>
              </w:rPr>
              <w:t>Etapă</w:t>
            </w:r>
          </w:p>
        </w:tc>
        <w:tc>
          <w:tcPr>
            <w:tcW w:w="3292" w:type="dxa"/>
            <w:tcBorders>
              <w:top w:val="nil"/>
              <w:left w:val="nil"/>
              <w:bottom w:val="single" w:sz="4" w:space="0" w:color="auto"/>
              <w:right w:val="single" w:sz="4" w:space="0" w:color="auto"/>
            </w:tcBorders>
            <w:shd w:val="clear" w:color="auto" w:fill="C6EFCE"/>
            <w:noWrap/>
            <w:vAlign w:val="center"/>
            <w:hideMark/>
          </w:tcPr>
          <w:p w14:paraId="46F6D742" w14:textId="7B29B184" w:rsidR="00C45D59" w:rsidRDefault="009B0962">
            <w:pPr>
              <w:pStyle w:val="P68B1DB1-Normal11"/>
              <w:keepNext/>
              <w:spacing w:before="40" w:after="0" w:line="240" w:lineRule="auto"/>
              <w:jc w:val="both"/>
              <w:rPr>
                <w:rFonts w:eastAsia="Times New Roman" w:cs="Times New Roman"/>
                <w:noProof/>
              </w:rPr>
            </w:pPr>
            <w:r>
              <w:rPr>
                <w:noProof/>
              </w:rPr>
              <w:t>Instalare de echipamente pentru poduri inteligente</w:t>
            </w:r>
          </w:p>
        </w:tc>
      </w:tr>
      <w:tr w:rsidR="00C45D59" w14:paraId="29985E79"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DEEFBF5"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274</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2444A984" w14:textId="77777777" w:rsidR="00C45D59" w:rsidRDefault="009B0962">
            <w:pPr>
              <w:pStyle w:val="P68B1DB1-Normal11"/>
              <w:keepNext/>
              <w:spacing w:before="40" w:after="0" w:line="240" w:lineRule="auto"/>
              <w:jc w:val="both"/>
              <w:rPr>
                <w:rFonts w:eastAsia="Times New Roman" w:cs="Times New Roman"/>
                <w:bCs/>
                <w:noProof/>
              </w:rPr>
            </w:pPr>
            <w:r>
              <w:rPr>
                <w:noProof/>
              </w:rPr>
              <w:t>17-4.6. Modernizarea și îmbunătățirea rezilienței sectoarelor economice esențiale – 16959_Transformarea digitală a căilor ferate elene</w:t>
            </w:r>
          </w:p>
        </w:tc>
        <w:tc>
          <w:tcPr>
            <w:tcW w:w="1417" w:type="dxa"/>
            <w:tcBorders>
              <w:top w:val="nil"/>
              <w:left w:val="nil"/>
              <w:bottom w:val="single" w:sz="4" w:space="0" w:color="auto"/>
              <w:right w:val="single" w:sz="4" w:space="0" w:color="auto"/>
            </w:tcBorders>
            <w:shd w:val="clear" w:color="auto" w:fill="C6EFCE"/>
            <w:noWrap/>
            <w:vAlign w:val="center"/>
            <w:hideMark/>
          </w:tcPr>
          <w:p w14:paraId="7927F9AD" w14:textId="77777777" w:rsidR="00C45D59" w:rsidRDefault="009B0962">
            <w:pPr>
              <w:pStyle w:val="P68B1DB1-Normal55"/>
              <w:keepNext/>
              <w:spacing w:before="40" w:after="0" w:line="240" w:lineRule="auto"/>
              <w:jc w:val="both"/>
              <w:rPr>
                <w:rFonts w:eastAsia="Times New Roman" w:cs="Times New Roman"/>
                <w:noProof/>
                <w:szCs w:val="18"/>
              </w:rPr>
            </w:pPr>
            <w:r>
              <w:rPr>
                <w:noProof/>
              </w:rPr>
              <w:t>Etapă</w:t>
            </w:r>
          </w:p>
        </w:tc>
        <w:tc>
          <w:tcPr>
            <w:tcW w:w="3292" w:type="dxa"/>
            <w:tcBorders>
              <w:top w:val="nil"/>
              <w:left w:val="nil"/>
              <w:bottom w:val="single" w:sz="4" w:space="0" w:color="auto"/>
              <w:right w:val="single" w:sz="4" w:space="0" w:color="auto"/>
            </w:tcBorders>
            <w:shd w:val="clear" w:color="auto" w:fill="C6EFCE"/>
            <w:noWrap/>
            <w:vAlign w:val="center"/>
            <w:hideMark/>
          </w:tcPr>
          <w:p w14:paraId="0DA2620E" w14:textId="77777777" w:rsidR="00C45D59" w:rsidRDefault="009B0962">
            <w:pPr>
              <w:pStyle w:val="P68B1DB1-Normal11"/>
              <w:keepNext/>
              <w:spacing w:before="40" w:after="0" w:line="240" w:lineRule="auto"/>
              <w:jc w:val="both"/>
              <w:rPr>
                <w:noProof/>
              </w:rPr>
            </w:pPr>
            <w:r>
              <w:rPr>
                <w:noProof/>
              </w:rPr>
              <w:t>Proiecte, sisteme, echipamente și servicii digitale</w:t>
            </w:r>
          </w:p>
        </w:tc>
      </w:tr>
      <w:tr w:rsidR="00C45D59" w14:paraId="05806E6D"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56D01F3"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275</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51F0B7BE"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17-4.6. Modernizarea și îmbunătățirea rezilienței sectoarelor economice esențiale – 16960_Infrastructură inteligentă cu accent pe mediu și cultură</w:t>
            </w:r>
          </w:p>
        </w:tc>
        <w:tc>
          <w:tcPr>
            <w:tcW w:w="1417" w:type="dxa"/>
            <w:tcBorders>
              <w:top w:val="nil"/>
              <w:left w:val="nil"/>
              <w:bottom w:val="single" w:sz="4" w:space="0" w:color="auto"/>
              <w:right w:val="single" w:sz="4" w:space="0" w:color="auto"/>
            </w:tcBorders>
            <w:shd w:val="clear" w:color="auto" w:fill="C6EFCE"/>
            <w:noWrap/>
            <w:vAlign w:val="center"/>
            <w:hideMark/>
          </w:tcPr>
          <w:p w14:paraId="1AC5E684" w14:textId="77777777" w:rsidR="00C45D59" w:rsidRDefault="009B0962">
            <w:pPr>
              <w:pStyle w:val="P68B1DB1-Normal55"/>
              <w:keepNext/>
              <w:spacing w:before="40" w:after="0" w:line="240" w:lineRule="auto"/>
              <w:jc w:val="both"/>
              <w:rPr>
                <w:rFonts w:eastAsia="Times New Roman" w:cs="Times New Roman"/>
                <w:noProof/>
                <w:szCs w:val="18"/>
              </w:rPr>
            </w:pPr>
            <w:r>
              <w:rPr>
                <w:noProof/>
              </w:rPr>
              <w:t>Etapă</w:t>
            </w:r>
          </w:p>
        </w:tc>
        <w:tc>
          <w:tcPr>
            <w:tcW w:w="3292" w:type="dxa"/>
            <w:tcBorders>
              <w:top w:val="nil"/>
              <w:left w:val="nil"/>
              <w:bottom w:val="single" w:sz="4" w:space="0" w:color="auto"/>
              <w:right w:val="single" w:sz="4" w:space="0" w:color="auto"/>
            </w:tcBorders>
            <w:shd w:val="clear" w:color="auto" w:fill="C6EFCE"/>
            <w:noWrap/>
            <w:vAlign w:val="center"/>
            <w:hideMark/>
          </w:tcPr>
          <w:p w14:paraId="35291E69" w14:textId="77777777" w:rsidR="00C45D59" w:rsidRDefault="009B0962">
            <w:pPr>
              <w:pStyle w:val="P68B1DB1-Normal55"/>
              <w:keepNext/>
              <w:spacing w:before="40" w:after="0" w:line="240" w:lineRule="auto"/>
              <w:jc w:val="both"/>
              <w:rPr>
                <w:rFonts w:eastAsia="Times New Roman" w:cs="Times New Roman"/>
                <w:noProof/>
                <w:szCs w:val="18"/>
              </w:rPr>
            </w:pPr>
            <w:r>
              <w:rPr>
                <w:noProof/>
              </w:rPr>
              <w:t>Realizarea proiectului de infrastructură inteligentă</w:t>
            </w:r>
          </w:p>
        </w:tc>
      </w:tr>
      <w:tr w:rsidR="00C45D59" w14:paraId="61D36E25"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CA551A9"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283</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2D3A9417"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17-4.6. Modernizarea și îmbunătățirea rezilienței sectoarelor economice esențiale – 16293_Cultura ca motor al creșterii economice</w:t>
            </w:r>
          </w:p>
        </w:tc>
        <w:tc>
          <w:tcPr>
            <w:tcW w:w="1417" w:type="dxa"/>
            <w:tcBorders>
              <w:top w:val="nil"/>
              <w:left w:val="nil"/>
              <w:bottom w:val="single" w:sz="4" w:space="0" w:color="auto"/>
              <w:right w:val="single" w:sz="4" w:space="0" w:color="auto"/>
            </w:tcBorders>
            <w:shd w:val="clear" w:color="auto" w:fill="C6EFCE"/>
            <w:noWrap/>
            <w:vAlign w:val="center"/>
            <w:hideMark/>
          </w:tcPr>
          <w:p w14:paraId="3B500C13" w14:textId="77777777" w:rsidR="00C45D59" w:rsidRDefault="009B0962">
            <w:pPr>
              <w:pStyle w:val="P68B1DB1-Normal55"/>
              <w:keepNext/>
              <w:spacing w:before="40" w:after="0" w:line="240" w:lineRule="auto"/>
              <w:jc w:val="both"/>
              <w:rPr>
                <w:rFonts w:eastAsia="Times New Roman" w:cs="Times New Roman"/>
                <w:noProof/>
                <w:szCs w:val="18"/>
              </w:rPr>
            </w:pPr>
            <w:r>
              <w:rPr>
                <w:noProof/>
              </w:rPr>
              <w:t>Etapă</w:t>
            </w:r>
          </w:p>
        </w:tc>
        <w:tc>
          <w:tcPr>
            <w:tcW w:w="3292" w:type="dxa"/>
            <w:tcBorders>
              <w:top w:val="nil"/>
              <w:left w:val="nil"/>
              <w:bottom w:val="single" w:sz="4" w:space="0" w:color="auto"/>
              <w:right w:val="single" w:sz="4" w:space="0" w:color="auto"/>
            </w:tcBorders>
            <w:shd w:val="clear" w:color="auto" w:fill="C6EFCE"/>
            <w:noWrap/>
            <w:vAlign w:val="center"/>
            <w:hideMark/>
          </w:tcPr>
          <w:p w14:paraId="08EC06F4" w14:textId="0C418D6F" w:rsidR="00C45D59" w:rsidRDefault="009B0962">
            <w:pPr>
              <w:pStyle w:val="P68B1DB1-Normal55"/>
              <w:keepNext/>
              <w:spacing w:before="40" w:after="0" w:line="240" w:lineRule="auto"/>
              <w:jc w:val="both"/>
              <w:rPr>
                <w:rFonts w:eastAsia="Times New Roman" w:cs="Times New Roman"/>
                <w:noProof/>
                <w:szCs w:val="18"/>
              </w:rPr>
            </w:pPr>
            <w:r>
              <w:rPr>
                <w:noProof/>
              </w:rPr>
              <w:t>Planuri generale și lucrări culturale</w:t>
            </w:r>
          </w:p>
        </w:tc>
      </w:tr>
      <w:tr w:rsidR="00C45D59" w14:paraId="6722C8BC"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735616E"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284</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25E7603A" w14:textId="71AEB61B" w:rsidR="00C45D59" w:rsidRDefault="009B0962">
            <w:pPr>
              <w:pStyle w:val="P68B1DB1-Normal11"/>
              <w:keepNext/>
              <w:spacing w:before="40" w:after="0" w:line="240" w:lineRule="auto"/>
              <w:jc w:val="both"/>
              <w:rPr>
                <w:rFonts w:eastAsia="Times New Roman" w:cs="Times New Roman"/>
                <w:noProof/>
              </w:rPr>
            </w:pPr>
            <w:r>
              <w:rPr>
                <w:noProof/>
              </w:rPr>
              <w:t xml:space="preserve">17-4.6. Modernizarea și îmbunătățirea rezilienței sectoarelor economice cheie – 16536_Modernizarea infrastructurii și a echipamentelor magazinelor HOCRED </w:t>
            </w:r>
          </w:p>
        </w:tc>
        <w:tc>
          <w:tcPr>
            <w:tcW w:w="1417" w:type="dxa"/>
            <w:tcBorders>
              <w:top w:val="nil"/>
              <w:left w:val="nil"/>
              <w:bottom w:val="single" w:sz="4" w:space="0" w:color="auto"/>
              <w:right w:val="single" w:sz="4" w:space="0" w:color="auto"/>
            </w:tcBorders>
            <w:shd w:val="clear" w:color="auto" w:fill="C6EFCE"/>
            <w:noWrap/>
            <w:vAlign w:val="center"/>
            <w:hideMark/>
          </w:tcPr>
          <w:p w14:paraId="38634B71" w14:textId="77777777" w:rsidR="00C45D59" w:rsidRDefault="009B0962">
            <w:pPr>
              <w:pStyle w:val="P68B1DB1-Normal11"/>
              <w:keepNext/>
              <w:spacing w:before="40" w:after="0" w:line="240" w:lineRule="auto"/>
              <w:jc w:val="both"/>
              <w:rPr>
                <w:rFonts w:eastAsia="Times New Roman" w:cs="Times New Roman"/>
                <w:noProof/>
              </w:rPr>
            </w:pPr>
            <w:r>
              <w:rPr>
                <w:noProof/>
              </w:rPr>
              <w:t>Etapă</w:t>
            </w:r>
          </w:p>
        </w:tc>
        <w:tc>
          <w:tcPr>
            <w:tcW w:w="3292" w:type="dxa"/>
            <w:tcBorders>
              <w:top w:val="nil"/>
              <w:left w:val="nil"/>
              <w:bottom w:val="single" w:sz="4" w:space="0" w:color="auto"/>
              <w:right w:val="single" w:sz="4" w:space="0" w:color="auto"/>
            </w:tcBorders>
            <w:shd w:val="clear" w:color="auto" w:fill="C6EFCE"/>
            <w:noWrap/>
            <w:vAlign w:val="center"/>
            <w:hideMark/>
          </w:tcPr>
          <w:p w14:paraId="5451F4A2" w14:textId="77777777" w:rsidR="00C45D59" w:rsidRDefault="009B0962">
            <w:pPr>
              <w:pStyle w:val="P68B1DB1-Normal11"/>
              <w:keepNext/>
              <w:spacing w:before="40" w:after="0" w:line="240" w:lineRule="auto"/>
              <w:jc w:val="both"/>
              <w:rPr>
                <w:rFonts w:eastAsia="Times New Roman" w:cs="Times New Roman"/>
                <w:noProof/>
              </w:rPr>
            </w:pPr>
            <w:r>
              <w:rPr>
                <w:noProof/>
              </w:rPr>
              <w:t xml:space="preserve">Modernizarea Organizației Elene pentru Dezvoltarea Resurselor Culturale (HOCRED) </w:t>
            </w:r>
          </w:p>
        </w:tc>
      </w:tr>
      <w:tr w:rsidR="00C45D59" w14:paraId="47E3E58F"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C7BC4FD"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285</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7340FEF1"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17-4.6. Modernizarea și îmbunătățirea rezilienței sectoarelor economice cheie – 16725_Modernizarea învățământului superior în domeniul artelor</w:t>
            </w:r>
          </w:p>
        </w:tc>
        <w:tc>
          <w:tcPr>
            <w:tcW w:w="1417" w:type="dxa"/>
            <w:tcBorders>
              <w:top w:val="nil"/>
              <w:left w:val="nil"/>
              <w:bottom w:val="single" w:sz="4" w:space="0" w:color="auto"/>
              <w:right w:val="single" w:sz="4" w:space="0" w:color="auto"/>
            </w:tcBorders>
            <w:shd w:val="clear" w:color="auto" w:fill="C6EFCE"/>
            <w:noWrap/>
            <w:vAlign w:val="center"/>
            <w:hideMark/>
          </w:tcPr>
          <w:p w14:paraId="1F814602" w14:textId="77777777" w:rsidR="00C45D59" w:rsidRDefault="009B0962">
            <w:pPr>
              <w:pStyle w:val="P68B1DB1-Normal55"/>
              <w:keepNext/>
              <w:spacing w:before="40" w:after="0" w:line="240" w:lineRule="auto"/>
              <w:jc w:val="both"/>
              <w:rPr>
                <w:rFonts w:eastAsia="Times New Roman" w:cs="Times New Roman"/>
                <w:noProof/>
                <w:szCs w:val="18"/>
              </w:rPr>
            </w:pPr>
            <w:r>
              <w:rPr>
                <w:noProof/>
              </w:rPr>
              <w:t>Etapă</w:t>
            </w:r>
          </w:p>
        </w:tc>
        <w:tc>
          <w:tcPr>
            <w:tcW w:w="3292" w:type="dxa"/>
            <w:tcBorders>
              <w:top w:val="nil"/>
              <w:left w:val="nil"/>
              <w:bottom w:val="single" w:sz="4" w:space="0" w:color="auto"/>
              <w:right w:val="single" w:sz="4" w:space="0" w:color="auto"/>
            </w:tcBorders>
            <w:shd w:val="clear" w:color="auto" w:fill="C6EFCE"/>
            <w:noWrap/>
            <w:vAlign w:val="center"/>
            <w:hideMark/>
          </w:tcPr>
          <w:p w14:paraId="3D678847" w14:textId="77777777" w:rsidR="00C45D59" w:rsidRDefault="009B0962">
            <w:pPr>
              <w:pStyle w:val="P68B1DB1-Normal55"/>
              <w:keepNext/>
              <w:spacing w:before="40" w:after="0" w:line="240" w:lineRule="auto"/>
              <w:jc w:val="both"/>
              <w:rPr>
                <w:rFonts w:eastAsia="Times New Roman" w:cs="Times New Roman"/>
                <w:noProof/>
                <w:szCs w:val="18"/>
              </w:rPr>
            </w:pPr>
            <w:r>
              <w:rPr>
                <w:noProof/>
              </w:rPr>
              <w:t>Modernizarea învățământului superior în domeniul artelor</w:t>
            </w:r>
          </w:p>
        </w:tc>
      </w:tr>
      <w:tr w:rsidR="00C45D59" w14:paraId="35B04113"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CEA69A8"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287</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17E4092E" w14:textId="77777777" w:rsidR="00C45D59" w:rsidRDefault="009B0962">
            <w:pPr>
              <w:pStyle w:val="P68B1DB1-Normal11"/>
              <w:keepNext/>
              <w:spacing w:before="40" w:after="0" w:line="240" w:lineRule="auto"/>
              <w:jc w:val="both"/>
              <w:rPr>
                <w:rFonts w:eastAsia="Times New Roman" w:cs="Times New Roman"/>
                <w:noProof/>
              </w:rPr>
            </w:pPr>
            <w:r>
              <w:rPr>
                <w:noProof/>
              </w:rPr>
              <w:t>17-4.6. Modernizarea și îmbunătățirea rezilienței sectoarelor economice esențiale – 16486_Muzeul antichităților subacvatice</w:t>
            </w:r>
          </w:p>
        </w:tc>
        <w:tc>
          <w:tcPr>
            <w:tcW w:w="1417" w:type="dxa"/>
            <w:tcBorders>
              <w:top w:val="nil"/>
              <w:left w:val="nil"/>
              <w:bottom w:val="single" w:sz="4" w:space="0" w:color="auto"/>
              <w:right w:val="single" w:sz="4" w:space="0" w:color="auto"/>
            </w:tcBorders>
            <w:shd w:val="clear" w:color="auto" w:fill="C6EFCE"/>
            <w:noWrap/>
            <w:vAlign w:val="center"/>
            <w:hideMark/>
          </w:tcPr>
          <w:p w14:paraId="2240F790" w14:textId="7F19D0C0" w:rsidR="00C45D59" w:rsidRDefault="009B0962">
            <w:pPr>
              <w:pStyle w:val="P68B1DB1-Normal11"/>
              <w:keepNext/>
              <w:spacing w:before="40" w:after="0" w:line="240" w:lineRule="auto"/>
              <w:jc w:val="both"/>
              <w:rPr>
                <w:rFonts w:eastAsia="Times New Roman" w:cs="Times New Roman"/>
                <w:noProof/>
              </w:rPr>
            </w:pPr>
            <w:r>
              <w:rPr>
                <w:noProof/>
              </w:rPr>
              <w:t>Țintă</w:t>
            </w:r>
          </w:p>
        </w:tc>
        <w:tc>
          <w:tcPr>
            <w:tcW w:w="3292" w:type="dxa"/>
            <w:tcBorders>
              <w:top w:val="nil"/>
              <w:left w:val="nil"/>
              <w:bottom w:val="single" w:sz="4" w:space="0" w:color="auto"/>
              <w:right w:val="single" w:sz="4" w:space="0" w:color="auto"/>
            </w:tcBorders>
            <w:shd w:val="clear" w:color="auto" w:fill="C6EFCE"/>
            <w:noWrap/>
            <w:vAlign w:val="center"/>
            <w:hideMark/>
          </w:tcPr>
          <w:p w14:paraId="31661E96" w14:textId="77777777" w:rsidR="00C45D59" w:rsidRDefault="009B0962">
            <w:pPr>
              <w:pStyle w:val="P68B1DB1-Normal11"/>
              <w:keepNext/>
              <w:spacing w:before="40" w:after="0" w:line="240" w:lineRule="auto"/>
              <w:jc w:val="both"/>
              <w:rPr>
                <w:rFonts w:eastAsia="Times New Roman" w:cs="Times New Roman"/>
                <w:noProof/>
              </w:rPr>
            </w:pPr>
            <w:r>
              <w:rPr>
                <w:noProof/>
              </w:rPr>
              <w:t>Muzeul antichităților subacvatice</w:t>
            </w:r>
          </w:p>
        </w:tc>
      </w:tr>
      <w:tr w:rsidR="00C45D59" w14:paraId="2B11E747"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5BD54E9"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288</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0B6F54C6" w14:textId="732AFAE0" w:rsidR="00C45D59" w:rsidRDefault="009B0962">
            <w:pPr>
              <w:pStyle w:val="P68B1DB1-Normal11"/>
              <w:keepNext/>
              <w:spacing w:before="40" w:after="0" w:line="240" w:lineRule="auto"/>
              <w:jc w:val="both"/>
              <w:rPr>
                <w:rFonts w:eastAsia="Times New Roman" w:cs="Times New Roman"/>
                <w:bCs/>
                <w:noProof/>
              </w:rPr>
            </w:pPr>
            <w:r>
              <w:rPr>
                <w:noProof/>
              </w:rPr>
              <w:t>17-4.6. Modernizarea și îmbunătățirea rezilienței sectoarelor economice cheie – 16485_Itinerarii culturale la siturile și monumentele arheologice</w:t>
            </w:r>
          </w:p>
        </w:tc>
        <w:tc>
          <w:tcPr>
            <w:tcW w:w="1417" w:type="dxa"/>
            <w:tcBorders>
              <w:top w:val="nil"/>
              <w:left w:val="nil"/>
              <w:bottom w:val="single" w:sz="4" w:space="0" w:color="auto"/>
              <w:right w:val="single" w:sz="4" w:space="0" w:color="auto"/>
            </w:tcBorders>
            <w:shd w:val="clear" w:color="auto" w:fill="C6EFCE"/>
            <w:noWrap/>
            <w:vAlign w:val="center"/>
            <w:hideMark/>
          </w:tcPr>
          <w:p w14:paraId="4913F982" w14:textId="77777777" w:rsidR="00C45D59" w:rsidRDefault="009B0962">
            <w:pPr>
              <w:pStyle w:val="P68B1DB1-Normal55"/>
              <w:keepNext/>
              <w:spacing w:before="40" w:after="0" w:line="240" w:lineRule="auto"/>
              <w:jc w:val="both"/>
              <w:rPr>
                <w:rFonts w:eastAsia="Times New Roman" w:cs="Times New Roman"/>
                <w:noProof/>
                <w:szCs w:val="18"/>
              </w:rPr>
            </w:pPr>
            <w:r>
              <w:rPr>
                <w:noProof/>
              </w:rPr>
              <w:t>Etapă</w:t>
            </w:r>
          </w:p>
        </w:tc>
        <w:tc>
          <w:tcPr>
            <w:tcW w:w="3292" w:type="dxa"/>
            <w:tcBorders>
              <w:top w:val="nil"/>
              <w:left w:val="nil"/>
              <w:bottom w:val="single" w:sz="4" w:space="0" w:color="auto"/>
              <w:right w:val="single" w:sz="4" w:space="0" w:color="auto"/>
            </w:tcBorders>
            <w:shd w:val="clear" w:color="auto" w:fill="C6EFCE"/>
            <w:noWrap/>
            <w:vAlign w:val="center"/>
            <w:hideMark/>
          </w:tcPr>
          <w:p w14:paraId="1E57D84E" w14:textId="3DA0EC12" w:rsidR="00C45D59" w:rsidRDefault="009B0962">
            <w:pPr>
              <w:pStyle w:val="P68B1DB1-Normal11"/>
              <w:keepNext/>
              <w:spacing w:before="40" w:after="0" w:line="240" w:lineRule="auto"/>
              <w:jc w:val="both"/>
              <w:rPr>
                <w:rFonts w:eastAsia="Times New Roman" w:cs="Times New Roman"/>
                <w:noProof/>
              </w:rPr>
            </w:pPr>
            <w:r>
              <w:rPr>
                <w:noProof/>
              </w:rPr>
              <w:t>Itinerarii culturale la siturile arheologice</w:t>
            </w:r>
          </w:p>
        </w:tc>
      </w:tr>
      <w:tr w:rsidR="00C45D59" w14:paraId="56CF3140"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8E25872"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289</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4E67FC75" w14:textId="7ABCD398" w:rsidR="00C45D59" w:rsidRDefault="009B0962">
            <w:pPr>
              <w:keepNext/>
              <w:spacing w:before="40" w:after="0" w:line="240" w:lineRule="auto"/>
              <w:jc w:val="both"/>
              <w:rPr>
                <w:rFonts w:ascii="Times New Roman" w:eastAsia="Times New Roman" w:hAnsi="Times New Roman" w:cs="Times New Roman"/>
                <w:bCs/>
                <w:noProof/>
                <w:sz w:val="18"/>
                <w:szCs w:val="18"/>
              </w:rPr>
            </w:pPr>
            <w:r>
              <w:rPr>
                <w:rFonts w:ascii="Times New Roman" w:hAnsi="Times New Roman"/>
                <w:noProof/>
                <w:sz w:val="18"/>
              </w:rPr>
              <w:t>17-4.6. Modernizarea și îmbunătățirea rezilienței sectoarelor economice cheie – 16735_</w:t>
            </w:r>
            <w:r>
              <w:rPr>
                <w:noProof/>
              </w:rPr>
              <w:t xml:space="preserve"> </w:t>
            </w:r>
            <w:r>
              <w:rPr>
                <w:rFonts w:ascii="Times New Roman" w:hAnsi="Times New Roman"/>
                <w:noProof/>
                <w:sz w:val="18"/>
              </w:rPr>
              <w:t>Utilizarea „acțiunilor-pilot de prescriere culturală”, promovarea coeziunii sociale și valorificarea economiei vârstei a treia</w:t>
            </w:r>
          </w:p>
        </w:tc>
        <w:tc>
          <w:tcPr>
            <w:tcW w:w="1417" w:type="dxa"/>
            <w:tcBorders>
              <w:top w:val="nil"/>
              <w:left w:val="nil"/>
              <w:bottom w:val="single" w:sz="4" w:space="0" w:color="auto"/>
              <w:right w:val="single" w:sz="4" w:space="0" w:color="auto"/>
            </w:tcBorders>
            <w:shd w:val="clear" w:color="auto" w:fill="C6EFCE"/>
            <w:noWrap/>
            <w:vAlign w:val="center"/>
            <w:hideMark/>
          </w:tcPr>
          <w:p w14:paraId="064CF5B1" w14:textId="77777777" w:rsidR="00C45D59" w:rsidRDefault="009B0962">
            <w:pPr>
              <w:pStyle w:val="P68B1DB1-Normal55"/>
              <w:keepNext/>
              <w:spacing w:before="40" w:after="0" w:line="240" w:lineRule="auto"/>
              <w:jc w:val="both"/>
              <w:rPr>
                <w:rFonts w:eastAsia="Times New Roman" w:cs="Times New Roman"/>
                <w:noProof/>
                <w:szCs w:val="18"/>
              </w:rPr>
            </w:pPr>
            <w:r>
              <w:rPr>
                <w:noProof/>
              </w:rPr>
              <w:t>Etapă</w:t>
            </w:r>
          </w:p>
        </w:tc>
        <w:tc>
          <w:tcPr>
            <w:tcW w:w="3292" w:type="dxa"/>
            <w:tcBorders>
              <w:top w:val="nil"/>
              <w:left w:val="nil"/>
              <w:bottom w:val="single" w:sz="4" w:space="0" w:color="auto"/>
              <w:right w:val="single" w:sz="4" w:space="0" w:color="auto"/>
            </w:tcBorders>
            <w:shd w:val="clear" w:color="auto" w:fill="C6EFCE"/>
            <w:noWrap/>
            <w:vAlign w:val="center"/>
            <w:hideMark/>
          </w:tcPr>
          <w:p w14:paraId="517A2AF7" w14:textId="22EF95E8" w:rsidR="00C45D59" w:rsidRDefault="009B0962">
            <w:pPr>
              <w:pStyle w:val="P68B1DB1-Normal11"/>
              <w:keepNext/>
              <w:spacing w:before="40" w:after="0" w:line="240" w:lineRule="auto"/>
              <w:jc w:val="both"/>
              <w:rPr>
                <w:rFonts w:eastAsia="Times New Roman" w:cs="Times New Roman"/>
                <w:noProof/>
              </w:rPr>
            </w:pPr>
            <w:r>
              <w:rPr>
                <w:noProof/>
              </w:rPr>
              <w:t xml:space="preserve"> Programul „Acțiune-pilot privind prescripțiile culturale” și lucrările de infrastructură </w:t>
            </w:r>
          </w:p>
        </w:tc>
      </w:tr>
      <w:tr w:rsidR="00C45D59" w14:paraId="1BCD1517"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5A15730"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290</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799ABEB3"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17-4.6. Modernizarea și îmbunătățirea rezilienței sectoarelor economice cheie – 16433_Protejarea monumentelor culturale și a siturilor arheologice împotriva schimbărilor climatice</w:t>
            </w:r>
          </w:p>
        </w:tc>
        <w:tc>
          <w:tcPr>
            <w:tcW w:w="1417" w:type="dxa"/>
            <w:tcBorders>
              <w:top w:val="nil"/>
              <w:left w:val="nil"/>
              <w:bottom w:val="single" w:sz="4" w:space="0" w:color="auto"/>
              <w:right w:val="single" w:sz="4" w:space="0" w:color="auto"/>
            </w:tcBorders>
            <w:shd w:val="clear" w:color="auto" w:fill="C6EFCE"/>
            <w:noWrap/>
            <w:vAlign w:val="center"/>
            <w:hideMark/>
          </w:tcPr>
          <w:p w14:paraId="4092D94E" w14:textId="77777777" w:rsidR="00C45D59" w:rsidRDefault="009B0962">
            <w:pPr>
              <w:pStyle w:val="P68B1DB1-Normal55"/>
              <w:keepNext/>
              <w:spacing w:before="40" w:after="0" w:line="240" w:lineRule="auto"/>
              <w:jc w:val="both"/>
              <w:rPr>
                <w:rFonts w:eastAsia="Times New Roman" w:cs="Times New Roman"/>
                <w:noProof/>
                <w:szCs w:val="18"/>
              </w:rPr>
            </w:pPr>
            <w:r>
              <w:rPr>
                <w:noProof/>
              </w:rPr>
              <w:t xml:space="preserve">Etapă </w:t>
            </w:r>
          </w:p>
        </w:tc>
        <w:tc>
          <w:tcPr>
            <w:tcW w:w="3292" w:type="dxa"/>
            <w:tcBorders>
              <w:top w:val="nil"/>
              <w:left w:val="nil"/>
              <w:bottom w:val="single" w:sz="4" w:space="0" w:color="auto"/>
              <w:right w:val="single" w:sz="4" w:space="0" w:color="auto"/>
            </w:tcBorders>
            <w:shd w:val="clear" w:color="auto" w:fill="C6EFCE"/>
            <w:noWrap/>
            <w:vAlign w:val="center"/>
            <w:hideMark/>
          </w:tcPr>
          <w:p w14:paraId="5CA75DFA" w14:textId="77777777" w:rsidR="00C45D59" w:rsidRDefault="009B0962">
            <w:pPr>
              <w:pStyle w:val="P68B1DB1-Normal55"/>
              <w:keepNext/>
              <w:spacing w:before="40" w:after="0" w:line="240" w:lineRule="auto"/>
              <w:jc w:val="both"/>
              <w:rPr>
                <w:rFonts w:eastAsia="Times New Roman" w:cs="Times New Roman"/>
                <w:noProof/>
                <w:szCs w:val="18"/>
              </w:rPr>
            </w:pPr>
            <w:r>
              <w:rPr>
                <w:noProof/>
              </w:rPr>
              <w:t>Protejarea monumentelor culturale împotriva schimbărilor climatice</w:t>
            </w:r>
          </w:p>
        </w:tc>
      </w:tr>
      <w:tr w:rsidR="00C45D59" w14:paraId="5294E12B"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5AEE1F5"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291</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411F3C3C"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17-4.6. Modernizarea și îmbunătățirea rezilienței sectoarelor economice cheie – 16435_Restaurare – Conservare – Consolidarea monumentelor Acropolei</w:t>
            </w:r>
          </w:p>
        </w:tc>
        <w:tc>
          <w:tcPr>
            <w:tcW w:w="1417" w:type="dxa"/>
            <w:tcBorders>
              <w:top w:val="nil"/>
              <w:left w:val="nil"/>
              <w:bottom w:val="single" w:sz="4" w:space="0" w:color="auto"/>
              <w:right w:val="single" w:sz="4" w:space="0" w:color="auto"/>
            </w:tcBorders>
            <w:shd w:val="clear" w:color="auto" w:fill="C6EFCE"/>
            <w:noWrap/>
            <w:vAlign w:val="center"/>
            <w:hideMark/>
          </w:tcPr>
          <w:p w14:paraId="6656A788" w14:textId="77777777" w:rsidR="00C45D59" w:rsidRDefault="009B0962">
            <w:pPr>
              <w:pStyle w:val="P68B1DB1-Normal55"/>
              <w:keepNext/>
              <w:spacing w:before="40" w:after="0" w:line="240" w:lineRule="auto"/>
              <w:jc w:val="both"/>
              <w:rPr>
                <w:rFonts w:eastAsia="Times New Roman" w:cs="Times New Roman"/>
                <w:noProof/>
                <w:szCs w:val="18"/>
              </w:rPr>
            </w:pPr>
            <w:r>
              <w:rPr>
                <w:noProof/>
              </w:rPr>
              <w:t>Etapă</w:t>
            </w:r>
          </w:p>
        </w:tc>
        <w:tc>
          <w:tcPr>
            <w:tcW w:w="3292" w:type="dxa"/>
            <w:tcBorders>
              <w:top w:val="nil"/>
              <w:left w:val="nil"/>
              <w:bottom w:val="single" w:sz="4" w:space="0" w:color="auto"/>
              <w:right w:val="single" w:sz="4" w:space="0" w:color="auto"/>
            </w:tcBorders>
            <w:shd w:val="clear" w:color="auto" w:fill="C6EFCE"/>
            <w:noWrap/>
            <w:vAlign w:val="center"/>
            <w:hideMark/>
          </w:tcPr>
          <w:p w14:paraId="2565EF2A" w14:textId="77777777" w:rsidR="00C45D59" w:rsidRDefault="009B0962">
            <w:pPr>
              <w:pStyle w:val="P68B1DB1-Normal55"/>
              <w:keepNext/>
              <w:spacing w:before="40" w:after="0" w:line="240" w:lineRule="auto"/>
              <w:jc w:val="both"/>
              <w:rPr>
                <w:rFonts w:eastAsia="Times New Roman" w:cs="Times New Roman"/>
                <w:noProof/>
                <w:szCs w:val="18"/>
              </w:rPr>
            </w:pPr>
            <w:r>
              <w:rPr>
                <w:noProof/>
              </w:rPr>
              <w:t>Restaurare – Conservare – Consolidarea Acropolei</w:t>
            </w:r>
          </w:p>
        </w:tc>
      </w:tr>
      <w:tr w:rsidR="00C45D59" w14:paraId="273FC686"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48F1054"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297</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6F723AF5"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17-4.6. Modernizarea și îmbunătățirea rezilienței sectoarelor economice cheie – 16931_Dezvoltarea turismului</w:t>
            </w:r>
          </w:p>
        </w:tc>
        <w:tc>
          <w:tcPr>
            <w:tcW w:w="1417" w:type="dxa"/>
            <w:tcBorders>
              <w:top w:val="nil"/>
              <w:left w:val="nil"/>
              <w:bottom w:val="single" w:sz="4" w:space="0" w:color="auto"/>
              <w:right w:val="single" w:sz="4" w:space="0" w:color="auto"/>
            </w:tcBorders>
            <w:shd w:val="clear" w:color="auto" w:fill="C6EFCE"/>
            <w:noWrap/>
            <w:vAlign w:val="center"/>
            <w:hideMark/>
          </w:tcPr>
          <w:p w14:paraId="0C4CBE0C" w14:textId="77777777" w:rsidR="00C45D59" w:rsidRDefault="009B0962">
            <w:pPr>
              <w:pStyle w:val="P68B1DB1-Normal55"/>
              <w:keepNext/>
              <w:spacing w:before="40" w:after="0" w:line="240" w:lineRule="auto"/>
              <w:jc w:val="both"/>
              <w:rPr>
                <w:rFonts w:eastAsia="Times New Roman" w:cs="Times New Roman"/>
                <w:noProof/>
                <w:szCs w:val="18"/>
              </w:rPr>
            </w:pPr>
            <w:r>
              <w:rPr>
                <w:noProof/>
              </w:rPr>
              <w:t>Etapă</w:t>
            </w:r>
          </w:p>
        </w:tc>
        <w:tc>
          <w:tcPr>
            <w:tcW w:w="3292" w:type="dxa"/>
            <w:tcBorders>
              <w:top w:val="nil"/>
              <w:left w:val="nil"/>
              <w:bottom w:val="single" w:sz="4" w:space="0" w:color="auto"/>
              <w:right w:val="single" w:sz="4" w:space="0" w:color="auto"/>
            </w:tcBorders>
            <w:shd w:val="clear" w:color="auto" w:fill="C6EFCE"/>
            <w:noWrap/>
            <w:vAlign w:val="center"/>
            <w:hideMark/>
          </w:tcPr>
          <w:p w14:paraId="77237B58" w14:textId="77777777" w:rsidR="00C45D59" w:rsidRDefault="009B0962">
            <w:pPr>
              <w:pStyle w:val="P68B1DB1-Normal55"/>
              <w:keepNext/>
              <w:spacing w:before="40" w:after="0" w:line="240" w:lineRule="auto"/>
              <w:jc w:val="both"/>
              <w:rPr>
                <w:rFonts w:eastAsia="Times New Roman" w:cs="Times New Roman"/>
                <w:noProof/>
                <w:szCs w:val="18"/>
              </w:rPr>
            </w:pPr>
            <w:r>
              <w:rPr>
                <w:noProof/>
              </w:rPr>
              <w:t>Proiecte turistice</w:t>
            </w:r>
          </w:p>
        </w:tc>
      </w:tr>
      <w:tr w:rsidR="00C45D59" w14:paraId="79227320"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4AFB75A"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298</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7419EC22"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17-4.6. Modernizarea și îmbunătățirea rezilienței sectoarelor economice cheie – 16975_Actualizarea intervențiilor pentru porturile regionale</w:t>
            </w:r>
          </w:p>
        </w:tc>
        <w:tc>
          <w:tcPr>
            <w:tcW w:w="1417" w:type="dxa"/>
            <w:tcBorders>
              <w:top w:val="nil"/>
              <w:left w:val="nil"/>
              <w:bottom w:val="single" w:sz="4" w:space="0" w:color="auto"/>
              <w:right w:val="single" w:sz="4" w:space="0" w:color="auto"/>
            </w:tcBorders>
            <w:shd w:val="clear" w:color="auto" w:fill="C6EFCE"/>
            <w:noWrap/>
            <w:vAlign w:val="center"/>
            <w:hideMark/>
          </w:tcPr>
          <w:p w14:paraId="2184B888" w14:textId="77777777" w:rsidR="00C45D59" w:rsidRDefault="009B0962">
            <w:pPr>
              <w:pStyle w:val="P68B1DB1-Normal11"/>
              <w:keepNext/>
              <w:spacing w:before="40" w:after="0" w:line="240" w:lineRule="auto"/>
              <w:jc w:val="both"/>
              <w:rPr>
                <w:rFonts w:eastAsia="Times New Roman" w:cs="Times New Roman"/>
                <w:noProof/>
              </w:rPr>
            </w:pPr>
            <w:r>
              <w:rPr>
                <w:noProof/>
              </w:rPr>
              <w:t>Etapă</w:t>
            </w:r>
          </w:p>
        </w:tc>
        <w:tc>
          <w:tcPr>
            <w:tcW w:w="3292" w:type="dxa"/>
            <w:tcBorders>
              <w:top w:val="nil"/>
              <w:left w:val="nil"/>
              <w:bottom w:val="single" w:sz="4" w:space="0" w:color="auto"/>
              <w:right w:val="single" w:sz="4" w:space="0" w:color="auto"/>
            </w:tcBorders>
            <w:shd w:val="clear" w:color="auto" w:fill="C6EFCE"/>
            <w:noWrap/>
            <w:vAlign w:val="center"/>
            <w:hideMark/>
          </w:tcPr>
          <w:p w14:paraId="7BA80DB2" w14:textId="77777777" w:rsidR="00C45D59" w:rsidRDefault="009B0962">
            <w:pPr>
              <w:pStyle w:val="P68B1DB1-Normal11"/>
              <w:keepNext/>
              <w:spacing w:before="40" w:after="0" w:line="240" w:lineRule="auto"/>
              <w:jc w:val="both"/>
              <w:rPr>
                <w:rFonts w:eastAsia="Times New Roman" w:cs="Times New Roman"/>
                <w:noProof/>
              </w:rPr>
            </w:pPr>
            <w:r>
              <w:rPr>
                <w:noProof/>
              </w:rPr>
              <w:t>Construcția de lucrări de infrastructură în porturi</w:t>
            </w:r>
          </w:p>
        </w:tc>
      </w:tr>
      <w:tr w:rsidR="00C45D59" w14:paraId="71ED9DE9"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9A7906E"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307</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6C5CA4E6"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17-4.6. Modernizarea și îmbunătățirea rezilienței sectoarelor economice esențiale – 16634_Parcuri industriale</w:t>
            </w:r>
          </w:p>
        </w:tc>
        <w:tc>
          <w:tcPr>
            <w:tcW w:w="1417" w:type="dxa"/>
            <w:tcBorders>
              <w:top w:val="nil"/>
              <w:left w:val="nil"/>
              <w:bottom w:val="single" w:sz="4" w:space="0" w:color="auto"/>
              <w:right w:val="single" w:sz="4" w:space="0" w:color="auto"/>
            </w:tcBorders>
            <w:shd w:val="clear" w:color="auto" w:fill="C6EFCE"/>
            <w:noWrap/>
            <w:vAlign w:val="center"/>
            <w:hideMark/>
          </w:tcPr>
          <w:p w14:paraId="392EFCB2" w14:textId="77777777" w:rsidR="00C45D59" w:rsidRDefault="009B0962">
            <w:pPr>
              <w:pStyle w:val="P68B1DB1-Normal55"/>
              <w:keepNext/>
              <w:spacing w:before="40" w:after="0" w:line="240" w:lineRule="auto"/>
              <w:jc w:val="both"/>
              <w:rPr>
                <w:rFonts w:eastAsia="Times New Roman" w:cs="Times New Roman"/>
                <w:noProof/>
                <w:szCs w:val="18"/>
              </w:rPr>
            </w:pPr>
            <w:r>
              <w:rPr>
                <w:noProof/>
              </w:rPr>
              <w:t>Etapă</w:t>
            </w:r>
          </w:p>
        </w:tc>
        <w:tc>
          <w:tcPr>
            <w:tcW w:w="3292" w:type="dxa"/>
            <w:tcBorders>
              <w:top w:val="nil"/>
              <w:left w:val="nil"/>
              <w:bottom w:val="single" w:sz="4" w:space="0" w:color="auto"/>
              <w:right w:val="single" w:sz="4" w:space="0" w:color="auto"/>
            </w:tcBorders>
            <w:shd w:val="clear" w:color="auto" w:fill="C6EFCE"/>
            <w:noWrap/>
            <w:vAlign w:val="center"/>
            <w:hideMark/>
          </w:tcPr>
          <w:p w14:paraId="5AA11D4B" w14:textId="77777777" w:rsidR="00C45D59" w:rsidRDefault="009B0962">
            <w:pPr>
              <w:pStyle w:val="P68B1DB1-Normal55"/>
              <w:keepNext/>
              <w:spacing w:before="40" w:after="0" w:line="240" w:lineRule="auto"/>
              <w:jc w:val="both"/>
              <w:rPr>
                <w:rFonts w:eastAsia="Times New Roman" w:cs="Times New Roman"/>
                <w:noProof/>
                <w:szCs w:val="18"/>
              </w:rPr>
            </w:pPr>
            <w:r>
              <w:rPr>
                <w:noProof/>
              </w:rPr>
              <w:t>Parcuri industriale – executarea planurilor de investiții</w:t>
            </w:r>
          </w:p>
        </w:tc>
      </w:tr>
      <w:tr w:rsidR="00C45D59" w14:paraId="0C940D4B"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3CFE16A"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308</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19077D65"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17-4.6. Modernizarea și îmbunătățirea rezilienței sectoarelor economice esențiale – 16593_Modificarea cadrului juridic pentru atragerea de investiții strategice</w:t>
            </w:r>
          </w:p>
        </w:tc>
        <w:tc>
          <w:tcPr>
            <w:tcW w:w="1417" w:type="dxa"/>
            <w:tcBorders>
              <w:top w:val="nil"/>
              <w:left w:val="nil"/>
              <w:bottom w:val="single" w:sz="4" w:space="0" w:color="auto"/>
              <w:right w:val="single" w:sz="4" w:space="0" w:color="auto"/>
            </w:tcBorders>
            <w:shd w:val="clear" w:color="auto" w:fill="C6EFCE"/>
            <w:noWrap/>
            <w:vAlign w:val="center"/>
            <w:hideMark/>
          </w:tcPr>
          <w:p w14:paraId="4F625605" w14:textId="77777777" w:rsidR="00C45D59" w:rsidRDefault="009B0962">
            <w:pPr>
              <w:pStyle w:val="P68B1DB1-Normal55"/>
              <w:keepNext/>
              <w:spacing w:before="40" w:after="0" w:line="240" w:lineRule="auto"/>
              <w:jc w:val="both"/>
              <w:rPr>
                <w:rFonts w:eastAsia="Times New Roman" w:cs="Times New Roman"/>
                <w:noProof/>
                <w:szCs w:val="18"/>
              </w:rPr>
            </w:pPr>
            <w:r>
              <w:rPr>
                <w:noProof/>
              </w:rPr>
              <w:t>Etapă</w:t>
            </w:r>
          </w:p>
        </w:tc>
        <w:tc>
          <w:tcPr>
            <w:tcW w:w="3292" w:type="dxa"/>
            <w:tcBorders>
              <w:top w:val="nil"/>
              <w:left w:val="nil"/>
              <w:bottom w:val="single" w:sz="4" w:space="0" w:color="auto"/>
              <w:right w:val="single" w:sz="4" w:space="0" w:color="auto"/>
            </w:tcBorders>
            <w:shd w:val="clear" w:color="auto" w:fill="C6EFCE"/>
            <w:noWrap/>
            <w:vAlign w:val="center"/>
            <w:hideMark/>
          </w:tcPr>
          <w:p w14:paraId="0A8ADEDA" w14:textId="77777777" w:rsidR="00C45D59" w:rsidRDefault="009B0962">
            <w:pPr>
              <w:pStyle w:val="P68B1DB1-Normal55"/>
              <w:keepNext/>
              <w:spacing w:before="40" w:after="0" w:line="240" w:lineRule="auto"/>
              <w:jc w:val="both"/>
              <w:rPr>
                <w:rFonts w:eastAsia="Times New Roman" w:cs="Times New Roman"/>
                <w:noProof/>
                <w:szCs w:val="18"/>
              </w:rPr>
            </w:pPr>
            <w:r>
              <w:rPr>
                <w:noProof/>
              </w:rPr>
              <w:t>Investiții strategice – executarea planurilor de investiții</w:t>
            </w:r>
          </w:p>
        </w:tc>
      </w:tr>
      <w:tr w:rsidR="00C45D59" w14:paraId="14AAA67C"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6CE9D49"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309</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5F74C558"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17-4.6. Modernizarea și îmbunătățirea rezilienței sectoarelor economice esențiale – 16721_Accelerarea producției inteligente</w:t>
            </w:r>
          </w:p>
        </w:tc>
        <w:tc>
          <w:tcPr>
            <w:tcW w:w="1417" w:type="dxa"/>
            <w:tcBorders>
              <w:top w:val="nil"/>
              <w:left w:val="nil"/>
              <w:bottom w:val="single" w:sz="4" w:space="0" w:color="auto"/>
              <w:right w:val="single" w:sz="4" w:space="0" w:color="auto"/>
            </w:tcBorders>
            <w:shd w:val="clear" w:color="auto" w:fill="C6EFCE"/>
            <w:noWrap/>
            <w:vAlign w:val="center"/>
            <w:hideMark/>
          </w:tcPr>
          <w:p w14:paraId="1DC3BA48" w14:textId="77777777" w:rsidR="00C45D59" w:rsidRDefault="009B0962">
            <w:pPr>
              <w:pStyle w:val="P68B1DB1-Normal55"/>
              <w:keepNext/>
              <w:spacing w:before="40" w:after="0" w:line="240" w:lineRule="auto"/>
              <w:jc w:val="both"/>
              <w:rPr>
                <w:rFonts w:eastAsia="Times New Roman" w:cs="Times New Roman"/>
                <w:noProof/>
                <w:szCs w:val="18"/>
              </w:rPr>
            </w:pPr>
            <w:r>
              <w:rPr>
                <w:noProof/>
              </w:rPr>
              <w:t>Etapă</w:t>
            </w:r>
          </w:p>
        </w:tc>
        <w:tc>
          <w:tcPr>
            <w:tcW w:w="3292" w:type="dxa"/>
            <w:tcBorders>
              <w:top w:val="nil"/>
              <w:left w:val="nil"/>
              <w:bottom w:val="single" w:sz="4" w:space="0" w:color="auto"/>
              <w:right w:val="single" w:sz="4" w:space="0" w:color="auto"/>
            </w:tcBorders>
            <w:shd w:val="clear" w:color="auto" w:fill="C6EFCE"/>
            <w:noWrap/>
            <w:vAlign w:val="center"/>
            <w:hideMark/>
          </w:tcPr>
          <w:p w14:paraId="78CE128D" w14:textId="77777777" w:rsidR="00C45D59" w:rsidRDefault="009B0962">
            <w:pPr>
              <w:pStyle w:val="P68B1DB1-Normal55"/>
              <w:keepNext/>
              <w:spacing w:before="40" w:after="0" w:line="240" w:lineRule="auto"/>
              <w:jc w:val="both"/>
              <w:rPr>
                <w:rFonts w:eastAsia="Times New Roman" w:cs="Times New Roman"/>
                <w:noProof/>
                <w:szCs w:val="18"/>
              </w:rPr>
            </w:pPr>
            <w:r>
              <w:rPr>
                <w:noProof/>
              </w:rPr>
              <w:t>Industria prelucrătoare – executarea planurilor de investiții</w:t>
            </w:r>
          </w:p>
        </w:tc>
      </w:tr>
      <w:tr w:rsidR="00C45D59" w14:paraId="629A4C75"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1C18EE1" w14:textId="77777777" w:rsidR="00C45D59" w:rsidRDefault="009B0962">
            <w:pPr>
              <w:pStyle w:val="P68B1DB1-Normal55"/>
              <w:keepNext/>
              <w:spacing w:before="40" w:after="0" w:line="240" w:lineRule="auto"/>
              <w:jc w:val="both"/>
              <w:rPr>
                <w:noProof/>
              </w:rPr>
            </w:pPr>
            <w:r>
              <w:rPr>
                <w:noProof/>
              </w:rPr>
              <w:t>313a</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2993318B" w14:textId="77777777" w:rsidR="00C45D59" w:rsidRDefault="009B0962">
            <w:pPr>
              <w:pStyle w:val="P68B1DB1-Normal55"/>
              <w:keepNext/>
              <w:spacing w:before="40" w:after="0" w:line="240" w:lineRule="auto"/>
              <w:jc w:val="both"/>
              <w:rPr>
                <w:noProof/>
              </w:rPr>
            </w:pPr>
            <w:r>
              <w:rPr>
                <w:noProof/>
              </w:rPr>
              <w:t>17-4.6. Modernizarea și îmbunătățirea rezilienței sectoarelor economice esențiale – 16653_Transformarea digitală a sectorului agroalimentar</w:t>
            </w:r>
          </w:p>
        </w:tc>
        <w:tc>
          <w:tcPr>
            <w:tcW w:w="1417" w:type="dxa"/>
            <w:tcBorders>
              <w:top w:val="nil"/>
              <w:left w:val="nil"/>
              <w:bottom w:val="single" w:sz="4" w:space="0" w:color="auto"/>
              <w:right w:val="single" w:sz="4" w:space="0" w:color="auto"/>
            </w:tcBorders>
            <w:shd w:val="clear" w:color="auto" w:fill="C6EFCE"/>
            <w:noWrap/>
            <w:vAlign w:val="center"/>
            <w:hideMark/>
          </w:tcPr>
          <w:p w14:paraId="0EE0793E" w14:textId="77777777" w:rsidR="00C45D59" w:rsidRDefault="009B0962">
            <w:pPr>
              <w:pStyle w:val="P68B1DB1-Normal55"/>
              <w:keepNext/>
              <w:spacing w:before="40" w:after="0" w:line="240" w:lineRule="auto"/>
              <w:jc w:val="both"/>
              <w:rPr>
                <w:noProof/>
              </w:rPr>
            </w:pPr>
            <w:r>
              <w:rPr>
                <w:noProof/>
              </w:rPr>
              <w:t>Etapă</w:t>
            </w:r>
          </w:p>
        </w:tc>
        <w:tc>
          <w:tcPr>
            <w:tcW w:w="3292" w:type="dxa"/>
            <w:tcBorders>
              <w:top w:val="nil"/>
              <w:left w:val="nil"/>
              <w:bottom w:val="single" w:sz="4" w:space="0" w:color="auto"/>
              <w:right w:val="single" w:sz="4" w:space="0" w:color="auto"/>
            </w:tcBorders>
            <w:shd w:val="clear" w:color="auto" w:fill="C6EFCE"/>
            <w:noWrap/>
            <w:vAlign w:val="center"/>
            <w:hideMark/>
          </w:tcPr>
          <w:p w14:paraId="5497E789" w14:textId="77777777" w:rsidR="00C45D59" w:rsidRDefault="009B0962">
            <w:pPr>
              <w:pStyle w:val="P68B1DB1-Normal55"/>
              <w:keepNext/>
              <w:spacing w:before="40" w:after="0" w:line="240" w:lineRule="auto"/>
              <w:jc w:val="both"/>
              <w:rPr>
                <w:noProof/>
              </w:rPr>
            </w:pPr>
            <w:r>
              <w:rPr>
                <w:noProof/>
              </w:rPr>
              <w:t>Realizarea transformării digitale a proiectelor din sectorul agroalimentar</w:t>
            </w:r>
          </w:p>
        </w:tc>
      </w:tr>
      <w:tr w:rsidR="00C45D59" w14:paraId="13B2EB9E"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4740E9A"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314</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03610B95" w14:textId="3F5957F9" w:rsidR="00C45D59" w:rsidRDefault="009B0962">
            <w:pPr>
              <w:pStyle w:val="P68B1DB1-Normal55"/>
              <w:keepNext/>
              <w:spacing w:before="40" w:after="0" w:line="240" w:lineRule="auto"/>
              <w:jc w:val="both"/>
              <w:rPr>
                <w:rFonts w:eastAsia="Times New Roman" w:cs="Times New Roman"/>
                <w:bCs/>
                <w:noProof/>
                <w:szCs w:val="18"/>
              </w:rPr>
            </w:pPr>
            <w:r>
              <w:rPr>
                <w:noProof/>
              </w:rPr>
              <w:t>17-4.6. Modernizarea și îmbunătățirea rezilienței sectoarelor economice esențiale – 16626_Transformarea economică a sectoarelor agricol și de acvacultură</w:t>
            </w:r>
          </w:p>
        </w:tc>
        <w:tc>
          <w:tcPr>
            <w:tcW w:w="1417" w:type="dxa"/>
            <w:tcBorders>
              <w:top w:val="nil"/>
              <w:left w:val="nil"/>
              <w:bottom w:val="single" w:sz="4" w:space="0" w:color="auto"/>
              <w:right w:val="single" w:sz="4" w:space="0" w:color="auto"/>
            </w:tcBorders>
            <w:shd w:val="clear" w:color="auto" w:fill="C6EFCE"/>
            <w:noWrap/>
            <w:vAlign w:val="center"/>
            <w:hideMark/>
          </w:tcPr>
          <w:p w14:paraId="3D05FA3E" w14:textId="77777777" w:rsidR="00C45D59" w:rsidRDefault="009B0962">
            <w:pPr>
              <w:pStyle w:val="P68B1DB1-Normal55"/>
              <w:keepNext/>
              <w:spacing w:before="40" w:after="0" w:line="240" w:lineRule="auto"/>
              <w:jc w:val="both"/>
              <w:rPr>
                <w:rFonts w:eastAsia="Times New Roman" w:cs="Times New Roman"/>
                <w:noProof/>
                <w:szCs w:val="18"/>
              </w:rPr>
            </w:pPr>
            <w:r>
              <w:rPr>
                <w:noProof/>
              </w:rPr>
              <w:t>Etapă</w:t>
            </w:r>
          </w:p>
        </w:tc>
        <w:tc>
          <w:tcPr>
            <w:tcW w:w="3292" w:type="dxa"/>
            <w:tcBorders>
              <w:top w:val="nil"/>
              <w:left w:val="nil"/>
              <w:bottom w:val="single" w:sz="4" w:space="0" w:color="auto"/>
              <w:right w:val="single" w:sz="4" w:space="0" w:color="auto"/>
            </w:tcBorders>
            <w:shd w:val="clear" w:color="auto" w:fill="C6EFCE"/>
            <w:noWrap/>
            <w:vAlign w:val="center"/>
            <w:hideMark/>
          </w:tcPr>
          <w:p w14:paraId="295DEF52" w14:textId="76831146" w:rsidR="00C45D59" w:rsidRDefault="009B0962">
            <w:pPr>
              <w:pStyle w:val="P68B1DB1-Normal58"/>
              <w:keepNext/>
              <w:spacing w:before="40" w:after="0" w:line="240" w:lineRule="auto"/>
              <w:jc w:val="both"/>
              <w:rPr>
                <w:noProof/>
              </w:rPr>
            </w:pPr>
            <w:r>
              <w:rPr>
                <w:noProof/>
              </w:rPr>
              <w:t>Realizarea transformării economice a proiectelor din domeniul agriculturii și acvaculturii</w:t>
            </w:r>
          </w:p>
        </w:tc>
      </w:tr>
      <w:tr w:rsidR="00C45D59" w14:paraId="76DE18CE"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205C32C"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319</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421D405B"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18-4.7. Îmbunătățirea competitivității și promovarea investițiilor private și a exporturilor – 16543_Acțiuni pentru simplificarea mediului de afaceri și îmbunătățirea calității și siguranței acestuia</w:t>
            </w:r>
          </w:p>
        </w:tc>
        <w:tc>
          <w:tcPr>
            <w:tcW w:w="1417" w:type="dxa"/>
            <w:tcBorders>
              <w:top w:val="nil"/>
              <w:left w:val="nil"/>
              <w:bottom w:val="single" w:sz="4" w:space="0" w:color="auto"/>
              <w:right w:val="single" w:sz="4" w:space="0" w:color="auto"/>
            </w:tcBorders>
            <w:shd w:val="clear" w:color="auto" w:fill="C6EFCE"/>
            <w:noWrap/>
            <w:vAlign w:val="center"/>
            <w:hideMark/>
          </w:tcPr>
          <w:p w14:paraId="773AC6EF" w14:textId="77777777" w:rsidR="00C45D59" w:rsidRDefault="009B0962">
            <w:pPr>
              <w:pStyle w:val="P68B1DB1-Normal55"/>
              <w:keepNext/>
              <w:spacing w:before="40" w:after="0" w:line="240" w:lineRule="auto"/>
              <w:jc w:val="both"/>
              <w:rPr>
                <w:rFonts w:eastAsia="Times New Roman" w:cs="Times New Roman"/>
                <w:noProof/>
                <w:szCs w:val="18"/>
              </w:rPr>
            </w:pPr>
            <w:r>
              <w:rPr>
                <w:noProof/>
              </w:rPr>
              <w:t>Etapă</w:t>
            </w:r>
          </w:p>
        </w:tc>
        <w:tc>
          <w:tcPr>
            <w:tcW w:w="3292" w:type="dxa"/>
            <w:tcBorders>
              <w:top w:val="nil"/>
              <w:left w:val="nil"/>
              <w:bottom w:val="single" w:sz="4" w:space="0" w:color="auto"/>
              <w:right w:val="single" w:sz="4" w:space="0" w:color="auto"/>
            </w:tcBorders>
            <w:shd w:val="clear" w:color="auto" w:fill="C6EFCE"/>
            <w:noWrap/>
            <w:vAlign w:val="center"/>
            <w:hideMark/>
          </w:tcPr>
          <w:p w14:paraId="24EEC3E6" w14:textId="77777777" w:rsidR="00C45D59" w:rsidRDefault="009B0962">
            <w:pPr>
              <w:pStyle w:val="P68B1DB1-Normal55"/>
              <w:keepNext/>
              <w:spacing w:before="40" w:after="0" w:line="240" w:lineRule="auto"/>
              <w:jc w:val="both"/>
              <w:rPr>
                <w:rFonts w:eastAsia="Times New Roman" w:cs="Times New Roman"/>
                <w:noProof/>
                <w:szCs w:val="18"/>
              </w:rPr>
            </w:pPr>
            <w:r>
              <w:rPr>
                <w:noProof/>
              </w:rPr>
              <w:t>Mediul de afaceri – simplificarea acordării licențelor și supravegherea pieței</w:t>
            </w:r>
          </w:p>
        </w:tc>
      </w:tr>
      <w:tr w:rsidR="00C45D59" w14:paraId="5BD9CA5F"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16A9743"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259</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3139CC11"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 17-4.6. Modernizarea și îmbunătățirea rezilienței sectoarelor economice esențiale – 16631_Actualizarea siguranței rutiere</w:t>
            </w:r>
          </w:p>
        </w:tc>
        <w:tc>
          <w:tcPr>
            <w:tcW w:w="1417" w:type="dxa"/>
            <w:tcBorders>
              <w:top w:val="nil"/>
              <w:left w:val="nil"/>
              <w:bottom w:val="single" w:sz="4" w:space="0" w:color="auto"/>
              <w:right w:val="single" w:sz="4" w:space="0" w:color="auto"/>
            </w:tcBorders>
            <w:shd w:val="clear" w:color="auto" w:fill="C6EFCE"/>
            <w:noWrap/>
            <w:vAlign w:val="center"/>
            <w:hideMark/>
          </w:tcPr>
          <w:p w14:paraId="11568324" w14:textId="77777777" w:rsidR="00C45D59" w:rsidRDefault="009B0962">
            <w:pPr>
              <w:pStyle w:val="P68B1DB1-Normal55"/>
              <w:keepNext/>
              <w:spacing w:before="40" w:after="0" w:line="240" w:lineRule="auto"/>
              <w:jc w:val="both"/>
              <w:rPr>
                <w:rFonts w:eastAsia="Times New Roman" w:cs="Times New Roman"/>
                <w:noProof/>
                <w:szCs w:val="18"/>
              </w:rPr>
            </w:pPr>
            <w:r>
              <w:rPr>
                <w:noProof/>
              </w:rPr>
              <w:t>Etapă</w:t>
            </w:r>
          </w:p>
        </w:tc>
        <w:tc>
          <w:tcPr>
            <w:tcW w:w="3292" w:type="dxa"/>
            <w:tcBorders>
              <w:top w:val="nil"/>
              <w:left w:val="nil"/>
              <w:bottom w:val="single" w:sz="4" w:space="0" w:color="auto"/>
              <w:right w:val="single" w:sz="4" w:space="0" w:color="auto"/>
            </w:tcBorders>
            <w:shd w:val="clear" w:color="auto" w:fill="C6EFCE"/>
            <w:noWrap/>
            <w:vAlign w:val="center"/>
            <w:hideMark/>
          </w:tcPr>
          <w:p w14:paraId="3EF1C32F" w14:textId="77777777" w:rsidR="00C45D59" w:rsidRDefault="009B0962">
            <w:pPr>
              <w:pStyle w:val="P68B1DB1-Normal55"/>
              <w:keepNext/>
              <w:spacing w:before="40" w:after="0" w:line="240" w:lineRule="auto"/>
              <w:jc w:val="both"/>
              <w:rPr>
                <w:rFonts w:eastAsia="Times New Roman" w:cs="Times New Roman"/>
                <w:noProof/>
                <w:szCs w:val="18"/>
              </w:rPr>
            </w:pPr>
            <w:r>
              <w:rPr>
                <w:noProof/>
              </w:rPr>
              <w:t>Finalizarea proiectului privind siguranța rutieră</w:t>
            </w:r>
          </w:p>
        </w:tc>
      </w:tr>
      <w:tr w:rsidR="00C45D59" w14:paraId="0B3CFFE5"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FFB5FE8" w14:textId="77777777" w:rsidR="00C45D59" w:rsidRDefault="009B0962">
            <w:pPr>
              <w:pStyle w:val="P68B1DB1-Normal55"/>
              <w:keepNext/>
              <w:spacing w:before="40" w:after="0" w:line="240" w:lineRule="auto"/>
              <w:jc w:val="both"/>
              <w:rPr>
                <w:rFonts w:cs="Times New Roman"/>
                <w:noProof/>
                <w:szCs w:val="18"/>
              </w:rPr>
            </w:pPr>
            <w:r>
              <w:rPr>
                <w:noProof/>
              </w:rPr>
              <w:t>349</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199B2BC3" w14:textId="20D42A08" w:rsidR="00C45D59" w:rsidRDefault="009B0962">
            <w:pPr>
              <w:pStyle w:val="P68B1DB1-Normal11"/>
              <w:keepNext/>
              <w:spacing w:before="40" w:after="0" w:line="240" w:lineRule="auto"/>
              <w:jc w:val="both"/>
              <w:rPr>
                <w:rFonts w:cs="Times New Roman"/>
                <w:noProof/>
              </w:rPr>
            </w:pPr>
            <w:r>
              <w:rPr>
                <w:noProof/>
              </w:rPr>
              <w:t>17-4.6. Modernizarea și îmbunătățirea rezilienței sectoarelor economice cheie – 16999_Lucrări de refacere în urma efectelor devastatoare ale furtunilor „DANIEL”, „ELIAS” și „IANOS”</w:t>
            </w:r>
          </w:p>
        </w:tc>
        <w:tc>
          <w:tcPr>
            <w:tcW w:w="1417" w:type="dxa"/>
            <w:tcBorders>
              <w:top w:val="nil"/>
              <w:left w:val="nil"/>
              <w:bottom w:val="single" w:sz="4" w:space="0" w:color="auto"/>
              <w:right w:val="single" w:sz="4" w:space="0" w:color="auto"/>
            </w:tcBorders>
            <w:shd w:val="clear" w:color="auto" w:fill="C6EFCE"/>
            <w:noWrap/>
            <w:vAlign w:val="center"/>
            <w:hideMark/>
          </w:tcPr>
          <w:p w14:paraId="70EAA1A4" w14:textId="77777777" w:rsidR="00C45D59" w:rsidRDefault="009B0962">
            <w:pPr>
              <w:pStyle w:val="P68B1DB1-Normal55"/>
              <w:keepNext/>
              <w:spacing w:before="40" w:after="0" w:line="240" w:lineRule="auto"/>
              <w:jc w:val="both"/>
              <w:rPr>
                <w:rFonts w:cs="Times New Roman"/>
                <w:noProof/>
                <w:szCs w:val="18"/>
              </w:rPr>
            </w:pPr>
            <w:r>
              <w:rPr>
                <w:noProof/>
              </w:rPr>
              <w:t>Etapă</w:t>
            </w:r>
          </w:p>
        </w:tc>
        <w:tc>
          <w:tcPr>
            <w:tcW w:w="3292" w:type="dxa"/>
            <w:tcBorders>
              <w:top w:val="nil"/>
              <w:left w:val="nil"/>
              <w:bottom w:val="single" w:sz="4" w:space="0" w:color="auto"/>
              <w:right w:val="single" w:sz="4" w:space="0" w:color="auto"/>
            </w:tcBorders>
            <w:shd w:val="clear" w:color="auto" w:fill="C6EFCE"/>
            <w:noWrap/>
            <w:vAlign w:val="center"/>
            <w:hideMark/>
          </w:tcPr>
          <w:p w14:paraId="74480D8E" w14:textId="77777777" w:rsidR="00C45D59" w:rsidRDefault="009B0962">
            <w:pPr>
              <w:pStyle w:val="P68B1DB1-Normal55"/>
              <w:keepNext/>
              <w:spacing w:before="40" w:after="0" w:line="240" w:lineRule="auto"/>
              <w:jc w:val="both"/>
              <w:rPr>
                <w:rFonts w:cs="Times New Roman"/>
                <w:noProof/>
                <w:szCs w:val="18"/>
              </w:rPr>
            </w:pPr>
            <w:r>
              <w:rPr>
                <w:noProof/>
              </w:rPr>
              <w:t>Proiecte de restaurare a drumurilor construite</w:t>
            </w:r>
          </w:p>
        </w:tc>
      </w:tr>
      <w:tr w:rsidR="00C45D59" w14:paraId="068BBC82"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E3198AF" w14:textId="77777777" w:rsidR="00C45D59" w:rsidRDefault="009B0962">
            <w:pPr>
              <w:pStyle w:val="P68B1DB1-Normal11"/>
              <w:keepNext/>
              <w:spacing w:before="40" w:after="0" w:line="240" w:lineRule="auto"/>
              <w:jc w:val="both"/>
              <w:rPr>
                <w:noProof/>
              </w:rPr>
            </w:pPr>
            <w:r>
              <w:rPr>
                <w:noProof/>
              </w:rPr>
              <w:t>350</w:t>
            </w:r>
          </w:p>
        </w:tc>
        <w:tc>
          <w:tcPr>
            <w:tcW w:w="482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FBB36A9" w14:textId="3F89C1C6" w:rsidR="00C45D59" w:rsidRDefault="009B0962">
            <w:pPr>
              <w:pStyle w:val="P68B1DB1-Normal11"/>
              <w:keepNext/>
              <w:spacing w:before="40" w:after="0" w:line="240" w:lineRule="auto"/>
              <w:jc w:val="both"/>
              <w:rPr>
                <w:rFonts w:cs="Times New Roman"/>
                <w:noProof/>
              </w:rPr>
            </w:pPr>
            <w:r>
              <w:rPr>
                <w:noProof/>
              </w:rPr>
              <w:t>17-4.6. Modernizarea și îmbunătățirea rezilienței sectoarelor economice cheie – 16999_Lucrări de refacere în urma efectelor devastatoare ale furtunilor „DANIEL”, „ELIAS” și „IANOS”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C2CB701" w14:textId="77777777" w:rsidR="00C45D59" w:rsidRDefault="009B0962">
            <w:pPr>
              <w:pStyle w:val="P68B1DB1-Normal11"/>
              <w:keepNext/>
              <w:spacing w:before="40" w:after="0" w:line="240" w:lineRule="auto"/>
              <w:jc w:val="both"/>
              <w:rPr>
                <w:noProof/>
              </w:rPr>
            </w:pPr>
            <w:r>
              <w:rPr>
                <w:noProof/>
              </w:rPr>
              <w:t>Etapă</w:t>
            </w:r>
          </w:p>
        </w:tc>
        <w:tc>
          <w:tcPr>
            <w:tcW w:w="329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A757162" w14:textId="2B6A1406" w:rsidR="00C45D59" w:rsidRDefault="009B0962">
            <w:pPr>
              <w:pStyle w:val="P68B1DB1-Normal11"/>
              <w:keepNext/>
              <w:spacing w:before="40" w:after="0" w:line="240" w:lineRule="auto"/>
              <w:jc w:val="both"/>
              <w:rPr>
                <w:rFonts w:cs="Times New Roman"/>
                <w:noProof/>
              </w:rPr>
            </w:pPr>
            <w:r>
              <w:rPr>
                <w:noProof/>
              </w:rPr>
              <w:t>Lucrări de restaurare a căilor ferate executate</w:t>
            </w:r>
          </w:p>
        </w:tc>
      </w:tr>
      <w:tr w:rsidR="00C45D59" w14:paraId="368328A3"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9CB7D1A" w14:textId="77777777" w:rsidR="00C45D59" w:rsidRDefault="009B0962">
            <w:pPr>
              <w:pStyle w:val="P68B1DB1-Normal11"/>
              <w:keepNext/>
              <w:spacing w:before="40" w:after="0" w:line="240" w:lineRule="auto"/>
              <w:jc w:val="both"/>
              <w:rPr>
                <w:noProof/>
              </w:rPr>
            </w:pPr>
            <w:r>
              <w:rPr>
                <w:noProof/>
              </w:rPr>
              <w:t>350a</w:t>
            </w:r>
          </w:p>
          <w:p w14:paraId="4E8B18EC" w14:textId="77777777" w:rsidR="00C45D59" w:rsidRDefault="00C45D59">
            <w:pPr>
              <w:keepNext/>
              <w:spacing w:before="40" w:after="0" w:line="240" w:lineRule="auto"/>
              <w:jc w:val="both"/>
              <w:rPr>
                <w:rFonts w:ascii="Times New Roman" w:hAnsi="Times New Roman"/>
                <w:noProof/>
                <w:sz w:val="18"/>
                <w:szCs w:val="18"/>
              </w:rPr>
            </w:pPr>
          </w:p>
        </w:tc>
        <w:tc>
          <w:tcPr>
            <w:tcW w:w="482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4804B4" w14:textId="5D9BC146" w:rsidR="00C45D59" w:rsidRDefault="009B0962">
            <w:pPr>
              <w:pStyle w:val="P68B1DB1-Normal11"/>
              <w:keepNext/>
              <w:spacing w:before="40" w:after="0" w:line="240" w:lineRule="auto"/>
              <w:jc w:val="both"/>
              <w:rPr>
                <w:noProof/>
              </w:rPr>
            </w:pPr>
            <w:r>
              <w:rPr>
                <w:noProof/>
              </w:rPr>
              <w:t>4.6. Modernizarea și îmbunătățirea rezilienței sectoarelor economice cheie – 16999_Lucrări de refacere în urma efectelor devastatoare ale furtunilor „DANIEL”, „ELIAS” și „IANOS”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E9479A" w14:textId="77777777" w:rsidR="00C45D59" w:rsidRDefault="009B0962">
            <w:pPr>
              <w:pStyle w:val="P68B1DB1-Normal11"/>
              <w:keepNext/>
              <w:spacing w:before="40" w:after="0" w:line="240" w:lineRule="auto"/>
              <w:jc w:val="both"/>
              <w:rPr>
                <w:noProof/>
              </w:rPr>
            </w:pPr>
            <w:r>
              <w:rPr>
                <w:noProof/>
              </w:rPr>
              <w:t>Etapă</w:t>
            </w:r>
          </w:p>
          <w:p w14:paraId="126CD376" w14:textId="77777777" w:rsidR="00C45D59" w:rsidRDefault="00C45D59">
            <w:pPr>
              <w:keepNext/>
              <w:spacing w:before="40" w:after="0" w:line="240" w:lineRule="auto"/>
              <w:jc w:val="both"/>
              <w:rPr>
                <w:rFonts w:ascii="Times New Roman" w:hAnsi="Times New Roman"/>
                <w:noProof/>
                <w:sz w:val="18"/>
                <w:szCs w:val="18"/>
              </w:rPr>
            </w:pPr>
          </w:p>
        </w:tc>
        <w:tc>
          <w:tcPr>
            <w:tcW w:w="32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3F91AB9" w14:textId="4C7D6186" w:rsidR="00C45D59" w:rsidRDefault="009B0962">
            <w:pPr>
              <w:pStyle w:val="P68B1DB1-Normal11"/>
              <w:keepNext/>
              <w:spacing w:before="40" w:after="0" w:line="240" w:lineRule="auto"/>
              <w:jc w:val="both"/>
              <w:rPr>
                <w:noProof/>
              </w:rPr>
            </w:pPr>
            <w:r>
              <w:rPr>
                <w:noProof/>
              </w:rPr>
              <w:t>Sisteme de semnalizare feroviară și de detectare a trenurilor și ETCS</w:t>
            </w:r>
          </w:p>
        </w:tc>
      </w:tr>
      <w:tr w:rsidR="00C45D59" w14:paraId="6987245B"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tcPr>
          <w:p w14:paraId="60BAD1C0" w14:textId="77777777" w:rsidR="00C45D59" w:rsidRDefault="009B0962">
            <w:pPr>
              <w:pStyle w:val="P68B1DB1-Normal55"/>
              <w:keepNext/>
              <w:spacing w:before="40" w:after="0" w:line="240" w:lineRule="auto"/>
              <w:jc w:val="both"/>
              <w:rPr>
                <w:noProof/>
              </w:rPr>
            </w:pPr>
            <w:r>
              <w:rPr>
                <w:noProof/>
              </w:rPr>
              <w:t>354</w:t>
            </w:r>
          </w:p>
        </w:tc>
        <w:tc>
          <w:tcPr>
            <w:tcW w:w="4820" w:type="dxa"/>
            <w:tcBorders>
              <w:top w:val="single" w:sz="4" w:space="0" w:color="auto"/>
              <w:left w:val="single" w:sz="4" w:space="0" w:color="auto"/>
              <w:bottom w:val="single" w:sz="4" w:space="0" w:color="auto"/>
              <w:right w:val="single" w:sz="4" w:space="0" w:color="auto"/>
            </w:tcBorders>
            <w:shd w:val="clear" w:color="auto" w:fill="C6EFCE"/>
            <w:noWrap/>
          </w:tcPr>
          <w:p w14:paraId="7A0D9919" w14:textId="77777777" w:rsidR="00C45D59" w:rsidRDefault="009B0962">
            <w:pPr>
              <w:pStyle w:val="P68B1DB1-Normal55"/>
              <w:keepNext/>
              <w:spacing w:before="40" w:after="0" w:line="240" w:lineRule="auto"/>
              <w:jc w:val="both"/>
              <w:rPr>
                <w:noProof/>
              </w:rPr>
            </w:pPr>
            <w:r>
              <w:rPr>
                <w:noProof/>
              </w:rPr>
              <w:t>20-5.1. Reformele REPowerEU – 16989_Optimizarea utilizării spațiului terestru și maritim pentru dezvoltarea surselor regenerabile de energie și a energiei eoliene offshore</w:t>
            </w:r>
          </w:p>
        </w:tc>
        <w:tc>
          <w:tcPr>
            <w:tcW w:w="1417" w:type="dxa"/>
            <w:tcBorders>
              <w:top w:val="single" w:sz="4" w:space="0" w:color="auto"/>
              <w:left w:val="nil"/>
              <w:bottom w:val="single" w:sz="4" w:space="0" w:color="auto"/>
              <w:right w:val="single" w:sz="4" w:space="0" w:color="auto"/>
            </w:tcBorders>
            <w:shd w:val="clear" w:color="auto" w:fill="C6EFCE"/>
            <w:noWrap/>
          </w:tcPr>
          <w:p w14:paraId="76B758ED" w14:textId="77777777" w:rsidR="00C45D59" w:rsidRDefault="009B0962">
            <w:pPr>
              <w:pStyle w:val="P68B1DB1-Normal55"/>
              <w:keepNext/>
              <w:spacing w:before="40" w:after="0" w:line="240" w:lineRule="auto"/>
              <w:jc w:val="both"/>
              <w:rPr>
                <w:noProof/>
              </w:rPr>
            </w:pPr>
            <w:r>
              <w:rPr>
                <w:noProof/>
              </w:rPr>
              <w:t>Etapă</w:t>
            </w:r>
          </w:p>
        </w:tc>
        <w:tc>
          <w:tcPr>
            <w:tcW w:w="3292" w:type="dxa"/>
            <w:tcBorders>
              <w:top w:val="single" w:sz="4" w:space="0" w:color="auto"/>
              <w:left w:val="nil"/>
              <w:bottom w:val="single" w:sz="4" w:space="0" w:color="auto"/>
              <w:right w:val="single" w:sz="4" w:space="0" w:color="auto"/>
            </w:tcBorders>
            <w:shd w:val="clear" w:color="auto" w:fill="C6EFCE"/>
            <w:noWrap/>
          </w:tcPr>
          <w:p w14:paraId="72DB7E3F" w14:textId="24DF2C2B" w:rsidR="00C45D59" w:rsidRDefault="009B0962">
            <w:pPr>
              <w:pStyle w:val="P68B1DB1-Normal55"/>
              <w:keepNext/>
              <w:spacing w:before="40" w:after="0" w:line="240" w:lineRule="auto"/>
              <w:jc w:val="both"/>
              <w:rPr>
                <w:noProof/>
              </w:rPr>
            </w:pPr>
            <w:r>
              <w:rPr>
                <w:noProof/>
              </w:rPr>
              <w:t>Act (e) juridic (e) pentru parcurile eoliene offshore și sursele regenerabile de energie</w:t>
            </w:r>
          </w:p>
        </w:tc>
      </w:tr>
      <w:tr w:rsidR="00C45D59" w14:paraId="1375C10C"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hideMark/>
          </w:tcPr>
          <w:p w14:paraId="47F4FF0E" w14:textId="77777777" w:rsidR="00C45D59" w:rsidRDefault="009B0962">
            <w:pPr>
              <w:pStyle w:val="P68B1DB1-Normal55"/>
              <w:keepNext/>
              <w:spacing w:before="40" w:after="0" w:line="256" w:lineRule="auto"/>
              <w:jc w:val="both"/>
              <w:rPr>
                <w:rFonts w:eastAsia="Times New Roman" w:cs="Times New Roman"/>
                <w:bCs/>
                <w:noProof/>
                <w:szCs w:val="18"/>
              </w:rPr>
            </w:pPr>
            <w:r>
              <w:rPr>
                <w:noProof/>
              </w:rPr>
              <w:t>369</w:t>
            </w:r>
          </w:p>
        </w:tc>
        <w:tc>
          <w:tcPr>
            <w:tcW w:w="4820" w:type="dxa"/>
            <w:tcBorders>
              <w:top w:val="single" w:sz="4" w:space="0" w:color="auto"/>
              <w:left w:val="single" w:sz="4" w:space="0" w:color="auto"/>
              <w:bottom w:val="single" w:sz="4" w:space="0" w:color="auto"/>
              <w:right w:val="single" w:sz="4" w:space="0" w:color="auto"/>
            </w:tcBorders>
            <w:shd w:val="clear" w:color="auto" w:fill="C6EFCE"/>
            <w:noWrap/>
            <w:hideMark/>
          </w:tcPr>
          <w:p w14:paraId="1CE99BC6" w14:textId="77777777" w:rsidR="00C45D59" w:rsidRDefault="009B0962">
            <w:pPr>
              <w:pStyle w:val="P68B1DB1-Normal55"/>
              <w:keepNext/>
              <w:spacing w:before="40" w:after="0" w:line="256" w:lineRule="auto"/>
              <w:jc w:val="both"/>
              <w:rPr>
                <w:rFonts w:eastAsia="Times New Roman" w:cs="Times New Roman"/>
                <w:bCs/>
                <w:noProof/>
                <w:szCs w:val="18"/>
              </w:rPr>
            </w:pPr>
            <w:r>
              <w:rPr>
                <w:noProof/>
              </w:rPr>
              <w:t>21-5.2 investiții REPowerEU – 16994_Eficiența energetică și promovarea surselor regenerabile de energie pentru autoconsum</w:t>
            </w:r>
          </w:p>
        </w:tc>
        <w:tc>
          <w:tcPr>
            <w:tcW w:w="1417" w:type="dxa"/>
            <w:tcBorders>
              <w:top w:val="single" w:sz="4" w:space="0" w:color="auto"/>
              <w:left w:val="nil"/>
              <w:bottom w:val="single" w:sz="4" w:space="0" w:color="auto"/>
              <w:right w:val="single" w:sz="4" w:space="0" w:color="auto"/>
            </w:tcBorders>
            <w:shd w:val="clear" w:color="auto" w:fill="C6EFCE"/>
            <w:noWrap/>
            <w:hideMark/>
          </w:tcPr>
          <w:p w14:paraId="4909ACAF" w14:textId="77777777" w:rsidR="00C45D59" w:rsidRDefault="009B0962">
            <w:pPr>
              <w:pStyle w:val="P68B1DB1-Normal55"/>
              <w:keepNext/>
              <w:spacing w:before="40" w:after="0" w:line="256" w:lineRule="auto"/>
              <w:jc w:val="both"/>
              <w:rPr>
                <w:rFonts w:eastAsia="Times New Roman" w:cs="Times New Roman"/>
                <w:noProof/>
                <w:szCs w:val="18"/>
              </w:rPr>
            </w:pPr>
            <w:r>
              <w:rPr>
                <w:noProof/>
              </w:rPr>
              <w:t>Țintă</w:t>
            </w:r>
          </w:p>
        </w:tc>
        <w:tc>
          <w:tcPr>
            <w:tcW w:w="3292" w:type="dxa"/>
            <w:tcBorders>
              <w:top w:val="single" w:sz="4" w:space="0" w:color="auto"/>
              <w:left w:val="nil"/>
              <w:bottom w:val="single" w:sz="4" w:space="0" w:color="auto"/>
              <w:right w:val="single" w:sz="4" w:space="0" w:color="auto"/>
            </w:tcBorders>
            <w:shd w:val="clear" w:color="auto" w:fill="C6EFCE"/>
            <w:noWrap/>
            <w:hideMark/>
          </w:tcPr>
          <w:p w14:paraId="1332806E" w14:textId="42CFCF8E" w:rsidR="00C45D59" w:rsidRDefault="009B0962">
            <w:pPr>
              <w:pStyle w:val="P68B1DB1-Normal16"/>
              <w:keepNext/>
              <w:spacing w:before="40" w:after="0" w:line="256" w:lineRule="auto"/>
              <w:jc w:val="both"/>
              <w:rPr>
                <w:rFonts w:eastAsia="Times New Roman"/>
                <w:noProof/>
              </w:rPr>
            </w:pPr>
            <w:r>
              <w:rPr>
                <w:noProof/>
              </w:rPr>
              <w:t xml:space="preserve"> Subinvestiții în instalarea de sisteme fotovoltaice pentru consumul auto, renovări vizând eficiența energetică, instalații solare pentru încălzirea apei și pompe de căldură</w:t>
            </w:r>
          </w:p>
        </w:tc>
      </w:tr>
      <w:tr w:rsidR="00C45D59" w14:paraId="72250AB4"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hideMark/>
          </w:tcPr>
          <w:p w14:paraId="277BAEF8" w14:textId="77777777" w:rsidR="00C45D59" w:rsidRDefault="009B0962">
            <w:pPr>
              <w:pStyle w:val="P68B1DB1-Normal55"/>
              <w:keepNext/>
              <w:spacing w:before="40" w:after="0" w:line="256" w:lineRule="auto"/>
              <w:jc w:val="both"/>
              <w:rPr>
                <w:rFonts w:eastAsia="Times New Roman" w:cs="Times New Roman"/>
                <w:bCs/>
                <w:noProof/>
                <w:szCs w:val="18"/>
              </w:rPr>
            </w:pPr>
            <w:r>
              <w:rPr>
                <w:noProof/>
              </w:rPr>
              <w:t>371</w:t>
            </w:r>
          </w:p>
        </w:tc>
        <w:tc>
          <w:tcPr>
            <w:tcW w:w="4820" w:type="dxa"/>
            <w:tcBorders>
              <w:top w:val="single" w:sz="4" w:space="0" w:color="auto"/>
              <w:left w:val="single" w:sz="4" w:space="0" w:color="auto"/>
              <w:bottom w:val="single" w:sz="4" w:space="0" w:color="auto"/>
              <w:right w:val="single" w:sz="4" w:space="0" w:color="auto"/>
            </w:tcBorders>
            <w:shd w:val="clear" w:color="auto" w:fill="C6EFCE"/>
            <w:noWrap/>
            <w:hideMark/>
          </w:tcPr>
          <w:p w14:paraId="4EF4301E" w14:textId="77777777" w:rsidR="00C45D59" w:rsidRDefault="009B0962">
            <w:pPr>
              <w:pStyle w:val="P68B1DB1-Normal36"/>
              <w:keepNext/>
              <w:spacing w:before="40" w:after="0" w:line="256" w:lineRule="auto"/>
              <w:jc w:val="both"/>
              <w:rPr>
                <w:rFonts w:ascii="Times New Roman" w:eastAsia="Times New Roman" w:hAnsi="Times New Roman" w:cs="Times New Roman"/>
                <w:bCs/>
                <w:noProof/>
                <w:szCs w:val="18"/>
              </w:rPr>
            </w:pPr>
            <w:r>
              <w:rPr>
                <w:rFonts w:ascii="Times New Roman" w:hAnsi="Times New Roman"/>
                <w:noProof/>
              </w:rPr>
              <w:t>21-5.2 investiții REPowerEU – 16995_ Proiect</w:t>
            </w:r>
            <w:r>
              <w:rPr>
                <w:rFonts w:ascii="Times New Roman" w:hAnsi="Times New Roman" w:cs="Times New Roman"/>
                <w:noProof/>
                <w:szCs w:val="18"/>
              </w:rPr>
              <w:t xml:space="preserve"> </w:t>
            </w:r>
            <w:r>
              <w:rPr>
                <w:rFonts w:ascii="Times New Roman" w:hAnsi="Times New Roman"/>
                <w:noProof/>
              </w:rPr>
              <w:t>privind producția de hidrogen din surse regenerabile</w:t>
            </w:r>
          </w:p>
        </w:tc>
        <w:tc>
          <w:tcPr>
            <w:tcW w:w="1417" w:type="dxa"/>
            <w:tcBorders>
              <w:top w:val="single" w:sz="4" w:space="0" w:color="auto"/>
              <w:left w:val="nil"/>
              <w:bottom w:val="single" w:sz="4" w:space="0" w:color="auto"/>
              <w:right w:val="single" w:sz="4" w:space="0" w:color="auto"/>
            </w:tcBorders>
            <w:shd w:val="clear" w:color="auto" w:fill="C6EFCE"/>
            <w:noWrap/>
            <w:hideMark/>
          </w:tcPr>
          <w:p w14:paraId="08E6C871" w14:textId="77777777" w:rsidR="00C45D59" w:rsidRDefault="009B0962">
            <w:pPr>
              <w:pStyle w:val="P68B1DB1-Normal55"/>
              <w:keepNext/>
              <w:spacing w:before="40" w:after="0" w:line="256" w:lineRule="auto"/>
              <w:jc w:val="both"/>
              <w:rPr>
                <w:rFonts w:eastAsia="Times New Roman" w:cs="Times New Roman"/>
                <w:noProof/>
                <w:szCs w:val="18"/>
              </w:rPr>
            </w:pPr>
            <w:r>
              <w:rPr>
                <w:noProof/>
              </w:rPr>
              <w:t>Etapă</w:t>
            </w:r>
          </w:p>
        </w:tc>
        <w:tc>
          <w:tcPr>
            <w:tcW w:w="3292" w:type="dxa"/>
            <w:tcBorders>
              <w:top w:val="single" w:sz="4" w:space="0" w:color="auto"/>
              <w:left w:val="nil"/>
              <w:bottom w:val="single" w:sz="4" w:space="0" w:color="auto"/>
              <w:right w:val="single" w:sz="4" w:space="0" w:color="auto"/>
            </w:tcBorders>
            <w:shd w:val="clear" w:color="auto" w:fill="C6EFCE"/>
            <w:noWrap/>
            <w:hideMark/>
          </w:tcPr>
          <w:p w14:paraId="18A44CDA" w14:textId="77777777" w:rsidR="00C45D59" w:rsidRDefault="009B0962">
            <w:pPr>
              <w:pStyle w:val="P68B1DB1-Normal55"/>
              <w:keepNext/>
              <w:spacing w:before="40" w:after="0" w:line="256" w:lineRule="auto"/>
              <w:jc w:val="both"/>
              <w:rPr>
                <w:rFonts w:eastAsia="Times New Roman" w:cs="Times New Roman"/>
                <w:noProof/>
                <w:szCs w:val="18"/>
              </w:rPr>
            </w:pPr>
            <w:r>
              <w:rPr>
                <w:noProof/>
              </w:rPr>
              <w:t>Capacitatea de producție a hidrogenului din surse regenerabile</w:t>
            </w:r>
          </w:p>
        </w:tc>
      </w:tr>
      <w:tr w:rsidR="00C45D59" w14:paraId="34B29256"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tcPr>
          <w:p w14:paraId="123D2501" w14:textId="4EC2238F" w:rsidR="00C45D59" w:rsidRDefault="009B0962">
            <w:pPr>
              <w:pStyle w:val="P68B1DB1-Normal55"/>
              <w:keepNext/>
              <w:spacing w:before="40" w:after="0" w:line="256" w:lineRule="auto"/>
              <w:jc w:val="both"/>
              <w:rPr>
                <w:noProof/>
              </w:rPr>
            </w:pPr>
            <w:r>
              <w:rPr>
                <w:noProof/>
              </w:rPr>
              <w:t>387</w:t>
            </w:r>
          </w:p>
        </w:tc>
        <w:tc>
          <w:tcPr>
            <w:tcW w:w="4820" w:type="dxa"/>
            <w:tcBorders>
              <w:top w:val="single" w:sz="4" w:space="0" w:color="auto"/>
              <w:left w:val="single" w:sz="4" w:space="0" w:color="auto"/>
              <w:bottom w:val="single" w:sz="4" w:space="0" w:color="auto"/>
              <w:right w:val="single" w:sz="4" w:space="0" w:color="auto"/>
            </w:tcBorders>
            <w:shd w:val="clear" w:color="auto" w:fill="C6EFCE"/>
            <w:noWrap/>
          </w:tcPr>
          <w:p w14:paraId="4EC153E8" w14:textId="310E9388" w:rsidR="00C45D59" w:rsidRDefault="009B0962">
            <w:pPr>
              <w:pStyle w:val="P68B1DB1-Normal55"/>
              <w:keepNext/>
              <w:spacing w:before="40" w:after="0" w:line="256" w:lineRule="auto"/>
              <w:jc w:val="both"/>
              <w:rPr>
                <w:noProof/>
              </w:rPr>
            </w:pPr>
            <w:r>
              <w:rPr>
                <w:noProof/>
              </w:rPr>
              <w:t>1-1.1 puterea consumată – 16880_Contribuția DES ADMIE la majorarea capitalului social al IPTO</w:t>
            </w:r>
          </w:p>
        </w:tc>
        <w:tc>
          <w:tcPr>
            <w:tcW w:w="1417" w:type="dxa"/>
            <w:tcBorders>
              <w:top w:val="single" w:sz="4" w:space="0" w:color="auto"/>
              <w:left w:val="nil"/>
              <w:bottom w:val="single" w:sz="4" w:space="0" w:color="auto"/>
              <w:right w:val="single" w:sz="4" w:space="0" w:color="auto"/>
            </w:tcBorders>
            <w:shd w:val="clear" w:color="auto" w:fill="C6EFCE"/>
            <w:noWrap/>
          </w:tcPr>
          <w:p w14:paraId="69BCBC20" w14:textId="0E651896" w:rsidR="00C45D59" w:rsidRDefault="009B0962">
            <w:pPr>
              <w:pStyle w:val="P68B1DB1-Normal55"/>
              <w:keepNext/>
              <w:spacing w:before="40" w:after="0" w:line="256" w:lineRule="auto"/>
              <w:jc w:val="both"/>
              <w:rPr>
                <w:noProof/>
              </w:rPr>
            </w:pPr>
            <w:r>
              <w:rPr>
                <w:noProof/>
              </w:rPr>
              <w:t>Etapă</w:t>
            </w:r>
          </w:p>
        </w:tc>
        <w:tc>
          <w:tcPr>
            <w:tcW w:w="3292" w:type="dxa"/>
            <w:tcBorders>
              <w:top w:val="single" w:sz="4" w:space="0" w:color="auto"/>
              <w:left w:val="nil"/>
              <w:bottom w:val="single" w:sz="4" w:space="0" w:color="auto"/>
              <w:right w:val="single" w:sz="4" w:space="0" w:color="auto"/>
            </w:tcBorders>
            <w:shd w:val="clear" w:color="auto" w:fill="C6EFCE"/>
            <w:noWrap/>
          </w:tcPr>
          <w:p w14:paraId="088A1775" w14:textId="495EC7B0" w:rsidR="00C45D59" w:rsidRDefault="009B0962">
            <w:pPr>
              <w:pStyle w:val="P68B1DB1-Normal55"/>
              <w:keepNext/>
              <w:spacing w:before="40" w:after="0" w:line="256" w:lineRule="auto"/>
              <w:jc w:val="both"/>
              <w:rPr>
                <w:noProof/>
              </w:rPr>
            </w:pPr>
            <w:r>
              <w:rPr>
                <w:noProof/>
              </w:rPr>
              <w:t>Majorarea capitalului social al IPTO</w:t>
            </w:r>
          </w:p>
        </w:tc>
      </w:tr>
      <w:tr w:rsidR="00C45D59" w14:paraId="44F21E14"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tcPr>
          <w:p w14:paraId="65F8C387" w14:textId="7FBB96B9" w:rsidR="00C45D59" w:rsidRDefault="009B0962">
            <w:pPr>
              <w:pStyle w:val="P68B1DB1-Normal11"/>
              <w:spacing w:line="256" w:lineRule="auto"/>
              <w:rPr>
                <w:noProof/>
              </w:rPr>
            </w:pPr>
            <w:r>
              <w:rPr>
                <w:noProof/>
              </w:rPr>
              <w:t>400</w:t>
            </w:r>
          </w:p>
        </w:tc>
        <w:tc>
          <w:tcPr>
            <w:tcW w:w="4820" w:type="dxa"/>
            <w:tcBorders>
              <w:top w:val="single" w:sz="4" w:space="0" w:color="auto"/>
              <w:left w:val="single" w:sz="4" w:space="0" w:color="auto"/>
              <w:bottom w:val="single" w:sz="4" w:space="0" w:color="auto"/>
              <w:right w:val="single" w:sz="4" w:space="0" w:color="auto"/>
            </w:tcBorders>
            <w:shd w:val="clear" w:color="auto" w:fill="C6EFCE"/>
            <w:noWrap/>
          </w:tcPr>
          <w:p w14:paraId="2DC9ACA8" w14:textId="0988AE46" w:rsidR="00C45D59" w:rsidRDefault="009B0962">
            <w:pPr>
              <w:pStyle w:val="P68B1DB1-Normal11"/>
              <w:spacing w:line="256" w:lineRule="auto"/>
              <w:rPr>
                <w:noProof/>
              </w:rPr>
            </w:pPr>
            <w:r>
              <w:rPr>
                <w:noProof/>
              </w:rPr>
              <w:t>6-2.2. Modernizare – 16859_Contribuție voluntară la întreprinderea comună EuroHPC</w:t>
            </w:r>
          </w:p>
        </w:tc>
        <w:tc>
          <w:tcPr>
            <w:tcW w:w="1417" w:type="dxa"/>
            <w:tcBorders>
              <w:top w:val="single" w:sz="4" w:space="0" w:color="auto"/>
              <w:left w:val="nil"/>
              <w:bottom w:val="single" w:sz="4" w:space="0" w:color="auto"/>
              <w:right w:val="single" w:sz="4" w:space="0" w:color="auto"/>
            </w:tcBorders>
            <w:shd w:val="clear" w:color="auto" w:fill="C6EFCE"/>
            <w:noWrap/>
          </w:tcPr>
          <w:p w14:paraId="2CFD2982" w14:textId="0D4C97A3" w:rsidR="00C45D59" w:rsidRDefault="009B0962">
            <w:pPr>
              <w:pStyle w:val="P68B1DB1-Normal11"/>
              <w:spacing w:line="256" w:lineRule="auto"/>
              <w:rPr>
                <w:noProof/>
              </w:rPr>
            </w:pPr>
            <w:r>
              <w:rPr>
                <w:noProof/>
              </w:rPr>
              <w:t>Etapă</w:t>
            </w:r>
          </w:p>
        </w:tc>
        <w:tc>
          <w:tcPr>
            <w:tcW w:w="3292" w:type="dxa"/>
            <w:tcBorders>
              <w:top w:val="single" w:sz="4" w:space="0" w:color="auto"/>
              <w:left w:val="nil"/>
              <w:bottom w:val="single" w:sz="4" w:space="0" w:color="auto"/>
              <w:right w:val="single" w:sz="4" w:space="0" w:color="auto"/>
            </w:tcBorders>
            <w:shd w:val="clear" w:color="auto" w:fill="C6EFCE"/>
            <w:noWrap/>
          </w:tcPr>
          <w:p w14:paraId="1F56D69B" w14:textId="2C8CDF52" w:rsidR="00C45D59" w:rsidRDefault="009B0962">
            <w:pPr>
              <w:pStyle w:val="P68B1DB1-Normal11"/>
              <w:spacing w:line="256" w:lineRule="auto"/>
              <w:rPr>
                <w:noProof/>
              </w:rPr>
            </w:pPr>
            <w:r>
              <w:rPr>
                <w:noProof/>
              </w:rPr>
              <w:t>Semnarea acordului de contribuție dintre Grecia și întreprinderea comună EuroHPC și plata contribuției voluntare către întreprinderea comună EuroHPC</w:t>
            </w:r>
          </w:p>
        </w:tc>
      </w:tr>
      <w:tr w:rsidR="00C45D59" w14:paraId="56CBC6B2" w14:textId="77777777">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BCFE41A" w14:textId="77777777" w:rsidR="00C45D59" w:rsidRDefault="00C45D59">
            <w:pPr>
              <w:keepNext/>
              <w:spacing w:before="40" w:after="0" w:line="256" w:lineRule="auto"/>
              <w:jc w:val="center"/>
              <w:rPr>
                <w:rFonts w:ascii="Times New Roman" w:eastAsia="Times New Roman" w:hAnsi="Times New Roman" w:cs="Times New Roman"/>
                <w:bCs/>
                <w:noProof/>
                <w:sz w:val="18"/>
                <w:szCs w:val="18"/>
              </w:rPr>
            </w:pPr>
          </w:p>
        </w:tc>
        <w:tc>
          <w:tcPr>
            <w:tcW w:w="482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16E5F0F" w14:textId="77777777" w:rsidR="00C45D59" w:rsidRDefault="00C45D59">
            <w:pPr>
              <w:keepNext/>
              <w:spacing w:before="40" w:after="0" w:line="256" w:lineRule="auto"/>
              <w:jc w:val="both"/>
              <w:rPr>
                <w:rFonts w:ascii="Times New Roman" w:eastAsia="Times New Roman" w:hAnsi="Times New Roman" w:cs="Times New Roman"/>
                <w:bCs/>
                <w:noProof/>
                <w:sz w:val="18"/>
                <w:szCs w:val="18"/>
              </w:rPr>
            </w:pPr>
          </w:p>
        </w:tc>
        <w:tc>
          <w:tcPr>
            <w:tcW w:w="1417" w:type="dxa"/>
            <w:tcBorders>
              <w:top w:val="single" w:sz="4" w:space="0" w:color="auto"/>
              <w:left w:val="nil"/>
              <w:bottom w:val="single" w:sz="4" w:space="0" w:color="auto"/>
              <w:right w:val="single" w:sz="4" w:space="0" w:color="auto"/>
            </w:tcBorders>
            <w:shd w:val="clear" w:color="auto" w:fill="C6EFCE"/>
            <w:noWrap/>
            <w:vAlign w:val="bottom"/>
            <w:hideMark/>
          </w:tcPr>
          <w:p w14:paraId="4241A355" w14:textId="77777777" w:rsidR="00C45D59" w:rsidRDefault="009B0962">
            <w:pPr>
              <w:pStyle w:val="P68B1DB1-Normal55"/>
              <w:keepNext/>
              <w:spacing w:before="40" w:after="0" w:line="256" w:lineRule="auto"/>
              <w:jc w:val="both"/>
              <w:rPr>
                <w:rFonts w:eastAsia="Times New Roman" w:cs="Times New Roman"/>
                <w:noProof/>
                <w:szCs w:val="18"/>
              </w:rPr>
            </w:pPr>
            <w:r>
              <w:rPr>
                <w:noProof/>
              </w:rPr>
              <w:t>Cuantumul tranșei</w:t>
            </w:r>
          </w:p>
        </w:tc>
        <w:tc>
          <w:tcPr>
            <w:tcW w:w="3292" w:type="dxa"/>
            <w:tcBorders>
              <w:top w:val="single" w:sz="4" w:space="0" w:color="auto"/>
              <w:left w:val="nil"/>
              <w:bottom w:val="single" w:sz="4" w:space="0" w:color="auto"/>
              <w:right w:val="single" w:sz="4" w:space="0" w:color="auto"/>
            </w:tcBorders>
            <w:shd w:val="clear" w:color="auto" w:fill="C6EFCE"/>
            <w:noWrap/>
            <w:vAlign w:val="center"/>
            <w:hideMark/>
          </w:tcPr>
          <w:p w14:paraId="6B23C865" w14:textId="77777777" w:rsidR="00C45D59" w:rsidRDefault="009B0962">
            <w:pPr>
              <w:pStyle w:val="P68B1DB1-Normal55"/>
              <w:keepNext/>
              <w:spacing w:before="40" w:after="0" w:line="256" w:lineRule="auto"/>
              <w:rPr>
                <w:rFonts w:eastAsia="Times New Roman" w:cs="Times New Roman"/>
                <w:noProof/>
                <w:szCs w:val="18"/>
              </w:rPr>
            </w:pPr>
            <w:r>
              <w:rPr>
                <w:noProof/>
              </w:rPr>
              <w:t>4 425 660 305 MIL.</w:t>
            </w:r>
          </w:p>
        </w:tc>
      </w:tr>
    </w:tbl>
    <w:p w14:paraId="62928C2E" w14:textId="77777777" w:rsidR="00C45D59" w:rsidRDefault="00C45D59">
      <w:pPr>
        <w:keepNext/>
        <w:spacing w:before="40" w:after="160" w:line="259" w:lineRule="auto"/>
        <w:contextualSpacing/>
        <w:jc w:val="both"/>
        <w:rPr>
          <w:rFonts w:ascii="Times New Roman" w:hAnsi="Times New Roman"/>
          <w:noProof/>
          <w:sz w:val="24"/>
        </w:rPr>
      </w:pPr>
    </w:p>
    <w:p w14:paraId="2B18A1AB" w14:textId="77777777" w:rsidR="00C45D59" w:rsidRDefault="00C45D59">
      <w:pPr>
        <w:keepNext/>
        <w:spacing w:before="40" w:after="160" w:line="259" w:lineRule="auto"/>
        <w:contextualSpacing/>
        <w:jc w:val="both"/>
        <w:rPr>
          <w:rFonts w:ascii="Times New Roman" w:hAnsi="Times New Roman"/>
          <w:noProof/>
          <w:sz w:val="24"/>
        </w:rPr>
      </w:pPr>
    </w:p>
    <w:p w14:paraId="6AFEF89B" w14:textId="77777777" w:rsidR="00C45D59" w:rsidRDefault="00C45D59">
      <w:pPr>
        <w:keepNext/>
        <w:spacing w:before="40" w:after="0" w:line="259" w:lineRule="auto"/>
        <w:jc w:val="both"/>
        <w:rPr>
          <w:rFonts w:ascii="Times New Roman" w:eastAsia="Times New Roman" w:hAnsi="Times New Roman" w:cs="Times New Roman"/>
          <w:bCs/>
          <w:noProof/>
          <w:sz w:val="18"/>
          <w:szCs w:val="18"/>
        </w:rPr>
      </w:pPr>
    </w:p>
    <w:p w14:paraId="7B6922DD" w14:textId="738F939B" w:rsidR="00C45D59" w:rsidRDefault="009B0962">
      <w:pPr>
        <w:rPr>
          <w:rFonts w:ascii="Times New Roman" w:eastAsia="Times New Roman" w:hAnsi="Times New Roman" w:cs="Times New Roman"/>
          <w:b/>
          <w:noProof/>
          <w:sz w:val="24"/>
          <w:u w:val="single"/>
        </w:rPr>
      </w:pPr>
      <w:r>
        <w:rPr>
          <w:rFonts w:ascii="Times New Roman" w:eastAsia="Times New Roman" w:hAnsi="Times New Roman" w:cs="Times New Roman"/>
          <w:noProof/>
          <w:sz w:val="18"/>
          <w:szCs w:val="18"/>
        </w:rPr>
        <w:br w:type="page"/>
      </w:r>
      <w:r>
        <w:rPr>
          <w:rFonts w:ascii="Times New Roman" w:hAnsi="Times New Roman"/>
          <w:b/>
          <w:noProof/>
          <w:sz w:val="24"/>
          <w:u w:val="single"/>
        </w:rPr>
        <w:t>Împrumut</w:t>
      </w:r>
    </w:p>
    <w:p w14:paraId="32C0FEC4" w14:textId="26A46570" w:rsidR="00C45D59" w:rsidRDefault="009B0962">
      <w:pPr>
        <w:pStyle w:val="P68B1DB1-Normal5"/>
        <w:keepNext/>
        <w:spacing w:before="40" w:after="0" w:line="259" w:lineRule="auto"/>
        <w:jc w:val="both"/>
        <w:outlineLvl w:val="1"/>
        <w:rPr>
          <w:b/>
          <w:noProof/>
          <w:u w:val="single"/>
        </w:rPr>
      </w:pPr>
      <w:r>
        <w:rPr>
          <w:noProof/>
        </w:rPr>
        <w:t>Tranșele menționate la articolul 3 alineatul (2) se organizează după cum urmează:</w:t>
      </w:r>
    </w:p>
    <w:p w14:paraId="0694A5B9" w14:textId="77777777" w:rsidR="00C45D59" w:rsidRDefault="00C45D59">
      <w:pPr>
        <w:keepNext/>
        <w:spacing w:before="40" w:after="0" w:line="259" w:lineRule="auto"/>
        <w:jc w:val="both"/>
        <w:outlineLvl w:val="1"/>
        <w:rPr>
          <w:rFonts w:ascii="Times New Roman" w:hAnsi="Times New Roman"/>
          <w:b/>
          <w:noProof/>
          <w:sz w:val="24"/>
          <w:u w:val="single"/>
        </w:rPr>
      </w:pPr>
    </w:p>
    <w:p w14:paraId="683834F2" w14:textId="77777777" w:rsidR="00C45D59" w:rsidRDefault="00C45D59">
      <w:pPr>
        <w:pStyle w:val="ListParagraph"/>
        <w:keepNext/>
        <w:numPr>
          <w:ilvl w:val="0"/>
          <w:numId w:val="106"/>
        </w:numPr>
        <w:spacing w:before="40" w:after="160" w:line="259" w:lineRule="auto"/>
        <w:jc w:val="both"/>
        <w:rPr>
          <w:rFonts w:ascii="Times New Roman" w:hAnsi="Times New Roman"/>
          <w:noProof/>
          <w:vanish/>
          <w:sz w:val="24"/>
        </w:rPr>
      </w:pPr>
    </w:p>
    <w:p w14:paraId="69B0C2C9" w14:textId="77777777" w:rsidR="00C45D59" w:rsidRDefault="00C45D59">
      <w:pPr>
        <w:pStyle w:val="ListParagraph"/>
        <w:keepNext/>
        <w:numPr>
          <w:ilvl w:val="0"/>
          <w:numId w:val="106"/>
        </w:numPr>
        <w:spacing w:before="40" w:after="160" w:line="259" w:lineRule="auto"/>
        <w:jc w:val="both"/>
        <w:rPr>
          <w:rFonts w:ascii="Times New Roman" w:hAnsi="Times New Roman"/>
          <w:noProof/>
          <w:vanish/>
          <w:sz w:val="24"/>
        </w:rPr>
      </w:pPr>
    </w:p>
    <w:p w14:paraId="30FA698A" w14:textId="4F542232" w:rsidR="00C45D59" w:rsidRDefault="009B0962">
      <w:pPr>
        <w:pStyle w:val="P68B1DB1-Normal5"/>
        <w:keepNext/>
        <w:numPr>
          <w:ilvl w:val="1"/>
          <w:numId w:val="106"/>
        </w:numPr>
        <w:spacing w:before="40" w:after="160" w:line="259" w:lineRule="auto"/>
        <w:ind w:left="0"/>
        <w:contextualSpacing/>
        <w:jc w:val="both"/>
        <w:rPr>
          <w:rFonts w:eastAsia="Times New Roman" w:cs="Times New Roman"/>
          <w:noProof/>
        </w:rPr>
      </w:pPr>
      <w:r>
        <w:rPr>
          <w:noProof/>
        </w:rPr>
        <w:t xml:space="preserve"> Prima cerere de plată (sprijin sub formă de împrumut): </w:t>
      </w:r>
    </w:p>
    <w:tbl>
      <w:tblPr>
        <w:tblW w:w="9535" w:type="dxa"/>
        <w:jc w:val="center"/>
        <w:tblLook w:val="04A0" w:firstRow="1" w:lastRow="0" w:firstColumn="1" w:lastColumn="0" w:noHBand="0" w:noVBand="1"/>
      </w:tblPr>
      <w:tblGrid>
        <w:gridCol w:w="1195"/>
        <w:gridCol w:w="4892"/>
        <w:gridCol w:w="1692"/>
        <w:gridCol w:w="1756"/>
      </w:tblGrid>
      <w:tr w:rsidR="00C45D59" w14:paraId="2464A40B" w14:textId="77777777">
        <w:trPr>
          <w:trHeight w:val="906"/>
          <w:jc w:val="center"/>
        </w:trPr>
        <w:tc>
          <w:tcPr>
            <w:tcW w:w="1195"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11AF9FCA" w14:textId="2A5B16F6" w:rsidR="00C45D59" w:rsidRDefault="00097639">
            <w:pPr>
              <w:pStyle w:val="P68B1DB1-Normal10"/>
              <w:keepNext/>
              <w:spacing w:before="40" w:after="0" w:line="259" w:lineRule="auto"/>
              <w:jc w:val="center"/>
              <w:rPr>
                <w:rFonts w:eastAsia="Times New Roman" w:cs="Times New Roman"/>
                <w:bCs/>
                <w:noProof/>
                <w:szCs w:val="18"/>
              </w:rPr>
            </w:pPr>
            <w:r>
              <w:rPr>
                <w:noProof/>
              </w:rPr>
              <w:t>Nr. crt.</w:t>
            </w:r>
          </w:p>
        </w:tc>
        <w:tc>
          <w:tcPr>
            <w:tcW w:w="4892"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1991B4E5" w14:textId="77777777" w:rsidR="00C45D59" w:rsidRDefault="009B0962">
            <w:pPr>
              <w:pStyle w:val="P68B1DB1-Normal10"/>
              <w:keepNext/>
              <w:spacing w:before="40" w:after="0" w:line="259" w:lineRule="auto"/>
              <w:jc w:val="center"/>
              <w:rPr>
                <w:rFonts w:eastAsia="Times New Roman" w:cs="Times New Roman"/>
                <w:bCs/>
                <w:noProof/>
                <w:szCs w:val="18"/>
              </w:rPr>
            </w:pPr>
            <w:r>
              <w:rPr>
                <w:noProof/>
              </w:rPr>
              <w:t>Măsură conexă (reformă sau investiții)</w:t>
            </w:r>
          </w:p>
        </w:tc>
        <w:tc>
          <w:tcPr>
            <w:tcW w:w="1692"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05D564A0" w14:textId="77777777" w:rsidR="00C45D59" w:rsidRDefault="009B0962">
            <w:pPr>
              <w:pStyle w:val="P68B1DB1-Normal10"/>
              <w:keepNext/>
              <w:spacing w:before="40" w:after="0" w:line="259" w:lineRule="auto"/>
              <w:jc w:val="center"/>
              <w:rPr>
                <w:rFonts w:eastAsia="Times New Roman" w:cs="Times New Roman"/>
                <w:bCs/>
                <w:noProof/>
                <w:szCs w:val="18"/>
              </w:rPr>
            </w:pPr>
            <w:r>
              <w:rPr>
                <w:noProof/>
              </w:rPr>
              <w:t>Etapă/Obiectiv</w:t>
            </w:r>
          </w:p>
        </w:tc>
        <w:tc>
          <w:tcPr>
            <w:tcW w:w="1756" w:type="dxa"/>
            <w:vMerge w:val="restart"/>
            <w:tcBorders>
              <w:top w:val="single" w:sz="4" w:space="0" w:color="auto"/>
              <w:left w:val="nil"/>
              <w:bottom w:val="single" w:sz="4" w:space="0" w:color="000000"/>
              <w:right w:val="single" w:sz="4" w:space="0" w:color="auto"/>
            </w:tcBorders>
            <w:shd w:val="clear" w:color="auto" w:fill="BDD7EE"/>
            <w:vAlign w:val="center"/>
            <w:hideMark/>
          </w:tcPr>
          <w:p w14:paraId="668200C6" w14:textId="3FB38E30" w:rsidR="00C45D59" w:rsidRDefault="001D5265">
            <w:pPr>
              <w:pStyle w:val="P68B1DB1-Normal10"/>
              <w:keepNext/>
              <w:spacing w:before="40" w:after="0" w:line="259" w:lineRule="auto"/>
              <w:jc w:val="center"/>
              <w:rPr>
                <w:rFonts w:eastAsia="Times New Roman" w:cs="Times New Roman"/>
                <w:bCs/>
                <w:noProof/>
                <w:szCs w:val="18"/>
              </w:rPr>
            </w:pPr>
            <w:r>
              <w:rPr>
                <w:noProof/>
              </w:rPr>
              <w:t>Denumire</w:t>
            </w:r>
          </w:p>
        </w:tc>
      </w:tr>
      <w:tr w:rsidR="00C45D59" w14:paraId="12F00E97" w14:textId="77777777">
        <w:trPr>
          <w:trHeight w:val="269"/>
          <w:jc w:val="center"/>
        </w:trPr>
        <w:tc>
          <w:tcPr>
            <w:tcW w:w="1195" w:type="dxa"/>
            <w:vMerge/>
            <w:tcBorders>
              <w:top w:val="single" w:sz="4" w:space="0" w:color="auto"/>
              <w:left w:val="single" w:sz="4" w:space="0" w:color="auto"/>
              <w:bottom w:val="single" w:sz="4" w:space="0" w:color="000000"/>
              <w:right w:val="single" w:sz="4" w:space="0" w:color="auto"/>
            </w:tcBorders>
            <w:vAlign w:val="center"/>
            <w:hideMark/>
          </w:tcPr>
          <w:p w14:paraId="43F5F3FE" w14:textId="77777777" w:rsidR="00C45D59" w:rsidRDefault="00C45D59">
            <w:pPr>
              <w:keepNext/>
              <w:spacing w:before="40" w:after="0" w:line="259" w:lineRule="auto"/>
              <w:jc w:val="both"/>
              <w:rPr>
                <w:rFonts w:ascii="Times New Roman" w:eastAsia="Times New Roman" w:hAnsi="Times New Roman" w:cs="Times New Roman"/>
                <w:bCs/>
                <w:noProof/>
                <w:sz w:val="24"/>
                <w:szCs w:val="26"/>
              </w:rPr>
            </w:pPr>
          </w:p>
        </w:tc>
        <w:tc>
          <w:tcPr>
            <w:tcW w:w="4892" w:type="dxa"/>
            <w:vMerge/>
            <w:tcBorders>
              <w:top w:val="single" w:sz="4" w:space="0" w:color="auto"/>
              <w:left w:val="single" w:sz="4" w:space="0" w:color="auto"/>
              <w:bottom w:val="single" w:sz="4" w:space="0" w:color="000000"/>
              <w:right w:val="single" w:sz="4" w:space="0" w:color="auto"/>
            </w:tcBorders>
            <w:vAlign w:val="center"/>
            <w:hideMark/>
          </w:tcPr>
          <w:p w14:paraId="4D9E2161" w14:textId="77777777" w:rsidR="00C45D59" w:rsidRDefault="00C45D59">
            <w:pPr>
              <w:keepNext/>
              <w:spacing w:before="40" w:after="0" w:line="259" w:lineRule="auto"/>
              <w:jc w:val="both"/>
              <w:rPr>
                <w:rFonts w:ascii="Times New Roman" w:eastAsia="Times New Roman" w:hAnsi="Times New Roman" w:cs="Times New Roman"/>
                <w:bCs/>
                <w:noProof/>
                <w:sz w:val="24"/>
                <w:szCs w:val="26"/>
              </w:rPr>
            </w:pPr>
          </w:p>
        </w:tc>
        <w:tc>
          <w:tcPr>
            <w:tcW w:w="1692" w:type="dxa"/>
            <w:vMerge/>
            <w:tcBorders>
              <w:top w:val="single" w:sz="4" w:space="0" w:color="auto"/>
              <w:left w:val="single" w:sz="4" w:space="0" w:color="auto"/>
              <w:bottom w:val="single" w:sz="4" w:space="0" w:color="000000"/>
              <w:right w:val="single" w:sz="4" w:space="0" w:color="auto"/>
            </w:tcBorders>
            <w:vAlign w:val="center"/>
            <w:hideMark/>
          </w:tcPr>
          <w:p w14:paraId="4673525E" w14:textId="77777777" w:rsidR="00C45D59" w:rsidRDefault="00C45D59">
            <w:pPr>
              <w:keepNext/>
              <w:spacing w:before="40" w:after="0" w:line="259" w:lineRule="auto"/>
              <w:jc w:val="both"/>
              <w:rPr>
                <w:rFonts w:ascii="Times New Roman" w:eastAsia="Times New Roman" w:hAnsi="Times New Roman" w:cs="Times New Roman"/>
                <w:bCs/>
                <w:noProof/>
                <w:sz w:val="24"/>
                <w:szCs w:val="26"/>
              </w:rPr>
            </w:pPr>
          </w:p>
        </w:tc>
        <w:tc>
          <w:tcPr>
            <w:tcW w:w="1756" w:type="dxa"/>
            <w:vMerge/>
            <w:tcBorders>
              <w:top w:val="single" w:sz="4" w:space="0" w:color="auto"/>
              <w:left w:val="nil"/>
              <w:bottom w:val="single" w:sz="4" w:space="0" w:color="000000"/>
              <w:right w:val="single" w:sz="4" w:space="0" w:color="auto"/>
            </w:tcBorders>
            <w:vAlign w:val="center"/>
            <w:hideMark/>
          </w:tcPr>
          <w:p w14:paraId="512BA89A" w14:textId="77777777" w:rsidR="00C45D59" w:rsidRDefault="00C45D59">
            <w:pPr>
              <w:keepNext/>
              <w:spacing w:before="40" w:after="0" w:line="259" w:lineRule="auto"/>
              <w:jc w:val="both"/>
              <w:rPr>
                <w:rFonts w:ascii="Times New Roman" w:eastAsia="Times New Roman" w:hAnsi="Times New Roman" w:cs="Times New Roman"/>
                <w:bCs/>
                <w:noProof/>
                <w:sz w:val="24"/>
                <w:szCs w:val="26"/>
              </w:rPr>
            </w:pPr>
          </w:p>
        </w:tc>
      </w:tr>
      <w:tr w:rsidR="00C45D59" w14:paraId="51D89E45" w14:textId="77777777">
        <w:trPr>
          <w:trHeight w:val="302"/>
          <w:jc w:val="center"/>
        </w:trPr>
        <w:tc>
          <w:tcPr>
            <w:tcW w:w="1195" w:type="dxa"/>
            <w:tcBorders>
              <w:top w:val="single" w:sz="4" w:space="0" w:color="auto"/>
              <w:left w:val="single" w:sz="4" w:space="0" w:color="auto"/>
              <w:bottom w:val="single" w:sz="4" w:space="0" w:color="auto"/>
              <w:right w:val="single" w:sz="4" w:space="0" w:color="auto"/>
            </w:tcBorders>
            <w:shd w:val="clear" w:color="000000" w:fill="C6EFCE"/>
            <w:noWrap/>
            <w:vAlign w:val="center"/>
            <w:hideMark/>
          </w:tcPr>
          <w:p w14:paraId="1E6C66E3" w14:textId="77777777" w:rsidR="00C45D59" w:rsidRDefault="009B0962">
            <w:pPr>
              <w:pStyle w:val="P68B1DB1-Normal55"/>
              <w:keepNext/>
              <w:spacing w:before="40" w:after="0" w:line="240" w:lineRule="auto"/>
              <w:jc w:val="both"/>
              <w:rPr>
                <w:rFonts w:eastAsia="Times New Roman" w:cs="Times New Roman"/>
                <w:noProof/>
                <w:szCs w:val="18"/>
              </w:rPr>
            </w:pPr>
            <w:r>
              <w:rPr>
                <w:noProof/>
              </w:rPr>
              <w:t>320</w:t>
            </w:r>
          </w:p>
        </w:tc>
        <w:tc>
          <w:tcPr>
            <w:tcW w:w="4892" w:type="dxa"/>
            <w:tcBorders>
              <w:top w:val="single" w:sz="4" w:space="0" w:color="auto"/>
              <w:left w:val="nil"/>
              <w:bottom w:val="single" w:sz="4" w:space="0" w:color="auto"/>
              <w:right w:val="single" w:sz="4" w:space="0" w:color="auto"/>
            </w:tcBorders>
            <w:shd w:val="clear" w:color="000000" w:fill="C6EFCE"/>
            <w:noWrap/>
            <w:vAlign w:val="center"/>
            <w:hideMark/>
          </w:tcPr>
          <w:p w14:paraId="3FB3D680"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4.7. Îmbunătățirea competitivității și promovarea investițiilor private și a exporturilor – Mecanismul de împrumut 16980_RRP</w:t>
            </w:r>
          </w:p>
        </w:tc>
        <w:tc>
          <w:tcPr>
            <w:tcW w:w="1692" w:type="dxa"/>
            <w:tcBorders>
              <w:top w:val="single" w:sz="4" w:space="0" w:color="auto"/>
              <w:left w:val="nil"/>
              <w:bottom w:val="single" w:sz="4" w:space="0" w:color="auto"/>
              <w:right w:val="single" w:sz="4" w:space="0" w:color="auto"/>
            </w:tcBorders>
            <w:shd w:val="clear" w:color="000000" w:fill="C6EFCE"/>
            <w:noWrap/>
            <w:vAlign w:val="center"/>
            <w:hideMark/>
          </w:tcPr>
          <w:p w14:paraId="7138C3A4"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Etapă</w:t>
            </w:r>
          </w:p>
        </w:tc>
        <w:tc>
          <w:tcPr>
            <w:tcW w:w="1756" w:type="dxa"/>
            <w:tcBorders>
              <w:top w:val="single" w:sz="4" w:space="0" w:color="auto"/>
              <w:left w:val="nil"/>
              <w:bottom w:val="single" w:sz="4" w:space="0" w:color="auto"/>
              <w:right w:val="single" w:sz="4" w:space="0" w:color="auto"/>
            </w:tcBorders>
            <w:shd w:val="clear" w:color="000000" w:fill="C6EFCE"/>
            <w:noWrap/>
            <w:vAlign w:val="center"/>
            <w:hideMark/>
          </w:tcPr>
          <w:p w14:paraId="29B64DEF"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Acorduri operaționale cu IFI</w:t>
            </w:r>
          </w:p>
        </w:tc>
      </w:tr>
      <w:tr w:rsidR="00C45D59" w14:paraId="342EC9E3" w14:textId="77777777">
        <w:trPr>
          <w:trHeight w:val="302"/>
          <w:jc w:val="center"/>
        </w:trPr>
        <w:tc>
          <w:tcPr>
            <w:tcW w:w="1195" w:type="dxa"/>
            <w:tcBorders>
              <w:top w:val="nil"/>
              <w:left w:val="single" w:sz="4" w:space="0" w:color="auto"/>
              <w:bottom w:val="single" w:sz="4" w:space="0" w:color="auto"/>
              <w:right w:val="single" w:sz="4" w:space="0" w:color="auto"/>
            </w:tcBorders>
            <w:shd w:val="clear" w:color="000000" w:fill="C6EFCE"/>
            <w:noWrap/>
            <w:vAlign w:val="center"/>
            <w:hideMark/>
          </w:tcPr>
          <w:p w14:paraId="7E3C8BBD" w14:textId="77777777" w:rsidR="00C45D59" w:rsidRDefault="009B0962">
            <w:pPr>
              <w:pStyle w:val="P68B1DB1-Normal55"/>
              <w:keepNext/>
              <w:spacing w:before="40" w:after="0" w:line="240" w:lineRule="auto"/>
              <w:jc w:val="both"/>
              <w:rPr>
                <w:rFonts w:eastAsia="Times New Roman" w:cs="Times New Roman"/>
                <w:noProof/>
                <w:szCs w:val="18"/>
              </w:rPr>
            </w:pPr>
            <w:r>
              <w:rPr>
                <w:noProof/>
              </w:rPr>
              <w:t>321</w:t>
            </w:r>
          </w:p>
        </w:tc>
        <w:tc>
          <w:tcPr>
            <w:tcW w:w="4892" w:type="dxa"/>
            <w:tcBorders>
              <w:top w:val="nil"/>
              <w:left w:val="nil"/>
              <w:bottom w:val="single" w:sz="4" w:space="0" w:color="auto"/>
              <w:right w:val="single" w:sz="4" w:space="0" w:color="auto"/>
            </w:tcBorders>
            <w:shd w:val="clear" w:color="000000" w:fill="C6EFCE"/>
            <w:noWrap/>
            <w:vAlign w:val="center"/>
            <w:hideMark/>
          </w:tcPr>
          <w:p w14:paraId="73C9C738"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4.7. Îmbunătățirea competitivității și promovarea investițiilor private și a exporturilor – Mecanismul de împrumut 16980_RRP</w:t>
            </w:r>
          </w:p>
        </w:tc>
        <w:tc>
          <w:tcPr>
            <w:tcW w:w="1692" w:type="dxa"/>
            <w:tcBorders>
              <w:top w:val="nil"/>
              <w:left w:val="nil"/>
              <w:bottom w:val="single" w:sz="4" w:space="0" w:color="auto"/>
              <w:right w:val="single" w:sz="4" w:space="0" w:color="auto"/>
            </w:tcBorders>
            <w:shd w:val="clear" w:color="000000" w:fill="C6EFCE"/>
            <w:noWrap/>
            <w:vAlign w:val="center"/>
            <w:hideMark/>
          </w:tcPr>
          <w:p w14:paraId="1EECAF66"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Etapă</w:t>
            </w:r>
          </w:p>
        </w:tc>
        <w:tc>
          <w:tcPr>
            <w:tcW w:w="1756" w:type="dxa"/>
            <w:tcBorders>
              <w:top w:val="nil"/>
              <w:left w:val="nil"/>
              <w:bottom w:val="single" w:sz="4" w:space="0" w:color="auto"/>
              <w:right w:val="single" w:sz="4" w:space="0" w:color="auto"/>
            </w:tcBorders>
            <w:shd w:val="clear" w:color="000000" w:fill="C6EFCE"/>
            <w:noWrap/>
            <w:vAlign w:val="center"/>
            <w:hideMark/>
          </w:tcPr>
          <w:p w14:paraId="79119FDD"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Lansarea cererii de propuneri pentru băncile comerciale</w:t>
            </w:r>
          </w:p>
        </w:tc>
      </w:tr>
      <w:tr w:rsidR="00C45D59" w14:paraId="07EEA680" w14:textId="77777777">
        <w:trPr>
          <w:trHeight w:val="302"/>
          <w:jc w:val="center"/>
        </w:trPr>
        <w:tc>
          <w:tcPr>
            <w:tcW w:w="1195"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0203D2D3" w14:textId="77777777" w:rsidR="00C45D59" w:rsidRDefault="00C45D59">
            <w:pPr>
              <w:keepNext/>
              <w:spacing w:before="40" w:after="0" w:line="259" w:lineRule="auto"/>
              <w:jc w:val="both"/>
              <w:rPr>
                <w:rFonts w:ascii="Times New Roman" w:eastAsia="Times New Roman" w:hAnsi="Times New Roman" w:cs="Times New Roman"/>
                <w:bCs/>
                <w:noProof/>
                <w:sz w:val="18"/>
                <w:szCs w:val="18"/>
              </w:rPr>
            </w:pPr>
          </w:p>
        </w:tc>
        <w:tc>
          <w:tcPr>
            <w:tcW w:w="4892" w:type="dxa"/>
            <w:tcBorders>
              <w:top w:val="single" w:sz="4" w:space="0" w:color="auto"/>
              <w:left w:val="nil"/>
              <w:bottom w:val="single" w:sz="4" w:space="0" w:color="auto"/>
              <w:right w:val="single" w:sz="4" w:space="0" w:color="auto"/>
            </w:tcBorders>
            <w:shd w:val="clear" w:color="auto" w:fill="C6EFCE"/>
            <w:noWrap/>
            <w:vAlign w:val="bottom"/>
          </w:tcPr>
          <w:p w14:paraId="67BB9575" w14:textId="77777777" w:rsidR="00C45D59" w:rsidRDefault="00C45D59">
            <w:pPr>
              <w:keepNext/>
              <w:spacing w:before="40" w:after="0" w:line="259" w:lineRule="auto"/>
              <w:jc w:val="both"/>
              <w:rPr>
                <w:rFonts w:ascii="Times New Roman" w:eastAsia="Times New Roman" w:hAnsi="Times New Roman" w:cs="Times New Roman"/>
                <w:bCs/>
                <w:noProof/>
                <w:sz w:val="18"/>
                <w:szCs w:val="18"/>
              </w:rPr>
            </w:pPr>
          </w:p>
        </w:tc>
        <w:tc>
          <w:tcPr>
            <w:tcW w:w="1692" w:type="dxa"/>
            <w:tcBorders>
              <w:top w:val="single" w:sz="4" w:space="0" w:color="auto"/>
              <w:left w:val="nil"/>
              <w:bottom w:val="single" w:sz="4" w:space="0" w:color="auto"/>
              <w:right w:val="single" w:sz="4" w:space="0" w:color="auto"/>
            </w:tcBorders>
            <w:shd w:val="clear" w:color="auto" w:fill="C6EFCE"/>
            <w:noWrap/>
            <w:vAlign w:val="bottom"/>
          </w:tcPr>
          <w:p w14:paraId="22619B2D" w14:textId="77777777" w:rsidR="00C45D59" w:rsidRDefault="009B0962">
            <w:pPr>
              <w:pStyle w:val="P68B1DB1-Normal55"/>
              <w:keepNext/>
              <w:spacing w:before="40" w:after="0" w:line="259" w:lineRule="auto"/>
              <w:jc w:val="both"/>
              <w:rPr>
                <w:rFonts w:eastAsia="Times New Roman" w:cs="Times New Roman"/>
                <w:noProof/>
                <w:szCs w:val="18"/>
              </w:rPr>
            </w:pPr>
            <w:r>
              <w:rPr>
                <w:noProof/>
              </w:rPr>
              <w:t>Cuantumul tranșei</w:t>
            </w:r>
          </w:p>
        </w:tc>
        <w:tc>
          <w:tcPr>
            <w:tcW w:w="1756" w:type="dxa"/>
            <w:tcBorders>
              <w:top w:val="single" w:sz="4" w:space="0" w:color="auto"/>
              <w:left w:val="nil"/>
              <w:bottom w:val="single" w:sz="4" w:space="0" w:color="auto"/>
              <w:right w:val="single" w:sz="4" w:space="0" w:color="auto"/>
            </w:tcBorders>
            <w:shd w:val="clear" w:color="auto" w:fill="C6EFCE"/>
            <w:noWrap/>
            <w:vAlign w:val="bottom"/>
          </w:tcPr>
          <w:p w14:paraId="158AC685" w14:textId="77777777" w:rsidR="00C45D59" w:rsidRDefault="009B0962">
            <w:pPr>
              <w:pStyle w:val="P68B1DB1-Normal55"/>
              <w:keepNext/>
              <w:spacing w:before="40" w:after="0" w:line="259" w:lineRule="auto"/>
              <w:jc w:val="both"/>
              <w:rPr>
                <w:rFonts w:eastAsia="Times New Roman" w:cs="Times New Roman"/>
                <w:noProof/>
                <w:szCs w:val="18"/>
              </w:rPr>
            </w:pPr>
            <w:r>
              <w:rPr>
                <w:noProof/>
              </w:rPr>
              <w:t>2 121 256 487 MIL.</w:t>
            </w:r>
          </w:p>
        </w:tc>
      </w:tr>
    </w:tbl>
    <w:p w14:paraId="6976293B" w14:textId="77777777" w:rsidR="00C45D59" w:rsidRDefault="00C45D59">
      <w:pPr>
        <w:keepNext/>
        <w:spacing w:before="120" w:after="160" w:line="259" w:lineRule="auto"/>
        <w:ind w:hanging="360"/>
        <w:contextualSpacing/>
        <w:jc w:val="both"/>
        <w:rPr>
          <w:rFonts w:ascii="Times New Roman" w:eastAsia="Times New Roman" w:hAnsi="Times New Roman" w:cs="Times New Roman"/>
          <w:bCs/>
          <w:noProof/>
          <w:sz w:val="24"/>
          <w:szCs w:val="24"/>
        </w:rPr>
      </w:pPr>
    </w:p>
    <w:p w14:paraId="7518A721" w14:textId="77777777" w:rsidR="00C45D59" w:rsidRDefault="009B0962">
      <w:pPr>
        <w:pStyle w:val="P68B1DB1-Normal5"/>
        <w:keepNext/>
        <w:numPr>
          <w:ilvl w:val="1"/>
          <w:numId w:val="106"/>
        </w:numPr>
        <w:spacing w:before="40" w:after="160" w:line="259" w:lineRule="auto"/>
        <w:ind w:left="0"/>
        <w:contextualSpacing/>
        <w:jc w:val="both"/>
        <w:rPr>
          <w:rFonts w:eastAsia="Times New Roman" w:cs="Times New Roman"/>
          <w:noProof/>
        </w:rPr>
      </w:pPr>
      <w:r>
        <w:rPr>
          <w:noProof/>
        </w:rPr>
        <w:t xml:space="preserve"> A doua cerere de plată (sprijin sub formă de împrumut): </w:t>
      </w:r>
    </w:p>
    <w:tbl>
      <w:tblPr>
        <w:tblW w:w="9535" w:type="dxa"/>
        <w:jc w:val="center"/>
        <w:tblLook w:val="04A0" w:firstRow="1" w:lastRow="0" w:firstColumn="1" w:lastColumn="0" w:noHBand="0" w:noVBand="1"/>
      </w:tblPr>
      <w:tblGrid>
        <w:gridCol w:w="1195"/>
        <w:gridCol w:w="4892"/>
        <w:gridCol w:w="1692"/>
        <w:gridCol w:w="1756"/>
      </w:tblGrid>
      <w:tr w:rsidR="00C45D59" w14:paraId="623B99F6" w14:textId="77777777">
        <w:trPr>
          <w:trHeight w:val="906"/>
          <w:jc w:val="center"/>
        </w:trPr>
        <w:tc>
          <w:tcPr>
            <w:tcW w:w="1195"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4DD09001" w14:textId="47474CFA" w:rsidR="00C45D59" w:rsidRDefault="00097639">
            <w:pPr>
              <w:pStyle w:val="P68B1DB1-Normal10"/>
              <w:keepNext/>
              <w:spacing w:before="40" w:after="0" w:line="259" w:lineRule="auto"/>
              <w:jc w:val="center"/>
              <w:rPr>
                <w:rFonts w:eastAsia="Times New Roman" w:cs="Times New Roman"/>
                <w:bCs/>
                <w:noProof/>
                <w:szCs w:val="18"/>
              </w:rPr>
            </w:pPr>
            <w:r>
              <w:rPr>
                <w:noProof/>
              </w:rPr>
              <w:t>Nr. crt.</w:t>
            </w:r>
          </w:p>
        </w:tc>
        <w:tc>
          <w:tcPr>
            <w:tcW w:w="4892"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5531494F" w14:textId="77777777" w:rsidR="00C45D59" w:rsidRDefault="009B0962">
            <w:pPr>
              <w:pStyle w:val="P68B1DB1-Normal10"/>
              <w:keepNext/>
              <w:spacing w:before="40" w:after="0" w:line="259" w:lineRule="auto"/>
              <w:jc w:val="center"/>
              <w:rPr>
                <w:rFonts w:eastAsia="Times New Roman" w:cs="Times New Roman"/>
                <w:bCs/>
                <w:noProof/>
                <w:szCs w:val="18"/>
              </w:rPr>
            </w:pPr>
            <w:r>
              <w:rPr>
                <w:noProof/>
              </w:rPr>
              <w:t>Măsură conexă (reformă sau investiții)</w:t>
            </w:r>
          </w:p>
        </w:tc>
        <w:tc>
          <w:tcPr>
            <w:tcW w:w="1692"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5ED63875" w14:textId="77777777" w:rsidR="00C45D59" w:rsidRDefault="009B0962">
            <w:pPr>
              <w:pStyle w:val="P68B1DB1-Normal10"/>
              <w:keepNext/>
              <w:spacing w:before="40" w:after="0" w:line="259" w:lineRule="auto"/>
              <w:jc w:val="center"/>
              <w:rPr>
                <w:rFonts w:eastAsia="Times New Roman" w:cs="Times New Roman"/>
                <w:bCs/>
                <w:noProof/>
                <w:szCs w:val="18"/>
              </w:rPr>
            </w:pPr>
            <w:r>
              <w:rPr>
                <w:noProof/>
              </w:rPr>
              <w:t>Etapă/Obiectiv</w:t>
            </w:r>
          </w:p>
        </w:tc>
        <w:tc>
          <w:tcPr>
            <w:tcW w:w="1756" w:type="dxa"/>
            <w:vMerge w:val="restart"/>
            <w:tcBorders>
              <w:top w:val="single" w:sz="4" w:space="0" w:color="auto"/>
              <w:left w:val="nil"/>
              <w:bottom w:val="single" w:sz="4" w:space="0" w:color="000000"/>
              <w:right w:val="single" w:sz="4" w:space="0" w:color="auto"/>
            </w:tcBorders>
            <w:shd w:val="clear" w:color="auto" w:fill="BDD7EE"/>
            <w:vAlign w:val="center"/>
            <w:hideMark/>
          </w:tcPr>
          <w:p w14:paraId="5B40DBC2" w14:textId="6EF7C5D3" w:rsidR="00C45D59" w:rsidRDefault="001D5265">
            <w:pPr>
              <w:pStyle w:val="P68B1DB1-Normal10"/>
              <w:keepNext/>
              <w:spacing w:before="40" w:after="0" w:line="259" w:lineRule="auto"/>
              <w:jc w:val="center"/>
              <w:rPr>
                <w:rFonts w:eastAsia="Times New Roman" w:cs="Times New Roman"/>
                <w:bCs/>
                <w:noProof/>
                <w:szCs w:val="18"/>
              </w:rPr>
            </w:pPr>
            <w:r>
              <w:rPr>
                <w:noProof/>
              </w:rPr>
              <w:t>Denumire</w:t>
            </w:r>
          </w:p>
        </w:tc>
      </w:tr>
      <w:tr w:rsidR="00C45D59" w14:paraId="0A6B7FBB" w14:textId="77777777">
        <w:trPr>
          <w:trHeight w:val="269"/>
          <w:jc w:val="center"/>
        </w:trPr>
        <w:tc>
          <w:tcPr>
            <w:tcW w:w="1195" w:type="dxa"/>
            <w:vMerge/>
            <w:tcBorders>
              <w:top w:val="single" w:sz="4" w:space="0" w:color="auto"/>
              <w:left w:val="single" w:sz="4" w:space="0" w:color="auto"/>
              <w:bottom w:val="single" w:sz="4" w:space="0" w:color="000000"/>
              <w:right w:val="single" w:sz="4" w:space="0" w:color="auto"/>
            </w:tcBorders>
            <w:vAlign w:val="center"/>
            <w:hideMark/>
          </w:tcPr>
          <w:p w14:paraId="238E4F35" w14:textId="77777777" w:rsidR="00C45D59" w:rsidRDefault="00C45D59">
            <w:pPr>
              <w:keepNext/>
              <w:spacing w:before="40" w:after="0" w:line="259" w:lineRule="auto"/>
              <w:jc w:val="both"/>
              <w:rPr>
                <w:rFonts w:ascii="Times New Roman" w:eastAsia="Times New Roman" w:hAnsi="Times New Roman" w:cs="Times New Roman"/>
                <w:bCs/>
                <w:noProof/>
                <w:sz w:val="18"/>
                <w:szCs w:val="18"/>
              </w:rPr>
            </w:pPr>
          </w:p>
        </w:tc>
        <w:tc>
          <w:tcPr>
            <w:tcW w:w="4892" w:type="dxa"/>
            <w:vMerge/>
            <w:tcBorders>
              <w:top w:val="single" w:sz="4" w:space="0" w:color="auto"/>
              <w:left w:val="single" w:sz="4" w:space="0" w:color="auto"/>
              <w:bottom w:val="single" w:sz="4" w:space="0" w:color="000000"/>
              <w:right w:val="single" w:sz="4" w:space="0" w:color="auto"/>
            </w:tcBorders>
            <w:vAlign w:val="center"/>
            <w:hideMark/>
          </w:tcPr>
          <w:p w14:paraId="258159C1" w14:textId="77777777" w:rsidR="00C45D59" w:rsidRDefault="00C45D59">
            <w:pPr>
              <w:keepNext/>
              <w:spacing w:before="40" w:after="0" w:line="259" w:lineRule="auto"/>
              <w:jc w:val="both"/>
              <w:rPr>
                <w:rFonts w:ascii="Times New Roman" w:eastAsia="Times New Roman" w:hAnsi="Times New Roman" w:cs="Times New Roman"/>
                <w:bCs/>
                <w:noProof/>
                <w:sz w:val="18"/>
                <w:szCs w:val="18"/>
              </w:rPr>
            </w:pPr>
          </w:p>
        </w:tc>
        <w:tc>
          <w:tcPr>
            <w:tcW w:w="1692" w:type="dxa"/>
            <w:vMerge/>
            <w:tcBorders>
              <w:top w:val="single" w:sz="4" w:space="0" w:color="auto"/>
              <w:left w:val="single" w:sz="4" w:space="0" w:color="auto"/>
              <w:bottom w:val="single" w:sz="4" w:space="0" w:color="000000"/>
              <w:right w:val="single" w:sz="4" w:space="0" w:color="auto"/>
            </w:tcBorders>
            <w:vAlign w:val="center"/>
            <w:hideMark/>
          </w:tcPr>
          <w:p w14:paraId="6E5D0F1C" w14:textId="77777777" w:rsidR="00C45D59" w:rsidRDefault="00C45D59">
            <w:pPr>
              <w:keepNext/>
              <w:spacing w:before="40" w:after="0" w:line="259" w:lineRule="auto"/>
              <w:jc w:val="both"/>
              <w:rPr>
                <w:rFonts w:ascii="Times New Roman" w:eastAsia="Times New Roman" w:hAnsi="Times New Roman" w:cs="Times New Roman"/>
                <w:bCs/>
                <w:noProof/>
                <w:sz w:val="18"/>
                <w:szCs w:val="18"/>
              </w:rPr>
            </w:pPr>
          </w:p>
        </w:tc>
        <w:tc>
          <w:tcPr>
            <w:tcW w:w="1756" w:type="dxa"/>
            <w:vMerge/>
            <w:tcBorders>
              <w:top w:val="single" w:sz="4" w:space="0" w:color="auto"/>
              <w:left w:val="nil"/>
              <w:bottom w:val="single" w:sz="4" w:space="0" w:color="000000"/>
              <w:right w:val="single" w:sz="4" w:space="0" w:color="auto"/>
            </w:tcBorders>
            <w:vAlign w:val="center"/>
            <w:hideMark/>
          </w:tcPr>
          <w:p w14:paraId="0319A8C0" w14:textId="77777777" w:rsidR="00C45D59" w:rsidRDefault="00C45D59">
            <w:pPr>
              <w:keepNext/>
              <w:spacing w:before="40" w:after="0" w:line="259" w:lineRule="auto"/>
              <w:jc w:val="both"/>
              <w:rPr>
                <w:rFonts w:ascii="Times New Roman" w:eastAsia="Times New Roman" w:hAnsi="Times New Roman" w:cs="Times New Roman"/>
                <w:bCs/>
                <w:noProof/>
                <w:sz w:val="18"/>
                <w:szCs w:val="18"/>
              </w:rPr>
            </w:pPr>
          </w:p>
        </w:tc>
      </w:tr>
      <w:tr w:rsidR="00C45D59" w14:paraId="57F83216" w14:textId="77777777">
        <w:trPr>
          <w:trHeight w:val="302"/>
          <w:jc w:val="center"/>
        </w:trPr>
        <w:tc>
          <w:tcPr>
            <w:tcW w:w="1195" w:type="dxa"/>
            <w:tcBorders>
              <w:top w:val="single" w:sz="4" w:space="0" w:color="auto"/>
              <w:left w:val="single" w:sz="4" w:space="0" w:color="auto"/>
              <w:bottom w:val="single" w:sz="4" w:space="0" w:color="auto"/>
              <w:right w:val="single" w:sz="4" w:space="0" w:color="auto"/>
            </w:tcBorders>
            <w:shd w:val="clear" w:color="000000" w:fill="C6EFCE"/>
            <w:noWrap/>
            <w:vAlign w:val="center"/>
            <w:hideMark/>
          </w:tcPr>
          <w:p w14:paraId="590FE254" w14:textId="77777777" w:rsidR="00C45D59" w:rsidRDefault="009B0962">
            <w:pPr>
              <w:pStyle w:val="P68B1DB1-Normal55"/>
              <w:keepNext/>
              <w:spacing w:before="40" w:after="0" w:line="240" w:lineRule="auto"/>
              <w:jc w:val="both"/>
              <w:rPr>
                <w:rFonts w:eastAsia="Times New Roman" w:cs="Times New Roman"/>
                <w:noProof/>
                <w:szCs w:val="18"/>
              </w:rPr>
            </w:pPr>
            <w:r>
              <w:rPr>
                <w:noProof/>
              </w:rPr>
              <w:t>322</w:t>
            </w:r>
          </w:p>
        </w:tc>
        <w:tc>
          <w:tcPr>
            <w:tcW w:w="4892" w:type="dxa"/>
            <w:tcBorders>
              <w:top w:val="single" w:sz="4" w:space="0" w:color="auto"/>
              <w:left w:val="nil"/>
              <w:bottom w:val="single" w:sz="4" w:space="0" w:color="auto"/>
              <w:right w:val="single" w:sz="4" w:space="0" w:color="auto"/>
            </w:tcBorders>
            <w:shd w:val="clear" w:color="000000" w:fill="C6EFCE"/>
            <w:noWrap/>
            <w:vAlign w:val="center"/>
            <w:hideMark/>
          </w:tcPr>
          <w:p w14:paraId="516AA698"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4.7. Îmbunătățirea competitivității și promovarea investițiilor private și a exporturilor – Mecanismul de împrumut 16980_RRP</w:t>
            </w:r>
          </w:p>
        </w:tc>
        <w:tc>
          <w:tcPr>
            <w:tcW w:w="1692" w:type="dxa"/>
            <w:tcBorders>
              <w:top w:val="single" w:sz="4" w:space="0" w:color="auto"/>
              <w:left w:val="nil"/>
              <w:bottom w:val="single" w:sz="4" w:space="0" w:color="auto"/>
              <w:right w:val="single" w:sz="4" w:space="0" w:color="auto"/>
            </w:tcBorders>
            <w:shd w:val="clear" w:color="000000" w:fill="C6EFCE"/>
            <w:noWrap/>
            <w:vAlign w:val="center"/>
            <w:hideMark/>
          </w:tcPr>
          <w:p w14:paraId="0385E9F7"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Etapă</w:t>
            </w:r>
          </w:p>
        </w:tc>
        <w:tc>
          <w:tcPr>
            <w:tcW w:w="1756" w:type="dxa"/>
            <w:tcBorders>
              <w:top w:val="single" w:sz="4" w:space="0" w:color="auto"/>
              <w:left w:val="nil"/>
              <w:bottom w:val="single" w:sz="4" w:space="0" w:color="auto"/>
              <w:right w:val="single" w:sz="4" w:space="0" w:color="auto"/>
            </w:tcBorders>
            <w:shd w:val="clear" w:color="000000" w:fill="C6EFCE"/>
            <w:noWrap/>
            <w:vAlign w:val="center"/>
            <w:hideMark/>
          </w:tcPr>
          <w:p w14:paraId="436D6CEA"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Contract pentru platforma de capitaluri proprii</w:t>
            </w:r>
          </w:p>
        </w:tc>
      </w:tr>
      <w:tr w:rsidR="00C45D59" w14:paraId="770E3B9B" w14:textId="77777777">
        <w:trPr>
          <w:trHeight w:val="302"/>
          <w:jc w:val="center"/>
        </w:trPr>
        <w:tc>
          <w:tcPr>
            <w:tcW w:w="1195" w:type="dxa"/>
            <w:tcBorders>
              <w:top w:val="nil"/>
              <w:left w:val="single" w:sz="4" w:space="0" w:color="auto"/>
              <w:bottom w:val="single" w:sz="4" w:space="0" w:color="auto"/>
              <w:right w:val="single" w:sz="4" w:space="0" w:color="auto"/>
            </w:tcBorders>
            <w:shd w:val="clear" w:color="000000" w:fill="C6EFCE"/>
            <w:noWrap/>
            <w:vAlign w:val="center"/>
          </w:tcPr>
          <w:p w14:paraId="67A6511A" w14:textId="77777777" w:rsidR="00C45D59" w:rsidRDefault="009B0962">
            <w:pPr>
              <w:pStyle w:val="P68B1DB1-Normal55"/>
              <w:keepNext/>
              <w:spacing w:before="40" w:after="0" w:line="240" w:lineRule="auto"/>
              <w:jc w:val="both"/>
              <w:rPr>
                <w:rFonts w:eastAsia="Times New Roman" w:cs="Times New Roman"/>
                <w:noProof/>
                <w:szCs w:val="18"/>
              </w:rPr>
            </w:pPr>
            <w:r>
              <w:rPr>
                <w:noProof/>
              </w:rPr>
              <w:t>323</w:t>
            </w:r>
          </w:p>
        </w:tc>
        <w:tc>
          <w:tcPr>
            <w:tcW w:w="4892" w:type="dxa"/>
            <w:tcBorders>
              <w:top w:val="nil"/>
              <w:left w:val="nil"/>
              <w:bottom w:val="single" w:sz="4" w:space="0" w:color="auto"/>
              <w:right w:val="single" w:sz="4" w:space="0" w:color="auto"/>
            </w:tcBorders>
            <w:shd w:val="clear" w:color="000000" w:fill="C6EFCE"/>
            <w:noWrap/>
            <w:vAlign w:val="center"/>
          </w:tcPr>
          <w:p w14:paraId="72824DD9"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4.7. Îmbunătățirea competitivității și promovarea investițiilor private și a exporturilor – Mecanismul de împrumut 16980_RRP</w:t>
            </w:r>
          </w:p>
        </w:tc>
        <w:tc>
          <w:tcPr>
            <w:tcW w:w="1692" w:type="dxa"/>
            <w:tcBorders>
              <w:top w:val="nil"/>
              <w:left w:val="nil"/>
              <w:bottom w:val="single" w:sz="4" w:space="0" w:color="auto"/>
              <w:right w:val="single" w:sz="4" w:space="0" w:color="auto"/>
            </w:tcBorders>
            <w:shd w:val="clear" w:color="000000" w:fill="C6EFCE"/>
            <w:noWrap/>
            <w:vAlign w:val="center"/>
          </w:tcPr>
          <w:p w14:paraId="0BF18442"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Etapă</w:t>
            </w:r>
          </w:p>
        </w:tc>
        <w:tc>
          <w:tcPr>
            <w:tcW w:w="1756" w:type="dxa"/>
            <w:tcBorders>
              <w:top w:val="nil"/>
              <w:left w:val="nil"/>
              <w:bottom w:val="single" w:sz="4" w:space="0" w:color="auto"/>
              <w:right w:val="single" w:sz="4" w:space="0" w:color="auto"/>
            </w:tcBorders>
            <w:shd w:val="clear" w:color="000000" w:fill="C6EFCE"/>
            <w:noWrap/>
            <w:vAlign w:val="center"/>
          </w:tcPr>
          <w:p w14:paraId="4B6B865B"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Acordul de contribuție InvestEU</w:t>
            </w:r>
          </w:p>
        </w:tc>
      </w:tr>
      <w:tr w:rsidR="00C45D59" w14:paraId="0DF5962B" w14:textId="77777777">
        <w:trPr>
          <w:trHeight w:val="302"/>
          <w:jc w:val="center"/>
        </w:trPr>
        <w:tc>
          <w:tcPr>
            <w:tcW w:w="1195" w:type="dxa"/>
            <w:tcBorders>
              <w:top w:val="nil"/>
              <w:left w:val="single" w:sz="4" w:space="0" w:color="auto"/>
              <w:bottom w:val="single" w:sz="4" w:space="0" w:color="auto"/>
              <w:right w:val="single" w:sz="4" w:space="0" w:color="auto"/>
            </w:tcBorders>
            <w:shd w:val="clear" w:color="000000" w:fill="C6EFCE"/>
            <w:noWrap/>
            <w:vAlign w:val="center"/>
          </w:tcPr>
          <w:p w14:paraId="78118E62" w14:textId="77777777" w:rsidR="00C45D59" w:rsidRDefault="009B0962">
            <w:pPr>
              <w:pStyle w:val="P68B1DB1-Normal55"/>
              <w:keepNext/>
              <w:spacing w:before="40" w:after="0" w:line="240" w:lineRule="auto"/>
              <w:jc w:val="both"/>
              <w:rPr>
                <w:rFonts w:eastAsia="Times New Roman" w:cs="Times New Roman"/>
                <w:noProof/>
                <w:szCs w:val="18"/>
              </w:rPr>
            </w:pPr>
            <w:r>
              <w:rPr>
                <w:noProof/>
              </w:rPr>
              <w:t>324</w:t>
            </w:r>
          </w:p>
        </w:tc>
        <w:tc>
          <w:tcPr>
            <w:tcW w:w="4892" w:type="dxa"/>
            <w:tcBorders>
              <w:top w:val="nil"/>
              <w:left w:val="nil"/>
              <w:bottom w:val="single" w:sz="4" w:space="0" w:color="auto"/>
              <w:right w:val="single" w:sz="4" w:space="0" w:color="auto"/>
            </w:tcBorders>
            <w:shd w:val="clear" w:color="000000" w:fill="C6EFCE"/>
            <w:noWrap/>
            <w:vAlign w:val="center"/>
          </w:tcPr>
          <w:p w14:paraId="54904727"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4.7. Îmbunătățirea competitivității și promovarea investițiilor private și a exporturilor – Mecanismul de împrumut 16980_RRP</w:t>
            </w:r>
          </w:p>
        </w:tc>
        <w:tc>
          <w:tcPr>
            <w:tcW w:w="1692" w:type="dxa"/>
            <w:tcBorders>
              <w:top w:val="nil"/>
              <w:left w:val="nil"/>
              <w:bottom w:val="single" w:sz="4" w:space="0" w:color="auto"/>
              <w:right w:val="single" w:sz="4" w:space="0" w:color="auto"/>
            </w:tcBorders>
            <w:shd w:val="clear" w:color="000000" w:fill="C6EFCE"/>
            <w:noWrap/>
            <w:vAlign w:val="center"/>
          </w:tcPr>
          <w:p w14:paraId="3E067F41"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Țintă</w:t>
            </w:r>
          </w:p>
        </w:tc>
        <w:tc>
          <w:tcPr>
            <w:tcW w:w="1756" w:type="dxa"/>
            <w:tcBorders>
              <w:top w:val="nil"/>
              <w:left w:val="nil"/>
              <w:bottom w:val="single" w:sz="4" w:space="0" w:color="auto"/>
              <w:right w:val="single" w:sz="4" w:space="0" w:color="auto"/>
            </w:tcBorders>
            <w:shd w:val="clear" w:color="000000" w:fill="C6EFCE"/>
            <w:noWrap/>
            <w:vAlign w:val="center"/>
          </w:tcPr>
          <w:p w14:paraId="1A4CC385"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Fonduri ale instituțiilor financiare semnate cu beneficiarii finali în valoare de 586.4 de milioane EUR</w:t>
            </w:r>
          </w:p>
        </w:tc>
      </w:tr>
      <w:tr w:rsidR="00C45D59" w14:paraId="0FE25045" w14:textId="77777777">
        <w:trPr>
          <w:trHeight w:val="302"/>
          <w:jc w:val="center"/>
        </w:trPr>
        <w:tc>
          <w:tcPr>
            <w:tcW w:w="1195"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218EA2B9" w14:textId="77777777" w:rsidR="00C45D59" w:rsidRDefault="00C45D59">
            <w:pPr>
              <w:keepNext/>
              <w:spacing w:before="40" w:after="0" w:line="259" w:lineRule="auto"/>
              <w:jc w:val="both"/>
              <w:rPr>
                <w:rFonts w:ascii="Times New Roman" w:eastAsia="Times New Roman" w:hAnsi="Times New Roman" w:cs="Times New Roman"/>
                <w:bCs/>
                <w:noProof/>
                <w:sz w:val="18"/>
                <w:szCs w:val="18"/>
              </w:rPr>
            </w:pPr>
          </w:p>
        </w:tc>
        <w:tc>
          <w:tcPr>
            <w:tcW w:w="4892" w:type="dxa"/>
            <w:tcBorders>
              <w:top w:val="single" w:sz="4" w:space="0" w:color="auto"/>
              <w:left w:val="nil"/>
              <w:bottom w:val="single" w:sz="4" w:space="0" w:color="auto"/>
              <w:right w:val="single" w:sz="4" w:space="0" w:color="auto"/>
            </w:tcBorders>
            <w:shd w:val="clear" w:color="auto" w:fill="C6EFCE"/>
            <w:noWrap/>
            <w:vAlign w:val="bottom"/>
          </w:tcPr>
          <w:p w14:paraId="78056866" w14:textId="77777777" w:rsidR="00C45D59" w:rsidRDefault="00C45D59">
            <w:pPr>
              <w:keepNext/>
              <w:spacing w:before="40" w:after="0" w:line="259" w:lineRule="auto"/>
              <w:jc w:val="both"/>
              <w:rPr>
                <w:rFonts w:ascii="Times New Roman" w:eastAsia="Times New Roman" w:hAnsi="Times New Roman" w:cs="Times New Roman"/>
                <w:bCs/>
                <w:noProof/>
                <w:sz w:val="18"/>
                <w:szCs w:val="18"/>
              </w:rPr>
            </w:pPr>
          </w:p>
        </w:tc>
        <w:tc>
          <w:tcPr>
            <w:tcW w:w="1692" w:type="dxa"/>
            <w:tcBorders>
              <w:top w:val="single" w:sz="4" w:space="0" w:color="auto"/>
              <w:left w:val="nil"/>
              <w:bottom w:val="single" w:sz="4" w:space="0" w:color="auto"/>
              <w:right w:val="single" w:sz="4" w:space="0" w:color="auto"/>
            </w:tcBorders>
            <w:shd w:val="clear" w:color="auto" w:fill="C6EFCE"/>
            <w:noWrap/>
            <w:vAlign w:val="bottom"/>
          </w:tcPr>
          <w:p w14:paraId="0282FF0E" w14:textId="77777777" w:rsidR="00C45D59" w:rsidRDefault="009B0962">
            <w:pPr>
              <w:pStyle w:val="P68B1DB1-Normal55"/>
              <w:keepNext/>
              <w:spacing w:before="40" w:after="0" w:line="259" w:lineRule="auto"/>
              <w:jc w:val="both"/>
              <w:rPr>
                <w:rFonts w:eastAsia="Times New Roman" w:cs="Times New Roman"/>
                <w:noProof/>
                <w:szCs w:val="18"/>
              </w:rPr>
            </w:pPr>
            <w:r>
              <w:rPr>
                <w:noProof/>
              </w:rPr>
              <w:t>Cuantumul tranșei</w:t>
            </w:r>
          </w:p>
        </w:tc>
        <w:tc>
          <w:tcPr>
            <w:tcW w:w="1756" w:type="dxa"/>
            <w:tcBorders>
              <w:top w:val="single" w:sz="4" w:space="0" w:color="auto"/>
              <w:left w:val="nil"/>
              <w:bottom w:val="single" w:sz="4" w:space="0" w:color="auto"/>
              <w:right w:val="single" w:sz="4" w:space="0" w:color="auto"/>
            </w:tcBorders>
            <w:shd w:val="clear" w:color="auto" w:fill="C6EFCE"/>
            <w:noWrap/>
            <w:vAlign w:val="bottom"/>
          </w:tcPr>
          <w:p w14:paraId="767F6212" w14:textId="77777777" w:rsidR="00C45D59" w:rsidRDefault="009B0962">
            <w:pPr>
              <w:pStyle w:val="P68B1DB1-Normal55"/>
              <w:keepNext/>
              <w:spacing w:before="40" w:after="0" w:line="259" w:lineRule="auto"/>
              <w:jc w:val="both"/>
              <w:rPr>
                <w:rFonts w:eastAsia="Times New Roman" w:cs="Times New Roman"/>
                <w:noProof/>
                <w:szCs w:val="18"/>
              </w:rPr>
            </w:pPr>
            <w:r>
              <w:rPr>
                <w:noProof/>
              </w:rPr>
              <w:t>2 121 256 487 MIL.</w:t>
            </w:r>
          </w:p>
        </w:tc>
      </w:tr>
    </w:tbl>
    <w:p w14:paraId="782E17B1" w14:textId="77777777" w:rsidR="00C45D59" w:rsidRDefault="00C45D59">
      <w:pPr>
        <w:keepNext/>
        <w:spacing w:before="40" w:after="160" w:line="259" w:lineRule="auto"/>
        <w:contextualSpacing/>
        <w:jc w:val="both"/>
        <w:rPr>
          <w:rFonts w:ascii="Times New Roman" w:eastAsia="Times New Roman" w:hAnsi="Times New Roman" w:cs="Times New Roman"/>
          <w:noProof/>
          <w:sz w:val="24"/>
        </w:rPr>
      </w:pPr>
    </w:p>
    <w:p w14:paraId="1B4FDD16" w14:textId="77777777" w:rsidR="00C45D59" w:rsidRDefault="00C45D59">
      <w:pPr>
        <w:keepNext/>
        <w:numPr>
          <w:ilvl w:val="1"/>
          <w:numId w:val="106"/>
        </w:numPr>
        <w:spacing w:before="40" w:after="160" w:line="259" w:lineRule="auto"/>
        <w:ind w:left="0"/>
        <w:contextualSpacing/>
        <w:jc w:val="both"/>
        <w:rPr>
          <w:rFonts w:ascii="Times New Roman" w:hAnsi="Times New Roman"/>
          <w:noProof/>
          <w:sz w:val="24"/>
        </w:rPr>
        <w:sectPr w:rsidR="00C45D59">
          <w:headerReference w:type="even" r:id="rId450"/>
          <w:headerReference w:type="default" r:id="rId451"/>
          <w:footerReference w:type="even" r:id="rId452"/>
          <w:footerReference w:type="default" r:id="rId453"/>
          <w:headerReference w:type="first" r:id="rId454"/>
          <w:footerReference w:type="first" r:id="rId455"/>
          <w:pgSz w:w="11906" w:h="16838"/>
          <w:pgMar w:top="1134" w:right="1134" w:bottom="1134" w:left="1134" w:header="567" w:footer="567" w:gutter="0"/>
          <w:cols w:space="708"/>
          <w:docGrid w:linePitch="360"/>
        </w:sectPr>
      </w:pPr>
    </w:p>
    <w:p w14:paraId="61E14B2A" w14:textId="77777777" w:rsidR="00C45D59" w:rsidRDefault="009B0962">
      <w:pPr>
        <w:pStyle w:val="P68B1DB1-Normal5"/>
        <w:keepNext/>
        <w:numPr>
          <w:ilvl w:val="1"/>
          <w:numId w:val="106"/>
        </w:numPr>
        <w:spacing w:before="40" w:after="160" w:line="259" w:lineRule="auto"/>
        <w:ind w:left="0"/>
        <w:contextualSpacing/>
        <w:jc w:val="both"/>
        <w:rPr>
          <w:rFonts w:eastAsia="Times New Roman" w:cs="Times New Roman"/>
          <w:noProof/>
        </w:rPr>
      </w:pPr>
      <w:r>
        <w:rPr>
          <w:noProof/>
        </w:rPr>
        <w:t xml:space="preserve"> A treia cerere de plată (sprijin sub formă de împrumut): </w:t>
      </w:r>
    </w:p>
    <w:tbl>
      <w:tblPr>
        <w:tblW w:w="9535" w:type="dxa"/>
        <w:jc w:val="center"/>
        <w:tblLook w:val="04A0" w:firstRow="1" w:lastRow="0" w:firstColumn="1" w:lastColumn="0" w:noHBand="0" w:noVBand="1"/>
      </w:tblPr>
      <w:tblGrid>
        <w:gridCol w:w="704"/>
        <w:gridCol w:w="5383"/>
        <w:gridCol w:w="1692"/>
        <w:gridCol w:w="1756"/>
      </w:tblGrid>
      <w:tr w:rsidR="00C45D59" w14:paraId="541594BB" w14:textId="77777777">
        <w:trPr>
          <w:trHeight w:val="906"/>
          <w:jc w:val="center"/>
        </w:trPr>
        <w:tc>
          <w:tcPr>
            <w:tcW w:w="704"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1B0D709D" w14:textId="016896D0" w:rsidR="00C45D59" w:rsidRPr="001D5265" w:rsidRDefault="009B0962" w:rsidP="001D5265">
            <w:pPr>
              <w:pStyle w:val="P68B1DB1-Normal15"/>
              <w:keepNext/>
              <w:spacing w:before="40" w:after="0" w:line="259" w:lineRule="auto"/>
              <w:jc w:val="center"/>
              <w:rPr>
                <w:noProof/>
              </w:rPr>
            </w:pPr>
            <w:r>
              <w:rPr>
                <w:noProof/>
              </w:rPr>
              <w:t>N</w:t>
            </w:r>
            <w:r w:rsidR="001D5265">
              <w:rPr>
                <w:noProof/>
              </w:rPr>
              <w:t>r. crt</w:t>
            </w:r>
            <w:r>
              <w:rPr>
                <w:noProof/>
              </w:rPr>
              <w:t>.</w:t>
            </w:r>
          </w:p>
        </w:tc>
        <w:tc>
          <w:tcPr>
            <w:tcW w:w="5383"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6DA5EF27" w14:textId="77777777" w:rsidR="00C45D59" w:rsidRDefault="009B0962">
            <w:pPr>
              <w:pStyle w:val="P68B1DB1-Normal10"/>
              <w:keepNext/>
              <w:spacing w:before="40" w:after="0" w:line="259" w:lineRule="auto"/>
              <w:jc w:val="center"/>
              <w:rPr>
                <w:rFonts w:eastAsia="Times New Roman" w:cs="Times New Roman"/>
                <w:bCs/>
                <w:noProof/>
                <w:szCs w:val="18"/>
              </w:rPr>
            </w:pPr>
            <w:r>
              <w:rPr>
                <w:noProof/>
              </w:rPr>
              <w:t>Măsură conexă (reformă sau investiții)</w:t>
            </w:r>
          </w:p>
        </w:tc>
        <w:tc>
          <w:tcPr>
            <w:tcW w:w="1692"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11D4AD3F" w14:textId="77777777" w:rsidR="00C45D59" w:rsidRDefault="009B0962">
            <w:pPr>
              <w:pStyle w:val="P68B1DB1-Normal10"/>
              <w:keepNext/>
              <w:spacing w:before="40" w:after="0" w:line="259" w:lineRule="auto"/>
              <w:jc w:val="center"/>
              <w:rPr>
                <w:rFonts w:eastAsia="Times New Roman" w:cs="Times New Roman"/>
                <w:bCs/>
                <w:noProof/>
                <w:szCs w:val="18"/>
              </w:rPr>
            </w:pPr>
            <w:r>
              <w:rPr>
                <w:noProof/>
              </w:rPr>
              <w:t>Etapă/Obiectiv</w:t>
            </w:r>
          </w:p>
        </w:tc>
        <w:tc>
          <w:tcPr>
            <w:tcW w:w="1756" w:type="dxa"/>
            <w:vMerge w:val="restart"/>
            <w:tcBorders>
              <w:top w:val="single" w:sz="4" w:space="0" w:color="auto"/>
              <w:left w:val="nil"/>
              <w:bottom w:val="single" w:sz="4" w:space="0" w:color="000000"/>
              <w:right w:val="single" w:sz="4" w:space="0" w:color="auto"/>
            </w:tcBorders>
            <w:shd w:val="clear" w:color="auto" w:fill="BDD7EE"/>
            <w:vAlign w:val="center"/>
            <w:hideMark/>
          </w:tcPr>
          <w:p w14:paraId="270709F4" w14:textId="39B79183" w:rsidR="00C45D59" w:rsidRDefault="001D5265">
            <w:pPr>
              <w:pStyle w:val="P68B1DB1-Normal10"/>
              <w:keepNext/>
              <w:spacing w:before="40" w:after="0" w:line="259" w:lineRule="auto"/>
              <w:jc w:val="center"/>
              <w:rPr>
                <w:rFonts w:eastAsia="Times New Roman" w:cs="Times New Roman"/>
                <w:bCs/>
                <w:noProof/>
                <w:szCs w:val="18"/>
              </w:rPr>
            </w:pPr>
            <w:r>
              <w:rPr>
                <w:noProof/>
              </w:rPr>
              <w:t>Denumire</w:t>
            </w:r>
          </w:p>
        </w:tc>
      </w:tr>
      <w:tr w:rsidR="00C45D59" w14:paraId="2C4C7047" w14:textId="77777777">
        <w:trPr>
          <w:trHeight w:val="343"/>
          <w:jc w:val="center"/>
        </w:trPr>
        <w:tc>
          <w:tcPr>
            <w:tcW w:w="704" w:type="dxa"/>
            <w:vMerge/>
            <w:tcBorders>
              <w:top w:val="single" w:sz="4" w:space="0" w:color="auto"/>
              <w:left w:val="single" w:sz="4" w:space="0" w:color="auto"/>
              <w:bottom w:val="single" w:sz="4" w:space="0" w:color="000000"/>
              <w:right w:val="single" w:sz="4" w:space="0" w:color="auto"/>
            </w:tcBorders>
            <w:vAlign w:val="center"/>
            <w:hideMark/>
          </w:tcPr>
          <w:p w14:paraId="5AF7A186" w14:textId="77777777" w:rsidR="00C45D59" w:rsidRDefault="00C45D59">
            <w:pPr>
              <w:keepNext/>
              <w:spacing w:before="40" w:after="0" w:line="259" w:lineRule="auto"/>
              <w:jc w:val="both"/>
              <w:rPr>
                <w:rFonts w:ascii="Times New Roman" w:eastAsia="Times New Roman" w:hAnsi="Times New Roman" w:cs="Times New Roman"/>
                <w:bCs/>
                <w:noProof/>
                <w:sz w:val="18"/>
                <w:szCs w:val="18"/>
              </w:rPr>
            </w:pPr>
          </w:p>
        </w:tc>
        <w:tc>
          <w:tcPr>
            <w:tcW w:w="5383" w:type="dxa"/>
            <w:vMerge/>
            <w:tcBorders>
              <w:top w:val="single" w:sz="4" w:space="0" w:color="auto"/>
              <w:left w:val="single" w:sz="4" w:space="0" w:color="auto"/>
              <w:bottom w:val="single" w:sz="4" w:space="0" w:color="000000"/>
              <w:right w:val="single" w:sz="4" w:space="0" w:color="auto"/>
            </w:tcBorders>
            <w:vAlign w:val="center"/>
            <w:hideMark/>
          </w:tcPr>
          <w:p w14:paraId="68FC787B" w14:textId="77777777" w:rsidR="00C45D59" w:rsidRDefault="00C45D59">
            <w:pPr>
              <w:keepNext/>
              <w:spacing w:before="40" w:after="0" w:line="259" w:lineRule="auto"/>
              <w:jc w:val="both"/>
              <w:rPr>
                <w:rFonts w:ascii="Times New Roman" w:eastAsia="Times New Roman" w:hAnsi="Times New Roman" w:cs="Times New Roman"/>
                <w:bCs/>
                <w:noProof/>
                <w:sz w:val="18"/>
                <w:szCs w:val="18"/>
              </w:rPr>
            </w:pPr>
          </w:p>
        </w:tc>
        <w:tc>
          <w:tcPr>
            <w:tcW w:w="1692" w:type="dxa"/>
            <w:vMerge/>
            <w:tcBorders>
              <w:top w:val="single" w:sz="4" w:space="0" w:color="auto"/>
              <w:left w:val="single" w:sz="4" w:space="0" w:color="auto"/>
              <w:bottom w:val="single" w:sz="4" w:space="0" w:color="000000"/>
              <w:right w:val="single" w:sz="4" w:space="0" w:color="auto"/>
            </w:tcBorders>
            <w:vAlign w:val="center"/>
            <w:hideMark/>
          </w:tcPr>
          <w:p w14:paraId="38A6E89E" w14:textId="77777777" w:rsidR="00C45D59" w:rsidRDefault="00C45D59">
            <w:pPr>
              <w:keepNext/>
              <w:spacing w:before="40" w:after="0" w:line="259" w:lineRule="auto"/>
              <w:jc w:val="both"/>
              <w:rPr>
                <w:rFonts w:ascii="Times New Roman" w:eastAsia="Times New Roman" w:hAnsi="Times New Roman" w:cs="Times New Roman"/>
                <w:bCs/>
                <w:noProof/>
                <w:sz w:val="18"/>
                <w:szCs w:val="18"/>
              </w:rPr>
            </w:pPr>
          </w:p>
        </w:tc>
        <w:tc>
          <w:tcPr>
            <w:tcW w:w="1756" w:type="dxa"/>
            <w:vMerge/>
            <w:tcBorders>
              <w:top w:val="single" w:sz="4" w:space="0" w:color="auto"/>
              <w:left w:val="nil"/>
              <w:bottom w:val="single" w:sz="4" w:space="0" w:color="000000"/>
              <w:right w:val="single" w:sz="4" w:space="0" w:color="auto"/>
            </w:tcBorders>
            <w:vAlign w:val="center"/>
            <w:hideMark/>
          </w:tcPr>
          <w:p w14:paraId="7636B862" w14:textId="77777777" w:rsidR="00C45D59" w:rsidRDefault="00C45D59">
            <w:pPr>
              <w:keepNext/>
              <w:spacing w:before="40" w:after="0" w:line="259" w:lineRule="auto"/>
              <w:jc w:val="both"/>
              <w:rPr>
                <w:rFonts w:ascii="Times New Roman" w:eastAsia="Times New Roman" w:hAnsi="Times New Roman" w:cs="Times New Roman"/>
                <w:bCs/>
                <w:noProof/>
                <w:sz w:val="18"/>
                <w:szCs w:val="18"/>
              </w:rPr>
            </w:pPr>
          </w:p>
        </w:tc>
      </w:tr>
      <w:tr w:rsidR="00C45D59" w14:paraId="6927BD9C" w14:textId="77777777">
        <w:trPr>
          <w:trHeight w:val="302"/>
          <w:jc w:val="center"/>
        </w:trPr>
        <w:tc>
          <w:tcPr>
            <w:tcW w:w="704" w:type="dxa"/>
            <w:tcBorders>
              <w:top w:val="single" w:sz="4" w:space="0" w:color="auto"/>
              <w:left w:val="single" w:sz="4" w:space="0" w:color="auto"/>
              <w:bottom w:val="single" w:sz="4" w:space="0" w:color="auto"/>
              <w:right w:val="single" w:sz="4" w:space="0" w:color="auto"/>
            </w:tcBorders>
            <w:shd w:val="clear" w:color="000000" w:fill="C6EFCE"/>
            <w:noWrap/>
            <w:vAlign w:val="center"/>
            <w:hideMark/>
          </w:tcPr>
          <w:p w14:paraId="0B7C2432" w14:textId="77777777" w:rsidR="00C45D59" w:rsidRDefault="009B0962">
            <w:pPr>
              <w:pStyle w:val="P68B1DB1-Normal55"/>
              <w:keepNext/>
              <w:spacing w:before="40" w:after="0" w:line="240" w:lineRule="auto"/>
              <w:jc w:val="both"/>
              <w:rPr>
                <w:rFonts w:eastAsia="Times New Roman" w:cs="Times New Roman"/>
                <w:noProof/>
                <w:szCs w:val="18"/>
              </w:rPr>
            </w:pPr>
            <w:r>
              <w:rPr>
                <w:noProof/>
              </w:rPr>
              <w:t>325</w:t>
            </w:r>
          </w:p>
        </w:tc>
        <w:tc>
          <w:tcPr>
            <w:tcW w:w="5383" w:type="dxa"/>
            <w:tcBorders>
              <w:top w:val="single" w:sz="4" w:space="0" w:color="auto"/>
              <w:left w:val="nil"/>
              <w:bottom w:val="single" w:sz="4" w:space="0" w:color="auto"/>
              <w:right w:val="single" w:sz="4" w:space="0" w:color="auto"/>
            </w:tcBorders>
            <w:shd w:val="clear" w:color="000000" w:fill="C6EFCE"/>
            <w:noWrap/>
            <w:vAlign w:val="center"/>
            <w:hideMark/>
          </w:tcPr>
          <w:p w14:paraId="348541D2"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4.7. Îmbunătățirea competitivității și promovarea investițiilor private și a exporturilor – Mecanismul de împrumut 16980_RRP</w:t>
            </w:r>
          </w:p>
        </w:tc>
        <w:tc>
          <w:tcPr>
            <w:tcW w:w="1692" w:type="dxa"/>
            <w:tcBorders>
              <w:top w:val="single" w:sz="4" w:space="0" w:color="auto"/>
              <w:left w:val="nil"/>
              <w:bottom w:val="single" w:sz="4" w:space="0" w:color="auto"/>
              <w:right w:val="single" w:sz="4" w:space="0" w:color="auto"/>
            </w:tcBorders>
            <w:shd w:val="clear" w:color="000000" w:fill="C6EFCE"/>
            <w:noWrap/>
            <w:vAlign w:val="center"/>
            <w:hideMark/>
          </w:tcPr>
          <w:p w14:paraId="773ADCD8"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Țintă</w:t>
            </w:r>
          </w:p>
        </w:tc>
        <w:tc>
          <w:tcPr>
            <w:tcW w:w="1756" w:type="dxa"/>
            <w:tcBorders>
              <w:top w:val="single" w:sz="4" w:space="0" w:color="auto"/>
              <w:left w:val="nil"/>
              <w:bottom w:val="single" w:sz="4" w:space="0" w:color="auto"/>
              <w:right w:val="single" w:sz="4" w:space="0" w:color="auto"/>
            </w:tcBorders>
            <w:shd w:val="clear" w:color="000000" w:fill="C6EFCE"/>
            <w:noWrap/>
            <w:vAlign w:val="center"/>
            <w:hideMark/>
          </w:tcPr>
          <w:p w14:paraId="28373638"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Fonduri ale instituțiilor financiare semnate cu beneficiarii finali în valoare de 3 518.4 de milioane EUR</w:t>
            </w:r>
          </w:p>
        </w:tc>
      </w:tr>
      <w:tr w:rsidR="00C45D59" w14:paraId="30ECAEC4" w14:textId="77777777">
        <w:trPr>
          <w:trHeight w:val="302"/>
          <w:jc w:val="center"/>
        </w:trPr>
        <w:tc>
          <w:tcPr>
            <w:tcW w:w="704"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34A1FD83" w14:textId="77777777" w:rsidR="00C45D59" w:rsidRDefault="00C45D59">
            <w:pPr>
              <w:keepNext/>
              <w:spacing w:before="40" w:after="0" w:line="259" w:lineRule="auto"/>
              <w:jc w:val="both"/>
              <w:rPr>
                <w:rFonts w:ascii="Times New Roman" w:eastAsia="Times New Roman" w:hAnsi="Times New Roman" w:cs="Times New Roman"/>
                <w:bCs/>
                <w:noProof/>
                <w:sz w:val="18"/>
                <w:szCs w:val="18"/>
              </w:rPr>
            </w:pPr>
          </w:p>
        </w:tc>
        <w:tc>
          <w:tcPr>
            <w:tcW w:w="5383" w:type="dxa"/>
            <w:tcBorders>
              <w:top w:val="single" w:sz="4" w:space="0" w:color="auto"/>
              <w:left w:val="nil"/>
              <w:bottom w:val="single" w:sz="4" w:space="0" w:color="auto"/>
              <w:right w:val="single" w:sz="4" w:space="0" w:color="auto"/>
            </w:tcBorders>
            <w:shd w:val="clear" w:color="auto" w:fill="C6EFCE"/>
            <w:noWrap/>
            <w:vAlign w:val="bottom"/>
          </w:tcPr>
          <w:p w14:paraId="45875D63" w14:textId="77777777" w:rsidR="00C45D59" w:rsidRDefault="00C45D59">
            <w:pPr>
              <w:keepNext/>
              <w:spacing w:before="40" w:after="0" w:line="240" w:lineRule="auto"/>
              <w:jc w:val="both"/>
              <w:rPr>
                <w:rFonts w:ascii="Times New Roman" w:eastAsia="Times New Roman" w:hAnsi="Times New Roman" w:cs="Times New Roman"/>
                <w:bCs/>
                <w:noProof/>
                <w:sz w:val="18"/>
                <w:szCs w:val="18"/>
              </w:rPr>
            </w:pPr>
          </w:p>
        </w:tc>
        <w:tc>
          <w:tcPr>
            <w:tcW w:w="1692" w:type="dxa"/>
            <w:tcBorders>
              <w:top w:val="single" w:sz="4" w:space="0" w:color="auto"/>
              <w:left w:val="nil"/>
              <w:bottom w:val="single" w:sz="4" w:space="0" w:color="auto"/>
              <w:right w:val="single" w:sz="4" w:space="0" w:color="auto"/>
            </w:tcBorders>
            <w:shd w:val="clear" w:color="auto" w:fill="C6EFCE"/>
            <w:noWrap/>
            <w:vAlign w:val="bottom"/>
          </w:tcPr>
          <w:p w14:paraId="75166DC9" w14:textId="77777777" w:rsidR="00C45D59" w:rsidRDefault="009B0962">
            <w:pPr>
              <w:pStyle w:val="P68B1DB1-Normal55"/>
              <w:keepNext/>
              <w:spacing w:before="40" w:after="0" w:line="240" w:lineRule="auto"/>
              <w:jc w:val="both"/>
              <w:rPr>
                <w:rFonts w:eastAsia="Times New Roman" w:cs="Times New Roman"/>
                <w:noProof/>
                <w:szCs w:val="18"/>
              </w:rPr>
            </w:pPr>
            <w:r>
              <w:rPr>
                <w:noProof/>
              </w:rPr>
              <w:t>Cuantumul tranșei</w:t>
            </w:r>
          </w:p>
        </w:tc>
        <w:tc>
          <w:tcPr>
            <w:tcW w:w="1756" w:type="dxa"/>
            <w:tcBorders>
              <w:top w:val="single" w:sz="4" w:space="0" w:color="auto"/>
              <w:left w:val="nil"/>
              <w:bottom w:val="single" w:sz="4" w:space="0" w:color="auto"/>
              <w:right w:val="single" w:sz="4" w:space="0" w:color="auto"/>
            </w:tcBorders>
            <w:shd w:val="clear" w:color="auto" w:fill="C6EFCE"/>
            <w:noWrap/>
            <w:vAlign w:val="bottom"/>
          </w:tcPr>
          <w:p w14:paraId="787EBB84" w14:textId="77777777" w:rsidR="00C45D59" w:rsidRDefault="009B0962">
            <w:pPr>
              <w:pStyle w:val="P68B1DB1-Normal55"/>
              <w:keepNext/>
              <w:spacing w:before="40" w:after="0" w:line="240" w:lineRule="auto"/>
              <w:jc w:val="both"/>
              <w:rPr>
                <w:rFonts w:eastAsia="Times New Roman" w:cs="Times New Roman"/>
                <w:noProof/>
                <w:szCs w:val="18"/>
              </w:rPr>
            </w:pPr>
            <w:r>
              <w:rPr>
                <w:noProof/>
              </w:rPr>
              <w:t>2 121 256 487 MIL.</w:t>
            </w:r>
          </w:p>
        </w:tc>
      </w:tr>
    </w:tbl>
    <w:p w14:paraId="02F959C4" w14:textId="77777777" w:rsidR="00C45D59" w:rsidRDefault="00C45D59">
      <w:pPr>
        <w:keepNext/>
        <w:spacing w:before="40" w:after="0" w:line="259" w:lineRule="auto"/>
        <w:jc w:val="both"/>
        <w:rPr>
          <w:rFonts w:ascii="Times New Roman" w:eastAsia="Times New Roman" w:hAnsi="Times New Roman" w:cs="Times New Roman"/>
          <w:bCs/>
          <w:noProof/>
          <w:sz w:val="24"/>
          <w:szCs w:val="26"/>
        </w:rPr>
      </w:pPr>
    </w:p>
    <w:p w14:paraId="32F56F66" w14:textId="77777777" w:rsidR="00C45D59" w:rsidRDefault="009B0962">
      <w:pPr>
        <w:pStyle w:val="P68B1DB1-Normal5"/>
        <w:keepNext/>
        <w:numPr>
          <w:ilvl w:val="1"/>
          <w:numId w:val="106"/>
        </w:numPr>
        <w:spacing w:before="40" w:after="160" w:line="259" w:lineRule="auto"/>
        <w:ind w:left="0"/>
        <w:contextualSpacing/>
        <w:jc w:val="both"/>
        <w:rPr>
          <w:rFonts w:eastAsia="Times New Roman" w:cs="Times New Roman"/>
          <w:noProof/>
        </w:rPr>
      </w:pPr>
      <w:r>
        <w:rPr>
          <w:noProof/>
        </w:rPr>
        <w:t xml:space="preserve">A patra cerere de plată (sprijin sub formă de împrumut): </w:t>
      </w:r>
    </w:p>
    <w:tbl>
      <w:tblPr>
        <w:tblW w:w="9535" w:type="dxa"/>
        <w:jc w:val="center"/>
        <w:tblLayout w:type="fixed"/>
        <w:tblLook w:val="04A0" w:firstRow="1" w:lastRow="0" w:firstColumn="1" w:lastColumn="0" w:noHBand="0" w:noVBand="1"/>
      </w:tblPr>
      <w:tblGrid>
        <w:gridCol w:w="704"/>
        <w:gridCol w:w="5383"/>
        <w:gridCol w:w="1692"/>
        <w:gridCol w:w="1756"/>
      </w:tblGrid>
      <w:tr w:rsidR="00C45D59" w14:paraId="7E9DD2B3" w14:textId="77777777">
        <w:trPr>
          <w:trHeight w:val="906"/>
          <w:jc w:val="center"/>
        </w:trPr>
        <w:tc>
          <w:tcPr>
            <w:tcW w:w="704"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0CBF6291" w14:textId="741A538D" w:rsidR="00C45D59" w:rsidRDefault="009B0962">
            <w:pPr>
              <w:pStyle w:val="P68B1DB1-Normal15"/>
              <w:keepNext/>
              <w:spacing w:before="40" w:after="0" w:line="259" w:lineRule="auto"/>
              <w:jc w:val="center"/>
              <w:rPr>
                <w:rFonts w:eastAsia="Times New Roman"/>
                <w:noProof/>
              </w:rPr>
            </w:pPr>
            <w:bookmarkStart w:id="9" w:name="_Hlk150347477"/>
            <w:r>
              <w:rPr>
                <w:noProof/>
              </w:rPr>
              <w:t>Nr</w:t>
            </w:r>
            <w:r w:rsidR="001D5265">
              <w:rPr>
                <w:noProof/>
              </w:rPr>
              <w:t>.</w:t>
            </w:r>
            <w:r>
              <w:rPr>
                <w:noProof/>
              </w:rPr>
              <w:t xml:space="preserve"> </w:t>
            </w:r>
            <w:r>
              <w:rPr>
                <w:noProof/>
              </w:rPr>
              <w:br/>
            </w:r>
            <w:r w:rsidR="001D5265">
              <w:rPr>
                <w:noProof/>
              </w:rPr>
              <w:t>crt.</w:t>
            </w:r>
          </w:p>
        </w:tc>
        <w:tc>
          <w:tcPr>
            <w:tcW w:w="5383"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25351C3C" w14:textId="77777777" w:rsidR="00C45D59" w:rsidRDefault="009B0962">
            <w:pPr>
              <w:pStyle w:val="P68B1DB1-Normal10"/>
              <w:keepNext/>
              <w:spacing w:before="40" w:after="0" w:line="259" w:lineRule="auto"/>
              <w:jc w:val="center"/>
              <w:rPr>
                <w:rFonts w:eastAsia="Times New Roman" w:cs="Times New Roman"/>
                <w:noProof/>
                <w:szCs w:val="18"/>
              </w:rPr>
            </w:pPr>
            <w:r>
              <w:rPr>
                <w:noProof/>
              </w:rPr>
              <w:t>Măsură conexă (reformă sau investiții)</w:t>
            </w:r>
          </w:p>
        </w:tc>
        <w:tc>
          <w:tcPr>
            <w:tcW w:w="1692"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0188EF2F" w14:textId="77777777" w:rsidR="00C45D59" w:rsidRDefault="009B0962">
            <w:pPr>
              <w:pStyle w:val="P68B1DB1-Normal10"/>
              <w:keepNext/>
              <w:spacing w:before="40" w:after="0" w:line="259" w:lineRule="auto"/>
              <w:jc w:val="center"/>
              <w:rPr>
                <w:rFonts w:eastAsia="Times New Roman" w:cs="Times New Roman"/>
                <w:noProof/>
                <w:szCs w:val="18"/>
              </w:rPr>
            </w:pPr>
            <w:r>
              <w:rPr>
                <w:noProof/>
              </w:rPr>
              <w:t>Etapă/Obiectiv</w:t>
            </w:r>
          </w:p>
        </w:tc>
        <w:tc>
          <w:tcPr>
            <w:tcW w:w="1756" w:type="dxa"/>
            <w:vMerge w:val="restart"/>
            <w:tcBorders>
              <w:top w:val="single" w:sz="4" w:space="0" w:color="auto"/>
              <w:left w:val="nil"/>
              <w:bottom w:val="single" w:sz="4" w:space="0" w:color="000000"/>
              <w:right w:val="single" w:sz="4" w:space="0" w:color="auto"/>
            </w:tcBorders>
            <w:shd w:val="clear" w:color="auto" w:fill="BDD7EE"/>
            <w:vAlign w:val="center"/>
            <w:hideMark/>
          </w:tcPr>
          <w:p w14:paraId="7D4C9930" w14:textId="460D0637" w:rsidR="00C45D59" w:rsidRDefault="001D5265">
            <w:pPr>
              <w:pStyle w:val="P68B1DB1-Normal10"/>
              <w:keepNext/>
              <w:spacing w:before="40" w:after="0" w:line="259" w:lineRule="auto"/>
              <w:jc w:val="center"/>
              <w:rPr>
                <w:rFonts w:eastAsia="Times New Roman" w:cs="Times New Roman"/>
                <w:noProof/>
                <w:szCs w:val="18"/>
              </w:rPr>
            </w:pPr>
            <w:r>
              <w:rPr>
                <w:noProof/>
              </w:rPr>
              <w:t>Denumire</w:t>
            </w:r>
          </w:p>
        </w:tc>
      </w:tr>
      <w:tr w:rsidR="00C45D59" w14:paraId="23233DCD" w14:textId="77777777">
        <w:trPr>
          <w:trHeight w:val="276"/>
          <w:jc w:val="center"/>
        </w:trPr>
        <w:tc>
          <w:tcPr>
            <w:tcW w:w="704" w:type="dxa"/>
            <w:vMerge/>
            <w:tcBorders>
              <w:top w:val="single" w:sz="4" w:space="0" w:color="auto"/>
              <w:left w:val="single" w:sz="4" w:space="0" w:color="auto"/>
              <w:bottom w:val="single" w:sz="4" w:space="0" w:color="000000"/>
              <w:right w:val="single" w:sz="4" w:space="0" w:color="auto"/>
            </w:tcBorders>
            <w:vAlign w:val="center"/>
            <w:hideMark/>
          </w:tcPr>
          <w:p w14:paraId="07A929F9" w14:textId="77777777" w:rsidR="00C45D59" w:rsidRDefault="00C45D59">
            <w:pPr>
              <w:keepNext/>
              <w:spacing w:before="40" w:after="0" w:line="259" w:lineRule="auto"/>
              <w:jc w:val="both"/>
              <w:rPr>
                <w:rFonts w:ascii="Times New Roman" w:eastAsia="Times New Roman" w:hAnsi="Times New Roman" w:cs="Times New Roman"/>
                <w:bCs/>
                <w:noProof/>
                <w:sz w:val="18"/>
                <w:szCs w:val="18"/>
              </w:rPr>
            </w:pPr>
          </w:p>
        </w:tc>
        <w:tc>
          <w:tcPr>
            <w:tcW w:w="5383" w:type="dxa"/>
            <w:vMerge/>
            <w:tcBorders>
              <w:top w:val="single" w:sz="4" w:space="0" w:color="auto"/>
              <w:left w:val="single" w:sz="4" w:space="0" w:color="auto"/>
              <w:bottom w:val="single" w:sz="4" w:space="0" w:color="000000"/>
              <w:right w:val="single" w:sz="4" w:space="0" w:color="auto"/>
            </w:tcBorders>
            <w:vAlign w:val="center"/>
            <w:hideMark/>
          </w:tcPr>
          <w:p w14:paraId="7FBBDC31" w14:textId="77777777" w:rsidR="00C45D59" w:rsidRDefault="00C45D59">
            <w:pPr>
              <w:keepNext/>
              <w:spacing w:before="40" w:after="0" w:line="259" w:lineRule="auto"/>
              <w:jc w:val="both"/>
              <w:rPr>
                <w:rFonts w:ascii="Times New Roman" w:eastAsia="Times New Roman" w:hAnsi="Times New Roman" w:cs="Times New Roman"/>
                <w:bCs/>
                <w:noProof/>
                <w:sz w:val="18"/>
                <w:szCs w:val="18"/>
              </w:rPr>
            </w:pPr>
          </w:p>
        </w:tc>
        <w:tc>
          <w:tcPr>
            <w:tcW w:w="1692" w:type="dxa"/>
            <w:vMerge/>
            <w:tcBorders>
              <w:top w:val="single" w:sz="4" w:space="0" w:color="auto"/>
              <w:left w:val="single" w:sz="4" w:space="0" w:color="auto"/>
              <w:bottom w:val="single" w:sz="4" w:space="0" w:color="000000"/>
              <w:right w:val="single" w:sz="4" w:space="0" w:color="auto"/>
            </w:tcBorders>
            <w:vAlign w:val="center"/>
            <w:hideMark/>
          </w:tcPr>
          <w:p w14:paraId="64FB407B" w14:textId="77777777" w:rsidR="00C45D59" w:rsidRDefault="00C45D59">
            <w:pPr>
              <w:keepNext/>
              <w:spacing w:before="40" w:after="0" w:line="259" w:lineRule="auto"/>
              <w:jc w:val="both"/>
              <w:rPr>
                <w:rFonts w:ascii="Times New Roman" w:eastAsia="Times New Roman" w:hAnsi="Times New Roman" w:cs="Times New Roman"/>
                <w:bCs/>
                <w:noProof/>
                <w:sz w:val="18"/>
                <w:szCs w:val="18"/>
              </w:rPr>
            </w:pPr>
          </w:p>
        </w:tc>
        <w:tc>
          <w:tcPr>
            <w:tcW w:w="1756" w:type="dxa"/>
            <w:vMerge/>
            <w:tcBorders>
              <w:top w:val="single" w:sz="4" w:space="0" w:color="auto"/>
              <w:left w:val="nil"/>
              <w:bottom w:val="single" w:sz="4" w:space="0" w:color="000000"/>
              <w:right w:val="single" w:sz="4" w:space="0" w:color="auto"/>
            </w:tcBorders>
            <w:vAlign w:val="center"/>
            <w:hideMark/>
          </w:tcPr>
          <w:p w14:paraId="15E5921E" w14:textId="77777777" w:rsidR="00C45D59" w:rsidRDefault="00C45D59">
            <w:pPr>
              <w:keepNext/>
              <w:spacing w:before="40" w:after="0" w:line="259" w:lineRule="auto"/>
              <w:jc w:val="both"/>
              <w:rPr>
                <w:rFonts w:ascii="Times New Roman" w:eastAsia="Times New Roman" w:hAnsi="Times New Roman" w:cs="Times New Roman"/>
                <w:bCs/>
                <w:noProof/>
                <w:sz w:val="18"/>
                <w:szCs w:val="18"/>
              </w:rPr>
            </w:pPr>
          </w:p>
        </w:tc>
      </w:tr>
      <w:tr w:rsidR="00C45D59" w14:paraId="0E28511B" w14:textId="77777777">
        <w:trPr>
          <w:trHeight w:val="302"/>
          <w:jc w:val="center"/>
        </w:trPr>
        <w:tc>
          <w:tcPr>
            <w:tcW w:w="704" w:type="dxa"/>
            <w:tcBorders>
              <w:top w:val="single" w:sz="4" w:space="0" w:color="auto"/>
              <w:left w:val="single" w:sz="4" w:space="0" w:color="auto"/>
              <w:bottom w:val="single" w:sz="4" w:space="0" w:color="auto"/>
              <w:right w:val="single" w:sz="4" w:space="0" w:color="auto"/>
            </w:tcBorders>
            <w:shd w:val="clear" w:color="000000" w:fill="C6EFCE"/>
            <w:noWrap/>
            <w:vAlign w:val="center"/>
            <w:hideMark/>
          </w:tcPr>
          <w:p w14:paraId="1A069E18" w14:textId="77777777" w:rsidR="00C45D59" w:rsidRDefault="009B0962">
            <w:pPr>
              <w:pStyle w:val="P68B1DB1-Normal55"/>
              <w:keepNext/>
              <w:spacing w:before="40" w:after="0" w:line="240" w:lineRule="auto"/>
              <w:jc w:val="both"/>
              <w:rPr>
                <w:rFonts w:eastAsia="Times New Roman" w:cs="Times New Roman"/>
                <w:noProof/>
                <w:szCs w:val="18"/>
              </w:rPr>
            </w:pPr>
            <w:r>
              <w:rPr>
                <w:noProof/>
              </w:rPr>
              <w:t>325a</w:t>
            </w:r>
          </w:p>
        </w:tc>
        <w:tc>
          <w:tcPr>
            <w:tcW w:w="5383" w:type="dxa"/>
            <w:tcBorders>
              <w:top w:val="single" w:sz="4" w:space="0" w:color="auto"/>
              <w:left w:val="nil"/>
              <w:bottom w:val="single" w:sz="4" w:space="0" w:color="auto"/>
              <w:right w:val="single" w:sz="4" w:space="0" w:color="auto"/>
            </w:tcBorders>
            <w:shd w:val="clear" w:color="000000" w:fill="C6EFCE"/>
            <w:noWrap/>
            <w:vAlign w:val="center"/>
            <w:hideMark/>
          </w:tcPr>
          <w:p w14:paraId="0AEBB02D"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4.7. Îmbunătățirea competitivității și promovarea investițiilor private și a exporturilor – Mecanismul de împrumut 16980_RRP</w:t>
            </w:r>
          </w:p>
        </w:tc>
        <w:tc>
          <w:tcPr>
            <w:tcW w:w="1692" w:type="dxa"/>
            <w:tcBorders>
              <w:top w:val="single" w:sz="4" w:space="0" w:color="auto"/>
              <w:left w:val="nil"/>
              <w:bottom w:val="single" w:sz="4" w:space="0" w:color="auto"/>
              <w:right w:val="single" w:sz="4" w:space="0" w:color="auto"/>
            </w:tcBorders>
            <w:shd w:val="clear" w:color="000000" w:fill="C6EFCE"/>
            <w:noWrap/>
            <w:vAlign w:val="center"/>
            <w:hideMark/>
          </w:tcPr>
          <w:p w14:paraId="0ED25D55"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Țintă</w:t>
            </w:r>
          </w:p>
        </w:tc>
        <w:tc>
          <w:tcPr>
            <w:tcW w:w="1756" w:type="dxa"/>
            <w:tcBorders>
              <w:top w:val="single" w:sz="4" w:space="0" w:color="auto"/>
              <w:left w:val="nil"/>
              <w:bottom w:val="single" w:sz="4" w:space="0" w:color="auto"/>
              <w:right w:val="single" w:sz="4" w:space="0" w:color="auto"/>
            </w:tcBorders>
            <w:shd w:val="clear" w:color="000000" w:fill="C6EFCE"/>
            <w:noWrap/>
            <w:vAlign w:val="center"/>
            <w:hideMark/>
          </w:tcPr>
          <w:p w14:paraId="37533516"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Fonduri ale instituțiilor financiare semnate cu beneficiarii finali în valoare de 4 518.4 de milioane EUR</w:t>
            </w:r>
          </w:p>
        </w:tc>
      </w:tr>
      <w:tr w:rsidR="00C45D59" w14:paraId="1A35C955" w14:textId="77777777">
        <w:trPr>
          <w:trHeight w:val="302"/>
          <w:jc w:val="center"/>
        </w:trPr>
        <w:tc>
          <w:tcPr>
            <w:tcW w:w="704"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3BBC308E" w14:textId="77777777" w:rsidR="00C45D59" w:rsidRDefault="00C45D59">
            <w:pPr>
              <w:keepNext/>
              <w:spacing w:before="40" w:after="0" w:line="259" w:lineRule="auto"/>
              <w:jc w:val="both"/>
              <w:rPr>
                <w:rFonts w:ascii="Times New Roman" w:eastAsia="Times New Roman" w:hAnsi="Times New Roman" w:cs="Times New Roman"/>
                <w:bCs/>
                <w:noProof/>
                <w:sz w:val="18"/>
                <w:szCs w:val="18"/>
              </w:rPr>
            </w:pPr>
          </w:p>
        </w:tc>
        <w:tc>
          <w:tcPr>
            <w:tcW w:w="5383" w:type="dxa"/>
            <w:tcBorders>
              <w:top w:val="single" w:sz="4" w:space="0" w:color="auto"/>
              <w:left w:val="nil"/>
              <w:bottom w:val="single" w:sz="4" w:space="0" w:color="auto"/>
              <w:right w:val="single" w:sz="4" w:space="0" w:color="auto"/>
            </w:tcBorders>
            <w:shd w:val="clear" w:color="auto" w:fill="C6EFCE"/>
            <w:noWrap/>
            <w:vAlign w:val="bottom"/>
          </w:tcPr>
          <w:p w14:paraId="3D9F96D2" w14:textId="77777777" w:rsidR="00C45D59" w:rsidRDefault="00C45D59">
            <w:pPr>
              <w:keepNext/>
              <w:spacing w:before="40" w:after="0" w:line="240" w:lineRule="auto"/>
              <w:jc w:val="both"/>
              <w:rPr>
                <w:rFonts w:ascii="Times New Roman" w:eastAsia="Times New Roman" w:hAnsi="Times New Roman" w:cs="Times New Roman"/>
                <w:bCs/>
                <w:noProof/>
                <w:sz w:val="18"/>
                <w:szCs w:val="18"/>
              </w:rPr>
            </w:pPr>
          </w:p>
        </w:tc>
        <w:tc>
          <w:tcPr>
            <w:tcW w:w="1692" w:type="dxa"/>
            <w:tcBorders>
              <w:top w:val="single" w:sz="4" w:space="0" w:color="auto"/>
              <w:left w:val="nil"/>
              <w:bottom w:val="single" w:sz="4" w:space="0" w:color="auto"/>
              <w:right w:val="single" w:sz="4" w:space="0" w:color="auto"/>
            </w:tcBorders>
            <w:shd w:val="clear" w:color="auto" w:fill="C6EFCE"/>
            <w:noWrap/>
            <w:vAlign w:val="bottom"/>
          </w:tcPr>
          <w:p w14:paraId="2E69CAF6" w14:textId="77777777" w:rsidR="00C45D59" w:rsidRDefault="009B0962">
            <w:pPr>
              <w:pStyle w:val="P68B1DB1-Normal55"/>
              <w:keepNext/>
              <w:spacing w:before="40" w:after="0" w:line="240" w:lineRule="auto"/>
              <w:jc w:val="both"/>
              <w:rPr>
                <w:rFonts w:eastAsia="Times New Roman" w:cs="Times New Roman"/>
                <w:noProof/>
                <w:szCs w:val="18"/>
              </w:rPr>
            </w:pPr>
            <w:r>
              <w:rPr>
                <w:noProof/>
              </w:rPr>
              <w:t>Cuantumul tranșei</w:t>
            </w:r>
          </w:p>
        </w:tc>
        <w:tc>
          <w:tcPr>
            <w:tcW w:w="1756" w:type="dxa"/>
            <w:tcBorders>
              <w:top w:val="single" w:sz="4" w:space="0" w:color="auto"/>
              <w:left w:val="nil"/>
              <w:bottom w:val="single" w:sz="4" w:space="0" w:color="auto"/>
              <w:right w:val="single" w:sz="4" w:space="0" w:color="auto"/>
            </w:tcBorders>
            <w:shd w:val="clear" w:color="auto" w:fill="C6EFCE"/>
            <w:noWrap/>
            <w:vAlign w:val="bottom"/>
          </w:tcPr>
          <w:p w14:paraId="2B9BFC96" w14:textId="77777777" w:rsidR="00C45D59" w:rsidRDefault="009B0962">
            <w:pPr>
              <w:pStyle w:val="P68B1DB1-Normal55"/>
              <w:keepNext/>
              <w:spacing w:before="40" w:after="0" w:line="240" w:lineRule="auto"/>
              <w:jc w:val="both"/>
              <w:rPr>
                <w:rFonts w:eastAsia="Times New Roman" w:cs="Times New Roman"/>
                <w:noProof/>
                <w:szCs w:val="18"/>
              </w:rPr>
            </w:pPr>
            <w:r>
              <w:rPr>
                <w:noProof/>
              </w:rPr>
              <w:t>2 534 514 342 MIL.</w:t>
            </w:r>
          </w:p>
        </w:tc>
      </w:tr>
      <w:bookmarkEnd w:id="9"/>
    </w:tbl>
    <w:p w14:paraId="1C797642" w14:textId="77777777" w:rsidR="00C45D59" w:rsidRDefault="00C45D59">
      <w:pPr>
        <w:keepNext/>
        <w:spacing w:before="40" w:after="0" w:line="259" w:lineRule="auto"/>
        <w:jc w:val="both"/>
        <w:rPr>
          <w:rFonts w:ascii="Times New Roman" w:eastAsia="Times New Roman" w:hAnsi="Times New Roman" w:cs="Times New Roman"/>
          <w:bCs/>
          <w:noProof/>
          <w:sz w:val="24"/>
          <w:szCs w:val="26"/>
        </w:rPr>
      </w:pPr>
    </w:p>
    <w:p w14:paraId="7ABA742D" w14:textId="77777777" w:rsidR="00C45D59" w:rsidRDefault="009B0962">
      <w:pPr>
        <w:pStyle w:val="P68B1DB1-Normal5"/>
        <w:keepNext/>
        <w:numPr>
          <w:ilvl w:val="1"/>
          <w:numId w:val="106"/>
        </w:numPr>
        <w:spacing w:before="40" w:after="160" w:line="259" w:lineRule="auto"/>
        <w:ind w:left="0"/>
        <w:contextualSpacing/>
        <w:jc w:val="both"/>
        <w:rPr>
          <w:rFonts w:eastAsia="Times New Roman" w:cs="Times New Roman"/>
          <w:noProof/>
        </w:rPr>
      </w:pPr>
      <w:r>
        <w:rPr>
          <w:noProof/>
        </w:rPr>
        <w:t xml:space="preserve"> A cincea cerere de plată (sprijin sub formă de împrumut): </w:t>
      </w:r>
    </w:p>
    <w:tbl>
      <w:tblPr>
        <w:tblW w:w="9519" w:type="dxa"/>
        <w:jc w:val="center"/>
        <w:tblLayout w:type="fixed"/>
        <w:tblLook w:val="04A0" w:firstRow="1" w:lastRow="0" w:firstColumn="1" w:lastColumn="0" w:noHBand="0" w:noVBand="1"/>
      </w:tblPr>
      <w:tblGrid>
        <w:gridCol w:w="675"/>
        <w:gridCol w:w="5412"/>
        <w:gridCol w:w="1692"/>
        <w:gridCol w:w="1740"/>
      </w:tblGrid>
      <w:tr w:rsidR="00C45D59" w14:paraId="6795C043" w14:textId="77777777">
        <w:trPr>
          <w:trHeight w:val="906"/>
          <w:tblHeader/>
          <w:jc w:val="center"/>
        </w:trPr>
        <w:tc>
          <w:tcPr>
            <w:tcW w:w="675"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5E07D702" w14:textId="5B2C37DD" w:rsidR="00C45D59" w:rsidRDefault="009B0962">
            <w:pPr>
              <w:pStyle w:val="P68B1DB1-Normal15"/>
              <w:keepNext/>
              <w:spacing w:before="40" w:after="0" w:line="240" w:lineRule="auto"/>
              <w:jc w:val="center"/>
              <w:rPr>
                <w:rFonts w:eastAsia="Times New Roman"/>
                <w:bCs/>
                <w:noProof/>
              </w:rPr>
            </w:pPr>
            <w:r>
              <w:rPr>
                <w:noProof/>
              </w:rPr>
              <w:t>Nr</w:t>
            </w:r>
            <w:r w:rsidR="001D5265">
              <w:rPr>
                <w:noProof/>
              </w:rPr>
              <w:t>. crt.</w:t>
            </w:r>
          </w:p>
        </w:tc>
        <w:tc>
          <w:tcPr>
            <w:tcW w:w="5412"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6DD060E2" w14:textId="77777777" w:rsidR="00C45D59" w:rsidRDefault="009B0962">
            <w:pPr>
              <w:pStyle w:val="P68B1DB1-Normal10"/>
              <w:keepNext/>
              <w:spacing w:before="40" w:after="0" w:line="240" w:lineRule="auto"/>
              <w:jc w:val="center"/>
              <w:rPr>
                <w:rFonts w:eastAsia="Times New Roman" w:cs="Times New Roman"/>
                <w:bCs/>
                <w:noProof/>
                <w:szCs w:val="18"/>
              </w:rPr>
            </w:pPr>
            <w:r>
              <w:rPr>
                <w:noProof/>
              </w:rPr>
              <w:t>Măsură conexă (reformă sau investiții)</w:t>
            </w:r>
          </w:p>
        </w:tc>
        <w:tc>
          <w:tcPr>
            <w:tcW w:w="1692"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6E21B349" w14:textId="77777777" w:rsidR="00C45D59" w:rsidRDefault="009B0962">
            <w:pPr>
              <w:pStyle w:val="P68B1DB1-Normal10"/>
              <w:keepNext/>
              <w:spacing w:before="40" w:after="0" w:line="240" w:lineRule="auto"/>
              <w:jc w:val="center"/>
              <w:rPr>
                <w:rFonts w:eastAsia="Times New Roman" w:cs="Times New Roman"/>
                <w:bCs/>
                <w:noProof/>
                <w:szCs w:val="18"/>
              </w:rPr>
            </w:pPr>
            <w:r>
              <w:rPr>
                <w:noProof/>
              </w:rPr>
              <w:t>Etapă/Obiectiv</w:t>
            </w:r>
          </w:p>
        </w:tc>
        <w:tc>
          <w:tcPr>
            <w:tcW w:w="1740" w:type="dxa"/>
            <w:vMerge w:val="restart"/>
            <w:tcBorders>
              <w:top w:val="single" w:sz="4" w:space="0" w:color="auto"/>
              <w:left w:val="nil"/>
              <w:bottom w:val="single" w:sz="4" w:space="0" w:color="000000"/>
              <w:right w:val="single" w:sz="4" w:space="0" w:color="auto"/>
            </w:tcBorders>
            <w:shd w:val="clear" w:color="auto" w:fill="BDD7EE"/>
            <w:vAlign w:val="center"/>
            <w:hideMark/>
          </w:tcPr>
          <w:p w14:paraId="1DE7FB05" w14:textId="1BB4B753" w:rsidR="00C45D59" w:rsidRDefault="001D5265">
            <w:pPr>
              <w:pStyle w:val="P68B1DB1-Normal10"/>
              <w:keepNext/>
              <w:spacing w:before="40" w:after="0" w:line="240" w:lineRule="auto"/>
              <w:jc w:val="center"/>
              <w:rPr>
                <w:rFonts w:eastAsia="Times New Roman" w:cs="Times New Roman"/>
                <w:bCs/>
                <w:noProof/>
                <w:szCs w:val="18"/>
              </w:rPr>
            </w:pPr>
            <w:r>
              <w:rPr>
                <w:noProof/>
              </w:rPr>
              <w:t>Denumire</w:t>
            </w:r>
          </w:p>
        </w:tc>
      </w:tr>
      <w:tr w:rsidR="00C45D59" w14:paraId="0E1E1CC7" w14:textId="77777777">
        <w:trPr>
          <w:trHeight w:val="348"/>
          <w:tblHeader/>
          <w:jc w:val="center"/>
        </w:trPr>
        <w:tc>
          <w:tcPr>
            <w:tcW w:w="675" w:type="dxa"/>
            <w:vMerge/>
            <w:tcBorders>
              <w:top w:val="single" w:sz="4" w:space="0" w:color="auto"/>
              <w:left w:val="single" w:sz="4" w:space="0" w:color="auto"/>
              <w:bottom w:val="single" w:sz="4" w:space="0" w:color="000000"/>
              <w:right w:val="single" w:sz="4" w:space="0" w:color="auto"/>
            </w:tcBorders>
            <w:vAlign w:val="center"/>
            <w:hideMark/>
          </w:tcPr>
          <w:p w14:paraId="76FDB52F" w14:textId="77777777" w:rsidR="00C45D59" w:rsidRDefault="00C45D59">
            <w:pPr>
              <w:keepNext/>
              <w:spacing w:before="40" w:after="0" w:line="259" w:lineRule="auto"/>
              <w:jc w:val="both"/>
              <w:rPr>
                <w:rFonts w:ascii="Times New Roman" w:eastAsia="Times New Roman" w:hAnsi="Times New Roman" w:cs="Times New Roman"/>
                <w:bCs/>
                <w:noProof/>
                <w:sz w:val="18"/>
                <w:szCs w:val="18"/>
              </w:rPr>
            </w:pPr>
          </w:p>
        </w:tc>
        <w:tc>
          <w:tcPr>
            <w:tcW w:w="5412" w:type="dxa"/>
            <w:vMerge/>
            <w:tcBorders>
              <w:top w:val="single" w:sz="4" w:space="0" w:color="auto"/>
              <w:left w:val="single" w:sz="4" w:space="0" w:color="auto"/>
              <w:bottom w:val="single" w:sz="4" w:space="0" w:color="000000"/>
              <w:right w:val="single" w:sz="4" w:space="0" w:color="auto"/>
            </w:tcBorders>
            <w:vAlign w:val="center"/>
            <w:hideMark/>
          </w:tcPr>
          <w:p w14:paraId="7E1CCD06" w14:textId="77777777" w:rsidR="00C45D59" w:rsidRDefault="00C45D59">
            <w:pPr>
              <w:keepNext/>
              <w:spacing w:before="40" w:after="0" w:line="259" w:lineRule="auto"/>
              <w:jc w:val="both"/>
              <w:rPr>
                <w:rFonts w:ascii="Times New Roman" w:eastAsia="Times New Roman" w:hAnsi="Times New Roman" w:cs="Times New Roman"/>
                <w:bCs/>
                <w:noProof/>
                <w:sz w:val="18"/>
                <w:szCs w:val="18"/>
              </w:rPr>
            </w:pPr>
          </w:p>
        </w:tc>
        <w:tc>
          <w:tcPr>
            <w:tcW w:w="1692" w:type="dxa"/>
            <w:vMerge/>
            <w:tcBorders>
              <w:top w:val="single" w:sz="4" w:space="0" w:color="auto"/>
              <w:left w:val="single" w:sz="4" w:space="0" w:color="auto"/>
              <w:bottom w:val="single" w:sz="4" w:space="0" w:color="000000"/>
              <w:right w:val="single" w:sz="4" w:space="0" w:color="auto"/>
            </w:tcBorders>
            <w:vAlign w:val="center"/>
            <w:hideMark/>
          </w:tcPr>
          <w:p w14:paraId="31F2503F" w14:textId="77777777" w:rsidR="00C45D59" w:rsidRDefault="00C45D59">
            <w:pPr>
              <w:keepNext/>
              <w:spacing w:before="40" w:after="0" w:line="259" w:lineRule="auto"/>
              <w:jc w:val="both"/>
              <w:rPr>
                <w:rFonts w:ascii="Times New Roman" w:eastAsia="Times New Roman" w:hAnsi="Times New Roman" w:cs="Times New Roman"/>
                <w:bCs/>
                <w:noProof/>
                <w:sz w:val="18"/>
                <w:szCs w:val="18"/>
              </w:rPr>
            </w:pPr>
          </w:p>
        </w:tc>
        <w:tc>
          <w:tcPr>
            <w:tcW w:w="1740" w:type="dxa"/>
            <w:vMerge/>
            <w:tcBorders>
              <w:top w:val="single" w:sz="4" w:space="0" w:color="auto"/>
              <w:left w:val="nil"/>
              <w:bottom w:val="single" w:sz="4" w:space="0" w:color="000000"/>
              <w:right w:val="single" w:sz="4" w:space="0" w:color="auto"/>
            </w:tcBorders>
            <w:vAlign w:val="center"/>
            <w:hideMark/>
          </w:tcPr>
          <w:p w14:paraId="37FD5E79" w14:textId="77777777" w:rsidR="00C45D59" w:rsidRDefault="00C45D59">
            <w:pPr>
              <w:keepNext/>
              <w:spacing w:before="40" w:after="0" w:line="259" w:lineRule="auto"/>
              <w:jc w:val="both"/>
              <w:rPr>
                <w:rFonts w:ascii="Times New Roman" w:eastAsia="Times New Roman" w:hAnsi="Times New Roman" w:cs="Times New Roman"/>
                <w:bCs/>
                <w:noProof/>
                <w:sz w:val="18"/>
                <w:szCs w:val="18"/>
              </w:rPr>
            </w:pPr>
          </w:p>
        </w:tc>
      </w:tr>
      <w:tr w:rsidR="00C45D59" w14:paraId="61F797A2" w14:textId="77777777">
        <w:trPr>
          <w:trHeight w:val="302"/>
          <w:jc w:val="center"/>
        </w:trPr>
        <w:tc>
          <w:tcPr>
            <w:tcW w:w="675" w:type="dxa"/>
            <w:tcBorders>
              <w:top w:val="single" w:sz="4" w:space="0" w:color="auto"/>
              <w:left w:val="single" w:sz="4" w:space="0" w:color="auto"/>
              <w:bottom w:val="single" w:sz="4" w:space="0" w:color="auto"/>
              <w:right w:val="single" w:sz="4" w:space="0" w:color="auto"/>
            </w:tcBorders>
            <w:shd w:val="clear" w:color="000000" w:fill="C6EFCE"/>
            <w:noWrap/>
            <w:vAlign w:val="center"/>
          </w:tcPr>
          <w:p w14:paraId="3442C972" w14:textId="77777777" w:rsidR="00C45D59" w:rsidRDefault="009B0962">
            <w:pPr>
              <w:pStyle w:val="P68B1DB1-Normal55"/>
              <w:keepNext/>
              <w:spacing w:before="40" w:after="0" w:line="240" w:lineRule="auto"/>
              <w:jc w:val="both"/>
              <w:rPr>
                <w:rFonts w:eastAsia="Times New Roman" w:cs="Times New Roman"/>
                <w:noProof/>
                <w:szCs w:val="18"/>
              </w:rPr>
            </w:pPr>
            <w:r>
              <w:rPr>
                <w:noProof/>
              </w:rPr>
              <w:t>374</w:t>
            </w:r>
          </w:p>
        </w:tc>
        <w:tc>
          <w:tcPr>
            <w:tcW w:w="5412" w:type="dxa"/>
            <w:tcBorders>
              <w:top w:val="single" w:sz="4" w:space="0" w:color="auto"/>
              <w:left w:val="nil"/>
              <w:bottom w:val="single" w:sz="4" w:space="0" w:color="auto"/>
              <w:right w:val="single" w:sz="4" w:space="0" w:color="auto"/>
            </w:tcBorders>
            <w:shd w:val="clear" w:color="000000" w:fill="C6EFCE"/>
            <w:noWrap/>
            <w:vAlign w:val="center"/>
          </w:tcPr>
          <w:p w14:paraId="0136FB60"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2-1.2. Renovare – 16401_Programul de actualizare a energiei „Actualizarea casei mele”</w:t>
            </w:r>
          </w:p>
        </w:tc>
        <w:tc>
          <w:tcPr>
            <w:tcW w:w="1692" w:type="dxa"/>
            <w:tcBorders>
              <w:top w:val="single" w:sz="4" w:space="0" w:color="auto"/>
              <w:left w:val="nil"/>
              <w:bottom w:val="single" w:sz="4" w:space="0" w:color="auto"/>
              <w:right w:val="single" w:sz="4" w:space="0" w:color="auto"/>
            </w:tcBorders>
            <w:shd w:val="clear" w:color="000000" w:fill="C6EFCE"/>
            <w:noWrap/>
            <w:vAlign w:val="center"/>
          </w:tcPr>
          <w:p w14:paraId="35564700"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Etapă</w:t>
            </w:r>
          </w:p>
        </w:tc>
        <w:tc>
          <w:tcPr>
            <w:tcW w:w="1740" w:type="dxa"/>
            <w:tcBorders>
              <w:top w:val="single" w:sz="4" w:space="0" w:color="auto"/>
              <w:left w:val="nil"/>
              <w:bottom w:val="single" w:sz="4" w:space="0" w:color="auto"/>
              <w:right w:val="single" w:sz="4" w:space="0" w:color="auto"/>
            </w:tcBorders>
            <w:shd w:val="clear" w:color="000000" w:fill="C6EFCE"/>
            <w:noWrap/>
            <w:vAlign w:val="center"/>
          </w:tcPr>
          <w:p w14:paraId="49EE9C86"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Upgrade My Home – Acord de punere în aplicare între Banca Elenă de Dezvoltare și Ministerul Finanțelor</w:t>
            </w:r>
          </w:p>
        </w:tc>
      </w:tr>
      <w:tr w:rsidR="00C45D59" w14:paraId="3EAB73D0" w14:textId="77777777">
        <w:trPr>
          <w:trHeight w:val="302"/>
          <w:jc w:val="center"/>
        </w:trPr>
        <w:tc>
          <w:tcPr>
            <w:tcW w:w="675" w:type="dxa"/>
            <w:tcBorders>
              <w:top w:val="single" w:sz="4" w:space="0" w:color="auto"/>
              <w:left w:val="single" w:sz="4" w:space="0" w:color="auto"/>
              <w:bottom w:val="single" w:sz="4" w:space="0" w:color="auto"/>
              <w:right w:val="single" w:sz="4" w:space="0" w:color="auto"/>
            </w:tcBorders>
            <w:shd w:val="clear" w:color="000000" w:fill="C6EFCE"/>
            <w:noWrap/>
            <w:vAlign w:val="center"/>
          </w:tcPr>
          <w:p w14:paraId="72810701" w14:textId="77777777" w:rsidR="00C45D59" w:rsidRDefault="009B0962">
            <w:pPr>
              <w:pStyle w:val="P68B1DB1-Normal55"/>
              <w:keepNext/>
              <w:spacing w:before="40" w:after="0" w:line="240" w:lineRule="auto"/>
              <w:jc w:val="both"/>
              <w:rPr>
                <w:rFonts w:eastAsia="Times New Roman" w:cs="Times New Roman"/>
                <w:noProof/>
                <w:szCs w:val="18"/>
              </w:rPr>
            </w:pPr>
            <w:r>
              <w:rPr>
                <w:noProof/>
              </w:rPr>
              <w:t>378</w:t>
            </w:r>
          </w:p>
        </w:tc>
        <w:tc>
          <w:tcPr>
            <w:tcW w:w="5412" w:type="dxa"/>
            <w:tcBorders>
              <w:top w:val="single" w:sz="4" w:space="0" w:color="auto"/>
              <w:left w:val="nil"/>
              <w:bottom w:val="single" w:sz="4" w:space="0" w:color="auto"/>
              <w:right w:val="single" w:sz="4" w:space="0" w:color="auto"/>
            </w:tcBorders>
            <w:shd w:val="clear" w:color="000000" w:fill="C6EFCE"/>
            <w:noWrap/>
            <w:vAlign w:val="center"/>
          </w:tcPr>
          <w:p w14:paraId="5AF69371"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11-3.4. Creșterea accesului la politici sociale eficace și favorabile incluziunii – 16400_Programul pentru locuințe la prețuri accesibile „My Home II”</w:t>
            </w:r>
            <w:r>
              <w:rPr>
                <w:noProof/>
              </w:rPr>
              <w:tab/>
            </w:r>
          </w:p>
        </w:tc>
        <w:tc>
          <w:tcPr>
            <w:tcW w:w="1692" w:type="dxa"/>
            <w:tcBorders>
              <w:top w:val="single" w:sz="4" w:space="0" w:color="auto"/>
              <w:left w:val="nil"/>
              <w:bottom w:val="single" w:sz="4" w:space="0" w:color="auto"/>
              <w:right w:val="single" w:sz="4" w:space="0" w:color="auto"/>
            </w:tcBorders>
            <w:shd w:val="clear" w:color="000000" w:fill="C6EFCE"/>
            <w:noWrap/>
            <w:vAlign w:val="center"/>
          </w:tcPr>
          <w:p w14:paraId="40834D69"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Etapă</w:t>
            </w:r>
          </w:p>
        </w:tc>
        <w:tc>
          <w:tcPr>
            <w:tcW w:w="1740" w:type="dxa"/>
            <w:tcBorders>
              <w:top w:val="single" w:sz="4" w:space="0" w:color="auto"/>
              <w:left w:val="nil"/>
              <w:bottom w:val="single" w:sz="4" w:space="0" w:color="auto"/>
              <w:right w:val="single" w:sz="4" w:space="0" w:color="auto"/>
            </w:tcBorders>
            <w:shd w:val="clear" w:color="000000" w:fill="C6EFCE"/>
            <w:noWrap/>
            <w:vAlign w:val="center"/>
          </w:tcPr>
          <w:p w14:paraId="083D9C8D"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Casa mea II – Acord de punere în aplicare între Banca Elenă de Dezvoltare și Ministerul Finanțelor</w:t>
            </w:r>
          </w:p>
        </w:tc>
      </w:tr>
      <w:tr w:rsidR="00C45D59" w14:paraId="1C9A9AD0" w14:textId="77777777">
        <w:trPr>
          <w:trHeight w:val="302"/>
          <w:jc w:val="center"/>
        </w:trPr>
        <w:tc>
          <w:tcPr>
            <w:tcW w:w="675" w:type="dxa"/>
            <w:tcBorders>
              <w:top w:val="single" w:sz="4" w:space="0" w:color="auto"/>
              <w:left w:val="single" w:sz="4" w:space="0" w:color="auto"/>
              <w:bottom w:val="single" w:sz="4" w:space="0" w:color="auto"/>
              <w:right w:val="single" w:sz="4" w:space="0" w:color="auto"/>
            </w:tcBorders>
            <w:shd w:val="clear" w:color="000000" w:fill="C6EFCE"/>
            <w:noWrap/>
            <w:vAlign w:val="center"/>
          </w:tcPr>
          <w:p w14:paraId="5286BAF1" w14:textId="77777777" w:rsidR="00C45D59" w:rsidRDefault="009B0962">
            <w:pPr>
              <w:pStyle w:val="P68B1DB1-Normal55"/>
              <w:keepNext/>
              <w:spacing w:before="40" w:after="0" w:line="240" w:lineRule="auto"/>
              <w:jc w:val="both"/>
              <w:rPr>
                <w:noProof/>
              </w:rPr>
            </w:pPr>
            <w:r>
              <w:rPr>
                <w:noProof/>
              </w:rPr>
              <w:t>326</w:t>
            </w:r>
          </w:p>
        </w:tc>
        <w:tc>
          <w:tcPr>
            <w:tcW w:w="5412" w:type="dxa"/>
            <w:tcBorders>
              <w:top w:val="single" w:sz="4" w:space="0" w:color="auto"/>
              <w:left w:val="nil"/>
              <w:bottom w:val="single" w:sz="4" w:space="0" w:color="auto"/>
              <w:right w:val="single" w:sz="4" w:space="0" w:color="auto"/>
            </w:tcBorders>
            <w:shd w:val="clear" w:color="000000" w:fill="C6EFCE"/>
            <w:noWrap/>
            <w:vAlign w:val="center"/>
          </w:tcPr>
          <w:p w14:paraId="15BE9B3A" w14:textId="77777777" w:rsidR="00C45D59" w:rsidRDefault="009B0962">
            <w:pPr>
              <w:pStyle w:val="P68B1DB1-Normal55"/>
              <w:keepNext/>
              <w:spacing w:before="40" w:after="0" w:line="240" w:lineRule="auto"/>
              <w:jc w:val="both"/>
              <w:rPr>
                <w:noProof/>
              </w:rPr>
            </w:pPr>
            <w:r>
              <w:rPr>
                <w:noProof/>
              </w:rPr>
              <w:t>4.7. Îmbunătățirea competitivității și promovarea investițiilor private și a exporturilor – Mecanismul de împrumut 16980_RRP</w:t>
            </w:r>
          </w:p>
        </w:tc>
        <w:tc>
          <w:tcPr>
            <w:tcW w:w="1692" w:type="dxa"/>
            <w:tcBorders>
              <w:top w:val="single" w:sz="4" w:space="0" w:color="auto"/>
              <w:left w:val="nil"/>
              <w:bottom w:val="single" w:sz="4" w:space="0" w:color="auto"/>
              <w:right w:val="single" w:sz="4" w:space="0" w:color="auto"/>
            </w:tcBorders>
            <w:shd w:val="clear" w:color="000000" w:fill="C6EFCE"/>
            <w:noWrap/>
            <w:vAlign w:val="center"/>
          </w:tcPr>
          <w:p w14:paraId="4C55B438" w14:textId="77777777" w:rsidR="00C45D59" w:rsidRDefault="009B0962">
            <w:pPr>
              <w:pStyle w:val="P68B1DB1-Normal55"/>
              <w:keepNext/>
              <w:spacing w:before="40" w:after="0" w:line="240" w:lineRule="auto"/>
              <w:jc w:val="both"/>
              <w:rPr>
                <w:noProof/>
              </w:rPr>
            </w:pPr>
            <w:r>
              <w:rPr>
                <w:noProof/>
              </w:rPr>
              <w:t>Țintă</w:t>
            </w:r>
          </w:p>
        </w:tc>
        <w:tc>
          <w:tcPr>
            <w:tcW w:w="1740" w:type="dxa"/>
            <w:tcBorders>
              <w:top w:val="single" w:sz="4" w:space="0" w:color="auto"/>
              <w:left w:val="nil"/>
              <w:bottom w:val="single" w:sz="4" w:space="0" w:color="auto"/>
              <w:right w:val="single" w:sz="4" w:space="0" w:color="auto"/>
            </w:tcBorders>
            <w:shd w:val="clear" w:color="000000" w:fill="C6EFCE"/>
            <w:noWrap/>
            <w:vAlign w:val="center"/>
          </w:tcPr>
          <w:p w14:paraId="0EEFB25F" w14:textId="77777777" w:rsidR="00C45D59" w:rsidRDefault="009B0962">
            <w:pPr>
              <w:pStyle w:val="P68B1DB1-Normal55"/>
              <w:keepNext/>
              <w:spacing w:before="40" w:after="0" w:line="240" w:lineRule="auto"/>
              <w:jc w:val="both"/>
              <w:rPr>
                <w:noProof/>
              </w:rPr>
            </w:pPr>
            <w:r>
              <w:rPr>
                <w:noProof/>
              </w:rPr>
              <w:t>Fonduri ale instituțiilor financiare semnate cu beneficiarii finali în valoare de 7 064 de milioane EUR</w:t>
            </w:r>
          </w:p>
        </w:tc>
      </w:tr>
      <w:tr w:rsidR="00C45D59" w14:paraId="64ED3BB3" w14:textId="77777777">
        <w:trPr>
          <w:trHeight w:val="302"/>
          <w:jc w:val="center"/>
        </w:trPr>
        <w:tc>
          <w:tcPr>
            <w:tcW w:w="675"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7231EF28" w14:textId="77777777" w:rsidR="00C45D59" w:rsidRDefault="00C45D59">
            <w:pPr>
              <w:keepNext/>
              <w:spacing w:before="40" w:after="0" w:line="259" w:lineRule="auto"/>
              <w:jc w:val="both"/>
              <w:rPr>
                <w:rFonts w:ascii="Times New Roman" w:eastAsia="Times New Roman" w:hAnsi="Times New Roman" w:cs="Times New Roman"/>
                <w:bCs/>
                <w:noProof/>
                <w:sz w:val="18"/>
                <w:szCs w:val="18"/>
              </w:rPr>
            </w:pPr>
          </w:p>
        </w:tc>
        <w:tc>
          <w:tcPr>
            <w:tcW w:w="5412" w:type="dxa"/>
            <w:tcBorders>
              <w:top w:val="single" w:sz="4" w:space="0" w:color="auto"/>
              <w:left w:val="nil"/>
              <w:bottom w:val="single" w:sz="4" w:space="0" w:color="auto"/>
              <w:right w:val="single" w:sz="4" w:space="0" w:color="auto"/>
            </w:tcBorders>
            <w:shd w:val="clear" w:color="auto" w:fill="C6EFCE"/>
            <w:noWrap/>
            <w:vAlign w:val="bottom"/>
          </w:tcPr>
          <w:p w14:paraId="00B0CA52" w14:textId="77777777" w:rsidR="00C45D59" w:rsidRDefault="00C45D59">
            <w:pPr>
              <w:keepNext/>
              <w:spacing w:before="40" w:after="0" w:line="240" w:lineRule="auto"/>
              <w:jc w:val="both"/>
              <w:rPr>
                <w:rFonts w:ascii="Times New Roman" w:eastAsia="Times New Roman" w:hAnsi="Times New Roman" w:cs="Times New Roman"/>
                <w:bCs/>
                <w:noProof/>
                <w:sz w:val="18"/>
                <w:szCs w:val="18"/>
              </w:rPr>
            </w:pPr>
          </w:p>
        </w:tc>
        <w:tc>
          <w:tcPr>
            <w:tcW w:w="1692" w:type="dxa"/>
            <w:tcBorders>
              <w:top w:val="single" w:sz="4" w:space="0" w:color="auto"/>
              <w:left w:val="nil"/>
              <w:bottom w:val="single" w:sz="4" w:space="0" w:color="auto"/>
              <w:right w:val="single" w:sz="4" w:space="0" w:color="auto"/>
            </w:tcBorders>
            <w:shd w:val="clear" w:color="auto" w:fill="C6EFCE"/>
            <w:noWrap/>
            <w:vAlign w:val="bottom"/>
          </w:tcPr>
          <w:p w14:paraId="194E57C6" w14:textId="77777777" w:rsidR="00C45D59" w:rsidRDefault="009B0962">
            <w:pPr>
              <w:pStyle w:val="P68B1DB1-Normal55"/>
              <w:keepNext/>
              <w:spacing w:before="40" w:after="0" w:line="240" w:lineRule="auto"/>
              <w:jc w:val="both"/>
              <w:rPr>
                <w:rFonts w:eastAsia="Times New Roman" w:cs="Times New Roman"/>
                <w:noProof/>
                <w:szCs w:val="18"/>
              </w:rPr>
            </w:pPr>
            <w:r>
              <w:rPr>
                <w:noProof/>
              </w:rPr>
              <w:t>Cuantumul tranșei</w:t>
            </w:r>
          </w:p>
        </w:tc>
        <w:tc>
          <w:tcPr>
            <w:tcW w:w="1740" w:type="dxa"/>
            <w:tcBorders>
              <w:top w:val="single" w:sz="4" w:space="0" w:color="auto"/>
              <w:left w:val="nil"/>
              <w:bottom w:val="single" w:sz="4" w:space="0" w:color="auto"/>
              <w:right w:val="single" w:sz="4" w:space="0" w:color="auto"/>
            </w:tcBorders>
            <w:shd w:val="clear" w:color="auto" w:fill="C6EFCE"/>
            <w:noWrap/>
            <w:vAlign w:val="bottom"/>
          </w:tcPr>
          <w:p w14:paraId="6D8A124E" w14:textId="77777777" w:rsidR="00C45D59" w:rsidRDefault="009B0962">
            <w:pPr>
              <w:pStyle w:val="P68B1DB1-Normal55"/>
              <w:keepNext/>
              <w:spacing w:before="40" w:after="0" w:line="240" w:lineRule="auto"/>
              <w:jc w:val="both"/>
              <w:rPr>
                <w:rFonts w:eastAsia="Times New Roman" w:cs="Times New Roman"/>
                <w:noProof/>
                <w:szCs w:val="18"/>
              </w:rPr>
            </w:pPr>
            <w:r>
              <w:rPr>
                <w:noProof/>
              </w:rPr>
              <w:t>1 940 000 000 MIL.</w:t>
            </w:r>
          </w:p>
        </w:tc>
      </w:tr>
    </w:tbl>
    <w:p w14:paraId="7B857E6B" w14:textId="77777777" w:rsidR="00C45D59" w:rsidRDefault="00C45D59">
      <w:pPr>
        <w:keepNext/>
        <w:spacing w:before="40" w:after="160" w:line="259" w:lineRule="auto"/>
        <w:contextualSpacing/>
        <w:jc w:val="both"/>
        <w:rPr>
          <w:rFonts w:ascii="Times New Roman" w:eastAsia="Times New Roman" w:hAnsi="Times New Roman" w:cs="Times New Roman"/>
          <w:noProof/>
          <w:sz w:val="24"/>
        </w:rPr>
      </w:pPr>
    </w:p>
    <w:p w14:paraId="500CDA8B" w14:textId="77777777" w:rsidR="00C45D59" w:rsidRDefault="00C45D59">
      <w:pPr>
        <w:keepNext/>
        <w:spacing w:before="40" w:after="160" w:line="259" w:lineRule="auto"/>
        <w:contextualSpacing/>
        <w:jc w:val="both"/>
        <w:rPr>
          <w:rFonts w:ascii="Times New Roman" w:eastAsia="Times New Roman" w:hAnsi="Times New Roman" w:cs="Times New Roman"/>
          <w:noProof/>
          <w:sz w:val="24"/>
        </w:rPr>
      </w:pPr>
    </w:p>
    <w:p w14:paraId="769A0DBA" w14:textId="77777777" w:rsidR="00C45D59" w:rsidRDefault="00C45D59">
      <w:pPr>
        <w:keepNext/>
        <w:spacing w:before="40" w:after="160" w:line="259" w:lineRule="auto"/>
        <w:contextualSpacing/>
        <w:jc w:val="both"/>
        <w:rPr>
          <w:rFonts w:ascii="Times New Roman" w:eastAsia="Times New Roman" w:hAnsi="Times New Roman" w:cs="Times New Roman"/>
          <w:noProof/>
          <w:sz w:val="24"/>
        </w:rPr>
      </w:pPr>
    </w:p>
    <w:p w14:paraId="1471BAB9" w14:textId="77777777" w:rsidR="00C45D59" w:rsidRDefault="00C45D59">
      <w:pPr>
        <w:keepNext/>
        <w:spacing w:before="40" w:after="160" w:line="259" w:lineRule="auto"/>
        <w:contextualSpacing/>
        <w:jc w:val="both"/>
        <w:rPr>
          <w:rFonts w:ascii="Times New Roman" w:eastAsia="Times New Roman" w:hAnsi="Times New Roman" w:cs="Times New Roman"/>
          <w:noProof/>
          <w:sz w:val="24"/>
        </w:rPr>
      </w:pPr>
    </w:p>
    <w:p w14:paraId="416FFD46" w14:textId="77777777" w:rsidR="00C45D59" w:rsidRDefault="00C45D59">
      <w:pPr>
        <w:keepNext/>
        <w:spacing w:before="40" w:after="160" w:line="259" w:lineRule="auto"/>
        <w:contextualSpacing/>
        <w:jc w:val="both"/>
        <w:rPr>
          <w:rFonts w:ascii="Times New Roman" w:eastAsia="Times New Roman" w:hAnsi="Times New Roman" w:cs="Times New Roman"/>
          <w:noProof/>
          <w:sz w:val="24"/>
        </w:rPr>
      </w:pPr>
    </w:p>
    <w:p w14:paraId="3B12CA29" w14:textId="77777777" w:rsidR="00C45D59" w:rsidRDefault="00C45D59">
      <w:pPr>
        <w:keepNext/>
        <w:spacing w:before="40" w:after="160" w:line="259" w:lineRule="auto"/>
        <w:contextualSpacing/>
        <w:jc w:val="both"/>
        <w:rPr>
          <w:rFonts w:ascii="Times New Roman" w:eastAsia="Times New Roman" w:hAnsi="Times New Roman" w:cs="Times New Roman"/>
          <w:noProof/>
          <w:sz w:val="24"/>
        </w:rPr>
      </w:pPr>
    </w:p>
    <w:p w14:paraId="7C181FE9" w14:textId="00543F73" w:rsidR="00C45D59" w:rsidRDefault="009B0962">
      <w:pPr>
        <w:pStyle w:val="P68B1DB1-Normal5"/>
        <w:keepNext/>
        <w:numPr>
          <w:ilvl w:val="1"/>
          <w:numId w:val="106"/>
        </w:numPr>
        <w:spacing w:before="40" w:after="160" w:line="259" w:lineRule="auto"/>
        <w:ind w:left="0"/>
        <w:contextualSpacing/>
        <w:jc w:val="both"/>
        <w:rPr>
          <w:rFonts w:eastAsia="Times New Roman" w:cs="Times New Roman"/>
          <w:noProof/>
        </w:rPr>
      </w:pPr>
      <w:r>
        <w:rPr>
          <w:noProof/>
        </w:rPr>
        <w:t xml:space="preserve"> A șasea cerere de plată (sprijin sub formă de împrumut): </w:t>
      </w:r>
    </w:p>
    <w:tbl>
      <w:tblPr>
        <w:tblW w:w="9951" w:type="dxa"/>
        <w:jc w:val="center"/>
        <w:tblLook w:val="04A0" w:firstRow="1" w:lastRow="0" w:firstColumn="1" w:lastColumn="0" w:noHBand="0" w:noVBand="1"/>
      </w:tblPr>
      <w:tblGrid>
        <w:gridCol w:w="846"/>
        <w:gridCol w:w="5241"/>
        <w:gridCol w:w="1692"/>
        <w:gridCol w:w="2172"/>
      </w:tblGrid>
      <w:tr w:rsidR="00C45D59" w14:paraId="08A0A639" w14:textId="77777777">
        <w:trPr>
          <w:trHeight w:val="906"/>
          <w:jc w:val="center"/>
        </w:trPr>
        <w:tc>
          <w:tcPr>
            <w:tcW w:w="846"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7232BC40" w14:textId="77777777" w:rsidR="001D5265" w:rsidRDefault="009B0962">
            <w:pPr>
              <w:pStyle w:val="P68B1DB1-Normal15"/>
              <w:keepNext/>
              <w:spacing w:before="40" w:after="0" w:line="259" w:lineRule="auto"/>
              <w:jc w:val="center"/>
              <w:rPr>
                <w:noProof/>
              </w:rPr>
            </w:pPr>
            <w:r>
              <w:rPr>
                <w:noProof/>
              </w:rPr>
              <w:t>Nr</w:t>
            </w:r>
            <w:r w:rsidR="001D5265">
              <w:rPr>
                <w:noProof/>
              </w:rPr>
              <w:t>.</w:t>
            </w:r>
          </w:p>
          <w:p w14:paraId="448D1E56" w14:textId="1F6CE16E" w:rsidR="00C45D59" w:rsidRDefault="001D5265">
            <w:pPr>
              <w:pStyle w:val="P68B1DB1-Normal15"/>
              <w:keepNext/>
              <w:spacing w:before="40" w:after="0" w:line="259" w:lineRule="auto"/>
              <w:jc w:val="center"/>
              <w:rPr>
                <w:rFonts w:eastAsia="Times New Roman"/>
                <w:bCs/>
                <w:noProof/>
              </w:rPr>
            </w:pPr>
            <w:r>
              <w:rPr>
                <w:noProof/>
              </w:rPr>
              <w:t>crt.</w:t>
            </w:r>
          </w:p>
        </w:tc>
        <w:tc>
          <w:tcPr>
            <w:tcW w:w="5241"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74D1AA45" w14:textId="77777777" w:rsidR="00C45D59" w:rsidRDefault="009B0962">
            <w:pPr>
              <w:pStyle w:val="P68B1DB1-Normal10"/>
              <w:keepNext/>
              <w:spacing w:before="40" w:after="0" w:line="259" w:lineRule="auto"/>
              <w:jc w:val="center"/>
              <w:rPr>
                <w:rFonts w:eastAsia="Times New Roman" w:cs="Times New Roman"/>
                <w:bCs/>
                <w:noProof/>
                <w:szCs w:val="18"/>
              </w:rPr>
            </w:pPr>
            <w:r>
              <w:rPr>
                <w:noProof/>
              </w:rPr>
              <w:t>Măsură conexă (reformă sau investiții)</w:t>
            </w:r>
          </w:p>
        </w:tc>
        <w:tc>
          <w:tcPr>
            <w:tcW w:w="1692"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2A7E21E3" w14:textId="77777777" w:rsidR="00C45D59" w:rsidRDefault="009B0962">
            <w:pPr>
              <w:pStyle w:val="P68B1DB1-Normal10"/>
              <w:keepNext/>
              <w:spacing w:before="40" w:after="0" w:line="259" w:lineRule="auto"/>
              <w:jc w:val="center"/>
              <w:rPr>
                <w:rFonts w:eastAsia="Times New Roman" w:cs="Times New Roman"/>
                <w:bCs/>
                <w:noProof/>
                <w:szCs w:val="18"/>
              </w:rPr>
            </w:pPr>
            <w:r>
              <w:rPr>
                <w:noProof/>
              </w:rPr>
              <w:t>Etapă/Obiectiv</w:t>
            </w:r>
          </w:p>
        </w:tc>
        <w:tc>
          <w:tcPr>
            <w:tcW w:w="2172" w:type="dxa"/>
            <w:vMerge w:val="restart"/>
            <w:tcBorders>
              <w:top w:val="single" w:sz="4" w:space="0" w:color="auto"/>
              <w:left w:val="nil"/>
              <w:bottom w:val="single" w:sz="4" w:space="0" w:color="000000"/>
              <w:right w:val="single" w:sz="4" w:space="0" w:color="auto"/>
            </w:tcBorders>
            <w:shd w:val="clear" w:color="auto" w:fill="BDD7EE"/>
            <w:vAlign w:val="center"/>
            <w:hideMark/>
          </w:tcPr>
          <w:p w14:paraId="43E6CF04" w14:textId="15AC8D56" w:rsidR="00C45D59" w:rsidRDefault="001D5265">
            <w:pPr>
              <w:pStyle w:val="P68B1DB1-Normal10"/>
              <w:keepNext/>
              <w:spacing w:before="40" w:after="0" w:line="259" w:lineRule="auto"/>
              <w:jc w:val="center"/>
              <w:rPr>
                <w:rFonts w:eastAsia="Times New Roman" w:cs="Times New Roman"/>
                <w:bCs/>
                <w:noProof/>
                <w:szCs w:val="18"/>
              </w:rPr>
            </w:pPr>
            <w:r>
              <w:rPr>
                <w:noProof/>
              </w:rPr>
              <w:t>Denumire</w:t>
            </w:r>
          </w:p>
        </w:tc>
      </w:tr>
      <w:tr w:rsidR="00C45D59" w14:paraId="1DC8B989" w14:textId="77777777">
        <w:trPr>
          <w:trHeight w:val="308"/>
          <w:jc w:val="center"/>
        </w:trPr>
        <w:tc>
          <w:tcPr>
            <w:tcW w:w="846" w:type="dxa"/>
            <w:vMerge/>
            <w:tcBorders>
              <w:top w:val="single" w:sz="4" w:space="0" w:color="auto"/>
              <w:left w:val="single" w:sz="4" w:space="0" w:color="auto"/>
              <w:bottom w:val="single" w:sz="4" w:space="0" w:color="000000"/>
              <w:right w:val="single" w:sz="4" w:space="0" w:color="auto"/>
            </w:tcBorders>
            <w:vAlign w:val="center"/>
            <w:hideMark/>
          </w:tcPr>
          <w:p w14:paraId="16157D0D" w14:textId="77777777" w:rsidR="00C45D59" w:rsidRDefault="00C45D59">
            <w:pPr>
              <w:keepNext/>
              <w:spacing w:before="40" w:after="0" w:line="259" w:lineRule="auto"/>
              <w:jc w:val="both"/>
              <w:rPr>
                <w:rFonts w:ascii="Times New Roman" w:eastAsia="Times New Roman" w:hAnsi="Times New Roman" w:cs="Times New Roman"/>
                <w:bCs/>
                <w:noProof/>
                <w:sz w:val="18"/>
                <w:szCs w:val="18"/>
              </w:rPr>
            </w:pPr>
          </w:p>
        </w:tc>
        <w:tc>
          <w:tcPr>
            <w:tcW w:w="5241" w:type="dxa"/>
            <w:vMerge/>
            <w:tcBorders>
              <w:top w:val="single" w:sz="4" w:space="0" w:color="auto"/>
              <w:left w:val="single" w:sz="4" w:space="0" w:color="auto"/>
              <w:bottom w:val="single" w:sz="4" w:space="0" w:color="000000"/>
              <w:right w:val="single" w:sz="4" w:space="0" w:color="auto"/>
            </w:tcBorders>
            <w:vAlign w:val="center"/>
            <w:hideMark/>
          </w:tcPr>
          <w:p w14:paraId="516B12DF" w14:textId="77777777" w:rsidR="00C45D59" w:rsidRDefault="00C45D59">
            <w:pPr>
              <w:keepNext/>
              <w:spacing w:before="40" w:after="0" w:line="259" w:lineRule="auto"/>
              <w:jc w:val="both"/>
              <w:rPr>
                <w:rFonts w:ascii="Times New Roman" w:eastAsia="Times New Roman" w:hAnsi="Times New Roman" w:cs="Times New Roman"/>
                <w:bCs/>
                <w:noProof/>
                <w:sz w:val="18"/>
                <w:szCs w:val="18"/>
              </w:rPr>
            </w:pPr>
          </w:p>
        </w:tc>
        <w:tc>
          <w:tcPr>
            <w:tcW w:w="1692" w:type="dxa"/>
            <w:vMerge/>
            <w:tcBorders>
              <w:top w:val="single" w:sz="4" w:space="0" w:color="auto"/>
              <w:left w:val="single" w:sz="4" w:space="0" w:color="auto"/>
              <w:bottom w:val="single" w:sz="4" w:space="0" w:color="000000"/>
              <w:right w:val="single" w:sz="4" w:space="0" w:color="auto"/>
            </w:tcBorders>
            <w:vAlign w:val="center"/>
            <w:hideMark/>
          </w:tcPr>
          <w:p w14:paraId="13BFC2DE" w14:textId="77777777" w:rsidR="00C45D59" w:rsidRDefault="00C45D59">
            <w:pPr>
              <w:keepNext/>
              <w:spacing w:before="40" w:after="0" w:line="259" w:lineRule="auto"/>
              <w:jc w:val="both"/>
              <w:rPr>
                <w:rFonts w:ascii="Times New Roman" w:eastAsia="Times New Roman" w:hAnsi="Times New Roman" w:cs="Times New Roman"/>
                <w:bCs/>
                <w:noProof/>
                <w:sz w:val="18"/>
                <w:szCs w:val="18"/>
              </w:rPr>
            </w:pPr>
          </w:p>
        </w:tc>
        <w:tc>
          <w:tcPr>
            <w:tcW w:w="2172" w:type="dxa"/>
            <w:vMerge/>
            <w:tcBorders>
              <w:top w:val="single" w:sz="4" w:space="0" w:color="auto"/>
              <w:left w:val="nil"/>
              <w:bottom w:val="single" w:sz="4" w:space="0" w:color="000000"/>
              <w:right w:val="single" w:sz="4" w:space="0" w:color="auto"/>
            </w:tcBorders>
            <w:vAlign w:val="center"/>
            <w:hideMark/>
          </w:tcPr>
          <w:p w14:paraId="3EA3678F" w14:textId="77777777" w:rsidR="00C45D59" w:rsidRDefault="00C45D59">
            <w:pPr>
              <w:keepNext/>
              <w:spacing w:before="40" w:after="0" w:line="259" w:lineRule="auto"/>
              <w:jc w:val="both"/>
              <w:rPr>
                <w:rFonts w:ascii="Times New Roman" w:eastAsia="Times New Roman" w:hAnsi="Times New Roman" w:cs="Times New Roman"/>
                <w:bCs/>
                <w:noProof/>
                <w:sz w:val="18"/>
                <w:szCs w:val="18"/>
              </w:rPr>
            </w:pPr>
          </w:p>
        </w:tc>
      </w:tr>
      <w:tr w:rsidR="00C45D59" w14:paraId="16BB1756" w14:textId="77777777">
        <w:trPr>
          <w:trHeight w:val="302"/>
          <w:jc w:val="center"/>
        </w:trPr>
        <w:tc>
          <w:tcPr>
            <w:tcW w:w="846" w:type="dxa"/>
            <w:tcBorders>
              <w:top w:val="single" w:sz="4" w:space="0" w:color="auto"/>
              <w:left w:val="single" w:sz="4" w:space="0" w:color="auto"/>
              <w:bottom w:val="single" w:sz="4" w:space="0" w:color="auto"/>
              <w:right w:val="single" w:sz="4" w:space="0" w:color="auto"/>
            </w:tcBorders>
            <w:shd w:val="clear" w:color="000000" w:fill="C6EFCE"/>
            <w:noWrap/>
            <w:vAlign w:val="center"/>
          </w:tcPr>
          <w:p w14:paraId="3882756B" w14:textId="77777777" w:rsidR="00C45D59" w:rsidRDefault="009B0962">
            <w:pPr>
              <w:pStyle w:val="P68B1DB1-Normal55"/>
              <w:keepNext/>
              <w:spacing w:before="40" w:after="0" w:line="240" w:lineRule="auto"/>
              <w:jc w:val="both"/>
              <w:rPr>
                <w:rFonts w:eastAsia="Times New Roman" w:cs="Times New Roman"/>
                <w:noProof/>
                <w:szCs w:val="18"/>
              </w:rPr>
            </w:pPr>
            <w:r>
              <w:rPr>
                <w:noProof/>
              </w:rPr>
              <w:t>379</w:t>
            </w:r>
          </w:p>
        </w:tc>
        <w:tc>
          <w:tcPr>
            <w:tcW w:w="5241" w:type="dxa"/>
            <w:tcBorders>
              <w:top w:val="single" w:sz="4" w:space="0" w:color="auto"/>
              <w:left w:val="nil"/>
              <w:bottom w:val="single" w:sz="4" w:space="0" w:color="auto"/>
              <w:right w:val="single" w:sz="4" w:space="0" w:color="auto"/>
            </w:tcBorders>
            <w:shd w:val="clear" w:color="000000" w:fill="C6EFCE"/>
            <w:noWrap/>
            <w:vAlign w:val="center"/>
          </w:tcPr>
          <w:p w14:paraId="7FDF49A2"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11-3.4. Creșterea accesului la politici sociale eficace și favorabile incluziunii – 16400_Programul pentru locuințe la prețuri accesibile „My Home II”</w:t>
            </w:r>
            <w:r>
              <w:rPr>
                <w:noProof/>
              </w:rPr>
              <w:tab/>
            </w:r>
          </w:p>
        </w:tc>
        <w:tc>
          <w:tcPr>
            <w:tcW w:w="1692" w:type="dxa"/>
            <w:tcBorders>
              <w:top w:val="single" w:sz="4" w:space="0" w:color="auto"/>
              <w:left w:val="nil"/>
              <w:bottom w:val="single" w:sz="4" w:space="0" w:color="auto"/>
              <w:right w:val="single" w:sz="4" w:space="0" w:color="auto"/>
            </w:tcBorders>
            <w:shd w:val="clear" w:color="000000" w:fill="C6EFCE"/>
            <w:noWrap/>
            <w:vAlign w:val="center"/>
          </w:tcPr>
          <w:p w14:paraId="3418BBCC" w14:textId="77777777" w:rsidR="00C45D59" w:rsidRDefault="009B0962">
            <w:pPr>
              <w:pStyle w:val="P68B1DB1-Normal55"/>
              <w:keepNext/>
              <w:spacing w:before="40" w:after="0" w:line="240" w:lineRule="auto"/>
              <w:jc w:val="both"/>
              <w:rPr>
                <w:rFonts w:eastAsia="Times New Roman" w:cs="Times New Roman"/>
                <w:bCs/>
                <w:noProof/>
                <w:szCs w:val="18"/>
              </w:rPr>
            </w:pPr>
            <w:r>
              <w:rPr>
                <w:noProof/>
              </w:rPr>
              <w:t>Țintă</w:t>
            </w:r>
          </w:p>
        </w:tc>
        <w:tc>
          <w:tcPr>
            <w:tcW w:w="2172" w:type="dxa"/>
            <w:tcBorders>
              <w:top w:val="single" w:sz="4" w:space="0" w:color="auto"/>
              <w:left w:val="nil"/>
              <w:bottom w:val="single" w:sz="4" w:space="0" w:color="auto"/>
              <w:right w:val="single" w:sz="4" w:space="0" w:color="auto"/>
            </w:tcBorders>
            <w:shd w:val="clear" w:color="000000" w:fill="C6EFCE"/>
            <w:noWrap/>
            <w:vAlign w:val="center"/>
          </w:tcPr>
          <w:p w14:paraId="33E942F9" w14:textId="77777777" w:rsidR="00C45D59" w:rsidRDefault="009B0962">
            <w:pPr>
              <w:pStyle w:val="P68B1DB1-Normal58"/>
              <w:keepNext/>
              <w:spacing w:before="40" w:after="0" w:line="240" w:lineRule="auto"/>
              <w:jc w:val="both"/>
              <w:rPr>
                <w:bCs/>
                <w:noProof/>
              </w:rPr>
            </w:pPr>
            <w:r>
              <w:rPr>
                <w:noProof/>
              </w:rPr>
              <w:t>Casa mea II – Acorduri juridice semnate cu beneficiarii finali – 50 %</w:t>
            </w:r>
          </w:p>
        </w:tc>
      </w:tr>
      <w:tr w:rsidR="00C45D59" w14:paraId="61D1288C" w14:textId="77777777">
        <w:trPr>
          <w:trHeight w:val="302"/>
          <w:jc w:val="center"/>
        </w:trPr>
        <w:tc>
          <w:tcPr>
            <w:tcW w:w="846" w:type="dxa"/>
            <w:tcBorders>
              <w:top w:val="single" w:sz="4" w:space="0" w:color="auto"/>
              <w:left w:val="single" w:sz="4" w:space="0" w:color="auto"/>
              <w:bottom w:val="single" w:sz="4" w:space="0" w:color="auto"/>
              <w:right w:val="single" w:sz="4" w:space="0" w:color="auto"/>
            </w:tcBorders>
            <w:shd w:val="clear" w:color="000000" w:fill="C6EFCE"/>
            <w:noWrap/>
            <w:vAlign w:val="center"/>
          </w:tcPr>
          <w:p w14:paraId="227AFFA8" w14:textId="77777777" w:rsidR="00C45D59" w:rsidRDefault="009B0962">
            <w:pPr>
              <w:pStyle w:val="P68B1DB1-Normal55"/>
              <w:keepNext/>
              <w:spacing w:before="40" w:after="0" w:line="240" w:lineRule="auto"/>
              <w:jc w:val="both"/>
              <w:rPr>
                <w:noProof/>
              </w:rPr>
            </w:pPr>
            <w:r>
              <w:rPr>
                <w:noProof/>
              </w:rPr>
              <w:t>327</w:t>
            </w:r>
          </w:p>
        </w:tc>
        <w:tc>
          <w:tcPr>
            <w:tcW w:w="5241" w:type="dxa"/>
            <w:tcBorders>
              <w:top w:val="single" w:sz="4" w:space="0" w:color="auto"/>
              <w:left w:val="nil"/>
              <w:bottom w:val="single" w:sz="4" w:space="0" w:color="auto"/>
              <w:right w:val="single" w:sz="4" w:space="0" w:color="auto"/>
            </w:tcBorders>
            <w:shd w:val="clear" w:color="000000" w:fill="C6EFCE"/>
            <w:noWrap/>
            <w:vAlign w:val="center"/>
          </w:tcPr>
          <w:p w14:paraId="63AE9976" w14:textId="77777777" w:rsidR="00C45D59" w:rsidRDefault="009B0962">
            <w:pPr>
              <w:pStyle w:val="P68B1DB1-Normal55"/>
              <w:keepNext/>
              <w:spacing w:before="40" w:after="0" w:line="240" w:lineRule="auto"/>
              <w:jc w:val="both"/>
              <w:rPr>
                <w:noProof/>
              </w:rPr>
            </w:pPr>
            <w:r>
              <w:rPr>
                <w:noProof/>
              </w:rPr>
              <w:t>4.7. Îmbunătățirea competitivității și promovarea investițiilor private și a exporturilor – Mecanismul de împrumut 16980_RRP</w:t>
            </w:r>
          </w:p>
        </w:tc>
        <w:tc>
          <w:tcPr>
            <w:tcW w:w="1692" w:type="dxa"/>
            <w:tcBorders>
              <w:top w:val="single" w:sz="4" w:space="0" w:color="auto"/>
              <w:left w:val="nil"/>
              <w:bottom w:val="single" w:sz="4" w:space="0" w:color="auto"/>
              <w:right w:val="single" w:sz="4" w:space="0" w:color="auto"/>
            </w:tcBorders>
            <w:shd w:val="clear" w:color="000000" w:fill="C6EFCE"/>
            <w:noWrap/>
            <w:vAlign w:val="center"/>
          </w:tcPr>
          <w:p w14:paraId="3C421E02" w14:textId="77777777" w:rsidR="00C45D59" w:rsidRDefault="009B0962">
            <w:pPr>
              <w:pStyle w:val="P68B1DB1-Normal55"/>
              <w:keepNext/>
              <w:spacing w:before="40" w:after="0" w:line="240" w:lineRule="auto"/>
              <w:jc w:val="both"/>
              <w:rPr>
                <w:noProof/>
              </w:rPr>
            </w:pPr>
            <w:r>
              <w:rPr>
                <w:noProof/>
              </w:rPr>
              <w:t>Țintă</w:t>
            </w:r>
          </w:p>
        </w:tc>
        <w:tc>
          <w:tcPr>
            <w:tcW w:w="2172" w:type="dxa"/>
            <w:tcBorders>
              <w:top w:val="single" w:sz="4" w:space="0" w:color="auto"/>
              <w:left w:val="nil"/>
              <w:bottom w:val="single" w:sz="4" w:space="0" w:color="auto"/>
              <w:right w:val="single" w:sz="4" w:space="0" w:color="auto"/>
            </w:tcBorders>
            <w:shd w:val="clear" w:color="000000" w:fill="C6EFCE"/>
            <w:noWrap/>
            <w:vAlign w:val="center"/>
          </w:tcPr>
          <w:p w14:paraId="4F85F9E8" w14:textId="77777777" w:rsidR="00C45D59" w:rsidRDefault="009B0962">
            <w:pPr>
              <w:pStyle w:val="P68B1DB1-Normal55"/>
              <w:keepNext/>
              <w:spacing w:before="40" w:after="0" w:line="240" w:lineRule="auto"/>
              <w:jc w:val="both"/>
              <w:rPr>
                <w:noProof/>
              </w:rPr>
            </w:pPr>
            <w:r>
              <w:rPr>
                <w:noProof/>
              </w:rPr>
              <w:t>Fonduri ale instituțiilor financiare semnate cu beneficiarii finali în valoare de 9 800 de milioane EUR</w:t>
            </w:r>
          </w:p>
        </w:tc>
      </w:tr>
      <w:tr w:rsidR="00C45D59" w14:paraId="36462C06" w14:textId="77777777">
        <w:trPr>
          <w:trHeight w:val="302"/>
          <w:jc w:val="center"/>
        </w:trPr>
        <w:tc>
          <w:tcPr>
            <w:tcW w:w="846" w:type="dxa"/>
            <w:tcBorders>
              <w:top w:val="single" w:sz="4" w:space="0" w:color="auto"/>
              <w:left w:val="single" w:sz="4" w:space="0" w:color="auto"/>
              <w:bottom w:val="single" w:sz="4" w:space="0" w:color="auto"/>
              <w:right w:val="single" w:sz="4" w:space="0" w:color="auto"/>
            </w:tcBorders>
            <w:shd w:val="clear" w:color="000000" w:fill="C6EFCE"/>
            <w:noWrap/>
            <w:vAlign w:val="center"/>
          </w:tcPr>
          <w:p w14:paraId="300D78F3" w14:textId="77777777" w:rsidR="00C45D59" w:rsidRDefault="009B0962">
            <w:pPr>
              <w:pStyle w:val="P68B1DB1-Normal55"/>
              <w:keepNext/>
              <w:spacing w:before="40" w:after="0" w:line="240" w:lineRule="auto"/>
              <w:jc w:val="both"/>
              <w:rPr>
                <w:noProof/>
              </w:rPr>
            </w:pPr>
            <w:r>
              <w:rPr>
                <w:noProof/>
              </w:rPr>
              <w:t>329</w:t>
            </w:r>
          </w:p>
        </w:tc>
        <w:tc>
          <w:tcPr>
            <w:tcW w:w="5241" w:type="dxa"/>
            <w:tcBorders>
              <w:top w:val="single" w:sz="4" w:space="0" w:color="auto"/>
              <w:left w:val="nil"/>
              <w:bottom w:val="single" w:sz="4" w:space="0" w:color="auto"/>
              <w:right w:val="single" w:sz="4" w:space="0" w:color="auto"/>
            </w:tcBorders>
            <w:shd w:val="clear" w:color="000000" w:fill="C6EFCE"/>
            <w:noWrap/>
            <w:vAlign w:val="center"/>
          </w:tcPr>
          <w:p w14:paraId="0FE5BFF2" w14:textId="77777777" w:rsidR="00C45D59" w:rsidRDefault="009B0962">
            <w:pPr>
              <w:pStyle w:val="P68B1DB1-Normal55"/>
              <w:keepNext/>
              <w:spacing w:before="40" w:after="0" w:line="240" w:lineRule="auto"/>
              <w:jc w:val="both"/>
              <w:rPr>
                <w:noProof/>
              </w:rPr>
            </w:pPr>
            <w:r>
              <w:rPr>
                <w:noProof/>
              </w:rPr>
              <w:t>4.7. Îmbunătățirea competitivității și promovarea investițiilor private și a exporturilor – Mecanismul de împrumut 16980_RRP</w:t>
            </w:r>
          </w:p>
        </w:tc>
        <w:tc>
          <w:tcPr>
            <w:tcW w:w="1692" w:type="dxa"/>
            <w:tcBorders>
              <w:top w:val="single" w:sz="4" w:space="0" w:color="auto"/>
              <w:left w:val="nil"/>
              <w:bottom w:val="single" w:sz="4" w:space="0" w:color="auto"/>
              <w:right w:val="single" w:sz="4" w:space="0" w:color="auto"/>
            </w:tcBorders>
            <w:shd w:val="clear" w:color="000000" w:fill="C6EFCE"/>
            <w:noWrap/>
            <w:vAlign w:val="center"/>
          </w:tcPr>
          <w:p w14:paraId="7C016D32" w14:textId="77777777" w:rsidR="00C45D59" w:rsidRDefault="009B0962">
            <w:pPr>
              <w:pStyle w:val="P68B1DB1-Normal55"/>
              <w:keepNext/>
              <w:spacing w:before="40" w:after="0" w:line="240" w:lineRule="auto"/>
              <w:jc w:val="both"/>
              <w:rPr>
                <w:noProof/>
              </w:rPr>
            </w:pPr>
            <w:r>
              <w:rPr>
                <w:noProof/>
              </w:rPr>
              <w:t>Țintă</w:t>
            </w:r>
          </w:p>
        </w:tc>
        <w:tc>
          <w:tcPr>
            <w:tcW w:w="2172" w:type="dxa"/>
            <w:tcBorders>
              <w:top w:val="single" w:sz="4" w:space="0" w:color="auto"/>
              <w:left w:val="nil"/>
              <w:bottom w:val="single" w:sz="4" w:space="0" w:color="auto"/>
              <w:right w:val="single" w:sz="4" w:space="0" w:color="auto"/>
            </w:tcBorders>
            <w:shd w:val="clear" w:color="000000" w:fill="C6EFCE"/>
            <w:noWrap/>
            <w:vAlign w:val="center"/>
          </w:tcPr>
          <w:p w14:paraId="5DC6FF8A" w14:textId="3AA0011B" w:rsidR="00C45D59" w:rsidRDefault="009B0962">
            <w:pPr>
              <w:pStyle w:val="P68B1DB1-Normal55"/>
              <w:keepNext/>
              <w:spacing w:before="40" w:after="0" w:line="240" w:lineRule="auto"/>
              <w:jc w:val="both"/>
              <w:rPr>
                <w:noProof/>
              </w:rPr>
            </w:pPr>
            <w:r>
              <w:rPr>
                <w:noProof/>
              </w:rPr>
              <w:t>Acorduri juridice semnate cu fonduri – 500 milioane EUR</w:t>
            </w:r>
          </w:p>
        </w:tc>
      </w:tr>
      <w:tr w:rsidR="00C45D59" w14:paraId="07B6424B" w14:textId="77777777">
        <w:trPr>
          <w:trHeight w:val="302"/>
          <w:jc w:val="center"/>
        </w:trPr>
        <w:tc>
          <w:tcPr>
            <w:tcW w:w="846" w:type="dxa"/>
            <w:tcBorders>
              <w:top w:val="single" w:sz="4" w:space="0" w:color="auto"/>
              <w:left w:val="single" w:sz="4" w:space="0" w:color="auto"/>
              <w:bottom w:val="single" w:sz="4" w:space="0" w:color="auto"/>
              <w:right w:val="single" w:sz="4" w:space="0" w:color="auto"/>
            </w:tcBorders>
            <w:shd w:val="clear" w:color="000000" w:fill="C6EFCE"/>
            <w:noWrap/>
            <w:vAlign w:val="center"/>
          </w:tcPr>
          <w:p w14:paraId="3D13A252" w14:textId="77777777" w:rsidR="00C45D59" w:rsidRDefault="009B0962">
            <w:pPr>
              <w:pStyle w:val="P68B1DB1-Normal55"/>
              <w:keepNext/>
              <w:spacing w:before="40" w:after="0" w:line="240" w:lineRule="auto"/>
              <w:jc w:val="both"/>
              <w:rPr>
                <w:noProof/>
              </w:rPr>
            </w:pPr>
            <w:r>
              <w:rPr>
                <w:noProof/>
              </w:rPr>
              <w:t>330</w:t>
            </w:r>
          </w:p>
        </w:tc>
        <w:tc>
          <w:tcPr>
            <w:tcW w:w="5241" w:type="dxa"/>
            <w:tcBorders>
              <w:top w:val="single" w:sz="4" w:space="0" w:color="auto"/>
              <w:left w:val="nil"/>
              <w:bottom w:val="single" w:sz="4" w:space="0" w:color="auto"/>
              <w:right w:val="single" w:sz="4" w:space="0" w:color="auto"/>
            </w:tcBorders>
            <w:shd w:val="clear" w:color="000000" w:fill="C6EFCE"/>
            <w:noWrap/>
            <w:vAlign w:val="center"/>
          </w:tcPr>
          <w:p w14:paraId="3546E9D9" w14:textId="77777777" w:rsidR="00C45D59" w:rsidRDefault="009B0962">
            <w:pPr>
              <w:pStyle w:val="P68B1DB1-Normal55"/>
              <w:keepNext/>
              <w:spacing w:before="40" w:after="0" w:line="240" w:lineRule="auto"/>
              <w:jc w:val="both"/>
              <w:rPr>
                <w:noProof/>
              </w:rPr>
            </w:pPr>
            <w:r>
              <w:rPr>
                <w:noProof/>
              </w:rPr>
              <w:t>4.7. Îmbunătățirea competitivității și promovarea investițiilor private și a exporturilor – Mecanismul de împrumut 16980_RRP</w:t>
            </w:r>
          </w:p>
        </w:tc>
        <w:tc>
          <w:tcPr>
            <w:tcW w:w="1692" w:type="dxa"/>
            <w:tcBorders>
              <w:top w:val="single" w:sz="4" w:space="0" w:color="auto"/>
              <w:left w:val="nil"/>
              <w:bottom w:val="single" w:sz="4" w:space="0" w:color="auto"/>
              <w:right w:val="single" w:sz="4" w:space="0" w:color="auto"/>
            </w:tcBorders>
            <w:shd w:val="clear" w:color="000000" w:fill="C6EFCE"/>
            <w:noWrap/>
            <w:vAlign w:val="center"/>
          </w:tcPr>
          <w:p w14:paraId="7C85FD4C" w14:textId="77777777" w:rsidR="00C45D59" w:rsidRDefault="009B0962">
            <w:pPr>
              <w:pStyle w:val="P68B1DB1-Normal55"/>
              <w:keepNext/>
              <w:spacing w:before="40" w:after="0" w:line="240" w:lineRule="auto"/>
              <w:jc w:val="both"/>
              <w:rPr>
                <w:noProof/>
              </w:rPr>
            </w:pPr>
            <w:r>
              <w:rPr>
                <w:noProof/>
              </w:rPr>
              <w:t>Țintă</w:t>
            </w:r>
          </w:p>
        </w:tc>
        <w:tc>
          <w:tcPr>
            <w:tcW w:w="2172" w:type="dxa"/>
            <w:tcBorders>
              <w:top w:val="single" w:sz="4" w:space="0" w:color="auto"/>
              <w:left w:val="nil"/>
              <w:bottom w:val="single" w:sz="4" w:space="0" w:color="auto"/>
              <w:right w:val="single" w:sz="4" w:space="0" w:color="auto"/>
            </w:tcBorders>
            <w:shd w:val="clear" w:color="000000" w:fill="C6EFCE"/>
            <w:noWrap/>
            <w:vAlign w:val="center"/>
          </w:tcPr>
          <w:p w14:paraId="3B535A26" w14:textId="56DEABEB" w:rsidR="00C45D59" w:rsidRDefault="009B0962">
            <w:pPr>
              <w:pStyle w:val="P68B1DB1-Normal55"/>
              <w:keepNext/>
              <w:spacing w:before="40" w:after="0" w:line="240" w:lineRule="auto"/>
              <w:jc w:val="both"/>
              <w:rPr>
                <w:noProof/>
              </w:rPr>
            </w:pPr>
            <w:r>
              <w:rPr>
                <w:noProof/>
              </w:rPr>
              <w:t>Aprobarea de către InvestEU a unor operațiuni în valoare de 500 de milioane EUR</w:t>
            </w:r>
          </w:p>
        </w:tc>
      </w:tr>
      <w:tr w:rsidR="00C45D59" w14:paraId="1888D0DA" w14:textId="77777777">
        <w:trPr>
          <w:trHeight w:val="302"/>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7619EC98" w14:textId="77777777" w:rsidR="00C45D59" w:rsidRDefault="00C45D59">
            <w:pPr>
              <w:keepNext/>
              <w:spacing w:before="40" w:after="0" w:line="259" w:lineRule="auto"/>
              <w:jc w:val="both"/>
              <w:rPr>
                <w:rFonts w:ascii="Times New Roman" w:eastAsia="Times New Roman" w:hAnsi="Times New Roman" w:cs="Times New Roman"/>
                <w:bCs/>
                <w:noProof/>
                <w:sz w:val="18"/>
                <w:szCs w:val="18"/>
              </w:rPr>
            </w:pPr>
          </w:p>
        </w:tc>
        <w:tc>
          <w:tcPr>
            <w:tcW w:w="5241" w:type="dxa"/>
            <w:tcBorders>
              <w:top w:val="single" w:sz="4" w:space="0" w:color="auto"/>
              <w:left w:val="nil"/>
              <w:bottom w:val="single" w:sz="4" w:space="0" w:color="auto"/>
              <w:right w:val="single" w:sz="4" w:space="0" w:color="auto"/>
            </w:tcBorders>
            <w:shd w:val="clear" w:color="auto" w:fill="C6EFCE"/>
            <w:noWrap/>
            <w:vAlign w:val="bottom"/>
          </w:tcPr>
          <w:p w14:paraId="5B9669A5" w14:textId="77777777" w:rsidR="00C45D59" w:rsidRDefault="00C45D59">
            <w:pPr>
              <w:keepNext/>
              <w:spacing w:before="40" w:after="0" w:line="259" w:lineRule="auto"/>
              <w:jc w:val="both"/>
              <w:rPr>
                <w:rFonts w:ascii="Times New Roman" w:eastAsia="Times New Roman" w:hAnsi="Times New Roman" w:cs="Times New Roman"/>
                <w:bCs/>
                <w:noProof/>
                <w:sz w:val="18"/>
                <w:szCs w:val="18"/>
              </w:rPr>
            </w:pPr>
          </w:p>
        </w:tc>
        <w:tc>
          <w:tcPr>
            <w:tcW w:w="1692" w:type="dxa"/>
            <w:tcBorders>
              <w:top w:val="single" w:sz="4" w:space="0" w:color="auto"/>
              <w:left w:val="nil"/>
              <w:bottom w:val="single" w:sz="4" w:space="0" w:color="auto"/>
              <w:right w:val="single" w:sz="4" w:space="0" w:color="auto"/>
            </w:tcBorders>
            <w:shd w:val="clear" w:color="auto" w:fill="C6EFCE"/>
            <w:noWrap/>
            <w:vAlign w:val="bottom"/>
          </w:tcPr>
          <w:p w14:paraId="345FC478" w14:textId="77777777" w:rsidR="00C45D59" w:rsidRDefault="009B0962">
            <w:pPr>
              <w:pStyle w:val="P68B1DB1-Normal55"/>
              <w:keepNext/>
              <w:spacing w:before="40" w:after="0" w:line="259" w:lineRule="auto"/>
              <w:jc w:val="both"/>
              <w:rPr>
                <w:rFonts w:eastAsia="Times New Roman" w:cs="Times New Roman"/>
                <w:noProof/>
                <w:szCs w:val="18"/>
              </w:rPr>
            </w:pPr>
            <w:r>
              <w:rPr>
                <w:noProof/>
              </w:rPr>
              <w:t>Cuantumul tranșei</w:t>
            </w:r>
          </w:p>
        </w:tc>
        <w:tc>
          <w:tcPr>
            <w:tcW w:w="2172" w:type="dxa"/>
            <w:tcBorders>
              <w:top w:val="single" w:sz="4" w:space="0" w:color="auto"/>
              <w:left w:val="nil"/>
              <w:bottom w:val="single" w:sz="4" w:space="0" w:color="auto"/>
              <w:right w:val="single" w:sz="4" w:space="0" w:color="auto"/>
            </w:tcBorders>
            <w:shd w:val="clear" w:color="auto" w:fill="C6EFCE"/>
            <w:noWrap/>
            <w:vAlign w:val="bottom"/>
          </w:tcPr>
          <w:p w14:paraId="59010E27" w14:textId="77777777" w:rsidR="00C45D59" w:rsidRDefault="009B0962">
            <w:pPr>
              <w:pStyle w:val="P68B1DB1-Normal55"/>
              <w:keepNext/>
              <w:spacing w:before="40" w:after="0" w:line="240" w:lineRule="auto"/>
              <w:jc w:val="both"/>
              <w:rPr>
                <w:rFonts w:eastAsia="Times New Roman" w:cs="Times New Roman"/>
                <w:noProof/>
                <w:szCs w:val="18"/>
              </w:rPr>
            </w:pPr>
            <w:r>
              <w:rPr>
                <w:noProof/>
              </w:rPr>
              <w:t>320 000 000 MIL.</w:t>
            </w:r>
          </w:p>
        </w:tc>
      </w:tr>
    </w:tbl>
    <w:p w14:paraId="53C0F723" w14:textId="77777777" w:rsidR="00C45D59" w:rsidRDefault="00C45D59">
      <w:pPr>
        <w:keepNext/>
        <w:spacing w:before="40" w:after="0" w:line="259" w:lineRule="auto"/>
        <w:jc w:val="both"/>
        <w:rPr>
          <w:rFonts w:ascii="Times New Roman" w:hAnsi="Times New Roman"/>
          <w:noProof/>
          <w:sz w:val="24"/>
        </w:rPr>
      </w:pPr>
    </w:p>
    <w:p w14:paraId="2CD5DF8B" w14:textId="713EABA6" w:rsidR="00C45D59" w:rsidRDefault="009B0962">
      <w:pPr>
        <w:pStyle w:val="P68B1DB1-Normal5"/>
        <w:keepNext/>
        <w:numPr>
          <w:ilvl w:val="1"/>
          <w:numId w:val="106"/>
        </w:numPr>
        <w:spacing w:before="40" w:after="160" w:line="259" w:lineRule="auto"/>
        <w:ind w:left="0"/>
        <w:contextualSpacing/>
        <w:jc w:val="both"/>
        <w:rPr>
          <w:rFonts w:eastAsia="Times New Roman" w:cs="Times New Roman"/>
          <w:noProof/>
          <w:szCs w:val="24"/>
        </w:rPr>
      </w:pPr>
      <w:r>
        <w:rPr>
          <w:noProof/>
        </w:rPr>
        <w:t xml:space="preserve">A </w:t>
      </w:r>
      <w:r>
        <w:rPr>
          <w:noProof/>
          <w:szCs w:val="24"/>
        </w:rPr>
        <w:t>șaptea cerere de plată</w:t>
      </w:r>
      <w:r w:rsidR="00CD2DBD">
        <w:rPr>
          <w:noProof/>
          <w:szCs w:val="24"/>
        </w:rPr>
        <w:t xml:space="preserve"> </w:t>
      </w:r>
      <w:r>
        <w:rPr>
          <w:noProof/>
          <w:szCs w:val="24"/>
        </w:rPr>
        <w:t>(sprijin sub formă de împrumut):</w:t>
      </w:r>
    </w:p>
    <w:tbl>
      <w:tblPr>
        <w:tblW w:w="9979"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4A0" w:firstRow="1" w:lastRow="0" w:firstColumn="1" w:lastColumn="0" w:noHBand="0" w:noVBand="1"/>
      </w:tblPr>
      <w:tblGrid>
        <w:gridCol w:w="879"/>
        <w:gridCol w:w="4679"/>
        <w:gridCol w:w="1559"/>
        <w:gridCol w:w="2862"/>
      </w:tblGrid>
      <w:tr w:rsidR="00C45D59" w14:paraId="7F1AE87E" w14:textId="77777777">
        <w:trPr>
          <w:trHeight w:val="906"/>
          <w:jc w:val="center"/>
        </w:trPr>
        <w:tc>
          <w:tcPr>
            <w:tcW w:w="879" w:type="dxa"/>
            <w:vMerge w:val="restart"/>
            <w:shd w:val="clear" w:color="auto" w:fill="BDD7EE"/>
            <w:vAlign w:val="center"/>
            <w:hideMark/>
          </w:tcPr>
          <w:p w14:paraId="23EDAB91" w14:textId="410D2739" w:rsidR="00C45D59" w:rsidRPr="001D5265" w:rsidRDefault="009B0962" w:rsidP="001D5265">
            <w:pPr>
              <w:pStyle w:val="P68B1DB1-Normal15"/>
              <w:keepNext/>
              <w:spacing w:before="40" w:after="0" w:line="259" w:lineRule="auto"/>
              <w:ind w:right="313"/>
              <w:jc w:val="center"/>
              <w:rPr>
                <w:noProof/>
              </w:rPr>
            </w:pPr>
            <w:r>
              <w:rPr>
                <w:noProof/>
              </w:rPr>
              <w:t>Nr</w:t>
            </w:r>
            <w:r w:rsidR="001D5265">
              <w:rPr>
                <w:noProof/>
              </w:rPr>
              <w:t>. crt</w:t>
            </w:r>
            <w:r>
              <w:rPr>
                <w:noProof/>
              </w:rPr>
              <w:t>.</w:t>
            </w:r>
          </w:p>
        </w:tc>
        <w:tc>
          <w:tcPr>
            <w:tcW w:w="4679" w:type="dxa"/>
            <w:vMerge w:val="restart"/>
            <w:shd w:val="clear" w:color="auto" w:fill="BDD7EE"/>
            <w:vAlign w:val="center"/>
            <w:hideMark/>
          </w:tcPr>
          <w:p w14:paraId="6FDBABDF" w14:textId="77777777" w:rsidR="00C45D59" w:rsidRDefault="009B0962">
            <w:pPr>
              <w:pStyle w:val="P68B1DB1-Normal10"/>
              <w:keepNext/>
              <w:spacing w:before="40" w:after="0" w:line="259" w:lineRule="auto"/>
              <w:jc w:val="center"/>
              <w:rPr>
                <w:rFonts w:eastAsia="Times New Roman" w:cs="Times New Roman"/>
                <w:bCs/>
                <w:noProof/>
                <w:szCs w:val="18"/>
              </w:rPr>
            </w:pPr>
            <w:r>
              <w:rPr>
                <w:noProof/>
              </w:rPr>
              <w:t>Măsură conexă (reformă sau investiții)</w:t>
            </w:r>
          </w:p>
        </w:tc>
        <w:tc>
          <w:tcPr>
            <w:tcW w:w="1559" w:type="dxa"/>
            <w:vMerge w:val="restart"/>
            <w:shd w:val="clear" w:color="auto" w:fill="BDD7EE"/>
            <w:vAlign w:val="center"/>
            <w:hideMark/>
          </w:tcPr>
          <w:p w14:paraId="595D6DD1" w14:textId="77777777" w:rsidR="00C45D59" w:rsidRDefault="009B0962">
            <w:pPr>
              <w:pStyle w:val="P68B1DB1-Normal10"/>
              <w:keepNext/>
              <w:spacing w:before="40" w:after="0" w:line="259" w:lineRule="auto"/>
              <w:jc w:val="center"/>
              <w:rPr>
                <w:rFonts w:eastAsia="Times New Roman" w:cs="Times New Roman"/>
                <w:bCs/>
                <w:noProof/>
                <w:szCs w:val="18"/>
              </w:rPr>
            </w:pPr>
            <w:r>
              <w:rPr>
                <w:noProof/>
              </w:rPr>
              <w:t>Etapă/Obiectiv</w:t>
            </w:r>
          </w:p>
        </w:tc>
        <w:tc>
          <w:tcPr>
            <w:tcW w:w="2862" w:type="dxa"/>
            <w:vMerge w:val="restart"/>
            <w:shd w:val="clear" w:color="auto" w:fill="BDD7EE"/>
            <w:vAlign w:val="center"/>
            <w:hideMark/>
          </w:tcPr>
          <w:p w14:paraId="704AC2AA" w14:textId="0292ABE1" w:rsidR="00C45D59" w:rsidRDefault="001D5265">
            <w:pPr>
              <w:pStyle w:val="P68B1DB1-Normal41"/>
              <w:keepNext/>
              <w:spacing w:before="40" w:after="0" w:line="259" w:lineRule="auto"/>
              <w:jc w:val="center"/>
              <w:rPr>
                <w:rFonts w:eastAsia="Times New Roman" w:cs="Times New Roman"/>
                <w:bCs/>
                <w:noProof/>
              </w:rPr>
            </w:pPr>
            <w:r>
              <w:rPr>
                <w:noProof/>
              </w:rPr>
              <w:t>Denumire</w:t>
            </w:r>
          </w:p>
        </w:tc>
      </w:tr>
      <w:tr w:rsidR="00C45D59" w14:paraId="672239BE" w14:textId="77777777">
        <w:trPr>
          <w:trHeight w:val="489"/>
          <w:jc w:val="center"/>
        </w:trPr>
        <w:tc>
          <w:tcPr>
            <w:tcW w:w="879" w:type="dxa"/>
            <w:vMerge/>
            <w:vAlign w:val="center"/>
            <w:hideMark/>
          </w:tcPr>
          <w:p w14:paraId="465629FA" w14:textId="77777777" w:rsidR="00C45D59" w:rsidRDefault="00C45D59">
            <w:pPr>
              <w:keepNext/>
              <w:spacing w:before="40" w:after="0" w:line="259" w:lineRule="auto"/>
              <w:ind w:right="313"/>
              <w:jc w:val="both"/>
              <w:rPr>
                <w:rFonts w:ascii="Times New Roman" w:eastAsia="Times New Roman" w:hAnsi="Times New Roman" w:cs="Times New Roman"/>
                <w:bCs/>
                <w:noProof/>
                <w:sz w:val="18"/>
                <w:szCs w:val="18"/>
              </w:rPr>
            </w:pPr>
          </w:p>
        </w:tc>
        <w:tc>
          <w:tcPr>
            <w:tcW w:w="4679" w:type="dxa"/>
            <w:vMerge/>
            <w:vAlign w:val="center"/>
            <w:hideMark/>
          </w:tcPr>
          <w:p w14:paraId="72952D90" w14:textId="77777777" w:rsidR="00C45D59" w:rsidRDefault="00C45D59">
            <w:pPr>
              <w:keepNext/>
              <w:spacing w:before="40" w:after="0" w:line="259" w:lineRule="auto"/>
              <w:jc w:val="both"/>
              <w:rPr>
                <w:rFonts w:ascii="Times New Roman" w:eastAsia="Times New Roman" w:hAnsi="Times New Roman" w:cs="Times New Roman"/>
                <w:bCs/>
                <w:noProof/>
                <w:sz w:val="18"/>
                <w:szCs w:val="18"/>
              </w:rPr>
            </w:pPr>
          </w:p>
        </w:tc>
        <w:tc>
          <w:tcPr>
            <w:tcW w:w="1559" w:type="dxa"/>
            <w:vMerge/>
            <w:vAlign w:val="center"/>
            <w:hideMark/>
          </w:tcPr>
          <w:p w14:paraId="6001F408" w14:textId="77777777" w:rsidR="00C45D59" w:rsidRDefault="00C45D59">
            <w:pPr>
              <w:keepNext/>
              <w:spacing w:before="40" w:after="0" w:line="259" w:lineRule="auto"/>
              <w:jc w:val="both"/>
              <w:rPr>
                <w:rFonts w:ascii="Times New Roman" w:eastAsia="Times New Roman" w:hAnsi="Times New Roman" w:cs="Times New Roman"/>
                <w:bCs/>
                <w:noProof/>
                <w:sz w:val="18"/>
                <w:szCs w:val="18"/>
              </w:rPr>
            </w:pPr>
          </w:p>
        </w:tc>
        <w:tc>
          <w:tcPr>
            <w:tcW w:w="2862" w:type="dxa"/>
            <w:vMerge/>
            <w:vAlign w:val="center"/>
            <w:hideMark/>
          </w:tcPr>
          <w:p w14:paraId="45FBC786" w14:textId="77777777" w:rsidR="00C45D59" w:rsidRDefault="00C45D59">
            <w:pPr>
              <w:keepNext/>
              <w:spacing w:before="40" w:after="0" w:line="259" w:lineRule="auto"/>
              <w:jc w:val="both"/>
              <w:rPr>
                <w:rFonts w:ascii="Times New Roman" w:eastAsia="Times New Roman" w:hAnsi="Times New Roman" w:cs="Times New Roman"/>
                <w:bCs/>
                <w:noProof/>
                <w:sz w:val="18"/>
                <w:szCs w:val="18"/>
              </w:rPr>
            </w:pPr>
          </w:p>
        </w:tc>
      </w:tr>
      <w:tr w:rsidR="00C45D59" w14:paraId="30E1A9DB" w14:textId="77777777">
        <w:trPr>
          <w:trHeight w:val="302"/>
          <w:jc w:val="center"/>
        </w:trPr>
        <w:tc>
          <w:tcPr>
            <w:tcW w:w="879" w:type="dxa"/>
            <w:shd w:val="clear" w:color="auto" w:fill="C6EFCE"/>
            <w:noWrap/>
            <w:vAlign w:val="center"/>
          </w:tcPr>
          <w:p w14:paraId="270E149A" w14:textId="5C35EFDA" w:rsidR="00C45D59" w:rsidRDefault="009B0962">
            <w:pPr>
              <w:pStyle w:val="P68B1DB1-Normal11"/>
              <w:keepNext/>
              <w:spacing w:before="40" w:after="0" w:line="240" w:lineRule="auto"/>
              <w:ind w:right="313"/>
              <w:jc w:val="both"/>
              <w:rPr>
                <w:rFonts w:eastAsia="Times New Roman" w:cs="Times New Roman"/>
                <w:noProof/>
              </w:rPr>
            </w:pPr>
            <w:r>
              <w:rPr>
                <w:noProof/>
              </w:rPr>
              <w:t>376</w:t>
            </w:r>
          </w:p>
        </w:tc>
        <w:tc>
          <w:tcPr>
            <w:tcW w:w="4679" w:type="dxa"/>
            <w:shd w:val="clear" w:color="auto" w:fill="C6EFCE"/>
            <w:noWrap/>
            <w:vAlign w:val="center"/>
          </w:tcPr>
          <w:p w14:paraId="623924F8" w14:textId="1C3F62FA" w:rsidR="00C45D59" w:rsidRDefault="009B0962">
            <w:pPr>
              <w:pStyle w:val="P68B1DB1-Normal11"/>
              <w:keepNext/>
              <w:spacing w:before="40" w:after="0" w:line="240" w:lineRule="auto"/>
              <w:jc w:val="both"/>
              <w:rPr>
                <w:rFonts w:eastAsia="Times New Roman" w:cs="Times New Roman"/>
                <w:bCs/>
                <w:noProof/>
              </w:rPr>
            </w:pPr>
            <w:r>
              <w:rPr>
                <w:noProof/>
              </w:rPr>
              <w:t>2-1.2. Renovare – 16401_Programul de actualizare a energiei „Actualizarea casei mele”</w:t>
            </w:r>
          </w:p>
        </w:tc>
        <w:tc>
          <w:tcPr>
            <w:tcW w:w="1559" w:type="dxa"/>
            <w:shd w:val="clear" w:color="auto" w:fill="C6EFCE"/>
            <w:noWrap/>
            <w:vAlign w:val="center"/>
          </w:tcPr>
          <w:p w14:paraId="454C33CE" w14:textId="46C4D00F" w:rsidR="00C45D59" w:rsidRDefault="009B0962">
            <w:pPr>
              <w:pStyle w:val="P68B1DB1-Normal11"/>
              <w:keepNext/>
              <w:spacing w:before="40" w:after="0" w:line="240" w:lineRule="auto"/>
              <w:jc w:val="both"/>
              <w:rPr>
                <w:rFonts w:eastAsia="Times New Roman" w:cs="Times New Roman"/>
                <w:bCs/>
                <w:noProof/>
              </w:rPr>
            </w:pPr>
            <w:r>
              <w:rPr>
                <w:noProof/>
              </w:rPr>
              <w:t>Țintă</w:t>
            </w:r>
          </w:p>
        </w:tc>
        <w:tc>
          <w:tcPr>
            <w:tcW w:w="2862" w:type="dxa"/>
            <w:shd w:val="clear" w:color="auto" w:fill="C6EFCE"/>
            <w:noWrap/>
            <w:vAlign w:val="center"/>
          </w:tcPr>
          <w:p w14:paraId="176C4D64" w14:textId="076EB4FB" w:rsidR="00C45D59" w:rsidRDefault="009B0962">
            <w:pPr>
              <w:pStyle w:val="P68B1DB1-Normal58"/>
              <w:keepNext/>
              <w:spacing w:before="40" w:after="0" w:line="240" w:lineRule="auto"/>
              <w:jc w:val="both"/>
              <w:rPr>
                <w:noProof/>
              </w:rPr>
            </w:pPr>
            <w:r>
              <w:rPr>
                <w:noProof/>
              </w:rPr>
              <w:t>Upgrade My Home – Acorduri juridice semnate cu beneficiarii finali – 100 %</w:t>
            </w:r>
          </w:p>
        </w:tc>
      </w:tr>
      <w:tr w:rsidR="00C45D59" w14:paraId="4DCAD64F" w14:textId="77777777">
        <w:trPr>
          <w:trHeight w:val="302"/>
          <w:jc w:val="center"/>
        </w:trPr>
        <w:tc>
          <w:tcPr>
            <w:tcW w:w="879" w:type="dxa"/>
            <w:shd w:val="clear" w:color="auto" w:fill="C6EFCE"/>
            <w:noWrap/>
            <w:vAlign w:val="center"/>
          </w:tcPr>
          <w:p w14:paraId="40ADCBE1" w14:textId="3D21B961" w:rsidR="00C45D59" w:rsidRDefault="009B0962">
            <w:pPr>
              <w:pStyle w:val="P68B1DB1-Normal11"/>
              <w:keepNext/>
              <w:spacing w:before="40" w:after="0" w:line="240" w:lineRule="auto"/>
              <w:ind w:right="313"/>
              <w:jc w:val="both"/>
              <w:rPr>
                <w:noProof/>
              </w:rPr>
            </w:pPr>
            <w:r>
              <w:rPr>
                <w:noProof/>
              </w:rPr>
              <w:t>377</w:t>
            </w:r>
          </w:p>
        </w:tc>
        <w:tc>
          <w:tcPr>
            <w:tcW w:w="4679" w:type="dxa"/>
            <w:shd w:val="clear" w:color="auto" w:fill="C6EFCE"/>
            <w:noWrap/>
            <w:vAlign w:val="center"/>
          </w:tcPr>
          <w:p w14:paraId="66735F43" w14:textId="51D1A0EB" w:rsidR="00C45D59" w:rsidRDefault="009B0962">
            <w:pPr>
              <w:pStyle w:val="P68B1DB1-Normal11"/>
              <w:keepNext/>
              <w:spacing w:before="40" w:after="0" w:line="240" w:lineRule="auto"/>
              <w:jc w:val="both"/>
              <w:rPr>
                <w:noProof/>
              </w:rPr>
            </w:pPr>
            <w:r>
              <w:rPr>
                <w:noProof/>
              </w:rPr>
              <w:t>2-1.2. Renovare – 16401_Programul de actualizare a energiei „Actualizarea casei mele”</w:t>
            </w:r>
          </w:p>
        </w:tc>
        <w:tc>
          <w:tcPr>
            <w:tcW w:w="1559" w:type="dxa"/>
            <w:shd w:val="clear" w:color="auto" w:fill="C6EFCE"/>
            <w:noWrap/>
            <w:vAlign w:val="center"/>
          </w:tcPr>
          <w:p w14:paraId="731A7616" w14:textId="721739AD" w:rsidR="00C45D59" w:rsidRDefault="009B0962">
            <w:pPr>
              <w:pStyle w:val="P68B1DB1-Normal11"/>
              <w:keepNext/>
              <w:spacing w:before="40" w:after="0" w:line="240" w:lineRule="auto"/>
              <w:jc w:val="both"/>
              <w:rPr>
                <w:noProof/>
              </w:rPr>
            </w:pPr>
            <w:r>
              <w:rPr>
                <w:noProof/>
              </w:rPr>
              <w:t>Etapă</w:t>
            </w:r>
          </w:p>
        </w:tc>
        <w:tc>
          <w:tcPr>
            <w:tcW w:w="2862" w:type="dxa"/>
            <w:shd w:val="clear" w:color="auto" w:fill="C6EFCE"/>
            <w:noWrap/>
            <w:vAlign w:val="center"/>
          </w:tcPr>
          <w:p w14:paraId="593127A5" w14:textId="000C87AE" w:rsidR="00C45D59" w:rsidRDefault="009B0962">
            <w:pPr>
              <w:pStyle w:val="P68B1DB1-Normal58"/>
              <w:keepNext/>
              <w:spacing w:before="40" w:after="0" w:line="240" w:lineRule="auto"/>
              <w:jc w:val="both"/>
              <w:rPr>
                <w:noProof/>
              </w:rPr>
            </w:pPr>
            <w:r>
              <w:rPr>
                <w:noProof/>
              </w:rPr>
              <w:t>Upgrade My Home – Ministerul Finanțelor a finalizat investiția</w:t>
            </w:r>
          </w:p>
        </w:tc>
      </w:tr>
      <w:tr w:rsidR="00C45D59" w14:paraId="4CADC31D" w14:textId="77777777">
        <w:trPr>
          <w:trHeight w:val="302"/>
          <w:jc w:val="center"/>
        </w:trPr>
        <w:tc>
          <w:tcPr>
            <w:tcW w:w="879" w:type="dxa"/>
            <w:shd w:val="clear" w:color="auto" w:fill="C6EFCE"/>
            <w:noWrap/>
            <w:vAlign w:val="center"/>
          </w:tcPr>
          <w:p w14:paraId="2887093C" w14:textId="38E2F20F" w:rsidR="00C45D59" w:rsidRDefault="009B0962">
            <w:pPr>
              <w:pStyle w:val="P68B1DB1-Normal55"/>
              <w:keepNext/>
              <w:spacing w:before="40" w:after="0" w:line="240" w:lineRule="auto"/>
              <w:ind w:right="313"/>
              <w:jc w:val="both"/>
              <w:rPr>
                <w:noProof/>
              </w:rPr>
            </w:pPr>
            <w:r>
              <w:rPr>
                <w:noProof/>
              </w:rPr>
              <w:t>327a</w:t>
            </w:r>
          </w:p>
        </w:tc>
        <w:tc>
          <w:tcPr>
            <w:tcW w:w="4679" w:type="dxa"/>
            <w:shd w:val="clear" w:color="auto" w:fill="C6EFCE"/>
            <w:noWrap/>
            <w:vAlign w:val="center"/>
          </w:tcPr>
          <w:p w14:paraId="5F7A051B" w14:textId="756D0037" w:rsidR="00C45D59" w:rsidRDefault="009B0962">
            <w:pPr>
              <w:pStyle w:val="P68B1DB1-Normal55"/>
              <w:keepNext/>
              <w:spacing w:before="40" w:after="0" w:line="240" w:lineRule="auto"/>
              <w:jc w:val="both"/>
              <w:rPr>
                <w:noProof/>
              </w:rPr>
            </w:pPr>
            <w:r>
              <w:rPr>
                <w:noProof/>
              </w:rPr>
              <w:t>4.7. Îmbunătățirea competitivității și promovarea investițiilor private și a exporturilor – Mecanismul de împrumut 16980_RRP</w:t>
            </w:r>
          </w:p>
        </w:tc>
        <w:tc>
          <w:tcPr>
            <w:tcW w:w="1559" w:type="dxa"/>
            <w:shd w:val="clear" w:color="auto" w:fill="C6EFCE"/>
            <w:noWrap/>
            <w:vAlign w:val="center"/>
          </w:tcPr>
          <w:p w14:paraId="6722D37E" w14:textId="71AE24DB" w:rsidR="00C45D59" w:rsidRDefault="009B0962">
            <w:pPr>
              <w:pStyle w:val="P68B1DB1-Normal55"/>
              <w:keepNext/>
              <w:spacing w:before="40" w:after="0" w:line="240" w:lineRule="auto"/>
              <w:jc w:val="both"/>
              <w:rPr>
                <w:noProof/>
              </w:rPr>
            </w:pPr>
            <w:r>
              <w:rPr>
                <w:noProof/>
              </w:rPr>
              <w:t>Țintă</w:t>
            </w:r>
          </w:p>
        </w:tc>
        <w:tc>
          <w:tcPr>
            <w:tcW w:w="2862" w:type="dxa"/>
            <w:shd w:val="clear" w:color="auto" w:fill="C6EFCE"/>
            <w:noWrap/>
            <w:vAlign w:val="center"/>
          </w:tcPr>
          <w:p w14:paraId="3E187E30" w14:textId="27A33F34" w:rsidR="00C45D59" w:rsidRDefault="009B0962">
            <w:pPr>
              <w:pStyle w:val="P68B1DB1-Normal11"/>
              <w:keepNext/>
              <w:spacing w:before="40" w:after="0" w:line="240" w:lineRule="auto"/>
              <w:jc w:val="both"/>
              <w:rPr>
                <w:noProof/>
              </w:rPr>
            </w:pPr>
            <w:r>
              <w:rPr>
                <w:noProof/>
              </w:rPr>
              <w:t>13 366 446 891 EUR din fondurile instituțiilor financiare semnate cu beneficiarii finali</w:t>
            </w:r>
          </w:p>
        </w:tc>
      </w:tr>
      <w:tr w:rsidR="00C45D59" w14:paraId="5CC47AA7" w14:textId="77777777">
        <w:trPr>
          <w:trHeight w:val="302"/>
          <w:jc w:val="center"/>
        </w:trPr>
        <w:tc>
          <w:tcPr>
            <w:tcW w:w="879" w:type="dxa"/>
            <w:shd w:val="clear" w:color="auto" w:fill="C6EFCE"/>
            <w:noWrap/>
            <w:vAlign w:val="center"/>
          </w:tcPr>
          <w:p w14:paraId="6652324C" w14:textId="0CBB3605" w:rsidR="00C45D59" w:rsidRDefault="009B0962">
            <w:pPr>
              <w:pStyle w:val="P68B1DB1-Normal11"/>
              <w:keepNext/>
              <w:spacing w:before="40" w:after="0" w:line="240" w:lineRule="auto"/>
              <w:ind w:right="313"/>
              <w:jc w:val="both"/>
              <w:rPr>
                <w:noProof/>
              </w:rPr>
            </w:pPr>
            <w:r>
              <w:rPr>
                <w:noProof/>
              </w:rPr>
              <w:t>328a</w:t>
            </w:r>
          </w:p>
        </w:tc>
        <w:tc>
          <w:tcPr>
            <w:tcW w:w="4679" w:type="dxa"/>
            <w:shd w:val="clear" w:color="auto" w:fill="C6EFCE"/>
            <w:noWrap/>
            <w:vAlign w:val="center"/>
          </w:tcPr>
          <w:p w14:paraId="7A607408" w14:textId="051418CA" w:rsidR="00C45D59" w:rsidRDefault="009B0962">
            <w:pPr>
              <w:pStyle w:val="P68B1DB1-Normal11"/>
              <w:keepNext/>
              <w:spacing w:before="40" w:after="0" w:line="240" w:lineRule="auto"/>
              <w:jc w:val="both"/>
              <w:rPr>
                <w:noProof/>
              </w:rPr>
            </w:pPr>
            <w:r>
              <w:rPr>
                <w:noProof/>
              </w:rPr>
              <w:t>4.7. Îmbunătățirea competitivității și promovarea investițiilor private și a exporturilor – Mecanismul de împrumut 16980_RRP</w:t>
            </w:r>
          </w:p>
        </w:tc>
        <w:tc>
          <w:tcPr>
            <w:tcW w:w="1559" w:type="dxa"/>
            <w:shd w:val="clear" w:color="auto" w:fill="C6EFCE"/>
            <w:noWrap/>
            <w:vAlign w:val="center"/>
          </w:tcPr>
          <w:p w14:paraId="615062B9" w14:textId="6F07AEFC" w:rsidR="00C45D59" w:rsidRDefault="009B0962">
            <w:pPr>
              <w:pStyle w:val="P68B1DB1-Normal11"/>
              <w:keepNext/>
              <w:spacing w:before="40" w:after="0" w:line="240" w:lineRule="auto"/>
              <w:jc w:val="both"/>
              <w:rPr>
                <w:noProof/>
              </w:rPr>
            </w:pPr>
            <w:r>
              <w:rPr>
                <w:noProof/>
              </w:rPr>
              <w:t>Etapă</w:t>
            </w:r>
          </w:p>
        </w:tc>
        <w:tc>
          <w:tcPr>
            <w:tcW w:w="2862" w:type="dxa"/>
            <w:shd w:val="clear" w:color="auto" w:fill="C6EFCE"/>
            <w:noWrap/>
            <w:vAlign w:val="center"/>
          </w:tcPr>
          <w:p w14:paraId="63E82AF2" w14:textId="14D0DCD4" w:rsidR="00C45D59" w:rsidRDefault="009B0962">
            <w:pPr>
              <w:pStyle w:val="P68B1DB1-Normal11"/>
              <w:keepNext/>
              <w:spacing w:before="40" w:after="0" w:line="240" w:lineRule="auto"/>
              <w:jc w:val="both"/>
              <w:rPr>
                <w:noProof/>
              </w:rPr>
            </w:pPr>
            <w:r>
              <w:rPr>
                <w:noProof/>
              </w:rPr>
              <w:t>Facilitatea de împrumut – Ministerul Finanțelor a finalizat investiția</w:t>
            </w:r>
          </w:p>
        </w:tc>
      </w:tr>
      <w:tr w:rsidR="00C45D59" w14:paraId="55D82C68" w14:textId="77777777">
        <w:trPr>
          <w:trHeight w:val="302"/>
          <w:jc w:val="center"/>
        </w:trPr>
        <w:tc>
          <w:tcPr>
            <w:tcW w:w="879" w:type="dxa"/>
            <w:shd w:val="clear" w:color="auto" w:fill="C6EFCE"/>
            <w:noWrap/>
            <w:vAlign w:val="center"/>
          </w:tcPr>
          <w:p w14:paraId="5C3DF6B2" w14:textId="77777777" w:rsidR="00C45D59" w:rsidRDefault="009B0962">
            <w:pPr>
              <w:pStyle w:val="P68B1DB1-Normal11"/>
              <w:keepNext/>
              <w:spacing w:before="40" w:after="0" w:line="240" w:lineRule="auto"/>
              <w:ind w:right="313"/>
              <w:jc w:val="both"/>
              <w:rPr>
                <w:noProof/>
              </w:rPr>
            </w:pPr>
            <w:r>
              <w:rPr>
                <w:noProof/>
              </w:rPr>
              <w:t>329a</w:t>
            </w:r>
          </w:p>
        </w:tc>
        <w:tc>
          <w:tcPr>
            <w:tcW w:w="4679" w:type="dxa"/>
            <w:shd w:val="clear" w:color="auto" w:fill="C6EFCE"/>
            <w:noWrap/>
            <w:vAlign w:val="center"/>
          </w:tcPr>
          <w:p w14:paraId="502DF716" w14:textId="77777777" w:rsidR="00C45D59" w:rsidRDefault="009B0962">
            <w:pPr>
              <w:pStyle w:val="P68B1DB1-Normal11"/>
              <w:keepNext/>
              <w:spacing w:before="40" w:after="0" w:line="240" w:lineRule="auto"/>
              <w:jc w:val="both"/>
              <w:rPr>
                <w:noProof/>
              </w:rPr>
            </w:pPr>
            <w:r>
              <w:rPr>
                <w:noProof/>
              </w:rPr>
              <w:t>4.7. Îmbunătățirea competitivității și promovarea investițiilor private și a exporturilor – Mecanismul de împrumut 16980_RRP</w:t>
            </w:r>
          </w:p>
        </w:tc>
        <w:tc>
          <w:tcPr>
            <w:tcW w:w="1559" w:type="dxa"/>
            <w:shd w:val="clear" w:color="auto" w:fill="C6EFCE"/>
            <w:noWrap/>
            <w:vAlign w:val="center"/>
          </w:tcPr>
          <w:p w14:paraId="0E6CDA77" w14:textId="77777777" w:rsidR="00C45D59" w:rsidRDefault="009B0962">
            <w:pPr>
              <w:pStyle w:val="P68B1DB1-Normal11"/>
              <w:keepNext/>
              <w:spacing w:before="40" w:after="0" w:line="240" w:lineRule="auto"/>
              <w:jc w:val="both"/>
              <w:rPr>
                <w:noProof/>
              </w:rPr>
            </w:pPr>
            <w:r>
              <w:rPr>
                <w:noProof/>
              </w:rPr>
              <w:t>Țintă</w:t>
            </w:r>
          </w:p>
        </w:tc>
        <w:tc>
          <w:tcPr>
            <w:tcW w:w="2862" w:type="dxa"/>
            <w:shd w:val="clear" w:color="auto" w:fill="C6EFCE"/>
            <w:noWrap/>
            <w:vAlign w:val="center"/>
          </w:tcPr>
          <w:p w14:paraId="0105C80C" w14:textId="49BCADD1" w:rsidR="00C45D59" w:rsidRDefault="009B0962">
            <w:pPr>
              <w:pStyle w:val="P68B1DB1-Normal11"/>
              <w:keepNext/>
              <w:spacing w:before="40" w:after="0" w:line="240" w:lineRule="auto"/>
              <w:jc w:val="both"/>
              <w:rPr>
                <w:noProof/>
              </w:rPr>
            </w:pPr>
            <w:r>
              <w:rPr>
                <w:noProof/>
              </w:rPr>
              <w:t>Acorduri juridice semnate cu fonduri – 650 000 000 EUR</w:t>
            </w:r>
          </w:p>
        </w:tc>
      </w:tr>
      <w:tr w:rsidR="00C45D59" w14:paraId="3C97DF89" w14:textId="77777777">
        <w:trPr>
          <w:trHeight w:val="302"/>
          <w:jc w:val="center"/>
        </w:trPr>
        <w:tc>
          <w:tcPr>
            <w:tcW w:w="879" w:type="dxa"/>
            <w:shd w:val="clear" w:color="auto" w:fill="C6EFCE"/>
            <w:noWrap/>
            <w:vAlign w:val="center"/>
          </w:tcPr>
          <w:p w14:paraId="13103599" w14:textId="6C0755F3" w:rsidR="00C45D59" w:rsidRDefault="009B0962">
            <w:pPr>
              <w:pStyle w:val="P68B1DB1-Normal11"/>
              <w:keepNext/>
              <w:spacing w:before="40" w:after="0" w:line="240" w:lineRule="auto"/>
              <w:ind w:right="313"/>
              <w:jc w:val="both"/>
              <w:rPr>
                <w:noProof/>
              </w:rPr>
            </w:pPr>
            <w:r>
              <w:rPr>
                <w:noProof/>
              </w:rPr>
              <w:t>330a</w:t>
            </w:r>
          </w:p>
        </w:tc>
        <w:tc>
          <w:tcPr>
            <w:tcW w:w="4679" w:type="dxa"/>
            <w:shd w:val="clear" w:color="auto" w:fill="C6EFCE"/>
            <w:noWrap/>
            <w:vAlign w:val="center"/>
          </w:tcPr>
          <w:p w14:paraId="6FE4E5B0" w14:textId="70792E41" w:rsidR="00C45D59" w:rsidRDefault="009B0962">
            <w:pPr>
              <w:pStyle w:val="P68B1DB1-Normal11"/>
              <w:keepNext/>
              <w:spacing w:before="40" w:after="0" w:line="240" w:lineRule="auto"/>
              <w:jc w:val="both"/>
              <w:rPr>
                <w:noProof/>
              </w:rPr>
            </w:pPr>
            <w:r>
              <w:rPr>
                <w:noProof/>
              </w:rPr>
              <w:t>4.7. Îmbunătățirea competitivității și promovarea investițiilor private și a exporturilor – Mecanismul de împrumut 16980_RRP</w:t>
            </w:r>
          </w:p>
        </w:tc>
        <w:tc>
          <w:tcPr>
            <w:tcW w:w="1559" w:type="dxa"/>
            <w:shd w:val="clear" w:color="auto" w:fill="C6EFCE"/>
            <w:noWrap/>
            <w:vAlign w:val="center"/>
          </w:tcPr>
          <w:p w14:paraId="3B4C94D9" w14:textId="73F071DD" w:rsidR="00C45D59" w:rsidRDefault="009B0962">
            <w:pPr>
              <w:pStyle w:val="P68B1DB1-Normal11"/>
              <w:keepNext/>
              <w:spacing w:before="40" w:after="0" w:line="240" w:lineRule="auto"/>
              <w:jc w:val="both"/>
              <w:rPr>
                <w:noProof/>
              </w:rPr>
            </w:pPr>
            <w:r>
              <w:rPr>
                <w:noProof/>
              </w:rPr>
              <w:t>Țintă</w:t>
            </w:r>
          </w:p>
        </w:tc>
        <w:tc>
          <w:tcPr>
            <w:tcW w:w="2862" w:type="dxa"/>
            <w:shd w:val="clear" w:color="auto" w:fill="C6EFCE"/>
            <w:noWrap/>
            <w:vAlign w:val="center"/>
          </w:tcPr>
          <w:p w14:paraId="03F72D77" w14:textId="26E9F22E" w:rsidR="00C45D59" w:rsidRDefault="009B0962">
            <w:pPr>
              <w:pStyle w:val="P68B1DB1-Normal11"/>
              <w:keepNext/>
              <w:spacing w:before="40" w:after="0" w:line="240" w:lineRule="auto"/>
              <w:jc w:val="both"/>
              <w:rPr>
                <w:noProof/>
              </w:rPr>
            </w:pPr>
            <w:r>
              <w:rPr>
                <w:noProof/>
              </w:rPr>
              <w:t>Aprobarea operațiunilor InvestEU în valoare de 300 000 000 EUR</w:t>
            </w:r>
          </w:p>
        </w:tc>
      </w:tr>
      <w:tr w:rsidR="00C45D59" w14:paraId="362D9E2E" w14:textId="77777777">
        <w:trPr>
          <w:trHeight w:val="302"/>
          <w:jc w:val="center"/>
        </w:trPr>
        <w:tc>
          <w:tcPr>
            <w:tcW w:w="879" w:type="dxa"/>
            <w:shd w:val="clear" w:color="auto" w:fill="C6EFCE"/>
            <w:noWrap/>
            <w:vAlign w:val="center"/>
          </w:tcPr>
          <w:p w14:paraId="612C6686" w14:textId="77777777" w:rsidR="00C45D59" w:rsidRDefault="00C45D59">
            <w:pPr>
              <w:keepNext/>
              <w:spacing w:before="40" w:after="0" w:line="240" w:lineRule="auto"/>
              <w:ind w:right="313"/>
              <w:jc w:val="both"/>
              <w:rPr>
                <w:rFonts w:ascii="Times New Roman" w:hAnsi="Times New Roman"/>
                <w:noProof/>
                <w:sz w:val="18"/>
              </w:rPr>
            </w:pPr>
          </w:p>
        </w:tc>
        <w:tc>
          <w:tcPr>
            <w:tcW w:w="4679" w:type="dxa"/>
            <w:shd w:val="clear" w:color="auto" w:fill="C6EFCE"/>
            <w:noWrap/>
            <w:vAlign w:val="center"/>
          </w:tcPr>
          <w:p w14:paraId="7F6618B0" w14:textId="77777777" w:rsidR="00C45D59" w:rsidRDefault="00C45D59">
            <w:pPr>
              <w:keepNext/>
              <w:spacing w:before="40" w:after="0" w:line="240" w:lineRule="auto"/>
              <w:jc w:val="both"/>
              <w:rPr>
                <w:rFonts w:ascii="Times New Roman" w:hAnsi="Times New Roman"/>
                <w:noProof/>
                <w:sz w:val="18"/>
              </w:rPr>
            </w:pPr>
          </w:p>
        </w:tc>
        <w:tc>
          <w:tcPr>
            <w:tcW w:w="1559" w:type="dxa"/>
            <w:shd w:val="clear" w:color="auto" w:fill="C6EFCE"/>
            <w:noWrap/>
            <w:vAlign w:val="bottom"/>
          </w:tcPr>
          <w:p w14:paraId="0ACE1B5E" w14:textId="77777777" w:rsidR="00C45D59" w:rsidRDefault="009B0962">
            <w:pPr>
              <w:pStyle w:val="P68B1DB1-Normal55"/>
              <w:keepNext/>
              <w:spacing w:before="40" w:after="0" w:line="240" w:lineRule="auto"/>
              <w:jc w:val="both"/>
              <w:rPr>
                <w:noProof/>
              </w:rPr>
            </w:pPr>
            <w:r>
              <w:rPr>
                <w:noProof/>
              </w:rPr>
              <w:t>Cuantumul tranșei</w:t>
            </w:r>
          </w:p>
        </w:tc>
        <w:tc>
          <w:tcPr>
            <w:tcW w:w="2862" w:type="dxa"/>
            <w:shd w:val="clear" w:color="auto" w:fill="C6EFCE"/>
            <w:noWrap/>
            <w:vAlign w:val="bottom"/>
          </w:tcPr>
          <w:p w14:paraId="1FFC8957" w14:textId="1B92630F" w:rsidR="00C45D59" w:rsidRDefault="009B0962">
            <w:pPr>
              <w:pStyle w:val="P68B1DB1-Normal55"/>
              <w:keepNext/>
              <w:spacing w:before="40" w:after="0" w:line="240" w:lineRule="auto"/>
              <w:jc w:val="both"/>
              <w:rPr>
                <w:noProof/>
              </w:rPr>
            </w:pPr>
            <w:r>
              <w:rPr>
                <w:noProof/>
              </w:rPr>
              <w:t>4 220 163 088 MIL.</w:t>
            </w:r>
          </w:p>
        </w:tc>
      </w:tr>
    </w:tbl>
    <w:p w14:paraId="78694D5C" w14:textId="3164DEB8" w:rsidR="00C45D59" w:rsidRDefault="009B0962">
      <w:pPr>
        <w:pStyle w:val="P68B1DB1-Normal59"/>
        <w:rPr>
          <w:bCs/>
          <w:noProof/>
        </w:rPr>
      </w:pPr>
      <w:r>
        <w:rPr>
          <w:noProof/>
        </w:rPr>
        <w:br w:type="page"/>
      </w:r>
    </w:p>
    <w:p w14:paraId="7AC9AA0B" w14:textId="5AE94C26" w:rsidR="00C45D59" w:rsidRDefault="009B0962">
      <w:pPr>
        <w:pStyle w:val="P68B1DB1-Normal5"/>
        <w:keepNext/>
        <w:numPr>
          <w:ilvl w:val="1"/>
          <w:numId w:val="106"/>
        </w:numPr>
        <w:spacing w:before="40" w:after="160" w:line="259" w:lineRule="auto"/>
        <w:ind w:left="0"/>
        <w:contextualSpacing/>
        <w:jc w:val="both"/>
        <w:rPr>
          <w:rFonts w:cs="Times New Roman"/>
          <w:noProof/>
          <w:szCs w:val="24"/>
        </w:rPr>
      </w:pPr>
      <w:r>
        <w:rPr>
          <w:noProof/>
          <w:szCs w:val="24"/>
        </w:rPr>
        <w:t>A opta</w:t>
      </w:r>
      <w:r w:rsidR="00CD2DBD">
        <w:rPr>
          <w:noProof/>
          <w:szCs w:val="24"/>
        </w:rPr>
        <w:t xml:space="preserve"> </w:t>
      </w:r>
      <w:r>
        <w:rPr>
          <w:noProof/>
          <w:szCs w:val="24"/>
        </w:rPr>
        <w:t xml:space="preserve">cerere de plată (sprijin sub formă de împrumut): </w:t>
      </w:r>
    </w:p>
    <w:tbl>
      <w:tblPr>
        <w:tblW w:w="9923"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4A0" w:firstRow="1" w:lastRow="0" w:firstColumn="1" w:lastColumn="0" w:noHBand="0" w:noVBand="1"/>
      </w:tblPr>
      <w:tblGrid>
        <w:gridCol w:w="964"/>
        <w:gridCol w:w="5131"/>
        <w:gridCol w:w="1701"/>
        <w:gridCol w:w="2127"/>
      </w:tblGrid>
      <w:tr w:rsidR="00C45D59" w14:paraId="64BA1176" w14:textId="77777777">
        <w:trPr>
          <w:trHeight w:val="964"/>
          <w:jc w:val="center"/>
        </w:trPr>
        <w:tc>
          <w:tcPr>
            <w:tcW w:w="964" w:type="dxa"/>
            <w:vMerge w:val="restart"/>
            <w:shd w:val="clear" w:color="auto" w:fill="BDD7EE"/>
            <w:vAlign w:val="center"/>
            <w:hideMark/>
          </w:tcPr>
          <w:p w14:paraId="258D704B" w14:textId="33751018" w:rsidR="00C45D59" w:rsidRDefault="009B0962">
            <w:pPr>
              <w:pStyle w:val="P68B1DB1-Normal15"/>
              <w:keepNext/>
              <w:spacing w:before="40" w:after="0" w:line="259" w:lineRule="auto"/>
              <w:jc w:val="center"/>
              <w:rPr>
                <w:rFonts w:eastAsia="Times New Roman"/>
                <w:bCs/>
                <w:noProof/>
              </w:rPr>
            </w:pPr>
            <w:r>
              <w:rPr>
                <w:noProof/>
              </w:rPr>
              <w:t>N</w:t>
            </w:r>
            <w:r w:rsidR="001D5265">
              <w:rPr>
                <w:noProof/>
              </w:rPr>
              <w:t>r.</w:t>
            </w:r>
            <w:r>
              <w:rPr>
                <w:noProof/>
              </w:rPr>
              <w:t xml:space="preserve"> </w:t>
            </w:r>
            <w:r>
              <w:rPr>
                <w:noProof/>
              </w:rPr>
              <w:br/>
            </w:r>
            <w:r w:rsidR="001D5265">
              <w:rPr>
                <w:noProof/>
              </w:rPr>
              <w:t>crt</w:t>
            </w:r>
            <w:r>
              <w:rPr>
                <w:noProof/>
              </w:rPr>
              <w:t>.</w:t>
            </w:r>
          </w:p>
        </w:tc>
        <w:tc>
          <w:tcPr>
            <w:tcW w:w="5131" w:type="dxa"/>
            <w:vMerge w:val="restart"/>
            <w:shd w:val="clear" w:color="auto" w:fill="BDD7EE"/>
            <w:vAlign w:val="center"/>
            <w:hideMark/>
          </w:tcPr>
          <w:p w14:paraId="3E19B04F" w14:textId="77777777" w:rsidR="00C45D59" w:rsidRDefault="009B0962">
            <w:pPr>
              <w:pStyle w:val="P68B1DB1-Normal10"/>
              <w:keepNext/>
              <w:spacing w:before="40" w:after="0" w:line="259" w:lineRule="auto"/>
              <w:jc w:val="center"/>
              <w:rPr>
                <w:rFonts w:eastAsia="Times New Roman" w:cs="Times New Roman"/>
                <w:bCs/>
                <w:noProof/>
                <w:szCs w:val="18"/>
              </w:rPr>
            </w:pPr>
            <w:r>
              <w:rPr>
                <w:noProof/>
              </w:rPr>
              <w:t>Măsură conexă (reformă sau investiții)</w:t>
            </w:r>
          </w:p>
        </w:tc>
        <w:tc>
          <w:tcPr>
            <w:tcW w:w="1701" w:type="dxa"/>
            <w:vMerge w:val="restart"/>
            <w:shd w:val="clear" w:color="auto" w:fill="BDD7EE"/>
            <w:vAlign w:val="center"/>
            <w:hideMark/>
          </w:tcPr>
          <w:p w14:paraId="7A8D8FFA" w14:textId="77777777" w:rsidR="00C45D59" w:rsidRDefault="009B0962">
            <w:pPr>
              <w:pStyle w:val="P68B1DB1-Normal10"/>
              <w:keepNext/>
              <w:spacing w:before="40" w:after="0" w:line="259" w:lineRule="auto"/>
              <w:jc w:val="center"/>
              <w:rPr>
                <w:rFonts w:eastAsia="Times New Roman" w:cs="Times New Roman"/>
                <w:bCs/>
                <w:noProof/>
                <w:szCs w:val="18"/>
              </w:rPr>
            </w:pPr>
            <w:r>
              <w:rPr>
                <w:noProof/>
              </w:rPr>
              <w:t>Etapă/Obiectiv</w:t>
            </w:r>
          </w:p>
        </w:tc>
        <w:tc>
          <w:tcPr>
            <w:tcW w:w="2127" w:type="dxa"/>
            <w:vMerge w:val="restart"/>
            <w:shd w:val="clear" w:color="auto" w:fill="BDD7EE"/>
            <w:vAlign w:val="center"/>
            <w:hideMark/>
          </w:tcPr>
          <w:p w14:paraId="23D95C63" w14:textId="209F74B7" w:rsidR="00C45D59" w:rsidRDefault="001D5265">
            <w:pPr>
              <w:pStyle w:val="P68B1DB1-Normal10"/>
              <w:keepNext/>
              <w:spacing w:before="40" w:after="0" w:line="259" w:lineRule="auto"/>
              <w:jc w:val="center"/>
              <w:rPr>
                <w:rFonts w:eastAsia="Times New Roman" w:cs="Times New Roman"/>
                <w:bCs/>
                <w:noProof/>
                <w:szCs w:val="18"/>
              </w:rPr>
            </w:pPr>
            <w:r>
              <w:rPr>
                <w:noProof/>
              </w:rPr>
              <w:t>Denumire</w:t>
            </w:r>
          </w:p>
        </w:tc>
      </w:tr>
      <w:tr w:rsidR="00C45D59" w14:paraId="76F6E9B3" w14:textId="77777777">
        <w:trPr>
          <w:trHeight w:val="418"/>
          <w:jc w:val="center"/>
        </w:trPr>
        <w:tc>
          <w:tcPr>
            <w:tcW w:w="964" w:type="dxa"/>
            <w:vMerge/>
            <w:vAlign w:val="center"/>
            <w:hideMark/>
          </w:tcPr>
          <w:p w14:paraId="513CD15B" w14:textId="77777777" w:rsidR="00C45D59" w:rsidRDefault="00C45D59">
            <w:pPr>
              <w:keepNext/>
              <w:spacing w:before="40" w:after="0" w:line="259" w:lineRule="auto"/>
              <w:jc w:val="both"/>
              <w:rPr>
                <w:rFonts w:ascii="Times New Roman" w:eastAsia="Times New Roman" w:hAnsi="Times New Roman" w:cs="Times New Roman"/>
                <w:bCs/>
                <w:noProof/>
                <w:sz w:val="18"/>
                <w:szCs w:val="18"/>
              </w:rPr>
            </w:pPr>
          </w:p>
        </w:tc>
        <w:tc>
          <w:tcPr>
            <w:tcW w:w="5131" w:type="dxa"/>
            <w:vMerge/>
            <w:vAlign w:val="center"/>
            <w:hideMark/>
          </w:tcPr>
          <w:p w14:paraId="253862B5" w14:textId="77777777" w:rsidR="00C45D59" w:rsidRDefault="00C45D59">
            <w:pPr>
              <w:keepNext/>
              <w:spacing w:before="40" w:after="0" w:line="259" w:lineRule="auto"/>
              <w:jc w:val="both"/>
              <w:rPr>
                <w:rFonts w:ascii="Times New Roman" w:eastAsia="Times New Roman" w:hAnsi="Times New Roman" w:cs="Times New Roman"/>
                <w:bCs/>
                <w:noProof/>
                <w:sz w:val="18"/>
                <w:szCs w:val="18"/>
              </w:rPr>
            </w:pPr>
          </w:p>
        </w:tc>
        <w:tc>
          <w:tcPr>
            <w:tcW w:w="1701" w:type="dxa"/>
            <w:vMerge/>
            <w:vAlign w:val="center"/>
            <w:hideMark/>
          </w:tcPr>
          <w:p w14:paraId="7F2F7AA3" w14:textId="77777777" w:rsidR="00C45D59" w:rsidRDefault="00C45D59">
            <w:pPr>
              <w:keepNext/>
              <w:spacing w:before="40" w:after="0" w:line="259" w:lineRule="auto"/>
              <w:jc w:val="both"/>
              <w:rPr>
                <w:rFonts w:ascii="Times New Roman" w:eastAsia="Times New Roman" w:hAnsi="Times New Roman" w:cs="Times New Roman"/>
                <w:bCs/>
                <w:noProof/>
                <w:sz w:val="18"/>
                <w:szCs w:val="18"/>
              </w:rPr>
            </w:pPr>
          </w:p>
        </w:tc>
        <w:tc>
          <w:tcPr>
            <w:tcW w:w="2127" w:type="dxa"/>
            <w:vMerge/>
            <w:vAlign w:val="center"/>
            <w:hideMark/>
          </w:tcPr>
          <w:p w14:paraId="5B80CAF4" w14:textId="77777777" w:rsidR="00C45D59" w:rsidRDefault="00C45D59">
            <w:pPr>
              <w:keepNext/>
              <w:spacing w:before="40" w:after="0" w:line="259" w:lineRule="auto"/>
              <w:jc w:val="both"/>
              <w:rPr>
                <w:rFonts w:ascii="Times New Roman" w:eastAsia="Times New Roman" w:hAnsi="Times New Roman" w:cs="Times New Roman"/>
                <w:bCs/>
                <w:noProof/>
                <w:sz w:val="18"/>
                <w:szCs w:val="18"/>
              </w:rPr>
            </w:pPr>
          </w:p>
        </w:tc>
      </w:tr>
      <w:tr w:rsidR="00C45D59" w14:paraId="5173C44C" w14:textId="77777777">
        <w:trPr>
          <w:trHeight w:val="320"/>
          <w:jc w:val="center"/>
        </w:trPr>
        <w:tc>
          <w:tcPr>
            <w:tcW w:w="964" w:type="dxa"/>
            <w:shd w:val="clear" w:color="auto" w:fill="C6EFCE"/>
            <w:noWrap/>
            <w:vAlign w:val="center"/>
          </w:tcPr>
          <w:p w14:paraId="1F605CA5" w14:textId="77777777" w:rsidR="00C45D59" w:rsidRDefault="009B0962">
            <w:pPr>
              <w:pStyle w:val="P68B1DB1-Normal11"/>
              <w:keepNext/>
              <w:spacing w:before="40" w:after="0" w:line="240" w:lineRule="auto"/>
              <w:jc w:val="both"/>
              <w:rPr>
                <w:rFonts w:eastAsia="Times New Roman" w:cs="Times New Roman"/>
                <w:noProof/>
              </w:rPr>
            </w:pPr>
            <w:r>
              <w:rPr>
                <w:noProof/>
              </w:rPr>
              <w:t>380</w:t>
            </w:r>
          </w:p>
        </w:tc>
        <w:tc>
          <w:tcPr>
            <w:tcW w:w="5131" w:type="dxa"/>
            <w:shd w:val="clear" w:color="auto" w:fill="C6EFCE"/>
            <w:noWrap/>
            <w:vAlign w:val="center"/>
          </w:tcPr>
          <w:p w14:paraId="4ECEE5C8" w14:textId="77777777" w:rsidR="00C45D59" w:rsidRDefault="009B0962">
            <w:pPr>
              <w:pStyle w:val="P68B1DB1-Normal11"/>
              <w:keepNext/>
              <w:spacing w:before="40" w:after="0" w:line="240" w:lineRule="auto"/>
              <w:jc w:val="both"/>
              <w:rPr>
                <w:rFonts w:eastAsia="Times New Roman" w:cs="Times New Roman"/>
                <w:noProof/>
              </w:rPr>
            </w:pPr>
            <w:r>
              <w:rPr>
                <w:noProof/>
              </w:rPr>
              <w:t>11-3.4. Creșterea accesului la politici sociale eficace și favorabile incluziunii – 16400_Programul pentru locuințe la prețuri accesibile „My Home II”</w:t>
            </w:r>
          </w:p>
        </w:tc>
        <w:tc>
          <w:tcPr>
            <w:tcW w:w="1701" w:type="dxa"/>
            <w:shd w:val="clear" w:color="auto" w:fill="C6EFCE"/>
            <w:noWrap/>
            <w:vAlign w:val="center"/>
          </w:tcPr>
          <w:p w14:paraId="7251FA34" w14:textId="77777777" w:rsidR="00C45D59" w:rsidRDefault="009B0962">
            <w:pPr>
              <w:pStyle w:val="P68B1DB1-Normal11"/>
              <w:keepNext/>
              <w:spacing w:before="40" w:after="0" w:line="240" w:lineRule="auto"/>
              <w:jc w:val="both"/>
              <w:rPr>
                <w:rFonts w:eastAsia="Times New Roman" w:cs="Times New Roman"/>
                <w:noProof/>
              </w:rPr>
            </w:pPr>
            <w:r>
              <w:rPr>
                <w:noProof/>
              </w:rPr>
              <w:t>Țintă</w:t>
            </w:r>
          </w:p>
        </w:tc>
        <w:tc>
          <w:tcPr>
            <w:tcW w:w="2127" w:type="dxa"/>
            <w:shd w:val="clear" w:color="auto" w:fill="C6EFCE"/>
            <w:noWrap/>
            <w:vAlign w:val="center"/>
          </w:tcPr>
          <w:p w14:paraId="4DF880D8" w14:textId="68D493EB" w:rsidR="00C45D59" w:rsidRDefault="009B0962">
            <w:pPr>
              <w:pStyle w:val="P68B1DB1-Normal58"/>
              <w:keepNext/>
              <w:spacing w:before="40" w:after="0" w:line="240" w:lineRule="auto"/>
              <w:jc w:val="both"/>
              <w:rPr>
                <w:noProof/>
              </w:rPr>
            </w:pPr>
            <w:r>
              <w:rPr>
                <w:noProof/>
              </w:rPr>
              <w:t>Casa mea II – Acorduri juridice semnate cu beneficiarii finali – 100 %</w:t>
            </w:r>
          </w:p>
        </w:tc>
      </w:tr>
      <w:tr w:rsidR="00C45D59" w14:paraId="55736B2C" w14:textId="77777777">
        <w:trPr>
          <w:trHeight w:val="320"/>
          <w:jc w:val="center"/>
        </w:trPr>
        <w:tc>
          <w:tcPr>
            <w:tcW w:w="964" w:type="dxa"/>
            <w:shd w:val="clear" w:color="auto" w:fill="C6EFCE"/>
            <w:noWrap/>
            <w:vAlign w:val="center"/>
          </w:tcPr>
          <w:p w14:paraId="613E6BAD" w14:textId="77777777" w:rsidR="00C45D59" w:rsidRDefault="009B0962">
            <w:pPr>
              <w:pStyle w:val="P68B1DB1-Normal11"/>
              <w:keepNext/>
              <w:spacing w:before="40" w:after="0" w:line="240" w:lineRule="auto"/>
              <w:jc w:val="both"/>
              <w:rPr>
                <w:rFonts w:eastAsia="Times New Roman" w:cs="Times New Roman"/>
                <w:noProof/>
              </w:rPr>
            </w:pPr>
            <w:r>
              <w:rPr>
                <w:noProof/>
              </w:rPr>
              <w:t>381</w:t>
            </w:r>
          </w:p>
        </w:tc>
        <w:tc>
          <w:tcPr>
            <w:tcW w:w="5131" w:type="dxa"/>
            <w:shd w:val="clear" w:color="auto" w:fill="C6EFCE"/>
            <w:noWrap/>
            <w:vAlign w:val="center"/>
          </w:tcPr>
          <w:p w14:paraId="32B5C469" w14:textId="77777777" w:rsidR="00C45D59" w:rsidRDefault="009B0962">
            <w:pPr>
              <w:pStyle w:val="P68B1DB1-Normal11"/>
              <w:keepNext/>
              <w:spacing w:before="40" w:after="0" w:line="240" w:lineRule="auto"/>
              <w:jc w:val="both"/>
              <w:rPr>
                <w:rFonts w:eastAsia="Times New Roman" w:cs="Times New Roman"/>
                <w:bCs/>
                <w:noProof/>
              </w:rPr>
            </w:pPr>
            <w:r>
              <w:rPr>
                <w:noProof/>
              </w:rPr>
              <w:t>11-3.4. Creșterea accesului la politici sociale eficace și favorabile incluziunii – 16400_Programul pentru locuințe la prețuri accesibile „My Home II”</w:t>
            </w:r>
          </w:p>
        </w:tc>
        <w:tc>
          <w:tcPr>
            <w:tcW w:w="1701" w:type="dxa"/>
            <w:shd w:val="clear" w:color="auto" w:fill="C6EFCE"/>
            <w:noWrap/>
            <w:vAlign w:val="center"/>
          </w:tcPr>
          <w:p w14:paraId="023CAD97" w14:textId="77777777" w:rsidR="00C45D59" w:rsidRDefault="009B0962">
            <w:pPr>
              <w:pStyle w:val="P68B1DB1-Normal11"/>
              <w:keepNext/>
              <w:spacing w:before="40" w:after="0" w:line="240" w:lineRule="auto"/>
              <w:jc w:val="both"/>
              <w:rPr>
                <w:rFonts w:eastAsia="Times New Roman" w:cs="Times New Roman"/>
                <w:bCs/>
                <w:noProof/>
              </w:rPr>
            </w:pPr>
            <w:r>
              <w:rPr>
                <w:noProof/>
              </w:rPr>
              <w:t>Etapă</w:t>
            </w:r>
          </w:p>
        </w:tc>
        <w:tc>
          <w:tcPr>
            <w:tcW w:w="2127" w:type="dxa"/>
            <w:shd w:val="clear" w:color="auto" w:fill="C6EFCE"/>
            <w:noWrap/>
            <w:vAlign w:val="center"/>
          </w:tcPr>
          <w:p w14:paraId="6CDC2B3B" w14:textId="77777777" w:rsidR="00C45D59" w:rsidRDefault="009B0962">
            <w:pPr>
              <w:pStyle w:val="P68B1DB1-Normal58"/>
              <w:keepNext/>
              <w:spacing w:before="40" w:after="0" w:line="240" w:lineRule="auto"/>
              <w:jc w:val="both"/>
              <w:rPr>
                <w:bCs/>
                <w:noProof/>
              </w:rPr>
            </w:pPr>
            <w:r>
              <w:rPr>
                <w:noProof/>
              </w:rPr>
              <w:t>Ministerul meu de Interne II – Ministerul Finanțelor a finalizat investiția</w:t>
            </w:r>
          </w:p>
        </w:tc>
      </w:tr>
      <w:tr w:rsidR="00C45D59" w14:paraId="6D5227E8" w14:textId="77777777">
        <w:trPr>
          <w:trHeight w:val="320"/>
          <w:jc w:val="center"/>
        </w:trPr>
        <w:tc>
          <w:tcPr>
            <w:tcW w:w="964" w:type="dxa"/>
            <w:shd w:val="clear" w:color="auto" w:fill="C6EFCE"/>
            <w:noWrap/>
            <w:vAlign w:val="center"/>
          </w:tcPr>
          <w:p w14:paraId="1DF0A2B4" w14:textId="2313AFC0" w:rsidR="00C45D59" w:rsidRDefault="009B0962">
            <w:pPr>
              <w:pStyle w:val="P68B1DB1-Normal11"/>
              <w:keepNext/>
              <w:spacing w:before="40" w:after="0" w:line="240" w:lineRule="auto"/>
              <w:jc w:val="both"/>
              <w:rPr>
                <w:noProof/>
              </w:rPr>
            </w:pPr>
            <w:r>
              <w:rPr>
                <w:noProof/>
              </w:rPr>
              <w:t>330b</w:t>
            </w:r>
          </w:p>
        </w:tc>
        <w:tc>
          <w:tcPr>
            <w:tcW w:w="5131" w:type="dxa"/>
            <w:shd w:val="clear" w:color="auto" w:fill="C6EFCE"/>
            <w:noWrap/>
            <w:vAlign w:val="center"/>
          </w:tcPr>
          <w:p w14:paraId="339E9661" w14:textId="77777777" w:rsidR="00C45D59" w:rsidRDefault="009B0962">
            <w:pPr>
              <w:pStyle w:val="P68B1DB1-Normal11"/>
              <w:keepNext/>
              <w:spacing w:before="40" w:after="0" w:line="240" w:lineRule="auto"/>
              <w:jc w:val="both"/>
              <w:rPr>
                <w:noProof/>
              </w:rPr>
            </w:pPr>
            <w:r>
              <w:rPr>
                <w:noProof/>
              </w:rPr>
              <w:t>4.7. Îmbunătățirea competitivității și promovarea investițiilor private și a exporturilor – Mecanismul de împrumut 16980_RRP</w:t>
            </w:r>
          </w:p>
        </w:tc>
        <w:tc>
          <w:tcPr>
            <w:tcW w:w="1701" w:type="dxa"/>
            <w:shd w:val="clear" w:color="auto" w:fill="C6EFCE"/>
            <w:noWrap/>
            <w:vAlign w:val="center"/>
          </w:tcPr>
          <w:p w14:paraId="65FBC98C" w14:textId="77777777" w:rsidR="00C45D59" w:rsidRDefault="009B0962">
            <w:pPr>
              <w:pStyle w:val="P68B1DB1-Normal11"/>
              <w:keepNext/>
              <w:spacing w:before="40" w:after="0" w:line="240" w:lineRule="auto"/>
              <w:jc w:val="both"/>
              <w:rPr>
                <w:noProof/>
              </w:rPr>
            </w:pPr>
            <w:r>
              <w:rPr>
                <w:noProof/>
              </w:rPr>
              <w:t>Țintă</w:t>
            </w:r>
          </w:p>
        </w:tc>
        <w:tc>
          <w:tcPr>
            <w:tcW w:w="2127" w:type="dxa"/>
            <w:shd w:val="clear" w:color="auto" w:fill="C6EFCE"/>
            <w:noWrap/>
            <w:vAlign w:val="center"/>
          </w:tcPr>
          <w:p w14:paraId="076FF68D" w14:textId="6B020F64" w:rsidR="00C45D59" w:rsidRDefault="009B0962">
            <w:pPr>
              <w:pStyle w:val="P68B1DB1-Normal11"/>
              <w:keepNext/>
              <w:spacing w:before="40" w:after="0" w:line="240" w:lineRule="auto"/>
              <w:jc w:val="both"/>
              <w:rPr>
                <w:noProof/>
              </w:rPr>
            </w:pPr>
            <w:r>
              <w:rPr>
                <w:noProof/>
              </w:rPr>
              <w:t>Aprobarea operațiunilor InvestEU în valoare de 100 000 000 EUR</w:t>
            </w:r>
          </w:p>
        </w:tc>
      </w:tr>
      <w:tr w:rsidR="00C45D59" w14:paraId="256D569A" w14:textId="77777777">
        <w:trPr>
          <w:trHeight w:val="320"/>
          <w:jc w:val="center"/>
        </w:trPr>
        <w:tc>
          <w:tcPr>
            <w:tcW w:w="964" w:type="dxa"/>
            <w:shd w:val="clear" w:color="auto" w:fill="C6EFCE"/>
            <w:noWrap/>
            <w:vAlign w:val="center"/>
          </w:tcPr>
          <w:p w14:paraId="03D1E153" w14:textId="77777777" w:rsidR="00C45D59" w:rsidRDefault="009B0962">
            <w:pPr>
              <w:pStyle w:val="P68B1DB1-Normal55"/>
              <w:keepNext/>
              <w:spacing w:before="40" w:after="0" w:line="240" w:lineRule="auto"/>
              <w:jc w:val="both"/>
              <w:rPr>
                <w:noProof/>
              </w:rPr>
            </w:pPr>
            <w:r>
              <w:rPr>
                <w:noProof/>
              </w:rPr>
              <w:t>382</w:t>
            </w:r>
          </w:p>
        </w:tc>
        <w:tc>
          <w:tcPr>
            <w:tcW w:w="5131" w:type="dxa"/>
            <w:shd w:val="clear" w:color="auto" w:fill="C6EFCE"/>
            <w:noWrap/>
            <w:vAlign w:val="center"/>
          </w:tcPr>
          <w:p w14:paraId="25BDF250" w14:textId="77777777" w:rsidR="00C45D59" w:rsidRDefault="009B0962">
            <w:pPr>
              <w:pStyle w:val="P68B1DB1-Normal55"/>
              <w:keepNext/>
              <w:spacing w:before="40" w:after="0" w:line="240" w:lineRule="auto"/>
              <w:jc w:val="both"/>
              <w:rPr>
                <w:noProof/>
              </w:rPr>
            </w:pPr>
            <w:r>
              <w:rPr>
                <w:noProof/>
              </w:rPr>
              <w:t>4.7. Îmbunătățirea competitivității și promovarea investițiilor private și a exporturilor – injecția de capital din 16403 în Banca Elenă de Dezvoltare</w:t>
            </w:r>
          </w:p>
        </w:tc>
        <w:tc>
          <w:tcPr>
            <w:tcW w:w="1701" w:type="dxa"/>
            <w:shd w:val="clear" w:color="auto" w:fill="C6EFCE"/>
            <w:noWrap/>
            <w:vAlign w:val="center"/>
          </w:tcPr>
          <w:p w14:paraId="0305B3A5" w14:textId="77777777" w:rsidR="00C45D59" w:rsidRDefault="009B0962">
            <w:pPr>
              <w:pStyle w:val="P68B1DB1-Normal55"/>
              <w:keepNext/>
              <w:spacing w:before="40" w:after="0" w:line="240" w:lineRule="auto"/>
              <w:jc w:val="both"/>
              <w:rPr>
                <w:noProof/>
              </w:rPr>
            </w:pPr>
            <w:r>
              <w:rPr>
                <w:noProof/>
              </w:rPr>
              <w:t>Etapă</w:t>
            </w:r>
          </w:p>
        </w:tc>
        <w:tc>
          <w:tcPr>
            <w:tcW w:w="2127" w:type="dxa"/>
            <w:shd w:val="clear" w:color="auto" w:fill="C6EFCE"/>
            <w:noWrap/>
            <w:vAlign w:val="center"/>
          </w:tcPr>
          <w:p w14:paraId="0CC9667C" w14:textId="77777777" w:rsidR="00C45D59" w:rsidRDefault="009B0962">
            <w:pPr>
              <w:pStyle w:val="P68B1DB1-Normal55"/>
              <w:keepNext/>
              <w:spacing w:before="40" w:after="0" w:line="240" w:lineRule="auto"/>
              <w:jc w:val="both"/>
              <w:rPr>
                <w:noProof/>
              </w:rPr>
            </w:pPr>
            <w:r>
              <w:rPr>
                <w:noProof/>
              </w:rPr>
              <w:t>Politică de investiții</w:t>
            </w:r>
          </w:p>
        </w:tc>
      </w:tr>
      <w:tr w:rsidR="00C45D59" w14:paraId="0634A44D" w14:textId="77777777">
        <w:trPr>
          <w:trHeight w:val="320"/>
          <w:jc w:val="center"/>
        </w:trPr>
        <w:tc>
          <w:tcPr>
            <w:tcW w:w="964" w:type="dxa"/>
            <w:shd w:val="clear" w:color="auto" w:fill="C6EFCE"/>
            <w:noWrap/>
            <w:vAlign w:val="center"/>
          </w:tcPr>
          <w:p w14:paraId="6EA01B37" w14:textId="77777777" w:rsidR="00C45D59" w:rsidRDefault="009B0962">
            <w:pPr>
              <w:pStyle w:val="P68B1DB1-Normal55"/>
              <w:keepNext/>
              <w:spacing w:before="40" w:after="0" w:line="240" w:lineRule="auto"/>
              <w:jc w:val="both"/>
              <w:rPr>
                <w:noProof/>
              </w:rPr>
            </w:pPr>
            <w:r>
              <w:rPr>
                <w:noProof/>
              </w:rPr>
              <w:t>383</w:t>
            </w:r>
          </w:p>
        </w:tc>
        <w:tc>
          <w:tcPr>
            <w:tcW w:w="5131" w:type="dxa"/>
            <w:shd w:val="clear" w:color="auto" w:fill="C6EFCE"/>
            <w:noWrap/>
            <w:vAlign w:val="center"/>
          </w:tcPr>
          <w:p w14:paraId="0F40F04D" w14:textId="77777777" w:rsidR="00C45D59" w:rsidRDefault="009B0962">
            <w:pPr>
              <w:pStyle w:val="P68B1DB1-Normal55"/>
              <w:keepNext/>
              <w:spacing w:before="40" w:after="0" w:line="240" w:lineRule="auto"/>
              <w:jc w:val="both"/>
              <w:rPr>
                <w:noProof/>
              </w:rPr>
            </w:pPr>
            <w:r>
              <w:rPr>
                <w:noProof/>
              </w:rPr>
              <w:t>4.7. Îmbunătățirea competitivității și promovarea investițiilor private și a exporturilor – injecția de capital din 16403 în Banca Elenă de Dezvoltare</w:t>
            </w:r>
          </w:p>
        </w:tc>
        <w:tc>
          <w:tcPr>
            <w:tcW w:w="1701" w:type="dxa"/>
            <w:shd w:val="clear" w:color="auto" w:fill="C6EFCE"/>
            <w:noWrap/>
            <w:vAlign w:val="center"/>
          </w:tcPr>
          <w:p w14:paraId="494F77A3" w14:textId="77777777" w:rsidR="00C45D59" w:rsidRDefault="009B0962">
            <w:pPr>
              <w:pStyle w:val="P68B1DB1-Normal55"/>
              <w:keepNext/>
              <w:spacing w:before="40" w:after="0" w:line="240" w:lineRule="auto"/>
              <w:jc w:val="both"/>
              <w:rPr>
                <w:noProof/>
              </w:rPr>
            </w:pPr>
            <w:r>
              <w:rPr>
                <w:noProof/>
              </w:rPr>
              <w:t>Etapă</w:t>
            </w:r>
          </w:p>
        </w:tc>
        <w:tc>
          <w:tcPr>
            <w:tcW w:w="2127" w:type="dxa"/>
            <w:shd w:val="clear" w:color="auto" w:fill="C6EFCE"/>
            <w:noWrap/>
            <w:vAlign w:val="center"/>
          </w:tcPr>
          <w:p w14:paraId="08AD94DD" w14:textId="77777777" w:rsidR="00C45D59" w:rsidRDefault="009B0962">
            <w:pPr>
              <w:pStyle w:val="P68B1DB1-Normal55"/>
              <w:keepNext/>
              <w:spacing w:before="40" w:after="0" w:line="240" w:lineRule="auto"/>
              <w:jc w:val="both"/>
              <w:rPr>
                <w:noProof/>
              </w:rPr>
            </w:pPr>
            <w:r>
              <w:rPr>
                <w:noProof/>
              </w:rPr>
              <w:t>Injecție de capital</w:t>
            </w:r>
          </w:p>
        </w:tc>
      </w:tr>
      <w:tr w:rsidR="00C45D59" w14:paraId="650E8261" w14:textId="77777777">
        <w:trPr>
          <w:trHeight w:val="320"/>
          <w:jc w:val="center"/>
        </w:trPr>
        <w:tc>
          <w:tcPr>
            <w:tcW w:w="964" w:type="dxa"/>
            <w:shd w:val="clear" w:color="auto" w:fill="C6EFCE"/>
            <w:noWrap/>
            <w:vAlign w:val="center"/>
          </w:tcPr>
          <w:p w14:paraId="2C8FD26D" w14:textId="77777777" w:rsidR="00C45D59" w:rsidRDefault="009B0962">
            <w:pPr>
              <w:pStyle w:val="P68B1DB1-Normal55"/>
              <w:keepNext/>
              <w:spacing w:before="40" w:after="0" w:line="240" w:lineRule="auto"/>
              <w:jc w:val="both"/>
              <w:rPr>
                <w:noProof/>
              </w:rPr>
            </w:pPr>
            <w:r>
              <w:rPr>
                <w:noProof/>
              </w:rPr>
              <w:t>384</w:t>
            </w:r>
          </w:p>
        </w:tc>
        <w:tc>
          <w:tcPr>
            <w:tcW w:w="5131" w:type="dxa"/>
            <w:shd w:val="clear" w:color="auto" w:fill="C6EFCE"/>
            <w:noWrap/>
            <w:vAlign w:val="center"/>
          </w:tcPr>
          <w:p w14:paraId="248858C5" w14:textId="77777777" w:rsidR="00C45D59" w:rsidRDefault="009B0962">
            <w:pPr>
              <w:pStyle w:val="P68B1DB1-Normal55"/>
              <w:keepNext/>
              <w:spacing w:before="40" w:after="0" w:line="240" w:lineRule="auto"/>
              <w:jc w:val="both"/>
              <w:rPr>
                <w:noProof/>
              </w:rPr>
            </w:pPr>
            <w:r>
              <w:rPr>
                <w:noProof/>
              </w:rPr>
              <w:t>4.7. Îmbunătățirea competitivității și promovarea investițiilor private și a exporturilor – Evaluarea pe 16405 a pilonului Băncii Elene de Dezvoltare</w:t>
            </w:r>
          </w:p>
        </w:tc>
        <w:tc>
          <w:tcPr>
            <w:tcW w:w="1701" w:type="dxa"/>
            <w:shd w:val="clear" w:color="auto" w:fill="C6EFCE"/>
            <w:noWrap/>
            <w:vAlign w:val="center"/>
          </w:tcPr>
          <w:p w14:paraId="1DC247BF" w14:textId="77777777" w:rsidR="00C45D59" w:rsidRDefault="009B0962">
            <w:pPr>
              <w:pStyle w:val="P68B1DB1-Normal55"/>
              <w:keepNext/>
              <w:spacing w:before="40" w:after="0" w:line="240" w:lineRule="auto"/>
              <w:jc w:val="both"/>
              <w:rPr>
                <w:noProof/>
              </w:rPr>
            </w:pPr>
            <w:r>
              <w:rPr>
                <w:noProof/>
              </w:rPr>
              <w:t>Etapă</w:t>
            </w:r>
          </w:p>
        </w:tc>
        <w:tc>
          <w:tcPr>
            <w:tcW w:w="2127" w:type="dxa"/>
            <w:shd w:val="clear" w:color="auto" w:fill="C6EFCE"/>
            <w:noWrap/>
            <w:vAlign w:val="center"/>
          </w:tcPr>
          <w:p w14:paraId="41473D7C" w14:textId="77777777" w:rsidR="00C45D59" w:rsidRDefault="009B0962">
            <w:pPr>
              <w:pStyle w:val="P68B1DB1-Normal55"/>
              <w:keepNext/>
              <w:spacing w:before="40" w:after="0" w:line="240" w:lineRule="auto"/>
              <w:jc w:val="both"/>
              <w:rPr>
                <w:noProof/>
              </w:rPr>
            </w:pPr>
            <w:r>
              <w:rPr>
                <w:noProof/>
              </w:rPr>
              <w:t>Banca Elenă de Dezvoltare este evaluată pe baza pilonilor</w:t>
            </w:r>
          </w:p>
        </w:tc>
      </w:tr>
      <w:tr w:rsidR="00C45D59" w14:paraId="349B17CA" w14:textId="77777777">
        <w:trPr>
          <w:trHeight w:val="320"/>
          <w:jc w:val="center"/>
        </w:trPr>
        <w:tc>
          <w:tcPr>
            <w:tcW w:w="964" w:type="dxa"/>
            <w:shd w:val="clear" w:color="auto" w:fill="C6EFCE"/>
            <w:noWrap/>
            <w:vAlign w:val="bottom"/>
          </w:tcPr>
          <w:p w14:paraId="78ACB640" w14:textId="77777777" w:rsidR="00C45D59" w:rsidRDefault="00C45D59">
            <w:pPr>
              <w:keepNext/>
              <w:spacing w:before="40" w:after="0" w:line="240" w:lineRule="auto"/>
              <w:jc w:val="both"/>
              <w:rPr>
                <w:rFonts w:ascii="Times New Roman" w:eastAsia="Times New Roman" w:hAnsi="Times New Roman" w:cs="Times New Roman"/>
                <w:noProof/>
                <w:sz w:val="18"/>
                <w:szCs w:val="18"/>
              </w:rPr>
            </w:pPr>
          </w:p>
        </w:tc>
        <w:tc>
          <w:tcPr>
            <w:tcW w:w="5131" w:type="dxa"/>
            <w:shd w:val="clear" w:color="auto" w:fill="C6EFCE"/>
            <w:noWrap/>
            <w:vAlign w:val="bottom"/>
          </w:tcPr>
          <w:p w14:paraId="14D8AE7D" w14:textId="77777777" w:rsidR="00C45D59" w:rsidRDefault="00C45D59">
            <w:pPr>
              <w:keepNext/>
              <w:spacing w:before="40" w:after="0" w:line="240" w:lineRule="auto"/>
              <w:jc w:val="both"/>
              <w:rPr>
                <w:rFonts w:ascii="Times New Roman" w:hAnsi="Times New Roman" w:cs="Times New Roman"/>
                <w:noProof/>
                <w:sz w:val="18"/>
                <w:szCs w:val="18"/>
              </w:rPr>
            </w:pPr>
          </w:p>
        </w:tc>
        <w:tc>
          <w:tcPr>
            <w:tcW w:w="1701" w:type="dxa"/>
            <w:shd w:val="clear" w:color="auto" w:fill="C6EFCE"/>
            <w:noWrap/>
            <w:vAlign w:val="bottom"/>
          </w:tcPr>
          <w:p w14:paraId="57AAA0FD" w14:textId="77777777" w:rsidR="00C45D59" w:rsidRDefault="009B0962">
            <w:pPr>
              <w:pStyle w:val="P68B1DB1-Normal55"/>
              <w:keepNext/>
              <w:spacing w:before="40" w:after="0" w:line="240" w:lineRule="auto"/>
              <w:jc w:val="both"/>
              <w:rPr>
                <w:rFonts w:cs="Times New Roman"/>
                <w:noProof/>
                <w:szCs w:val="18"/>
              </w:rPr>
            </w:pPr>
            <w:r>
              <w:rPr>
                <w:noProof/>
              </w:rPr>
              <w:t>Cuantumul tranșei</w:t>
            </w:r>
          </w:p>
        </w:tc>
        <w:tc>
          <w:tcPr>
            <w:tcW w:w="2127" w:type="dxa"/>
            <w:shd w:val="clear" w:color="auto" w:fill="C6EFCE"/>
            <w:noWrap/>
            <w:vAlign w:val="bottom"/>
          </w:tcPr>
          <w:p w14:paraId="47EEF0DD" w14:textId="096CB452" w:rsidR="00C45D59" w:rsidRDefault="009B0962">
            <w:pPr>
              <w:pStyle w:val="P68B1DB1-Normal11"/>
              <w:keepNext/>
              <w:spacing w:before="40" w:after="0" w:line="240" w:lineRule="auto"/>
              <w:jc w:val="both"/>
              <w:rPr>
                <w:noProof/>
              </w:rPr>
            </w:pPr>
            <w:r>
              <w:rPr>
                <w:noProof/>
              </w:rPr>
              <w:t>2 349 092 029 MIL.</w:t>
            </w:r>
          </w:p>
        </w:tc>
      </w:tr>
    </w:tbl>
    <w:p w14:paraId="3CEC817E" w14:textId="77777777" w:rsidR="00C45D59" w:rsidRDefault="009B0962">
      <w:pPr>
        <w:rPr>
          <w:rFonts w:ascii="Times New Roman" w:hAnsi="Times New Roman" w:cs="Times New Roman"/>
          <w:b/>
          <w:bCs/>
          <w:noProof/>
          <w:sz w:val="24"/>
        </w:rPr>
      </w:pPr>
      <w:r>
        <w:rPr>
          <w:noProof/>
        </w:rPr>
        <w:br w:type="page"/>
      </w:r>
    </w:p>
    <w:p w14:paraId="583081D5" w14:textId="77777777" w:rsidR="00C45D59" w:rsidRDefault="009B0962">
      <w:pPr>
        <w:pStyle w:val="P68B1DB1-Normal2"/>
        <w:keepNext/>
        <w:tabs>
          <w:tab w:val="num" w:pos="850"/>
        </w:tabs>
        <w:spacing w:before="120" w:after="120" w:line="259" w:lineRule="auto"/>
        <w:ind w:left="360"/>
        <w:jc w:val="both"/>
        <w:outlineLvl w:val="0"/>
        <w:rPr>
          <w:rFonts w:eastAsia="Times New Roman" w:cs="Times New Roman"/>
          <w:noProof/>
        </w:rPr>
      </w:pPr>
      <w:r>
        <w:rPr>
          <w:noProof/>
        </w:rPr>
        <w:t xml:space="preserve">SECȚIUNEA 3: DISPOZIȚII SUPLIMENTARE </w:t>
      </w:r>
    </w:p>
    <w:p w14:paraId="57F1B805" w14:textId="77777777" w:rsidR="00C45D59" w:rsidRDefault="009B0962">
      <w:pPr>
        <w:pStyle w:val="P68B1DB1-Normal17"/>
        <w:numPr>
          <w:ilvl w:val="6"/>
          <w:numId w:val="0"/>
        </w:numPr>
        <w:spacing w:before="120" w:after="120" w:line="240" w:lineRule="auto"/>
        <w:jc w:val="both"/>
        <w:rPr>
          <w:rFonts w:eastAsia="Times New Roman" w:cs="Times New Roman"/>
          <w:noProof/>
        </w:rPr>
      </w:pPr>
      <w:r>
        <w:rPr>
          <w:noProof/>
        </w:rPr>
        <w:t>Modalități de monitorizare și de punere în aplicare a planului de redresare și reziliență</w:t>
      </w:r>
    </w:p>
    <w:p w14:paraId="6F2D8A61" w14:textId="77777777" w:rsidR="00C45D59" w:rsidRDefault="009B0962">
      <w:pPr>
        <w:pStyle w:val="P68B1DB1-Normal5"/>
        <w:spacing w:before="120" w:after="120" w:line="240" w:lineRule="auto"/>
        <w:jc w:val="both"/>
        <w:rPr>
          <w:rFonts w:cs="Times New Roman"/>
          <w:noProof/>
        </w:rPr>
      </w:pPr>
      <w:r>
        <w:rPr>
          <w:noProof/>
        </w:rPr>
        <w:t xml:space="preserve">Monitorizarea și implementarea planului de redresare și reziliență al Greciei se efectuează în conformitate cu următoarele modalități. </w:t>
      </w:r>
    </w:p>
    <w:p w14:paraId="4122A107" w14:textId="77777777" w:rsidR="00C45D59" w:rsidRDefault="009B0962">
      <w:pPr>
        <w:pStyle w:val="P68B1DB1-Normal5"/>
        <w:spacing w:before="120" w:after="120" w:line="240" w:lineRule="auto"/>
        <w:jc w:val="both"/>
        <w:rPr>
          <w:rFonts w:cs="Times New Roman"/>
          <w:noProof/>
        </w:rPr>
      </w:pPr>
      <w:r>
        <w:rPr>
          <w:noProof/>
        </w:rPr>
        <w:t>Principalul organism responsabil cu coordonarea punerii în aplicare și cu monitorizarea planului de redresare și reziliență va fi Agenția de coordonare a Mecanismului de redresare și reziliență, un serviciu public special independent al Ministerului Finanțelor, instituit prin Legea nr. 4738/2020. Agenția de coordonare a Mecanismului de redresare și reziliență este, de asemenea, organismul responsabil pentru verificarea îndeplinirii obiectivelor de etapă și a țintelor stabilite în planul de redresare și reziliență și acționează, de asemenea, ca legătură (unică) între Comisia Europeană și autoritățile elene. Mai precis, sarcinile sale implică monitorizarea activă a progreselor înregistrate de proiecte, pe baza jaloanelor și a țintelor convenite, precum și transmiterea cererilor de plată către Comisia Europeană după verificarea finalizării acestora. Acestea din urmă sunt însoțite de o declarație de gestiune din care să reiasă că fondurile au fost utilizate în scopurile pentru care au fost destinate și în conformitate cu principiul bunei gestiuni financiare, precum și de un rezumat al auditurilor efectuate, inclusiv deficiențele identificate și orice măsuri corective luate.</w:t>
      </w:r>
    </w:p>
    <w:p w14:paraId="688851B2" w14:textId="77777777" w:rsidR="00C45D59" w:rsidRDefault="009B0962">
      <w:pPr>
        <w:pStyle w:val="P68B1DB1-Normal5"/>
        <w:spacing w:before="120" w:after="120" w:line="240" w:lineRule="auto"/>
        <w:jc w:val="both"/>
        <w:rPr>
          <w:rFonts w:cs="Times New Roman"/>
          <w:noProof/>
        </w:rPr>
      </w:pPr>
      <w:r>
        <w:rPr>
          <w:noProof/>
        </w:rPr>
        <w:t xml:space="preserve">Responsabilitatea generală pentru punerea în aplicare a fiecărei măsuri specifice intră în sfera de competență a ministerului relevant, ale cărui servicii vor sprijini monitorizarea progreselor proiectelor și vor menține o cooperare strânsă cu Agenția de coordonare a Mecanismului de redresare și reziliență. </w:t>
      </w:r>
    </w:p>
    <w:p w14:paraId="50B316CB" w14:textId="77777777" w:rsidR="00C45D59" w:rsidRDefault="009B0962">
      <w:pPr>
        <w:pStyle w:val="P68B1DB1-Normal5"/>
        <w:spacing w:before="120" w:after="120" w:line="240" w:lineRule="auto"/>
        <w:jc w:val="both"/>
        <w:rPr>
          <w:rFonts w:cs="Times New Roman"/>
          <w:noProof/>
        </w:rPr>
      </w:pPr>
      <w:r>
        <w:rPr>
          <w:noProof/>
        </w:rPr>
        <w:t xml:space="preserve">Toate măsurile din plan sunt puse în aplicare de organismele naționale („organismele de punere în aplicare”) desemnate de ministerul competent și sunt responsabile de atingerea jaloanelor și a țintelor convenite, precum și de raportarea tuturor datelor și documentației către Agenția de coordonare a Mecanismului de redresare și reziliență prin intermediul sistemului informatic de gestionare care urmează să fie instituit. </w:t>
      </w:r>
    </w:p>
    <w:p w14:paraId="017E50A0" w14:textId="77777777" w:rsidR="00C45D59" w:rsidRDefault="009B0962">
      <w:pPr>
        <w:pStyle w:val="P68B1DB1-Normal5"/>
        <w:spacing w:before="120" w:after="120" w:line="240" w:lineRule="auto"/>
        <w:jc w:val="both"/>
        <w:rPr>
          <w:rFonts w:cs="Times New Roman"/>
          <w:noProof/>
        </w:rPr>
      </w:pPr>
      <w:r>
        <w:rPr>
          <w:noProof/>
        </w:rPr>
        <w:t>În cele din urmă, Comitetul de audit financiar (EDEL), care face parte din Secretariatul General pentru Politica Fiscală (Biroul General de Contabilitate al Statului) din cadrul Ministerului Finanțelor, garantează respectarea principiilor bunei gestiuni financiare.</w:t>
      </w:r>
    </w:p>
    <w:p w14:paraId="08A354A1" w14:textId="77777777" w:rsidR="00C45D59" w:rsidRDefault="009B0962">
      <w:pPr>
        <w:pStyle w:val="P68B1DB1-Normal17"/>
        <w:numPr>
          <w:ilvl w:val="6"/>
          <w:numId w:val="0"/>
        </w:numPr>
        <w:spacing w:before="120" w:after="120" w:line="240" w:lineRule="auto"/>
        <w:jc w:val="both"/>
        <w:rPr>
          <w:rFonts w:cs="Times New Roman"/>
          <w:noProof/>
        </w:rPr>
      </w:pPr>
      <w:r>
        <w:rPr>
          <w:noProof/>
        </w:rPr>
        <w:t>Măsuri pentru asigurarea accesului deplin al Comisiei la datele subiacente</w:t>
      </w:r>
    </w:p>
    <w:p w14:paraId="7CF24C46" w14:textId="77777777" w:rsidR="00C45D59" w:rsidRDefault="009B0962">
      <w:pPr>
        <w:pStyle w:val="P68B1DB1-Normal5"/>
        <w:spacing w:before="120" w:after="120" w:line="240" w:lineRule="auto"/>
        <w:jc w:val="both"/>
        <w:rPr>
          <w:rFonts w:cs="Times New Roman"/>
          <w:noProof/>
        </w:rPr>
      </w:pPr>
      <w:r>
        <w:rPr>
          <w:noProof/>
        </w:rPr>
        <w:t>Pentru a oferi Comisiei acces deplin la datele subiacente relevante, Grecia trebuie să dispună de următoarele măsuri:</w:t>
      </w:r>
    </w:p>
    <w:p w14:paraId="76650493" w14:textId="77777777" w:rsidR="00C45D59" w:rsidRDefault="009B0962">
      <w:pPr>
        <w:pStyle w:val="P68B1DB1-Normal5"/>
        <w:spacing w:before="120" w:after="120" w:line="240" w:lineRule="auto"/>
        <w:jc w:val="both"/>
        <w:rPr>
          <w:rFonts w:cs="Times New Roman"/>
          <w:noProof/>
        </w:rPr>
      </w:pPr>
      <w:r>
        <w:rPr>
          <w:noProof/>
        </w:rPr>
        <w:t>Agenția de coordonare a Mecanismului de redresare și reziliență, în calitate de organism central de coordonare pentru planul de redresare și reziliență al Greciei și pentru punerea în aplicare a acestuia, este responsabilă de coordonarea și monitorizarea generală a planului. În special, acesta acționează ca organism de coordonare pentru monitorizarea progreselor înregistrate în ceea ce privește jaloanele și țintele, pentru monitorizarea și, după caz, punerea în aplicare a activităților de control și audit, precum și pentru furnizarea de rapoarte și cereri de plată. Acesta coordonează raportarea jaloanelor și a țintelor, a indicatorilor relevanți, dar și a informațiilor financiare calitative și a altor date, cum ar fi cele privind destinatarii finali. Codificarea datelor are loc în toate organismele de punere în aplicare, care sunt obligate să raporteze datele solicitate Agenției de coordonare a Mecanismului de redresare și reziliență prin intermediul sistemului informatic de gestionare.</w:t>
      </w:r>
    </w:p>
    <w:p w14:paraId="1C6D7204" w14:textId="77777777" w:rsidR="00C45D59" w:rsidRDefault="009B0962">
      <w:pPr>
        <w:pStyle w:val="P68B1DB1-Normal5"/>
        <w:spacing w:before="120" w:after="120" w:line="240" w:lineRule="auto"/>
        <w:jc w:val="both"/>
        <w:rPr>
          <w:rFonts w:cs="Times New Roman"/>
          <w:noProof/>
        </w:rPr>
      </w:pPr>
      <w:r>
        <w:rPr>
          <w:noProof/>
        </w:rPr>
        <w:t xml:space="preserve">În conformitate cu articolul 24 alineatul (2) din Regulamentul (UE) 2021/241, la îndeplinirea jaloanelor și a țintelor relevante convenite în secțiunea 2.1 din prezenta anexă, Grecia prezintă Comisiei o cerere justificată în mod corespunzător de plată a contribuției financiare și, după caz, a împrumutului. Grecia se asigură că, la cerere, Comisia are acces deplin la datele subiacente relevante care justifică în mod corespunzător cererea de plată, atât pentru evaluarea cererii de plată în conformitate cu articolul 24 alineatul (3) din Regulamentul (UE) 2021/241, cât și în scopuri de audit și control. </w:t>
      </w:r>
    </w:p>
    <w:p w14:paraId="2DBBCB9C" w14:textId="77777777" w:rsidR="00C45D59" w:rsidRDefault="00C45D59">
      <w:pPr>
        <w:rPr>
          <w:noProof/>
        </w:rPr>
      </w:pPr>
    </w:p>
    <w:p w14:paraId="187EF671" w14:textId="77777777" w:rsidR="00C45D59" w:rsidRDefault="00C45D59">
      <w:pPr>
        <w:rPr>
          <w:noProof/>
        </w:rPr>
      </w:pPr>
    </w:p>
    <w:sectPr w:rsidR="00C45D59">
      <w:headerReference w:type="even" r:id="rId456"/>
      <w:headerReference w:type="default" r:id="rId457"/>
      <w:footerReference w:type="even" r:id="rId458"/>
      <w:footerReference w:type="default" r:id="rId459"/>
      <w:headerReference w:type="first" r:id="rId460"/>
      <w:footerReference w:type="first" r:id="rId461"/>
      <w:pgSz w:w="11906" w:h="16838"/>
      <w:pgMar w:top="1134" w:right="1134" w:bottom="1134"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5CDD3A" w14:textId="77777777" w:rsidR="009B0962" w:rsidRDefault="009B0962">
      <w:r>
        <w:separator/>
      </w:r>
    </w:p>
  </w:endnote>
  <w:endnote w:type="continuationSeparator" w:id="0">
    <w:p w14:paraId="55B69620" w14:textId="77777777" w:rsidR="009B0962" w:rsidRDefault="009B09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altName w:val="Arial"/>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Myanmar Text">
    <w:panose1 w:val="020B0502040204020203"/>
    <w:charset w:val="00"/>
    <w:family w:val="swiss"/>
    <w:pitch w:val="variable"/>
    <w:sig w:usb0="80000003" w:usb1="00000000" w:usb2="00000400" w:usb3="00000000" w:csb0="00000001" w:csb1="00000000"/>
  </w:font>
  <w:font w:name="&quot;Times New Roman&quot;,serif">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New Roman">
    <w:altName w:val="Arial"/>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16747">
    <w:altName w:val="Times New Roman"/>
    <w:panose1 w:val="00000000000000000000"/>
    <w:charset w:val="00"/>
    <w:family w:val="roman"/>
    <w:notTrueType/>
    <w:pitch w:val="default"/>
  </w:font>
  <w:font w:name="card">
    <w:altName w:val="Times New Roman"/>
    <w:charset w:val="00"/>
    <w:family w:val="auto"/>
    <w:pitch w:val="default"/>
  </w:font>
  <w:font w:name="EC Square Sans Pro">
    <w:altName w:val="Segoe UI"/>
    <w:charset w:val="00"/>
    <w:family w:val="swiss"/>
    <w:pitch w:val="variable"/>
    <w:sig w:usb0="2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9A6D0D" w14:textId="0FB730A5" w:rsidR="00113552" w:rsidRPr="00113552" w:rsidRDefault="00113552" w:rsidP="00113552">
    <w:pPr>
      <w:pStyle w:val="FooterCoverPage"/>
      <w:rPr>
        <w:rFonts w:ascii="Arial" w:hAnsi="Arial" w:cs="Arial"/>
        <w:b/>
        <w:sz w:val="48"/>
      </w:rPr>
    </w:pPr>
    <w:r w:rsidRPr="00113552">
      <w:rPr>
        <w:rFonts w:ascii="Arial" w:hAnsi="Arial" w:cs="Arial"/>
        <w:b/>
        <w:sz w:val="48"/>
      </w:rPr>
      <w:t>RO</w:t>
    </w:r>
    <w:r w:rsidRPr="00113552">
      <w:rPr>
        <w:rFonts w:ascii="Arial" w:hAnsi="Arial" w:cs="Arial"/>
        <w:b/>
        <w:sz w:val="48"/>
      </w:rPr>
      <w:tab/>
    </w:r>
    <w:r w:rsidRPr="00113552">
      <w:rPr>
        <w:rFonts w:ascii="Arial" w:hAnsi="Arial" w:cs="Arial"/>
        <w:b/>
        <w:sz w:val="48"/>
      </w:rPr>
      <w:tab/>
    </w:r>
    <w:r w:rsidRPr="00113552">
      <w:tab/>
    </w:r>
    <w:r w:rsidRPr="00113552">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57CD6B" w14:textId="7A4C8465" w:rsidR="00113552" w:rsidRPr="00113552" w:rsidRDefault="00113552" w:rsidP="00113552">
    <w:pPr>
      <w:pStyle w:val="FooterCoverPage"/>
      <w:rPr>
        <w:rFonts w:ascii="Arial" w:hAnsi="Arial" w:cs="Arial"/>
        <w:b/>
        <w:sz w:val="48"/>
      </w:rPr>
    </w:pPr>
    <w:r w:rsidRPr="00113552">
      <w:rPr>
        <w:rFonts w:ascii="Arial" w:hAnsi="Arial" w:cs="Arial"/>
        <w:b/>
        <w:sz w:val="48"/>
      </w:rPr>
      <w:t>RO</w:t>
    </w:r>
    <w:r w:rsidRPr="00113552">
      <w:rPr>
        <w:rFonts w:ascii="Arial" w:hAnsi="Arial" w:cs="Arial"/>
        <w:b/>
        <w:sz w:val="48"/>
      </w:rPr>
      <w:tab/>
    </w:r>
    <w:r w:rsidRPr="00113552">
      <w:rPr>
        <w:rFonts w:ascii="Arial" w:hAnsi="Arial" w:cs="Arial"/>
        <w:b/>
        <w:sz w:val="48"/>
      </w:rPr>
      <w:tab/>
    </w:r>
    <w:r w:rsidRPr="00113552">
      <w:tab/>
    </w:r>
    <w:r w:rsidRPr="00113552">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5D1265" w14:textId="77777777" w:rsidR="00113552" w:rsidRPr="00113552" w:rsidRDefault="00113552" w:rsidP="00113552">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A81A1F" w14:textId="77777777" w:rsidR="00C45D59" w:rsidRDefault="00C45D5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58297074"/>
      <w:docPartObj>
        <w:docPartGallery w:val="Page Numbers (Bottom of Page)"/>
        <w:docPartUnique/>
      </w:docPartObj>
    </w:sdtPr>
    <w:sdtEndPr/>
    <w:sdtContent>
      <w:p w14:paraId="2D055BA0" w14:textId="52A75353" w:rsidR="00C45D59" w:rsidRDefault="009B0962">
        <w:pPr>
          <w:pStyle w:val="Footer"/>
          <w:jc w:val="center"/>
        </w:pPr>
        <w:r>
          <w:fldChar w:fldCharType="begin"/>
        </w:r>
        <w:r>
          <w:instrText xml:space="preserve"> PAGE   \* MERGEFORMAT </w:instrText>
        </w:r>
        <w:r>
          <w:fldChar w:fldCharType="separate"/>
        </w:r>
        <w:r w:rsidR="00113552">
          <w:rPr>
            <w:noProof/>
          </w:rPr>
          <w:t>4</w:t>
        </w:r>
        <w:r>
          <w:fldChar w:fldCharType="end"/>
        </w:r>
      </w:p>
    </w:sdtContent>
  </w:sdt>
  <w:p w14:paraId="4198C1D9" w14:textId="77777777" w:rsidR="00C45D59" w:rsidRDefault="00C45D59">
    <w:pPr>
      <w:pStyle w:val="FooterCouncil"/>
      <w:tabs>
        <w:tab w:val="left" w:pos="3330"/>
      </w:tabs>
      <w:rPr>
        <w:sz w:val="24"/>
        <w:szCs w:val="24"/>
      </w:rP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5F51F5" w14:textId="77777777" w:rsidR="00C45D59" w:rsidRDefault="00C45D59">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DC20D9" w14:textId="77777777" w:rsidR="00C45D59" w:rsidRDefault="00C45D5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67134720"/>
      <w:docPartObj>
        <w:docPartGallery w:val="Page Numbers (Bottom of Page)"/>
        <w:docPartUnique/>
      </w:docPartObj>
    </w:sdtPr>
    <w:sdtEndPr/>
    <w:sdtContent>
      <w:p w14:paraId="680FD466" w14:textId="426B5799" w:rsidR="00C45D59" w:rsidRDefault="009B0962">
        <w:pPr>
          <w:pStyle w:val="Footer"/>
          <w:jc w:val="center"/>
        </w:pPr>
        <w:r>
          <w:fldChar w:fldCharType="begin"/>
        </w:r>
        <w:r>
          <w:instrText xml:space="preserve"> PAGE   \* MERGEFORMAT </w:instrText>
        </w:r>
        <w:r>
          <w:fldChar w:fldCharType="separate"/>
        </w:r>
        <w:r w:rsidR="00113552">
          <w:rPr>
            <w:noProof/>
          </w:rPr>
          <w:t>5</w:t>
        </w:r>
        <w:r>
          <w:fldChar w:fldCharType="end"/>
        </w:r>
      </w:p>
    </w:sdtContent>
  </w:sdt>
  <w:p w14:paraId="51669D3C" w14:textId="77777777" w:rsidR="00C45D59" w:rsidRDefault="00C45D59">
    <w:pPr>
      <w:pStyle w:val="FooterCouncil"/>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5C8BF3" w14:textId="77777777" w:rsidR="00C45D59" w:rsidRDefault="00C45D59">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387773" w14:textId="77777777" w:rsidR="00C45D59" w:rsidRDefault="00C45D59">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66367563"/>
      <w:docPartObj>
        <w:docPartGallery w:val="Page Numbers (Bottom of Page)"/>
        <w:docPartUnique/>
      </w:docPartObj>
    </w:sdtPr>
    <w:sdtEndPr/>
    <w:sdtContent>
      <w:p w14:paraId="735838A2" w14:textId="58A486D6" w:rsidR="00C45D59" w:rsidRDefault="009B0962">
        <w:pPr>
          <w:pStyle w:val="Footer"/>
          <w:jc w:val="center"/>
        </w:pPr>
        <w:r>
          <w:fldChar w:fldCharType="begin"/>
        </w:r>
        <w:r>
          <w:instrText xml:space="preserve"> PAGE   \* MERGEFORMAT </w:instrText>
        </w:r>
        <w:r>
          <w:fldChar w:fldCharType="separate"/>
        </w:r>
        <w:r w:rsidR="00113552">
          <w:rPr>
            <w:noProof/>
          </w:rPr>
          <w:t>7</w:t>
        </w:r>
        <w:r>
          <w:fldChar w:fldCharType="end"/>
        </w:r>
      </w:p>
    </w:sdtContent>
  </w:sdt>
  <w:p w14:paraId="54BC1ED6" w14:textId="77777777" w:rsidR="00C45D59" w:rsidRDefault="00C45D59">
    <w:pPr>
      <w:pStyle w:val="FooterCouncil"/>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275EFA" w14:textId="77777777" w:rsidR="00C45D59" w:rsidRDefault="00C45D59">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CB816D" w14:textId="77777777" w:rsidR="00C45D59" w:rsidRDefault="00C45D59">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36447403"/>
      <w:docPartObj>
        <w:docPartGallery w:val="Page Numbers (Bottom of Page)"/>
        <w:docPartUnique/>
      </w:docPartObj>
    </w:sdtPr>
    <w:sdtEndPr/>
    <w:sdtContent>
      <w:p w14:paraId="5CDEAEFD" w14:textId="34F48B93" w:rsidR="00C45D59" w:rsidRDefault="009B0962">
        <w:pPr>
          <w:pStyle w:val="Footer"/>
          <w:jc w:val="center"/>
        </w:pPr>
        <w:r>
          <w:fldChar w:fldCharType="begin"/>
        </w:r>
        <w:r>
          <w:instrText xml:space="preserve"> PAGE   \* MERGEFORMAT </w:instrText>
        </w:r>
        <w:r>
          <w:fldChar w:fldCharType="separate"/>
        </w:r>
        <w:r w:rsidR="00406741">
          <w:rPr>
            <w:noProof/>
          </w:rPr>
          <w:t>14</w:t>
        </w:r>
        <w:r>
          <w:fldChar w:fldCharType="end"/>
        </w:r>
      </w:p>
    </w:sdtContent>
  </w:sdt>
  <w:p w14:paraId="1D78F809" w14:textId="77777777" w:rsidR="00C45D59" w:rsidRDefault="00C45D59">
    <w:pPr>
      <w:pStyle w:val="FooterCouncil"/>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6857EC" w14:textId="77777777" w:rsidR="00C45D59" w:rsidRDefault="00C45D59">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B88953" w14:textId="77777777" w:rsidR="00C45D59" w:rsidRDefault="00C45D59">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12501962"/>
      <w:docPartObj>
        <w:docPartGallery w:val="Page Numbers (Bottom of Page)"/>
        <w:docPartUnique/>
      </w:docPartObj>
    </w:sdtPr>
    <w:sdtEndPr/>
    <w:sdtContent>
      <w:p w14:paraId="64CE5A76" w14:textId="2A271939" w:rsidR="00C45D59" w:rsidRDefault="009B0962">
        <w:pPr>
          <w:pStyle w:val="Footer"/>
          <w:jc w:val="center"/>
        </w:pPr>
        <w:r>
          <w:fldChar w:fldCharType="begin"/>
        </w:r>
        <w:r>
          <w:instrText xml:space="preserve"> PAGE   \* MERGEFORMAT </w:instrText>
        </w:r>
        <w:r>
          <w:fldChar w:fldCharType="separate"/>
        </w:r>
        <w:r>
          <w:t>2</w:t>
        </w:r>
        <w:r>
          <w:fldChar w:fldCharType="end"/>
        </w:r>
      </w:p>
    </w:sdtContent>
  </w:sdt>
  <w:p w14:paraId="7A136D01" w14:textId="77777777" w:rsidR="00C45D59" w:rsidRDefault="00C45D59">
    <w:pPr>
      <w:pStyle w:val="FooterCouncil"/>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308A9C" w14:textId="77777777" w:rsidR="00C45D59" w:rsidRDefault="00C45D59">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11ECD5" w14:textId="77777777" w:rsidR="00C45D59" w:rsidRDefault="00C45D59">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2322067"/>
      <w:docPartObj>
        <w:docPartGallery w:val="Page Numbers (Bottom of Page)"/>
        <w:docPartUnique/>
      </w:docPartObj>
    </w:sdtPr>
    <w:sdtEndPr/>
    <w:sdtContent>
      <w:p w14:paraId="3C3ABAB7" w14:textId="10BED6AA" w:rsidR="00C45D59" w:rsidRDefault="009B0962">
        <w:pPr>
          <w:pStyle w:val="Footer"/>
          <w:jc w:val="center"/>
        </w:pPr>
        <w:r>
          <w:fldChar w:fldCharType="begin"/>
        </w:r>
        <w:r>
          <w:instrText xml:space="preserve"> PAGE   \* MERGEFORMAT </w:instrText>
        </w:r>
        <w:r>
          <w:fldChar w:fldCharType="separate"/>
        </w:r>
        <w:r>
          <w:t>2</w:t>
        </w:r>
        <w:r>
          <w:fldChar w:fldCharType="end"/>
        </w:r>
      </w:p>
    </w:sdtContent>
  </w:sdt>
  <w:p w14:paraId="7A8B4E5A" w14:textId="77777777" w:rsidR="00C45D59" w:rsidRDefault="00C45D59">
    <w:pPr>
      <w:pStyle w:val="FooterCouncil"/>
    </w:pP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79DBA1" w14:textId="77777777" w:rsidR="00C45D59" w:rsidRDefault="00C45D59">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FD0A69" w14:textId="77777777" w:rsidR="00C45D59" w:rsidRDefault="00C45D59">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80397501"/>
      <w:docPartObj>
        <w:docPartGallery w:val="Page Numbers (Bottom of Page)"/>
        <w:docPartUnique/>
      </w:docPartObj>
    </w:sdtPr>
    <w:sdtEndPr/>
    <w:sdtContent>
      <w:p w14:paraId="04572603" w14:textId="4C398CD5" w:rsidR="00C45D59" w:rsidRDefault="009B0962">
        <w:pPr>
          <w:pStyle w:val="Footer"/>
          <w:jc w:val="center"/>
        </w:pPr>
        <w:r>
          <w:fldChar w:fldCharType="begin"/>
        </w:r>
        <w:r>
          <w:instrText xml:space="preserve"> PAGE   \* MERGEFORMAT </w:instrText>
        </w:r>
        <w:r>
          <w:fldChar w:fldCharType="separate"/>
        </w:r>
        <w:r>
          <w:t>2</w:t>
        </w:r>
        <w:r>
          <w:fldChar w:fldCharType="end"/>
        </w:r>
      </w:p>
    </w:sdtContent>
  </w:sdt>
  <w:p w14:paraId="26182EA2" w14:textId="77777777" w:rsidR="00C45D59" w:rsidRDefault="00C45D59">
    <w:pPr>
      <w:pStyle w:val="FooterCouncil"/>
    </w:pP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38C89D" w14:textId="77777777" w:rsidR="00C45D59" w:rsidRDefault="00C45D59">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82C915" w14:textId="77777777" w:rsidR="00C45D59" w:rsidRDefault="00C45D59">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48005923"/>
      <w:docPartObj>
        <w:docPartGallery w:val="Page Numbers (Bottom of Page)"/>
        <w:docPartUnique/>
      </w:docPartObj>
    </w:sdtPr>
    <w:sdtEndPr/>
    <w:sdtContent>
      <w:p w14:paraId="1FE7D94F" w14:textId="027387EB" w:rsidR="00C45D59" w:rsidRDefault="009B0962">
        <w:pPr>
          <w:pStyle w:val="Footer"/>
          <w:jc w:val="center"/>
        </w:pPr>
        <w:r>
          <w:fldChar w:fldCharType="begin"/>
        </w:r>
        <w:r>
          <w:instrText xml:space="preserve"> PAGE   \* MERGEFORMAT </w:instrText>
        </w:r>
        <w:r>
          <w:fldChar w:fldCharType="separate"/>
        </w:r>
        <w:r>
          <w:t>2</w:t>
        </w:r>
        <w:r>
          <w:fldChar w:fldCharType="end"/>
        </w:r>
      </w:p>
    </w:sdtContent>
  </w:sdt>
  <w:p w14:paraId="50F07804" w14:textId="77777777" w:rsidR="00C45D59" w:rsidRDefault="00C45D59">
    <w:pPr>
      <w:pStyle w:val="FooterCouncil"/>
    </w:pPr>
  </w:p>
</w:ftr>
</file>

<file path=word/footer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9EE7C5" w14:textId="77777777" w:rsidR="00C45D59" w:rsidRDefault="00C45D59">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7DAAAF" w14:textId="77777777" w:rsidR="00C45D59" w:rsidRDefault="00C45D59">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71527620"/>
      <w:docPartObj>
        <w:docPartGallery w:val="Page Numbers (Bottom of Page)"/>
        <w:docPartUnique/>
      </w:docPartObj>
    </w:sdtPr>
    <w:sdtEndPr/>
    <w:sdtContent>
      <w:p w14:paraId="02F58332" w14:textId="188C3D82" w:rsidR="00C45D59" w:rsidRDefault="009B0962">
        <w:pPr>
          <w:pStyle w:val="Footer"/>
          <w:jc w:val="center"/>
        </w:pPr>
        <w:r>
          <w:fldChar w:fldCharType="begin"/>
        </w:r>
        <w:r>
          <w:instrText xml:space="preserve"> PAGE   \* MERGEFORMAT </w:instrText>
        </w:r>
        <w:r>
          <w:fldChar w:fldCharType="separate"/>
        </w:r>
        <w:r>
          <w:t>2</w:t>
        </w:r>
        <w:r>
          <w:fldChar w:fldCharType="end"/>
        </w:r>
      </w:p>
    </w:sdtContent>
  </w:sdt>
  <w:p w14:paraId="25679BD5" w14:textId="77777777" w:rsidR="00C45D59" w:rsidRDefault="00C45D59">
    <w:pPr>
      <w:pStyle w:val="FooterCouncil"/>
    </w:pPr>
  </w:p>
</w:ftr>
</file>

<file path=word/footer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B03009" w14:textId="77777777" w:rsidR="00C45D59" w:rsidRDefault="00C45D59">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7E54FF" w14:textId="77777777" w:rsidR="00C45D59" w:rsidRDefault="00C45D59">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30641025"/>
      <w:docPartObj>
        <w:docPartGallery w:val="Page Numbers (Bottom of Page)"/>
        <w:docPartUnique/>
      </w:docPartObj>
    </w:sdtPr>
    <w:sdtEndPr/>
    <w:sdtContent>
      <w:p w14:paraId="0D9DB954" w14:textId="02EA439B" w:rsidR="00C45D59" w:rsidRDefault="009B0962">
        <w:pPr>
          <w:pStyle w:val="Footer"/>
          <w:jc w:val="center"/>
        </w:pPr>
        <w:r>
          <w:fldChar w:fldCharType="begin"/>
        </w:r>
        <w:r>
          <w:instrText xml:space="preserve"> PAGE   \* MERGEFORMAT </w:instrText>
        </w:r>
        <w:r>
          <w:fldChar w:fldCharType="separate"/>
        </w:r>
        <w:r>
          <w:t>2</w:t>
        </w:r>
        <w:r>
          <w:fldChar w:fldCharType="end"/>
        </w:r>
      </w:p>
    </w:sdtContent>
  </w:sdt>
  <w:p w14:paraId="11E24AFD" w14:textId="77777777" w:rsidR="00C45D59" w:rsidRDefault="00C45D59">
    <w:pPr>
      <w:pStyle w:val="FooterCouncil"/>
    </w:pPr>
  </w:p>
</w:ftr>
</file>

<file path=word/footer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99B9EA" w14:textId="77777777" w:rsidR="00C45D59" w:rsidRDefault="00C45D59">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389D76" w14:textId="77777777" w:rsidR="00C45D59" w:rsidRDefault="00C45D59">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51734456"/>
      <w:docPartObj>
        <w:docPartGallery w:val="Page Numbers (Bottom of Page)"/>
        <w:docPartUnique/>
      </w:docPartObj>
    </w:sdtPr>
    <w:sdtEndPr/>
    <w:sdtContent>
      <w:p w14:paraId="6ADB3366" w14:textId="2B84C3CD" w:rsidR="00C45D59" w:rsidRDefault="009B0962">
        <w:pPr>
          <w:pStyle w:val="Footer"/>
          <w:jc w:val="center"/>
        </w:pPr>
        <w:r>
          <w:fldChar w:fldCharType="begin"/>
        </w:r>
        <w:r>
          <w:instrText xml:space="preserve"> PAGE   \* MERGEFORMAT </w:instrText>
        </w:r>
        <w:r>
          <w:fldChar w:fldCharType="separate"/>
        </w:r>
        <w:r>
          <w:t>2</w:t>
        </w:r>
        <w:r>
          <w:fldChar w:fldCharType="end"/>
        </w:r>
      </w:p>
    </w:sdtContent>
  </w:sdt>
  <w:p w14:paraId="0BBE6EE2" w14:textId="77777777" w:rsidR="00C45D59" w:rsidRDefault="00C45D59">
    <w:pPr>
      <w:pStyle w:val="FooterCouncil"/>
    </w:pPr>
  </w:p>
</w:ftr>
</file>

<file path=word/footer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D466C7" w14:textId="77777777" w:rsidR="00C45D59" w:rsidRDefault="00C45D59">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5A6048" w14:textId="77777777" w:rsidR="00C45D59" w:rsidRDefault="00C45D59">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89007064"/>
      <w:docPartObj>
        <w:docPartGallery w:val="Page Numbers (Bottom of Page)"/>
        <w:docPartUnique/>
      </w:docPartObj>
    </w:sdtPr>
    <w:sdtEndPr/>
    <w:sdtContent>
      <w:p w14:paraId="51A94CCB" w14:textId="57D64EF7" w:rsidR="00C45D59" w:rsidRDefault="009B0962">
        <w:pPr>
          <w:pStyle w:val="Footer"/>
          <w:jc w:val="center"/>
        </w:pPr>
        <w:r>
          <w:fldChar w:fldCharType="begin"/>
        </w:r>
        <w:r>
          <w:instrText xml:space="preserve"> PAGE   \* MERGEFORMAT </w:instrText>
        </w:r>
        <w:r>
          <w:fldChar w:fldCharType="separate"/>
        </w:r>
        <w:r>
          <w:t>2</w:t>
        </w:r>
        <w:r>
          <w:fldChar w:fldCharType="end"/>
        </w:r>
      </w:p>
    </w:sdtContent>
  </w:sdt>
  <w:p w14:paraId="352B89D8" w14:textId="77777777" w:rsidR="00C45D59" w:rsidRDefault="00C45D59">
    <w:pPr>
      <w:pStyle w:val="FooterCouncil"/>
    </w:pPr>
  </w:p>
</w:ftr>
</file>

<file path=word/footer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6E15E7" w14:textId="77777777" w:rsidR="00C45D59" w:rsidRDefault="00C45D59">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C2EF1E" w14:textId="77777777" w:rsidR="00C45D59" w:rsidRDefault="00C45D59">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79853508"/>
      <w:docPartObj>
        <w:docPartGallery w:val="Page Numbers (Bottom of Page)"/>
        <w:docPartUnique/>
      </w:docPartObj>
    </w:sdtPr>
    <w:sdtEndPr/>
    <w:sdtContent>
      <w:p w14:paraId="0074E392" w14:textId="7AC3E375" w:rsidR="00C45D59" w:rsidRDefault="009B0962">
        <w:pPr>
          <w:pStyle w:val="Footer"/>
          <w:jc w:val="center"/>
        </w:pPr>
        <w:r>
          <w:fldChar w:fldCharType="begin"/>
        </w:r>
        <w:r>
          <w:instrText xml:space="preserve"> PAGE   \* MERGEFORMAT </w:instrText>
        </w:r>
        <w:r>
          <w:fldChar w:fldCharType="separate"/>
        </w:r>
        <w:r>
          <w:t>2</w:t>
        </w:r>
        <w:r>
          <w:fldChar w:fldCharType="end"/>
        </w:r>
      </w:p>
    </w:sdtContent>
  </w:sdt>
  <w:p w14:paraId="25910CAF" w14:textId="77777777" w:rsidR="00C45D59" w:rsidRDefault="00C45D59">
    <w:pPr>
      <w:pStyle w:val="FooterCouncil"/>
    </w:pPr>
  </w:p>
</w:ftr>
</file>

<file path=word/footer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E71B53" w14:textId="77777777" w:rsidR="00C45D59" w:rsidRDefault="00C45D59">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8B494F" w14:textId="77777777" w:rsidR="00C45D59" w:rsidRDefault="00C45D59">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75418590"/>
      <w:docPartObj>
        <w:docPartGallery w:val="Page Numbers (Bottom of Page)"/>
        <w:docPartUnique/>
      </w:docPartObj>
    </w:sdtPr>
    <w:sdtEndPr/>
    <w:sdtContent>
      <w:p w14:paraId="72262868" w14:textId="048427D3" w:rsidR="00C45D59" w:rsidRDefault="009B0962">
        <w:pPr>
          <w:pStyle w:val="Footer"/>
          <w:jc w:val="center"/>
        </w:pPr>
        <w:r>
          <w:fldChar w:fldCharType="begin"/>
        </w:r>
        <w:r>
          <w:instrText xml:space="preserve"> PAGE   \* MERGEFORMAT </w:instrText>
        </w:r>
        <w:r>
          <w:fldChar w:fldCharType="separate"/>
        </w:r>
        <w:r>
          <w:t>2</w:t>
        </w:r>
        <w:r>
          <w:fldChar w:fldCharType="end"/>
        </w:r>
      </w:p>
    </w:sdtContent>
  </w:sdt>
  <w:p w14:paraId="0305F531" w14:textId="77777777" w:rsidR="00C45D59" w:rsidRDefault="00C45D59">
    <w:pPr>
      <w:pStyle w:val="FooterCouncil"/>
    </w:pPr>
  </w:p>
</w:ftr>
</file>

<file path=word/footer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260D15" w14:textId="77777777" w:rsidR="00C45D59" w:rsidRDefault="00C45D59">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51BB9A" w14:textId="77777777" w:rsidR="00C45D59" w:rsidRDefault="00C45D59">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3631307"/>
      <w:docPartObj>
        <w:docPartGallery w:val="Page Numbers (Bottom of Page)"/>
        <w:docPartUnique/>
      </w:docPartObj>
    </w:sdtPr>
    <w:sdtEndPr/>
    <w:sdtContent>
      <w:p w14:paraId="226FFA3A" w14:textId="5F3B25A5" w:rsidR="00C45D59" w:rsidRDefault="009B0962">
        <w:pPr>
          <w:pStyle w:val="Footer"/>
          <w:jc w:val="center"/>
        </w:pPr>
        <w:r>
          <w:fldChar w:fldCharType="begin"/>
        </w:r>
        <w:r>
          <w:instrText xml:space="preserve"> PAGE   \* MERGEFORMAT </w:instrText>
        </w:r>
        <w:r>
          <w:fldChar w:fldCharType="separate"/>
        </w:r>
        <w:r>
          <w:t>2</w:t>
        </w:r>
        <w:r>
          <w:fldChar w:fldCharType="end"/>
        </w:r>
      </w:p>
    </w:sdtContent>
  </w:sdt>
  <w:p w14:paraId="625323CB" w14:textId="77777777" w:rsidR="00C45D59" w:rsidRDefault="00C45D59">
    <w:pPr>
      <w:pStyle w:val="FooterCouncil"/>
    </w:pPr>
  </w:p>
</w:ftr>
</file>

<file path=word/footer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74A7FE" w14:textId="77777777" w:rsidR="00C45D59" w:rsidRDefault="00C45D59">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5B3073" w14:textId="77777777" w:rsidR="00C45D59" w:rsidRDefault="00C45D59">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41863880"/>
      <w:docPartObj>
        <w:docPartGallery w:val="Page Numbers (Bottom of Page)"/>
        <w:docPartUnique/>
      </w:docPartObj>
    </w:sdtPr>
    <w:sdtEndPr/>
    <w:sdtContent>
      <w:p w14:paraId="246CA240" w14:textId="02735EE9" w:rsidR="00C45D59" w:rsidRDefault="009B0962">
        <w:pPr>
          <w:pStyle w:val="Footer"/>
          <w:jc w:val="center"/>
        </w:pPr>
        <w:r>
          <w:fldChar w:fldCharType="begin"/>
        </w:r>
        <w:r>
          <w:instrText xml:space="preserve"> PAGE   \* MERGEFORMAT </w:instrText>
        </w:r>
        <w:r>
          <w:fldChar w:fldCharType="separate"/>
        </w:r>
        <w:r>
          <w:t>2</w:t>
        </w:r>
        <w:r>
          <w:fldChar w:fldCharType="end"/>
        </w:r>
      </w:p>
    </w:sdtContent>
  </w:sdt>
  <w:p w14:paraId="19BDDA92" w14:textId="77777777" w:rsidR="00C45D59" w:rsidRDefault="00C45D59">
    <w:pPr>
      <w:pStyle w:val="FooterCouncil"/>
    </w:pPr>
  </w:p>
</w:ftr>
</file>

<file path=word/footer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2202E0" w14:textId="77777777" w:rsidR="00C45D59" w:rsidRDefault="00C45D59">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F7C624" w14:textId="77777777" w:rsidR="00C45D59" w:rsidRDefault="00C45D59">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36966269"/>
      <w:docPartObj>
        <w:docPartGallery w:val="Page Numbers (Bottom of Page)"/>
        <w:docPartUnique/>
      </w:docPartObj>
    </w:sdtPr>
    <w:sdtEndPr/>
    <w:sdtContent>
      <w:p w14:paraId="13500FF7" w14:textId="7A9CE4BB" w:rsidR="00C45D59" w:rsidRDefault="009B0962">
        <w:pPr>
          <w:pStyle w:val="Footer"/>
          <w:jc w:val="center"/>
        </w:pPr>
        <w:r>
          <w:fldChar w:fldCharType="begin"/>
        </w:r>
        <w:r>
          <w:instrText xml:space="preserve"> PAGE   \* MERGEFORMAT </w:instrText>
        </w:r>
        <w:r>
          <w:fldChar w:fldCharType="separate"/>
        </w:r>
        <w:r>
          <w:t>2</w:t>
        </w:r>
        <w:r>
          <w:fldChar w:fldCharType="end"/>
        </w:r>
      </w:p>
    </w:sdtContent>
  </w:sdt>
  <w:p w14:paraId="0CC0994C" w14:textId="77777777" w:rsidR="00C45D59" w:rsidRDefault="00C45D59">
    <w:pPr>
      <w:pStyle w:val="FooterCouncil"/>
    </w:pPr>
  </w:p>
</w:ftr>
</file>

<file path=word/footer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2C9480" w14:textId="77777777" w:rsidR="00C45D59" w:rsidRDefault="00C45D59">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229353" w14:textId="77777777" w:rsidR="00C45D59" w:rsidRDefault="00C45D59">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42384964"/>
      <w:docPartObj>
        <w:docPartGallery w:val="Page Numbers (Bottom of Page)"/>
        <w:docPartUnique/>
      </w:docPartObj>
    </w:sdtPr>
    <w:sdtEndPr/>
    <w:sdtContent>
      <w:p w14:paraId="3E3C9995" w14:textId="105F3EA3" w:rsidR="00C45D59" w:rsidRDefault="009B0962">
        <w:pPr>
          <w:pStyle w:val="Footer"/>
          <w:jc w:val="center"/>
        </w:pPr>
        <w:r>
          <w:fldChar w:fldCharType="begin"/>
        </w:r>
        <w:r>
          <w:instrText xml:space="preserve"> PAGE   \* MERGEFORMAT </w:instrText>
        </w:r>
        <w:r>
          <w:fldChar w:fldCharType="separate"/>
        </w:r>
        <w:r>
          <w:t>2</w:t>
        </w:r>
        <w:r>
          <w:fldChar w:fldCharType="end"/>
        </w:r>
      </w:p>
    </w:sdtContent>
  </w:sdt>
  <w:p w14:paraId="41FE4650" w14:textId="77777777" w:rsidR="00C45D59" w:rsidRDefault="00C45D59">
    <w:pPr>
      <w:pStyle w:val="FooterCouncil"/>
    </w:pPr>
  </w:p>
</w:ftr>
</file>

<file path=word/footer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ABDF85" w14:textId="77777777" w:rsidR="00C45D59" w:rsidRDefault="00C45D59">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453C88" w14:textId="77777777" w:rsidR="00C45D59" w:rsidRDefault="00C45D59">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40315493"/>
      <w:docPartObj>
        <w:docPartGallery w:val="Page Numbers (Bottom of Page)"/>
        <w:docPartUnique/>
      </w:docPartObj>
    </w:sdtPr>
    <w:sdtEndPr/>
    <w:sdtContent>
      <w:p w14:paraId="38AB52B8" w14:textId="74B65CDD" w:rsidR="00C45D59" w:rsidRDefault="009B0962">
        <w:pPr>
          <w:pStyle w:val="Footer"/>
          <w:jc w:val="center"/>
        </w:pPr>
        <w:r>
          <w:fldChar w:fldCharType="begin"/>
        </w:r>
        <w:r>
          <w:instrText xml:space="preserve"> PAGE   \* MERGEFORMAT </w:instrText>
        </w:r>
        <w:r>
          <w:fldChar w:fldCharType="separate"/>
        </w:r>
        <w:r>
          <w:t>2</w:t>
        </w:r>
        <w:r>
          <w:fldChar w:fldCharType="end"/>
        </w:r>
      </w:p>
    </w:sdtContent>
  </w:sdt>
  <w:p w14:paraId="4111610D" w14:textId="77777777" w:rsidR="00C45D59" w:rsidRDefault="00C45D59">
    <w:pPr>
      <w:pStyle w:val="FooterCouncil"/>
    </w:pPr>
  </w:p>
</w:ftr>
</file>

<file path=word/footer6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9F71DD" w14:textId="77777777" w:rsidR="00C45D59" w:rsidRDefault="00C45D59">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CF61E7" w14:textId="77777777" w:rsidR="00C45D59" w:rsidRDefault="00C45D59">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49366794"/>
      <w:docPartObj>
        <w:docPartGallery w:val="Page Numbers (Bottom of Page)"/>
        <w:docPartUnique/>
      </w:docPartObj>
    </w:sdtPr>
    <w:sdtEndPr/>
    <w:sdtContent>
      <w:p w14:paraId="179360FC" w14:textId="7F3C2F3A" w:rsidR="00C45D59" w:rsidRDefault="009B0962">
        <w:pPr>
          <w:pStyle w:val="Footer"/>
          <w:jc w:val="center"/>
        </w:pPr>
        <w:r>
          <w:fldChar w:fldCharType="begin"/>
        </w:r>
        <w:r>
          <w:instrText xml:space="preserve"> PAGE   \* MERGEFORMAT </w:instrText>
        </w:r>
        <w:r>
          <w:fldChar w:fldCharType="separate"/>
        </w:r>
        <w:r>
          <w:t>2</w:t>
        </w:r>
        <w:r>
          <w:fldChar w:fldCharType="end"/>
        </w:r>
      </w:p>
    </w:sdtContent>
  </w:sdt>
  <w:p w14:paraId="478A2168" w14:textId="77777777" w:rsidR="00C45D59" w:rsidRDefault="00C45D59">
    <w:pPr>
      <w:pStyle w:val="FooterCouncil"/>
    </w:pPr>
  </w:p>
</w:ftr>
</file>

<file path=word/footer6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C344FE" w14:textId="77777777" w:rsidR="00C45D59" w:rsidRDefault="00C45D59">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0C1603" w14:textId="77777777" w:rsidR="00C45D59" w:rsidRDefault="00C45D59">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41014227"/>
      <w:docPartObj>
        <w:docPartGallery w:val="Page Numbers (Bottom of Page)"/>
        <w:docPartUnique/>
      </w:docPartObj>
    </w:sdtPr>
    <w:sdtEndPr/>
    <w:sdtContent>
      <w:p w14:paraId="25D9D265" w14:textId="2472F9F1" w:rsidR="00C45D59" w:rsidRDefault="009B0962">
        <w:pPr>
          <w:pStyle w:val="Footer"/>
          <w:jc w:val="center"/>
        </w:pPr>
        <w:r>
          <w:fldChar w:fldCharType="begin"/>
        </w:r>
        <w:r>
          <w:instrText xml:space="preserve"> PAGE   \* MERGEFORMAT </w:instrText>
        </w:r>
        <w:r>
          <w:fldChar w:fldCharType="separate"/>
        </w:r>
        <w:r>
          <w:t>2</w:t>
        </w:r>
        <w:r>
          <w:fldChar w:fldCharType="end"/>
        </w:r>
      </w:p>
    </w:sdtContent>
  </w:sdt>
  <w:p w14:paraId="350A4624" w14:textId="77777777" w:rsidR="00C45D59" w:rsidRDefault="00C45D59">
    <w:pPr>
      <w:pStyle w:val="FooterCouncil"/>
    </w:pPr>
  </w:p>
</w:ftr>
</file>

<file path=word/footer6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312DA1" w14:textId="77777777" w:rsidR="00C45D59" w:rsidRDefault="00C45D59">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90D072" w14:textId="77777777" w:rsidR="00C45D59" w:rsidRDefault="00C45D59">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46369466"/>
      <w:docPartObj>
        <w:docPartGallery w:val="Page Numbers (Bottom of Page)"/>
        <w:docPartUnique/>
      </w:docPartObj>
    </w:sdtPr>
    <w:sdtEndPr/>
    <w:sdtContent>
      <w:p w14:paraId="6CFB84CF" w14:textId="3E8DCBD3" w:rsidR="00C45D59" w:rsidRDefault="009B0962">
        <w:pPr>
          <w:pStyle w:val="Footer"/>
          <w:jc w:val="center"/>
        </w:pPr>
        <w:r>
          <w:fldChar w:fldCharType="begin"/>
        </w:r>
        <w:r>
          <w:instrText xml:space="preserve"> PAGE   \* MERGEFORMAT </w:instrText>
        </w:r>
        <w:r>
          <w:fldChar w:fldCharType="separate"/>
        </w:r>
        <w:r>
          <w:t>2</w:t>
        </w:r>
        <w:r>
          <w:fldChar w:fldCharType="end"/>
        </w:r>
      </w:p>
    </w:sdtContent>
  </w:sdt>
  <w:p w14:paraId="56C2B0B8" w14:textId="77777777" w:rsidR="00C45D59" w:rsidRDefault="00C45D59">
    <w:pPr>
      <w:pStyle w:val="FooterCouncil"/>
    </w:pPr>
  </w:p>
</w:ftr>
</file>

<file path=word/footer6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E407E7" w14:textId="77777777" w:rsidR="00C45D59" w:rsidRDefault="00C45D59">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ACA7DA" w14:textId="77777777" w:rsidR="00C45D59" w:rsidRDefault="00C45D59">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42711512"/>
      <w:docPartObj>
        <w:docPartGallery w:val="Page Numbers (Bottom of Page)"/>
        <w:docPartUnique/>
      </w:docPartObj>
    </w:sdtPr>
    <w:sdtEndPr/>
    <w:sdtContent>
      <w:p w14:paraId="0799F76B" w14:textId="18259B75" w:rsidR="00C45D59" w:rsidRDefault="009B0962">
        <w:pPr>
          <w:pStyle w:val="Footer"/>
          <w:jc w:val="center"/>
        </w:pPr>
        <w:r>
          <w:fldChar w:fldCharType="begin"/>
        </w:r>
        <w:r>
          <w:instrText xml:space="preserve"> PAGE   \* MERGEFORMAT </w:instrText>
        </w:r>
        <w:r>
          <w:fldChar w:fldCharType="separate"/>
        </w:r>
        <w:r>
          <w:t>2</w:t>
        </w:r>
        <w:r>
          <w:fldChar w:fldCharType="end"/>
        </w:r>
      </w:p>
    </w:sdtContent>
  </w:sdt>
  <w:p w14:paraId="3DE8FC0D" w14:textId="77777777" w:rsidR="00C45D59" w:rsidRDefault="00C45D59">
    <w:pPr>
      <w:pStyle w:val="FooterCouncil"/>
    </w:pPr>
  </w:p>
</w:ftr>
</file>

<file path=word/footer7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8E0F56" w14:textId="77777777" w:rsidR="00C45D59" w:rsidRDefault="00C45D59">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4B7BF2" w14:textId="77777777" w:rsidR="00C45D59" w:rsidRDefault="00C45D59">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80234994"/>
      <w:docPartObj>
        <w:docPartGallery w:val="Page Numbers (Bottom of Page)"/>
        <w:docPartUnique/>
      </w:docPartObj>
    </w:sdtPr>
    <w:sdtEndPr/>
    <w:sdtContent>
      <w:p w14:paraId="5235068C" w14:textId="57D218EF" w:rsidR="00C45D59" w:rsidRDefault="009B0962">
        <w:pPr>
          <w:pStyle w:val="Footer"/>
          <w:jc w:val="center"/>
        </w:pPr>
        <w:r>
          <w:fldChar w:fldCharType="begin"/>
        </w:r>
        <w:r>
          <w:instrText xml:space="preserve"> PAGE   \* MERGEFORMAT </w:instrText>
        </w:r>
        <w:r>
          <w:fldChar w:fldCharType="separate"/>
        </w:r>
        <w:r>
          <w:t>2</w:t>
        </w:r>
        <w:r>
          <w:fldChar w:fldCharType="end"/>
        </w:r>
      </w:p>
    </w:sdtContent>
  </w:sdt>
  <w:p w14:paraId="3D846F04" w14:textId="77777777" w:rsidR="00C45D59" w:rsidRDefault="00C45D59">
    <w:pPr>
      <w:pStyle w:val="FooterCouncil"/>
    </w:pPr>
  </w:p>
</w:ftr>
</file>

<file path=word/footer7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07A616" w14:textId="77777777" w:rsidR="00C45D59" w:rsidRDefault="00C45D59">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F9683D" w14:textId="77777777" w:rsidR="00C45D59" w:rsidRDefault="00C45D59">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63815131"/>
      <w:docPartObj>
        <w:docPartGallery w:val="Page Numbers (Bottom of Page)"/>
        <w:docPartUnique/>
      </w:docPartObj>
    </w:sdtPr>
    <w:sdtEndPr/>
    <w:sdtContent>
      <w:p w14:paraId="7181360D" w14:textId="46DC2DFB" w:rsidR="00C45D59" w:rsidRDefault="009B0962">
        <w:pPr>
          <w:pStyle w:val="Footer"/>
          <w:jc w:val="center"/>
        </w:pPr>
        <w:r>
          <w:fldChar w:fldCharType="begin"/>
        </w:r>
        <w:r>
          <w:instrText xml:space="preserve"> PAGE   \* MERGEFORMAT </w:instrText>
        </w:r>
        <w:r>
          <w:fldChar w:fldCharType="separate"/>
        </w:r>
        <w:r>
          <w:t>2</w:t>
        </w:r>
        <w:r>
          <w:fldChar w:fldCharType="end"/>
        </w:r>
      </w:p>
    </w:sdtContent>
  </w:sdt>
  <w:p w14:paraId="2129A28A" w14:textId="77777777" w:rsidR="00C45D59" w:rsidRDefault="00C45D59">
    <w:pPr>
      <w:pStyle w:val="FooterCouncil"/>
    </w:pPr>
  </w:p>
</w:ftr>
</file>

<file path=word/footer7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8CD927" w14:textId="77777777" w:rsidR="00C45D59" w:rsidRDefault="00C45D59">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7468E6" w14:textId="77777777" w:rsidR="00C45D59" w:rsidRDefault="00C45D59">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47901587"/>
      <w:docPartObj>
        <w:docPartGallery w:val="Page Numbers (Bottom of Page)"/>
        <w:docPartUnique/>
      </w:docPartObj>
    </w:sdtPr>
    <w:sdtEndPr/>
    <w:sdtContent>
      <w:p w14:paraId="77AC9160" w14:textId="338F3DDA" w:rsidR="00C45D59" w:rsidRDefault="009B0962">
        <w:pPr>
          <w:pStyle w:val="Footer"/>
          <w:jc w:val="center"/>
        </w:pPr>
        <w:r>
          <w:fldChar w:fldCharType="begin"/>
        </w:r>
        <w:r>
          <w:instrText xml:space="preserve"> PAGE   \* MERGEFORMAT </w:instrText>
        </w:r>
        <w:r>
          <w:fldChar w:fldCharType="separate"/>
        </w:r>
        <w:r>
          <w:t>2</w:t>
        </w:r>
        <w:r>
          <w:fldChar w:fldCharType="end"/>
        </w:r>
      </w:p>
    </w:sdtContent>
  </w:sdt>
  <w:p w14:paraId="5ACEE205" w14:textId="77777777" w:rsidR="00C45D59" w:rsidRDefault="00C45D59">
    <w:pPr>
      <w:pStyle w:val="FooterCouncil"/>
    </w:pPr>
  </w:p>
</w:ftr>
</file>

<file path=word/footer8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520A1A" w14:textId="77777777" w:rsidR="00C45D59" w:rsidRDefault="00C45D59">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9706E8" w14:textId="77777777" w:rsidR="00C45D59" w:rsidRDefault="00C45D59">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01514754"/>
      <w:docPartObj>
        <w:docPartGallery w:val="Page Numbers (Bottom of Page)"/>
        <w:docPartUnique/>
      </w:docPartObj>
    </w:sdtPr>
    <w:sdtEndPr/>
    <w:sdtContent>
      <w:p w14:paraId="57605F1C" w14:textId="58167832" w:rsidR="00C45D59" w:rsidRDefault="009B0962">
        <w:pPr>
          <w:pStyle w:val="Footer"/>
          <w:jc w:val="center"/>
        </w:pPr>
        <w:r>
          <w:fldChar w:fldCharType="begin"/>
        </w:r>
        <w:r>
          <w:instrText xml:space="preserve"> PAGE   \* MERGEFORMAT </w:instrText>
        </w:r>
        <w:r>
          <w:fldChar w:fldCharType="separate"/>
        </w:r>
        <w:r>
          <w:t>2</w:t>
        </w:r>
        <w:r>
          <w:fldChar w:fldCharType="end"/>
        </w:r>
      </w:p>
    </w:sdtContent>
  </w:sdt>
  <w:p w14:paraId="0F25A2CB" w14:textId="77777777" w:rsidR="00C45D59" w:rsidRDefault="00C45D59">
    <w:pPr>
      <w:pStyle w:val="FooterCouncil"/>
    </w:pPr>
  </w:p>
</w:ftr>
</file>

<file path=word/footer8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A9DA87" w14:textId="77777777" w:rsidR="00C45D59" w:rsidRDefault="00C45D59">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1355F2" w14:textId="77777777" w:rsidR="00C45D59" w:rsidRDefault="00C45D59">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79020662"/>
      <w:docPartObj>
        <w:docPartGallery w:val="Page Numbers (Bottom of Page)"/>
        <w:docPartUnique/>
      </w:docPartObj>
    </w:sdtPr>
    <w:sdtEndPr/>
    <w:sdtContent>
      <w:p w14:paraId="62093E38" w14:textId="0F80604E" w:rsidR="00C45D59" w:rsidRDefault="009B0962">
        <w:pPr>
          <w:pStyle w:val="Footer"/>
          <w:jc w:val="center"/>
        </w:pPr>
        <w:r>
          <w:fldChar w:fldCharType="begin"/>
        </w:r>
        <w:r>
          <w:instrText xml:space="preserve"> PAGE   \* MERGEFORMAT </w:instrText>
        </w:r>
        <w:r>
          <w:fldChar w:fldCharType="separate"/>
        </w:r>
        <w:r>
          <w:t>2</w:t>
        </w:r>
        <w:r>
          <w:fldChar w:fldCharType="end"/>
        </w:r>
      </w:p>
    </w:sdtContent>
  </w:sdt>
  <w:p w14:paraId="06CC20A2" w14:textId="77777777" w:rsidR="00C45D59" w:rsidRDefault="00C45D59">
    <w:pPr>
      <w:pStyle w:val="FooterCouncil"/>
    </w:pPr>
  </w:p>
</w:ftr>
</file>

<file path=word/footer8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30ED01" w14:textId="77777777" w:rsidR="00C45D59" w:rsidRDefault="00C45D59">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9E2F3F" w14:textId="77777777" w:rsidR="00C45D59" w:rsidRDefault="00C45D59">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44352682"/>
      <w:docPartObj>
        <w:docPartGallery w:val="Page Numbers (Bottom of Page)"/>
        <w:docPartUnique/>
      </w:docPartObj>
    </w:sdtPr>
    <w:sdtEndPr/>
    <w:sdtContent>
      <w:p w14:paraId="4E4C6EED" w14:textId="255BE8AE" w:rsidR="00C45D59" w:rsidRDefault="009B0962">
        <w:pPr>
          <w:pStyle w:val="Footer"/>
          <w:jc w:val="center"/>
        </w:pPr>
        <w:r>
          <w:fldChar w:fldCharType="begin"/>
        </w:r>
        <w:r>
          <w:instrText xml:space="preserve"> PAGE   \* MERGEFORMAT </w:instrText>
        </w:r>
        <w:r>
          <w:fldChar w:fldCharType="separate"/>
        </w:r>
        <w:r>
          <w:t>2</w:t>
        </w:r>
        <w:r>
          <w:fldChar w:fldCharType="end"/>
        </w:r>
      </w:p>
    </w:sdtContent>
  </w:sdt>
  <w:p w14:paraId="0F8CC571" w14:textId="77777777" w:rsidR="00C45D59" w:rsidRDefault="00C45D59">
    <w:pPr>
      <w:pStyle w:val="FooterCouncil"/>
    </w:pPr>
  </w:p>
</w:ftr>
</file>

<file path=word/footer9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EFDA96" w14:textId="77777777" w:rsidR="00C45D59" w:rsidRDefault="00C45D59">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6F1148" w14:textId="77777777" w:rsidR="00C45D59" w:rsidRDefault="00C45D59">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53283935"/>
      <w:docPartObj>
        <w:docPartGallery w:val="Page Numbers (Bottom of Page)"/>
        <w:docPartUnique/>
      </w:docPartObj>
    </w:sdtPr>
    <w:sdtEndPr/>
    <w:sdtContent>
      <w:p w14:paraId="4631CF6C" w14:textId="27CE2AE1" w:rsidR="00C45D59" w:rsidRDefault="009B0962">
        <w:pPr>
          <w:pStyle w:val="Footer"/>
          <w:jc w:val="center"/>
        </w:pPr>
        <w:r>
          <w:fldChar w:fldCharType="begin"/>
        </w:r>
        <w:r>
          <w:instrText xml:space="preserve"> PAGE   \* MERGEFORMAT </w:instrText>
        </w:r>
        <w:r>
          <w:fldChar w:fldCharType="separate"/>
        </w:r>
        <w:r>
          <w:t>2</w:t>
        </w:r>
        <w:r>
          <w:fldChar w:fldCharType="end"/>
        </w:r>
      </w:p>
    </w:sdtContent>
  </w:sdt>
  <w:p w14:paraId="6FA49991" w14:textId="77777777" w:rsidR="00C45D59" w:rsidRDefault="00C45D59">
    <w:pPr>
      <w:pStyle w:val="FooterCouncil"/>
    </w:pPr>
  </w:p>
</w:ftr>
</file>

<file path=word/footer9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474105" w14:textId="77777777" w:rsidR="00C45D59" w:rsidRDefault="00C45D59">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13F7CB" w14:textId="77777777" w:rsidR="00C45D59" w:rsidRDefault="00C45D59">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69592647"/>
      <w:docPartObj>
        <w:docPartGallery w:val="Page Numbers (Bottom of Page)"/>
        <w:docPartUnique/>
      </w:docPartObj>
    </w:sdtPr>
    <w:sdtEndPr/>
    <w:sdtContent>
      <w:p w14:paraId="2C1791E5" w14:textId="34E43495" w:rsidR="00C45D59" w:rsidRDefault="009B0962">
        <w:pPr>
          <w:pStyle w:val="Footer"/>
          <w:jc w:val="center"/>
        </w:pPr>
        <w:r>
          <w:fldChar w:fldCharType="begin"/>
        </w:r>
        <w:r>
          <w:instrText xml:space="preserve"> PAGE   \* MERGEFORMAT </w:instrText>
        </w:r>
        <w:r>
          <w:fldChar w:fldCharType="separate"/>
        </w:r>
        <w:r>
          <w:t>2</w:t>
        </w:r>
        <w:r>
          <w:fldChar w:fldCharType="end"/>
        </w:r>
      </w:p>
    </w:sdtContent>
  </w:sdt>
  <w:p w14:paraId="52767D4E" w14:textId="77777777" w:rsidR="00C45D59" w:rsidRDefault="00C45D59">
    <w:pPr>
      <w:pStyle w:val="FooterCouncil"/>
    </w:pPr>
  </w:p>
</w:ftr>
</file>

<file path=word/footer9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09A4DA" w14:textId="77777777" w:rsidR="00C45D59" w:rsidRDefault="00C45D59">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B9F3F9" w14:textId="77777777" w:rsidR="00C45D59" w:rsidRDefault="00C45D59">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34603754"/>
      <w:docPartObj>
        <w:docPartGallery w:val="Page Numbers (Bottom of Page)"/>
        <w:docPartUnique/>
      </w:docPartObj>
    </w:sdtPr>
    <w:sdtEndPr/>
    <w:sdtContent>
      <w:p w14:paraId="3D9E3AD2" w14:textId="56A5C65B" w:rsidR="00C45D59" w:rsidRDefault="009B0962">
        <w:pPr>
          <w:pStyle w:val="Footer"/>
          <w:jc w:val="center"/>
        </w:pPr>
        <w:r>
          <w:fldChar w:fldCharType="begin"/>
        </w:r>
        <w:r>
          <w:instrText xml:space="preserve"> PAGE   \* MERGEFORMAT </w:instrText>
        </w:r>
        <w:r>
          <w:fldChar w:fldCharType="separate"/>
        </w:r>
        <w:r>
          <w:t>2</w:t>
        </w:r>
        <w:r>
          <w:fldChar w:fldCharType="end"/>
        </w:r>
      </w:p>
    </w:sdtContent>
  </w:sdt>
  <w:p w14:paraId="0623B81A" w14:textId="77777777" w:rsidR="00C45D59" w:rsidRDefault="00C45D59">
    <w:pPr>
      <w:pStyle w:val="FooterCouncil"/>
    </w:pPr>
  </w:p>
</w:ftr>
</file>

<file path=word/footer9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4D7307" w14:textId="77777777" w:rsidR="00C45D59" w:rsidRDefault="00C45D59">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EA5BBF" w14:textId="77777777" w:rsidR="00C45D59" w:rsidRDefault="00C45D59">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69005655"/>
      <w:docPartObj>
        <w:docPartGallery w:val="Page Numbers (Bottom of Page)"/>
        <w:docPartUnique/>
      </w:docPartObj>
    </w:sdtPr>
    <w:sdtEndPr/>
    <w:sdtContent>
      <w:p w14:paraId="7A1F9ADF" w14:textId="58373D10" w:rsidR="00C45D59" w:rsidRDefault="009B0962">
        <w:pPr>
          <w:pStyle w:val="Footer"/>
          <w:jc w:val="center"/>
        </w:pPr>
        <w:r>
          <w:fldChar w:fldCharType="begin"/>
        </w:r>
        <w:r>
          <w:instrText xml:space="preserve"> PAGE   \* MERGEFORMAT </w:instrText>
        </w:r>
        <w:r>
          <w:fldChar w:fldCharType="separate"/>
        </w:r>
        <w:r>
          <w:t>2</w:t>
        </w:r>
        <w:r>
          <w:fldChar w:fldCharType="end"/>
        </w:r>
      </w:p>
    </w:sdtContent>
  </w:sdt>
  <w:p w14:paraId="302A3EDB" w14:textId="77777777" w:rsidR="00C45D59" w:rsidRDefault="00C45D59">
    <w:pPr>
      <w:pStyle w:val="FooterCouncil"/>
    </w:pPr>
  </w:p>
</w:ftr>
</file>

<file path=word/footer10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52F2D1" w14:textId="77777777" w:rsidR="00C45D59" w:rsidRDefault="00C45D59">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5ABEA0" w14:textId="77777777" w:rsidR="00C45D59" w:rsidRDefault="00C45D59">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23400024"/>
      <w:docPartObj>
        <w:docPartGallery w:val="Page Numbers (Bottom of Page)"/>
        <w:docPartUnique/>
      </w:docPartObj>
    </w:sdtPr>
    <w:sdtEndPr/>
    <w:sdtContent>
      <w:p w14:paraId="7060E016" w14:textId="0602C56C" w:rsidR="00C45D59" w:rsidRDefault="009B0962">
        <w:pPr>
          <w:pStyle w:val="Footer"/>
          <w:jc w:val="center"/>
        </w:pPr>
        <w:r>
          <w:fldChar w:fldCharType="begin"/>
        </w:r>
        <w:r>
          <w:instrText xml:space="preserve"> PAGE   \* MERGEFORMAT </w:instrText>
        </w:r>
        <w:r>
          <w:fldChar w:fldCharType="separate"/>
        </w:r>
        <w:r>
          <w:t>2</w:t>
        </w:r>
        <w:r>
          <w:fldChar w:fldCharType="end"/>
        </w:r>
      </w:p>
    </w:sdtContent>
  </w:sdt>
  <w:p w14:paraId="5EF382B9" w14:textId="77777777" w:rsidR="00C45D59" w:rsidRDefault="00C45D59">
    <w:pPr>
      <w:pStyle w:val="FooterCouncil"/>
    </w:pPr>
  </w:p>
</w:ftr>
</file>

<file path=word/footer10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21927A" w14:textId="77777777" w:rsidR="00C45D59" w:rsidRDefault="00C45D59">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5EA531" w14:textId="77777777" w:rsidR="00C45D59" w:rsidRDefault="00C45D59">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1858713"/>
      <w:docPartObj>
        <w:docPartGallery w:val="Page Numbers (Bottom of Page)"/>
        <w:docPartUnique/>
      </w:docPartObj>
    </w:sdtPr>
    <w:sdtEndPr/>
    <w:sdtContent>
      <w:p w14:paraId="25C63EE5" w14:textId="5E6FD349" w:rsidR="00C45D59" w:rsidRDefault="009B0962">
        <w:pPr>
          <w:pStyle w:val="Footer"/>
          <w:jc w:val="center"/>
        </w:pPr>
        <w:r>
          <w:fldChar w:fldCharType="begin"/>
        </w:r>
        <w:r>
          <w:instrText xml:space="preserve"> PAGE   \* MERGEFORMAT </w:instrText>
        </w:r>
        <w:r>
          <w:fldChar w:fldCharType="separate"/>
        </w:r>
        <w:r>
          <w:t>2</w:t>
        </w:r>
        <w:r>
          <w:fldChar w:fldCharType="end"/>
        </w:r>
      </w:p>
    </w:sdtContent>
  </w:sdt>
  <w:p w14:paraId="39A23C02" w14:textId="77777777" w:rsidR="00C45D59" w:rsidRDefault="00C45D59">
    <w:pPr>
      <w:pStyle w:val="FooterCouncil"/>
    </w:pPr>
  </w:p>
</w:ftr>
</file>

<file path=word/footer10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F9F5F7" w14:textId="77777777" w:rsidR="00C45D59" w:rsidRDefault="00C45D59">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452961" w14:textId="77777777" w:rsidR="00C45D59" w:rsidRDefault="00C45D59">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81724545"/>
      <w:docPartObj>
        <w:docPartGallery w:val="Page Numbers (Bottom of Page)"/>
        <w:docPartUnique/>
      </w:docPartObj>
    </w:sdtPr>
    <w:sdtEndPr/>
    <w:sdtContent>
      <w:p w14:paraId="31A34DD7" w14:textId="727289FA" w:rsidR="00C45D59" w:rsidRDefault="009B0962">
        <w:pPr>
          <w:pStyle w:val="Footer"/>
          <w:jc w:val="center"/>
        </w:pPr>
        <w:r>
          <w:fldChar w:fldCharType="begin"/>
        </w:r>
        <w:r>
          <w:instrText xml:space="preserve"> PAGE   \* MERGEFORMAT </w:instrText>
        </w:r>
        <w:r>
          <w:fldChar w:fldCharType="separate"/>
        </w:r>
        <w:r>
          <w:t>2</w:t>
        </w:r>
        <w:r>
          <w:fldChar w:fldCharType="end"/>
        </w:r>
      </w:p>
    </w:sdtContent>
  </w:sdt>
  <w:p w14:paraId="5CD0DA69" w14:textId="77777777" w:rsidR="00C45D59" w:rsidRDefault="00C45D59">
    <w:pPr>
      <w:pStyle w:val="FooterCouncil"/>
    </w:pPr>
  </w:p>
</w:ftr>
</file>

<file path=word/footer1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EC4015" w14:textId="77777777" w:rsidR="00C45D59" w:rsidRDefault="00C45D59">
    <w:pPr>
      <w:pStyle w:val="Footer"/>
    </w:pPr>
  </w:p>
</w:ftr>
</file>

<file path=word/footer1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853B7C" w14:textId="77777777" w:rsidR="00C45D59" w:rsidRDefault="00C45D59">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19884809"/>
      <w:docPartObj>
        <w:docPartGallery w:val="Page Numbers (Bottom of Page)"/>
        <w:docPartUnique/>
      </w:docPartObj>
    </w:sdtPr>
    <w:sdtEndPr/>
    <w:sdtContent>
      <w:p w14:paraId="1C08D4A8" w14:textId="2A570615" w:rsidR="00C45D59" w:rsidRDefault="009B0962">
        <w:pPr>
          <w:pStyle w:val="Footer"/>
          <w:jc w:val="center"/>
        </w:pPr>
        <w:r>
          <w:fldChar w:fldCharType="begin"/>
        </w:r>
        <w:r>
          <w:instrText xml:space="preserve"> PAGE   \* MERGEFORMAT </w:instrText>
        </w:r>
        <w:r>
          <w:fldChar w:fldCharType="separate"/>
        </w:r>
        <w:r>
          <w:t>2</w:t>
        </w:r>
        <w:r>
          <w:fldChar w:fldCharType="end"/>
        </w:r>
      </w:p>
    </w:sdtContent>
  </w:sdt>
  <w:p w14:paraId="5053197D" w14:textId="77777777" w:rsidR="00C45D59" w:rsidRDefault="00C45D59">
    <w:pPr>
      <w:pStyle w:val="FooterCouncil"/>
    </w:pPr>
  </w:p>
</w:ftr>
</file>

<file path=word/footer1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41188C" w14:textId="77777777" w:rsidR="00C45D59" w:rsidRDefault="00C45D59">
    <w:pPr>
      <w:pStyle w:val="Footer"/>
    </w:pPr>
  </w:p>
</w:ftr>
</file>

<file path=word/footer1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4699A2" w14:textId="77777777" w:rsidR="00C45D59" w:rsidRDefault="00C45D59">
    <w:pPr>
      <w:pStyle w:val="Footer"/>
    </w:pPr>
  </w:p>
</w:ftr>
</file>

<file path=word/footer1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27002516"/>
      <w:docPartObj>
        <w:docPartGallery w:val="Page Numbers (Bottom of Page)"/>
        <w:docPartUnique/>
      </w:docPartObj>
    </w:sdtPr>
    <w:sdtEndPr/>
    <w:sdtContent>
      <w:p w14:paraId="733272DB" w14:textId="20A75C0D" w:rsidR="00C45D59" w:rsidRDefault="009B0962">
        <w:pPr>
          <w:pStyle w:val="Footer"/>
          <w:jc w:val="center"/>
        </w:pPr>
        <w:r>
          <w:fldChar w:fldCharType="begin"/>
        </w:r>
        <w:r>
          <w:instrText xml:space="preserve"> PAGE   \* MERGEFORMAT </w:instrText>
        </w:r>
        <w:r>
          <w:fldChar w:fldCharType="separate"/>
        </w:r>
        <w:r>
          <w:t>2</w:t>
        </w:r>
        <w:r>
          <w:fldChar w:fldCharType="end"/>
        </w:r>
      </w:p>
    </w:sdtContent>
  </w:sdt>
  <w:p w14:paraId="13B5BB98" w14:textId="77777777" w:rsidR="00C45D59" w:rsidRDefault="00C45D59">
    <w:pPr>
      <w:pStyle w:val="FooterCouncil"/>
    </w:pPr>
  </w:p>
</w:ftr>
</file>

<file path=word/footer1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526366" w14:textId="77777777" w:rsidR="00C45D59" w:rsidRDefault="00C45D59">
    <w:pPr>
      <w:pStyle w:val="Footer"/>
    </w:pPr>
  </w:p>
</w:ftr>
</file>

<file path=word/footer1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387B44" w14:textId="77777777" w:rsidR="00C45D59" w:rsidRDefault="00C45D59">
    <w:pPr>
      <w:pStyle w:val="Footer"/>
    </w:pPr>
  </w:p>
</w:ftr>
</file>

<file path=word/footer1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53952940"/>
      <w:docPartObj>
        <w:docPartGallery w:val="Page Numbers (Bottom of Page)"/>
        <w:docPartUnique/>
      </w:docPartObj>
    </w:sdtPr>
    <w:sdtEndPr/>
    <w:sdtContent>
      <w:p w14:paraId="156A00E9" w14:textId="43329BDA" w:rsidR="00C45D59" w:rsidRDefault="009B0962">
        <w:pPr>
          <w:pStyle w:val="Footer"/>
          <w:jc w:val="center"/>
        </w:pPr>
        <w:r>
          <w:fldChar w:fldCharType="begin"/>
        </w:r>
        <w:r>
          <w:instrText xml:space="preserve"> PAGE   \* MERGEFORMAT </w:instrText>
        </w:r>
        <w:r>
          <w:fldChar w:fldCharType="separate"/>
        </w:r>
        <w:r>
          <w:t>2</w:t>
        </w:r>
        <w:r>
          <w:fldChar w:fldCharType="end"/>
        </w:r>
      </w:p>
    </w:sdtContent>
  </w:sdt>
  <w:p w14:paraId="463B6AAF" w14:textId="77777777" w:rsidR="00C45D59" w:rsidRDefault="00C45D59">
    <w:pPr>
      <w:pStyle w:val="FooterCouncil"/>
    </w:pPr>
  </w:p>
</w:ftr>
</file>

<file path=word/footer1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4434CA" w14:textId="77777777" w:rsidR="00C45D59" w:rsidRDefault="00C45D59">
    <w:pPr>
      <w:pStyle w:val="Footer"/>
    </w:pPr>
  </w:p>
</w:ftr>
</file>

<file path=word/footer1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0AEF38" w14:textId="77777777" w:rsidR="00C45D59" w:rsidRDefault="00C45D59">
    <w:pPr>
      <w:pStyle w:val="Footer"/>
    </w:pPr>
  </w:p>
</w:ftr>
</file>

<file path=word/footer1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70846001"/>
      <w:docPartObj>
        <w:docPartGallery w:val="Page Numbers (Bottom of Page)"/>
        <w:docPartUnique/>
      </w:docPartObj>
    </w:sdtPr>
    <w:sdtEndPr/>
    <w:sdtContent>
      <w:p w14:paraId="6BDC4441" w14:textId="579E74C8" w:rsidR="00C45D59" w:rsidRDefault="009B0962">
        <w:pPr>
          <w:pStyle w:val="Footer"/>
          <w:jc w:val="center"/>
        </w:pPr>
        <w:r>
          <w:fldChar w:fldCharType="begin"/>
        </w:r>
        <w:r>
          <w:instrText xml:space="preserve"> PAGE   \* MERGEFORMAT </w:instrText>
        </w:r>
        <w:r>
          <w:fldChar w:fldCharType="separate"/>
        </w:r>
        <w:r>
          <w:t>2</w:t>
        </w:r>
        <w:r>
          <w:fldChar w:fldCharType="end"/>
        </w:r>
      </w:p>
    </w:sdtContent>
  </w:sdt>
  <w:p w14:paraId="068AA17D" w14:textId="77777777" w:rsidR="00C45D59" w:rsidRDefault="00C45D59">
    <w:pPr>
      <w:pStyle w:val="FooterCouncil"/>
    </w:pPr>
  </w:p>
</w:ftr>
</file>

<file path=word/footer1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BA33F1" w14:textId="77777777" w:rsidR="00C45D59" w:rsidRDefault="00C45D59">
    <w:pPr>
      <w:pStyle w:val="Footer"/>
    </w:pPr>
  </w:p>
</w:ftr>
</file>

<file path=word/footer1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E3C618" w14:textId="77777777" w:rsidR="00C45D59" w:rsidRDefault="00C45D59">
    <w:pPr>
      <w:pStyle w:val="Footer"/>
    </w:pPr>
  </w:p>
</w:ftr>
</file>

<file path=word/footer1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66758049"/>
      <w:docPartObj>
        <w:docPartGallery w:val="Page Numbers (Bottom of Page)"/>
        <w:docPartUnique/>
      </w:docPartObj>
    </w:sdtPr>
    <w:sdtEndPr/>
    <w:sdtContent>
      <w:p w14:paraId="5225E7A0" w14:textId="0147E13C" w:rsidR="00C45D59" w:rsidRDefault="009B0962">
        <w:pPr>
          <w:pStyle w:val="Footer"/>
          <w:jc w:val="center"/>
        </w:pPr>
        <w:r>
          <w:fldChar w:fldCharType="begin"/>
        </w:r>
        <w:r>
          <w:instrText xml:space="preserve"> PAGE   \* MERGEFORMAT </w:instrText>
        </w:r>
        <w:r>
          <w:fldChar w:fldCharType="separate"/>
        </w:r>
        <w:r>
          <w:t>2</w:t>
        </w:r>
        <w:r>
          <w:fldChar w:fldCharType="end"/>
        </w:r>
      </w:p>
    </w:sdtContent>
  </w:sdt>
  <w:p w14:paraId="47E430D4" w14:textId="77777777" w:rsidR="00C45D59" w:rsidRDefault="00C45D59">
    <w:pPr>
      <w:pStyle w:val="FooterCouncil"/>
    </w:pPr>
  </w:p>
</w:ftr>
</file>

<file path=word/footer1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288E7C" w14:textId="77777777" w:rsidR="00C45D59" w:rsidRDefault="00C45D59">
    <w:pPr>
      <w:pStyle w:val="Footer"/>
    </w:pPr>
  </w:p>
</w:ftr>
</file>

<file path=word/footer1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E2BB3C" w14:textId="77777777" w:rsidR="00C45D59" w:rsidRDefault="00C45D59">
    <w:pPr>
      <w:pStyle w:val="Footer"/>
    </w:pPr>
  </w:p>
</w:ftr>
</file>

<file path=word/footer1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36242112"/>
      <w:docPartObj>
        <w:docPartGallery w:val="Page Numbers (Bottom of Page)"/>
        <w:docPartUnique/>
      </w:docPartObj>
    </w:sdtPr>
    <w:sdtEndPr/>
    <w:sdtContent>
      <w:p w14:paraId="132E7F5A" w14:textId="22C0D7ED" w:rsidR="00C45D59" w:rsidRDefault="009B0962">
        <w:pPr>
          <w:pStyle w:val="Footer"/>
          <w:jc w:val="center"/>
        </w:pPr>
        <w:r>
          <w:fldChar w:fldCharType="begin"/>
        </w:r>
        <w:r>
          <w:instrText xml:space="preserve"> PAGE   \* MERGEFORMAT </w:instrText>
        </w:r>
        <w:r>
          <w:fldChar w:fldCharType="separate"/>
        </w:r>
        <w:r>
          <w:t>2</w:t>
        </w:r>
        <w:r>
          <w:fldChar w:fldCharType="end"/>
        </w:r>
      </w:p>
    </w:sdtContent>
  </w:sdt>
  <w:p w14:paraId="1100A804" w14:textId="77777777" w:rsidR="00C45D59" w:rsidRDefault="00C45D59">
    <w:pPr>
      <w:pStyle w:val="FooterCouncil"/>
    </w:pPr>
  </w:p>
</w:ftr>
</file>

<file path=word/footer1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E6AB30" w14:textId="77777777" w:rsidR="00C45D59" w:rsidRDefault="00C45D59">
    <w:pPr>
      <w:pStyle w:val="Footer"/>
    </w:pPr>
  </w:p>
</w:ftr>
</file>

<file path=word/footer1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B12A34" w14:textId="77777777" w:rsidR="00C45D59" w:rsidRDefault="00C45D59">
    <w:pPr>
      <w:pStyle w:val="Footer"/>
    </w:pPr>
  </w:p>
</w:ftr>
</file>

<file path=word/footer1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33157980"/>
      <w:docPartObj>
        <w:docPartGallery w:val="Page Numbers (Bottom of Page)"/>
        <w:docPartUnique/>
      </w:docPartObj>
    </w:sdtPr>
    <w:sdtEndPr/>
    <w:sdtContent>
      <w:p w14:paraId="04122B8B" w14:textId="2748C4C6" w:rsidR="00C45D59" w:rsidRDefault="009B0962">
        <w:pPr>
          <w:pStyle w:val="Footer"/>
          <w:jc w:val="center"/>
        </w:pPr>
        <w:r>
          <w:fldChar w:fldCharType="begin"/>
        </w:r>
        <w:r>
          <w:instrText xml:space="preserve"> PAGE   \* MERGEFORMAT </w:instrText>
        </w:r>
        <w:r>
          <w:fldChar w:fldCharType="separate"/>
        </w:r>
        <w:r>
          <w:t>2</w:t>
        </w:r>
        <w:r>
          <w:fldChar w:fldCharType="end"/>
        </w:r>
      </w:p>
    </w:sdtContent>
  </w:sdt>
  <w:p w14:paraId="730DBDF3" w14:textId="77777777" w:rsidR="00C45D59" w:rsidRDefault="00C45D59">
    <w:pPr>
      <w:pStyle w:val="FooterCouncil"/>
    </w:pPr>
  </w:p>
</w:ftr>
</file>

<file path=word/footer1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F61C14" w14:textId="77777777" w:rsidR="00C45D59" w:rsidRDefault="00C45D59">
    <w:pPr>
      <w:pStyle w:val="Footer"/>
    </w:pPr>
  </w:p>
</w:ftr>
</file>

<file path=word/footer1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3E6DDB" w14:textId="77777777" w:rsidR="00C45D59" w:rsidRDefault="00C45D59">
    <w:pPr>
      <w:pStyle w:val="Footer"/>
    </w:pPr>
  </w:p>
</w:ftr>
</file>

<file path=word/footer1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6379909"/>
      <w:docPartObj>
        <w:docPartGallery w:val="Page Numbers (Bottom of Page)"/>
        <w:docPartUnique/>
      </w:docPartObj>
    </w:sdtPr>
    <w:sdtEndPr/>
    <w:sdtContent>
      <w:p w14:paraId="40D45E50" w14:textId="6446956E" w:rsidR="00C45D59" w:rsidRDefault="009B0962">
        <w:pPr>
          <w:pStyle w:val="Footer"/>
          <w:jc w:val="center"/>
        </w:pPr>
        <w:r>
          <w:fldChar w:fldCharType="begin"/>
        </w:r>
        <w:r>
          <w:instrText xml:space="preserve"> PAGE   \* MERGEFORMAT </w:instrText>
        </w:r>
        <w:r>
          <w:fldChar w:fldCharType="separate"/>
        </w:r>
        <w:r>
          <w:t>2</w:t>
        </w:r>
        <w:r>
          <w:fldChar w:fldCharType="end"/>
        </w:r>
      </w:p>
    </w:sdtContent>
  </w:sdt>
  <w:p w14:paraId="3710205A" w14:textId="77777777" w:rsidR="00C45D59" w:rsidRDefault="00C45D59">
    <w:pPr>
      <w:pStyle w:val="FooterCouncil"/>
    </w:pPr>
  </w:p>
</w:ftr>
</file>

<file path=word/footer1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85D871" w14:textId="77777777" w:rsidR="00C45D59" w:rsidRDefault="00C45D59">
    <w:pPr>
      <w:pStyle w:val="Footer"/>
    </w:pPr>
  </w:p>
</w:ftr>
</file>

<file path=word/footer1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60F3BE" w14:textId="77777777" w:rsidR="00C45D59" w:rsidRDefault="00C45D59">
    <w:pPr>
      <w:pStyle w:val="Footer"/>
    </w:pPr>
  </w:p>
</w:ftr>
</file>

<file path=word/footer1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26454655"/>
      <w:docPartObj>
        <w:docPartGallery w:val="Page Numbers (Bottom of Page)"/>
        <w:docPartUnique/>
      </w:docPartObj>
    </w:sdtPr>
    <w:sdtEndPr/>
    <w:sdtContent>
      <w:p w14:paraId="52F705B5" w14:textId="2478F625" w:rsidR="00C45D59" w:rsidRDefault="009B0962">
        <w:pPr>
          <w:pStyle w:val="Footer"/>
          <w:jc w:val="center"/>
        </w:pPr>
        <w:r>
          <w:fldChar w:fldCharType="begin"/>
        </w:r>
        <w:r>
          <w:instrText xml:space="preserve"> PAGE   \* MERGEFORMAT </w:instrText>
        </w:r>
        <w:r>
          <w:fldChar w:fldCharType="separate"/>
        </w:r>
        <w:r>
          <w:t>2</w:t>
        </w:r>
        <w:r>
          <w:fldChar w:fldCharType="end"/>
        </w:r>
      </w:p>
    </w:sdtContent>
  </w:sdt>
  <w:p w14:paraId="37B6E8BA" w14:textId="77777777" w:rsidR="00C45D59" w:rsidRDefault="00C45D59">
    <w:pPr>
      <w:pStyle w:val="FooterCouncil"/>
    </w:pPr>
  </w:p>
</w:ftr>
</file>

<file path=word/footer1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EA28DC" w14:textId="77777777" w:rsidR="00C45D59" w:rsidRDefault="00C45D59">
    <w:pPr>
      <w:pStyle w:val="Footer"/>
    </w:pPr>
  </w:p>
</w:ftr>
</file>

<file path=word/footer1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221EEB" w14:textId="77777777" w:rsidR="00C45D59" w:rsidRDefault="00C45D59">
    <w:pPr>
      <w:pStyle w:val="Footer"/>
    </w:pPr>
  </w:p>
</w:ftr>
</file>

<file path=word/footer1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90989253"/>
      <w:docPartObj>
        <w:docPartGallery w:val="Page Numbers (Bottom of Page)"/>
        <w:docPartUnique/>
      </w:docPartObj>
    </w:sdtPr>
    <w:sdtEndPr/>
    <w:sdtContent>
      <w:p w14:paraId="57064180" w14:textId="0293005E" w:rsidR="00C45D59" w:rsidRDefault="009B0962">
        <w:pPr>
          <w:pStyle w:val="Footer"/>
          <w:jc w:val="center"/>
        </w:pPr>
        <w:r>
          <w:fldChar w:fldCharType="begin"/>
        </w:r>
        <w:r>
          <w:instrText xml:space="preserve"> PAGE   \* MERGEFORMAT </w:instrText>
        </w:r>
        <w:r>
          <w:fldChar w:fldCharType="separate"/>
        </w:r>
        <w:r>
          <w:t>2</w:t>
        </w:r>
        <w:r>
          <w:fldChar w:fldCharType="end"/>
        </w:r>
      </w:p>
    </w:sdtContent>
  </w:sdt>
  <w:p w14:paraId="16938E32" w14:textId="77777777" w:rsidR="00C45D59" w:rsidRDefault="00C45D59">
    <w:pPr>
      <w:pStyle w:val="FooterCouncil"/>
    </w:pPr>
  </w:p>
</w:ftr>
</file>

<file path=word/footer1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A8138" w14:textId="77777777" w:rsidR="00C45D59" w:rsidRDefault="00C45D59">
    <w:pPr>
      <w:pStyle w:val="Footer"/>
    </w:pPr>
  </w:p>
</w:ftr>
</file>

<file path=word/footer1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7B482D" w14:textId="77777777" w:rsidR="00C45D59" w:rsidRDefault="00C45D59">
    <w:pPr>
      <w:pStyle w:val="Footer"/>
    </w:pPr>
  </w:p>
</w:ftr>
</file>

<file path=word/footer1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82961394"/>
      <w:docPartObj>
        <w:docPartGallery w:val="Page Numbers (Bottom of Page)"/>
        <w:docPartUnique/>
      </w:docPartObj>
    </w:sdtPr>
    <w:sdtEndPr/>
    <w:sdtContent>
      <w:p w14:paraId="1335D858" w14:textId="515BE7CD" w:rsidR="00C45D59" w:rsidRDefault="009B0962">
        <w:pPr>
          <w:pStyle w:val="Footer"/>
          <w:jc w:val="center"/>
        </w:pPr>
        <w:r>
          <w:fldChar w:fldCharType="begin"/>
        </w:r>
        <w:r>
          <w:instrText xml:space="preserve"> PAGE   \* MERGEFORMAT </w:instrText>
        </w:r>
        <w:r>
          <w:fldChar w:fldCharType="separate"/>
        </w:r>
        <w:r>
          <w:t>2</w:t>
        </w:r>
        <w:r>
          <w:fldChar w:fldCharType="end"/>
        </w:r>
      </w:p>
    </w:sdtContent>
  </w:sdt>
  <w:p w14:paraId="5F1EC55B" w14:textId="77777777" w:rsidR="00C45D59" w:rsidRDefault="00C45D59">
    <w:pPr>
      <w:pStyle w:val="FooterCouncil"/>
    </w:pPr>
  </w:p>
</w:ftr>
</file>

<file path=word/footer1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D425D9" w14:textId="77777777" w:rsidR="00C45D59" w:rsidRDefault="00C45D59">
    <w:pPr>
      <w:pStyle w:val="Footer"/>
    </w:pPr>
  </w:p>
</w:ftr>
</file>

<file path=word/footer1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198CB4" w14:textId="77777777" w:rsidR="00C45D59" w:rsidRDefault="00C45D59">
    <w:pPr>
      <w:pStyle w:val="Footer"/>
    </w:pPr>
  </w:p>
</w:ftr>
</file>

<file path=word/footer1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79641045"/>
      <w:docPartObj>
        <w:docPartGallery w:val="Page Numbers (Bottom of Page)"/>
        <w:docPartUnique/>
      </w:docPartObj>
    </w:sdtPr>
    <w:sdtEndPr/>
    <w:sdtContent>
      <w:p w14:paraId="57E3E394" w14:textId="3FDE9A97" w:rsidR="00C45D59" w:rsidRDefault="009B0962">
        <w:pPr>
          <w:pStyle w:val="Footer"/>
          <w:jc w:val="center"/>
        </w:pPr>
        <w:r>
          <w:fldChar w:fldCharType="begin"/>
        </w:r>
        <w:r>
          <w:instrText xml:space="preserve"> PAGE   \* MERGEFORMAT </w:instrText>
        </w:r>
        <w:r>
          <w:fldChar w:fldCharType="separate"/>
        </w:r>
        <w:r>
          <w:t>2</w:t>
        </w:r>
        <w:r>
          <w:fldChar w:fldCharType="end"/>
        </w:r>
      </w:p>
    </w:sdtContent>
  </w:sdt>
  <w:p w14:paraId="71F5224B" w14:textId="77777777" w:rsidR="00C45D59" w:rsidRDefault="00C45D59">
    <w:pPr>
      <w:pStyle w:val="FooterCouncil"/>
    </w:pPr>
  </w:p>
</w:ftr>
</file>

<file path=word/footer1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E1E3E0" w14:textId="77777777" w:rsidR="00C45D59" w:rsidRDefault="00C45D59">
    <w:pPr>
      <w:pStyle w:val="Footer"/>
    </w:pPr>
  </w:p>
</w:ftr>
</file>

<file path=word/footer1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9BAFBD" w14:textId="77777777" w:rsidR="00C45D59" w:rsidRDefault="00C45D59">
    <w:pPr>
      <w:pStyle w:val="Footer"/>
    </w:pPr>
  </w:p>
</w:ftr>
</file>

<file path=word/footer1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83316271"/>
      <w:docPartObj>
        <w:docPartGallery w:val="Page Numbers (Bottom of Page)"/>
        <w:docPartUnique/>
      </w:docPartObj>
    </w:sdtPr>
    <w:sdtEndPr/>
    <w:sdtContent>
      <w:p w14:paraId="6D0DA39C" w14:textId="03536A89" w:rsidR="00C45D59" w:rsidRDefault="009B0962">
        <w:pPr>
          <w:pStyle w:val="Footer"/>
          <w:jc w:val="center"/>
        </w:pPr>
        <w:r>
          <w:fldChar w:fldCharType="begin"/>
        </w:r>
        <w:r>
          <w:instrText xml:space="preserve"> PAGE   \* MERGEFORMAT </w:instrText>
        </w:r>
        <w:r>
          <w:fldChar w:fldCharType="separate"/>
        </w:r>
        <w:r>
          <w:t>2</w:t>
        </w:r>
        <w:r>
          <w:fldChar w:fldCharType="end"/>
        </w:r>
      </w:p>
    </w:sdtContent>
  </w:sdt>
  <w:p w14:paraId="4723F118" w14:textId="77777777" w:rsidR="00C45D59" w:rsidRDefault="00C45D59">
    <w:pPr>
      <w:pStyle w:val="FooterCouncil"/>
    </w:pPr>
  </w:p>
</w:ftr>
</file>

<file path=word/footer1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65590F" w14:textId="77777777" w:rsidR="00C45D59" w:rsidRDefault="00C45D59">
    <w:pPr>
      <w:pStyle w:val="Footer"/>
    </w:pPr>
  </w:p>
</w:ftr>
</file>

<file path=word/footer1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AA03D1" w14:textId="77777777" w:rsidR="00C45D59" w:rsidRDefault="00C45D59">
    <w:pPr>
      <w:pStyle w:val="Footer"/>
    </w:pPr>
  </w:p>
</w:ftr>
</file>

<file path=word/footer1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33031677"/>
      <w:docPartObj>
        <w:docPartGallery w:val="Page Numbers (Bottom of Page)"/>
        <w:docPartUnique/>
      </w:docPartObj>
    </w:sdtPr>
    <w:sdtEndPr/>
    <w:sdtContent>
      <w:p w14:paraId="3F8515BA" w14:textId="7844FEB6" w:rsidR="00C45D59" w:rsidRDefault="009B0962">
        <w:pPr>
          <w:pStyle w:val="Footer"/>
          <w:jc w:val="center"/>
        </w:pPr>
        <w:r>
          <w:fldChar w:fldCharType="begin"/>
        </w:r>
        <w:r>
          <w:instrText xml:space="preserve"> PAGE   \* MERGEFORMAT </w:instrText>
        </w:r>
        <w:r>
          <w:fldChar w:fldCharType="separate"/>
        </w:r>
        <w:r>
          <w:t>2</w:t>
        </w:r>
        <w:r>
          <w:fldChar w:fldCharType="end"/>
        </w:r>
      </w:p>
    </w:sdtContent>
  </w:sdt>
  <w:p w14:paraId="502C2667" w14:textId="77777777" w:rsidR="00C45D59" w:rsidRDefault="00C45D59">
    <w:pPr>
      <w:pStyle w:val="FooterCouncil"/>
    </w:pPr>
  </w:p>
</w:ftr>
</file>

<file path=word/footer1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D82FAB" w14:textId="77777777" w:rsidR="00C45D59" w:rsidRDefault="00C45D59">
    <w:pPr>
      <w:pStyle w:val="Footer"/>
    </w:pPr>
  </w:p>
</w:ftr>
</file>

<file path=word/footer1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40F9F2" w14:textId="77777777" w:rsidR="00C45D59" w:rsidRDefault="00C45D59">
    <w:pPr>
      <w:pStyle w:val="Footer"/>
    </w:pPr>
  </w:p>
</w:ftr>
</file>

<file path=word/footer1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83460206"/>
      <w:docPartObj>
        <w:docPartGallery w:val="Page Numbers (Bottom of Page)"/>
        <w:docPartUnique/>
      </w:docPartObj>
    </w:sdtPr>
    <w:sdtEndPr/>
    <w:sdtContent>
      <w:p w14:paraId="0010FB3B" w14:textId="2049A8F5" w:rsidR="00C45D59" w:rsidRDefault="009B0962">
        <w:pPr>
          <w:pStyle w:val="Footer"/>
          <w:jc w:val="center"/>
        </w:pPr>
        <w:r>
          <w:fldChar w:fldCharType="begin"/>
        </w:r>
        <w:r>
          <w:instrText xml:space="preserve"> PAGE   \* MERGEFORMAT </w:instrText>
        </w:r>
        <w:r>
          <w:fldChar w:fldCharType="separate"/>
        </w:r>
        <w:r>
          <w:t>2</w:t>
        </w:r>
        <w:r>
          <w:fldChar w:fldCharType="end"/>
        </w:r>
      </w:p>
    </w:sdtContent>
  </w:sdt>
  <w:p w14:paraId="296D3F70" w14:textId="77777777" w:rsidR="00C45D59" w:rsidRDefault="00C45D59">
    <w:pPr>
      <w:pStyle w:val="FooterCouncil"/>
    </w:pPr>
  </w:p>
</w:ftr>
</file>

<file path=word/footer1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32AE00" w14:textId="77777777" w:rsidR="00C45D59" w:rsidRDefault="00C45D59">
    <w:pPr>
      <w:pStyle w:val="Footer"/>
    </w:pPr>
  </w:p>
</w:ftr>
</file>

<file path=word/footer1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C4CB30" w14:textId="77777777" w:rsidR="00C45D59" w:rsidRDefault="00C45D59">
    <w:pPr>
      <w:pStyle w:val="Footer"/>
    </w:pPr>
  </w:p>
</w:ftr>
</file>

<file path=word/footer1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78392381"/>
      <w:docPartObj>
        <w:docPartGallery w:val="Page Numbers (Bottom of Page)"/>
        <w:docPartUnique/>
      </w:docPartObj>
    </w:sdtPr>
    <w:sdtEndPr/>
    <w:sdtContent>
      <w:p w14:paraId="304ECEB4" w14:textId="12DC8C79" w:rsidR="00C45D59" w:rsidRDefault="009B0962">
        <w:pPr>
          <w:pStyle w:val="Footer"/>
          <w:jc w:val="center"/>
        </w:pPr>
        <w:r>
          <w:fldChar w:fldCharType="begin"/>
        </w:r>
        <w:r>
          <w:instrText xml:space="preserve"> PAGE   \* MERGEFORMAT </w:instrText>
        </w:r>
        <w:r>
          <w:fldChar w:fldCharType="separate"/>
        </w:r>
        <w:r>
          <w:t>2</w:t>
        </w:r>
        <w:r>
          <w:fldChar w:fldCharType="end"/>
        </w:r>
      </w:p>
    </w:sdtContent>
  </w:sdt>
  <w:p w14:paraId="02E046D6" w14:textId="77777777" w:rsidR="00C45D59" w:rsidRDefault="00C45D59">
    <w:pPr>
      <w:pStyle w:val="FooterCouncil"/>
    </w:pPr>
  </w:p>
</w:ftr>
</file>

<file path=word/footer1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95850A" w14:textId="77777777" w:rsidR="00C45D59" w:rsidRDefault="00C45D59">
    <w:pPr>
      <w:pStyle w:val="Footer"/>
    </w:pPr>
  </w:p>
</w:ftr>
</file>

<file path=word/footer16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4AFF45" w14:textId="77777777" w:rsidR="00C45D59" w:rsidRDefault="00C45D59">
    <w:pPr>
      <w:pStyle w:val="Footer"/>
    </w:pPr>
  </w:p>
</w:ftr>
</file>

<file path=word/footer16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3664215"/>
      <w:docPartObj>
        <w:docPartGallery w:val="Page Numbers (Bottom of Page)"/>
        <w:docPartUnique/>
      </w:docPartObj>
    </w:sdtPr>
    <w:sdtEndPr/>
    <w:sdtContent>
      <w:p w14:paraId="0F8921C1" w14:textId="0184465B" w:rsidR="00C45D59" w:rsidRDefault="009B0962">
        <w:pPr>
          <w:pStyle w:val="Footer"/>
          <w:jc w:val="center"/>
        </w:pPr>
        <w:r>
          <w:fldChar w:fldCharType="begin"/>
        </w:r>
        <w:r>
          <w:instrText xml:space="preserve"> PAGE   \* MERGEFORMAT </w:instrText>
        </w:r>
        <w:r>
          <w:fldChar w:fldCharType="separate"/>
        </w:r>
        <w:r>
          <w:t>2</w:t>
        </w:r>
        <w:r>
          <w:fldChar w:fldCharType="end"/>
        </w:r>
      </w:p>
    </w:sdtContent>
  </w:sdt>
  <w:p w14:paraId="257B941C" w14:textId="77777777" w:rsidR="00C45D59" w:rsidRDefault="00C45D59">
    <w:pPr>
      <w:pStyle w:val="FooterCouncil"/>
    </w:pPr>
  </w:p>
</w:ftr>
</file>

<file path=word/footer16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824DBA" w14:textId="77777777" w:rsidR="00C45D59" w:rsidRDefault="00C45D59">
    <w:pPr>
      <w:pStyle w:val="Footer"/>
    </w:pPr>
  </w:p>
</w:ftr>
</file>

<file path=word/footer16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7E9A28" w14:textId="77777777" w:rsidR="00C45D59" w:rsidRDefault="00C45D59">
    <w:pPr>
      <w:pStyle w:val="Footer"/>
    </w:pPr>
  </w:p>
</w:ftr>
</file>

<file path=word/footer16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36957615"/>
      <w:docPartObj>
        <w:docPartGallery w:val="Page Numbers (Bottom of Page)"/>
        <w:docPartUnique/>
      </w:docPartObj>
    </w:sdtPr>
    <w:sdtEndPr/>
    <w:sdtContent>
      <w:p w14:paraId="3AC12A2A" w14:textId="15AF9C25" w:rsidR="00C45D59" w:rsidRDefault="009B0962">
        <w:pPr>
          <w:pStyle w:val="Footer"/>
          <w:jc w:val="center"/>
        </w:pPr>
        <w:r>
          <w:fldChar w:fldCharType="begin"/>
        </w:r>
        <w:r>
          <w:instrText xml:space="preserve"> PAGE   \* MERGEFORMAT </w:instrText>
        </w:r>
        <w:r>
          <w:fldChar w:fldCharType="separate"/>
        </w:r>
        <w:r>
          <w:t>2</w:t>
        </w:r>
        <w:r>
          <w:fldChar w:fldCharType="end"/>
        </w:r>
      </w:p>
    </w:sdtContent>
  </w:sdt>
  <w:p w14:paraId="3EAD849A" w14:textId="77777777" w:rsidR="00C45D59" w:rsidRDefault="00C45D59">
    <w:pPr>
      <w:pStyle w:val="FooterCouncil"/>
    </w:pPr>
  </w:p>
</w:ftr>
</file>

<file path=word/footer16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092ECC" w14:textId="77777777" w:rsidR="00C45D59" w:rsidRDefault="00C45D59">
    <w:pPr>
      <w:pStyle w:val="Footer"/>
    </w:pPr>
  </w:p>
</w:ftr>
</file>

<file path=word/footer16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1CDB7A" w14:textId="77777777" w:rsidR="00C45D59" w:rsidRDefault="00C45D59">
    <w:pPr>
      <w:pStyle w:val="Footer"/>
    </w:pPr>
  </w:p>
</w:ftr>
</file>

<file path=word/footer16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97994643"/>
      <w:docPartObj>
        <w:docPartGallery w:val="Page Numbers (Bottom of Page)"/>
        <w:docPartUnique/>
      </w:docPartObj>
    </w:sdtPr>
    <w:sdtEndPr/>
    <w:sdtContent>
      <w:p w14:paraId="435DCF2C" w14:textId="4B0C299A" w:rsidR="00C45D59" w:rsidRDefault="009B0962">
        <w:pPr>
          <w:pStyle w:val="Footer"/>
          <w:jc w:val="center"/>
        </w:pPr>
        <w:r>
          <w:fldChar w:fldCharType="begin"/>
        </w:r>
        <w:r>
          <w:instrText xml:space="preserve"> PAGE   \* MERGEFORMAT </w:instrText>
        </w:r>
        <w:r>
          <w:fldChar w:fldCharType="separate"/>
        </w:r>
        <w:r>
          <w:t>2</w:t>
        </w:r>
        <w:r>
          <w:fldChar w:fldCharType="end"/>
        </w:r>
      </w:p>
    </w:sdtContent>
  </w:sdt>
  <w:p w14:paraId="21CA83BF" w14:textId="77777777" w:rsidR="00C45D59" w:rsidRDefault="00C45D59">
    <w:pPr>
      <w:pStyle w:val="FooterCouncil"/>
    </w:pPr>
  </w:p>
</w:ftr>
</file>

<file path=word/footer16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395026" w14:textId="77777777" w:rsidR="00C45D59" w:rsidRDefault="00C45D59">
    <w:pPr>
      <w:pStyle w:val="Footer"/>
    </w:pPr>
  </w:p>
</w:ftr>
</file>

<file path=word/footer16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9271E1" w14:textId="77777777" w:rsidR="00C45D59" w:rsidRDefault="00C45D59">
    <w:pPr>
      <w:pStyle w:val="Footer"/>
    </w:pPr>
  </w:p>
</w:ftr>
</file>

<file path=word/footer17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32035440"/>
      <w:docPartObj>
        <w:docPartGallery w:val="Page Numbers (Bottom of Page)"/>
        <w:docPartUnique/>
      </w:docPartObj>
    </w:sdtPr>
    <w:sdtEndPr/>
    <w:sdtContent>
      <w:p w14:paraId="3BDA8A1D" w14:textId="292D8516" w:rsidR="00C45D59" w:rsidRDefault="009B0962">
        <w:pPr>
          <w:pStyle w:val="Footer"/>
          <w:jc w:val="center"/>
        </w:pPr>
        <w:r>
          <w:fldChar w:fldCharType="begin"/>
        </w:r>
        <w:r>
          <w:instrText xml:space="preserve"> PAGE   \* MERGEFORMAT </w:instrText>
        </w:r>
        <w:r>
          <w:fldChar w:fldCharType="separate"/>
        </w:r>
        <w:r>
          <w:t>2</w:t>
        </w:r>
        <w:r>
          <w:fldChar w:fldCharType="end"/>
        </w:r>
      </w:p>
    </w:sdtContent>
  </w:sdt>
  <w:p w14:paraId="30C4CA8B" w14:textId="77777777" w:rsidR="00C45D59" w:rsidRDefault="00C45D59">
    <w:pPr>
      <w:pStyle w:val="FooterCouncil"/>
    </w:pPr>
  </w:p>
</w:ftr>
</file>

<file path=word/footer17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D25F67" w14:textId="77777777" w:rsidR="00C45D59" w:rsidRDefault="00C45D59">
    <w:pPr>
      <w:pStyle w:val="Footer"/>
    </w:pPr>
  </w:p>
</w:ftr>
</file>

<file path=word/footer17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62DB82" w14:textId="77777777" w:rsidR="00C45D59" w:rsidRDefault="00C45D59">
    <w:pPr>
      <w:pStyle w:val="Footer"/>
    </w:pPr>
  </w:p>
</w:ftr>
</file>

<file path=word/footer17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6453540"/>
      <w:docPartObj>
        <w:docPartGallery w:val="Page Numbers (Bottom of Page)"/>
        <w:docPartUnique/>
      </w:docPartObj>
    </w:sdtPr>
    <w:sdtEndPr/>
    <w:sdtContent>
      <w:p w14:paraId="395140C9" w14:textId="4C1F738F" w:rsidR="00C45D59" w:rsidRDefault="009B0962">
        <w:pPr>
          <w:pStyle w:val="Footer"/>
          <w:jc w:val="center"/>
        </w:pPr>
        <w:r>
          <w:fldChar w:fldCharType="begin"/>
        </w:r>
        <w:r>
          <w:instrText xml:space="preserve"> PAGE   \* MERGEFORMAT </w:instrText>
        </w:r>
        <w:r>
          <w:fldChar w:fldCharType="separate"/>
        </w:r>
        <w:r>
          <w:t>2</w:t>
        </w:r>
        <w:r>
          <w:fldChar w:fldCharType="end"/>
        </w:r>
      </w:p>
    </w:sdtContent>
  </w:sdt>
  <w:p w14:paraId="5502F42A" w14:textId="77777777" w:rsidR="00C45D59" w:rsidRDefault="00C45D59">
    <w:pPr>
      <w:pStyle w:val="FooterCouncil"/>
    </w:pPr>
  </w:p>
</w:ftr>
</file>

<file path=word/footer17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5C17B7" w14:textId="77777777" w:rsidR="00C45D59" w:rsidRDefault="00C45D59">
    <w:pPr>
      <w:pStyle w:val="Footer"/>
    </w:pPr>
  </w:p>
</w:ftr>
</file>

<file path=word/footer17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3CF61D" w14:textId="77777777" w:rsidR="00C45D59" w:rsidRDefault="00C45D59">
    <w:pPr>
      <w:pStyle w:val="Footer"/>
    </w:pPr>
  </w:p>
</w:ftr>
</file>

<file path=word/footer17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42517200"/>
      <w:docPartObj>
        <w:docPartGallery w:val="Page Numbers (Bottom of Page)"/>
        <w:docPartUnique/>
      </w:docPartObj>
    </w:sdtPr>
    <w:sdtEndPr/>
    <w:sdtContent>
      <w:p w14:paraId="7D6862EE" w14:textId="75BB2839" w:rsidR="00C45D59" w:rsidRDefault="009B0962">
        <w:pPr>
          <w:pStyle w:val="Footer"/>
          <w:jc w:val="center"/>
        </w:pPr>
        <w:r>
          <w:fldChar w:fldCharType="begin"/>
        </w:r>
        <w:r>
          <w:instrText xml:space="preserve"> PAGE   \* MERGEFORMAT </w:instrText>
        </w:r>
        <w:r>
          <w:fldChar w:fldCharType="separate"/>
        </w:r>
        <w:r>
          <w:t>2</w:t>
        </w:r>
        <w:r>
          <w:fldChar w:fldCharType="end"/>
        </w:r>
      </w:p>
    </w:sdtContent>
  </w:sdt>
  <w:p w14:paraId="379C7A98" w14:textId="77777777" w:rsidR="00C45D59" w:rsidRDefault="00C45D59">
    <w:pPr>
      <w:pStyle w:val="FooterCouncil"/>
    </w:pPr>
  </w:p>
</w:ftr>
</file>

<file path=word/footer17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28AC68" w14:textId="77777777" w:rsidR="00C45D59" w:rsidRDefault="00C45D59">
    <w:pPr>
      <w:pStyle w:val="Footer"/>
    </w:pPr>
  </w:p>
</w:ftr>
</file>

<file path=word/footer17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A2C5A8" w14:textId="77777777" w:rsidR="00C45D59" w:rsidRDefault="00C45D59">
    <w:pPr>
      <w:pStyle w:val="Footer"/>
    </w:pPr>
  </w:p>
</w:ftr>
</file>

<file path=word/footer17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31448594"/>
      <w:docPartObj>
        <w:docPartGallery w:val="Page Numbers (Bottom of Page)"/>
        <w:docPartUnique/>
      </w:docPartObj>
    </w:sdtPr>
    <w:sdtEndPr/>
    <w:sdtContent>
      <w:p w14:paraId="41EA1F34" w14:textId="20A5C70B" w:rsidR="00C45D59" w:rsidRDefault="009B0962">
        <w:pPr>
          <w:pStyle w:val="Footer"/>
          <w:jc w:val="center"/>
        </w:pPr>
        <w:r>
          <w:fldChar w:fldCharType="begin"/>
        </w:r>
        <w:r>
          <w:instrText xml:space="preserve"> PAGE   \* MERGEFORMAT </w:instrText>
        </w:r>
        <w:r>
          <w:fldChar w:fldCharType="separate"/>
        </w:r>
        <w:r>
          <w:t>2</w:t>
        </w:r>
        <w:r>
          <w:fldChar w:fldCharType="end"/>
        </w:r>
      </w:p>
    </w:sdtContent>
  </w:sdt>
  <w:p w14:paraId="5B8CF7A5" w14:textId="77777777" w:rsidR="00C45D59" w:rsidRDefault="00C45D59">
    <w:pPr>
      <w:pStyle w:val="FooterCouncil"/>
    </w:pPr>
  </w:p>
</w:ftr>
</file>

<file path=word/footer18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FCCE80" w14:textId="77777777" w:rsidR="00C45D59" w:rsidRDefault="00C45D59">
    <w:pPr>
      <w:pStyle w:val="Footer"/>
    </w:pPr>
  </w:p>
</w:ftr>
</file>

<file path=word/footer18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CE3489" w14:textId="77777777" w:rsidR="00C45D59" w:rsidRDefault="00C45D59">
    <w:pPr>
      <w:pStyle w:val="Footer"/>
    </w:pPr>
  </w:p>
</w:ftr>
</file>

<file path=word/footer18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85184781"/>
      <w:docPartObj>
        <w:docPartGallery w:val="Page Numbers (Bottom of Page)"/>
        <w:docPartUnique/>
      </w:docPartObj>
    </w:sdtPr>
    <w:sdtEndPr/>
    <w:sdtContent>
      <w:p w14:paraId="1345F360" w14:textId="5C093746" w:rsidR="00C45D59" w:rsidRDefault="009B0962">
        <w:pPr>
          <w:pStyle w:val="Footer"/>
          <w:jc w:val="center"/>
        </w:pPr>
        <w:r>
          <w:fldChar w:fldCharType="begin"/>
        </w:r>
        <w:r>
          <w:instrText xml:space="preserve"> PAGE   \* MERGEFORMAT </w:instrText>
        </w:r>
        <w:r>
          <w:fldChar w:fldCharType="separate"/>
        </w:r>
        <w:r>
          <w:t>2</w:t>
        </w:r>
        <w:r>
          <w:fldChar w:fldCharType="end"/>
        </w:r>
      </w:p>
    </w:sdtContent>
  </w:sdt>
  <w:p w14:paraId="1FE40FB5" w14:textId="77777777" w:rsidR="00C45D59" w:rsidRDefault="00C45D59">
    <w:pPr>
      <w:pStyle w:val="FooterCouncil"/>
    </w:pPr>
  </w:p>
</w:ftr>
</file>

<file path=word/footer18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37C989" w14:textId="77777777" w:rsidR="00C45D59" w:rsidRDefault="00C45D59">
    <w:pPr>
      <w:pStyle w:val="Footer"/>
    </w:pPr>
  </w:p>
</w:ftr>
</file>

<file path=word/footer18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7883DF" w14:textId="77777777" w:rsidR="00C45D59" w:rsidRDefault="00C45D59">
    <w:pPr>
      <w:pStyle w:val="Footer"/>
    </w:pPr>
  </w:p>
</w:ftr>
</file>

<file path=word/footer18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72079073"/>
      <w:docPartObj>
        <w:docPartGallery w:val="Page Numbers (Bottom of Page)"/>
        <w:docPartUnique/>
      </w:docPartObj>
    </w:sdtPr>
    <w:sdtEndPr/>
    <w:sdtContent>
      <w:p w14:paraId="1C2B13B6" w14:textId="451C47E1" w:rsidR="00C45D59" w:rsidRDefault="009B0962">
        <w:pPr>
          <w:pStyle w:val="Footer"/>
          <w:jc w:val="center"/>
        </w:pPr>
        <w:r>
          <w:fldChar w:fldCharType="begin"/>
        </w:r>
        <w:r>
          <w:instrText xml:space="preserve"> PAGE   \* MERGEFORMAT </w:instrText>
        </w:r>
        <w:r>
          <w:fldChar w:fldCharType="separate"/>
        </w:r>
        <w:r>
          <w:t>2</w:t>
        </w:r>
        <w:r>
          <w:fldChar w:fldCharType="end"/>
        </w:r>
      </w:p>
    </w:sdtContent>
  </w:sdt>
  <w:p w14:paraId="0EC0C15A" w14:textId="77777777" w:rsidR="00C45D59" w:rsidRDefault="00C45D59">
    <w:pPr>
      <w:pStyle w:val="FooterCouncil"/>
    </w:pPr>
  </w:p>
</w:ftr>
</file>

<file path=word/footer18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E0B0E1" w14:textId="77777777" w:rsidR="00C45D59" w:rsidRDefault="00C45D59">
    <w:pPr>
      <w:pStyle w:val="Footer"/>
    </w:pPr>
  </w:p>
</w:ftr>
</file>

<file path=word/footer18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00C9FE" w14:textId="77777777" w:rsidR="00C45D59" w:rsidRDefault="00C45D59">
    <w:pPr>
      <w:pStyle w:val="Footer"/>
    </w:pPr>
  </w:p>
</w:ftr>
</file>

<file path=word/footer18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6785425"/>
      <w:docPartObj>
        <w:docPartGallery w:val="Page Numbers (Bottom of Page)"/>
        <w:docPartUnique/>
      </w:docPartObj>
    </w:sdtPr>
    <w:sdtEndPr/>
    <w:sdtContent>
      <w:p w14:paraId="5B038A63" w14:textId="3059C109" w:rsidR="00C45D59" w:rsidRDefault="009B0962">
        <w:pPr>
          <w:pStyle w:val="Footer"/>
          <w:jc w:val="center"/>
        </w:pPr>
        <w:r>
          <w:fldChar w:fldCharType="begin"/>
        </w:r>
        <w:r>
          <w:instrText xml:space="preserve"> PAGE   \* MERGEFORMAT </w:instrText>
        </w:r>
        <w:r>
          <w:fldChar w:fldCharType="separate"/>
        </w:r>
        <w:r>
          <w:t>2</w:t>
        </w:r>
        <w:r>
          <w:fldChar w:fldCharType="end"/>
        </w:r>
      </w:p>
    </w:sdtContent>
  </w:sdt>
  <w:p w14:paraId="6304F473" w14:textId="77777777" w:rsidR="00C45D59" w:rsidRDefault="00C45D59">
    <w:pPr>
      <w:pStyle w:val="FooterCouncil"/>
    </w:pPr>
  </w:p>
</w:ftr>
</file>

<file path=word/footer18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A29433" w14:textId="77777777" w:rsidR="00C45D59" w:rsidRDefault="00C45D59">
    <w:pPr>
      <w:pStyle w:val="Footer"/>
    </w:pPr>
  </w:p>
</w:ftr>
</file>

<file path=word/footer19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2538A9" w14:textId="77777777" w:rsidR="00C45D59" w:rsidRDefault="00C45D59">
    <w:pPr>
      <w:pStyle w:val="Footer"/>
    </w:pPr>
  </w:p>
</w:ftr>
</file>

<file path=word/footer19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9311859"/>
      <w:docPartObj>
        <w:docPartGallery w:val="Page Numbers (Bottom of Page)"/>
        <w:docPartUnique/>
      </w:docPartObj>
    </w:sdtPr>
    <w:sdtEndPr/>
    <w:sdtContent>
      <w:p w14:paraId="39E22A83" w14:textId="491334DC" w:rsidR="00C45D59" w:rsidRDefault="009B0962">
        <w:pPr>
          <w:pStyle w:val="Footer"/>
          <w:jc w:val="center"/>
        </w:pPr>
        <w:r>
          <w:fldChar w:fldCharType="begin"/>
        </w:r>
        <w:r>
          <w:instrText xml:space="preserve"> PAGE   \* MERGEFORMAT </w:instrText>
        </w:r>
        <w:r>
          <w:fldChar w:fldCharType="separate"/>
        </w:r>
        <w:r>
          <w:t>2</w:t>
        </w:r>
        <w:r>
          <w:fldChar w:fldCharType="end"/>
        </w:r>
      </w:p>
    </w:sdtContent>
  </w:sdt>
  <w:p w14:paraId="51C99793" w14:textId="77777777" w:rsidR="00C45D59" w:rsidRDefault="00C45D59">
    <w:pPr>
      <w:pStyle w:val="FooterCouncil"/>
    </w:pPr>
  </w:p>
</w:ftr>
</file>

<file path=word/footer19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5F9262" w14:textId="77777777" w:rsidR="00C45D59" w:rsidRDefault="00C45D59">
    <w:pPr>
      <w:pStyle w:val="Footer"/>
    </w:pPr>
  </w:p>
</w:ftr>
</file>

<file path=word/footer19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7D3629" w14:textId="77777777" w:rsidR="00C45D59" w:rsidRDefault="00C45D59">
    <w:pPr>
      <w:pStyle w:val="Footer"/>
    </w:pPr>
  </w:p>
</w:ftr>
</file>

<file path=word/footer19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6473922"/>
      <w:docPartObj>
        <w:docPartGallery w:val="Page Numbers (Bottom of Page)"/>
        <w:docPartUnique/>
      </w:docPartObj>
    </w:sdtPr>
    <w:sdtEndPr/>
    <w:sdtContent>
      <w:p w14:paraId="789BF1D3" w14:textId="2F84BB53" w:rsidR="00C45D59" w:rsidRDefault="009B0962">
        <w:pPr>
          <w:pStyle w:val="Footer"/>
          <w:jc w:val="center"/>
        </w:pPr>
        <w:r>
          <w:fldChar w:fldCharType="begin"/>
        </w:r>
        <w:r>
          <w:instrText xml:space="preserve"> PAGE   \* MERGEFORMAT </w:instrText>
        </w:r>
        <w:r>
          <w:fldChar w:fldCharType="separate"/>
        </w:r>
        <w:r>
          <w:t>2</w:t>
        </w:r>
        <w:r>
          <w:fldChar w:fldCharType="end"/>
        </w:r>
      </w:p>
    </w:sdtContent>
  </w:sdt>
  <w:p w14:paraId="6A027D1A" w14:textId="77777777" w:rsidR="00C45D59" w:rsidRDefault="00C45D59">
    <w:pPr>
      <w:pStyle w:val="FooterCouncil"/>
    </w:pPr>
  </w:p>
</w:ftr>
</file>

<file path=word/footer19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1E8FC5" w14:textId="77777777" w:rsidR="00C45D59" w:rsidRDefault="00C45D59">
    <w:pPr>
      <w:pStyle w:val="Footer"/>
    </w:pPr>
  </w:p>
</w:ftr>
</file>

<file path=word/footer19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7562BB" w14:textId="77777777" w:rsidR="00C45D59" w:rsidRDefault="00C45D59">
    <w:pPr>
      <w:pStyle w:val="Footer"/>
    </w:pPr>
  </w:p>
</w:ftr>
</file>

<file path=word/footer19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3329199"/>
      <w:docPartObj>
        <w:docPartGallery w:val="Page Numbers (Bottom of Page)"/>
        <w:docPartUnique/>
      </w:docPartObj>
    </w:sdtPr>
    <w:sdtEndPr/>
    <w:sdtContent>
      <w:p w14:paraId="3B3C7FAB" w14:textId="6868D396" w:rsidR="00C45D59" w:rsidRDefault="009B0962">
        <w:pPr>
          <w:pStyle w:val="Footer"/>
          <w:jc w:val="center"/>
        </w:pPr>
        <w:r>
          <w:fldChar w:fldCharType="begin"/>
        </w:r>
        <w:r>
          <w:instrText xml:space="preserve"> PAGE   \* MERGEFORMAT </w:instrText>
        </w:r>
        <w:r>
          <w:fldChar w:fldCharType="separate"/>
        </w:r>
        <w:r>
          <w:t>2</w:t>
        </w:r>
        <w:r>
          <w:fldChar w:fldCharType="end"/>
        </w:r>
      </w:p>
    </w:sdtContent>
  </w:sdt>
  <w:p w14:paraId="6DC08F5D" w14:textId="77777777" w:rsidR="00C45D59" w:rsidRDefault="00C45D59">
    <w:pPr>
      <w:pStyle w:val="FooterCouncil"/>
    </w:pPr>
  </w:p>
</w:ftr>
</file>

<file path=word/footer19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F56172" w14:textId="77777777" w:rsidR="00C45D59" w:rsidRDefault="00C45D59">
    <w:pPr>
      <w:pStyle w:val="Footer"/>
    </w:pPr>
  </w:p>
</w:ftr>
</file>

<file path=word/footer19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70D275" w14:textId="77777777" w:rsidR="00C45D59" w:rsidRDefault="00C45D59">
    <w:pPr>
      <w:pStyle w:val="Footer"/>
    </w:pPr>
  </w:p>
</w:ftr>
</file>

<file path=word/footer20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5367176"/>
      <w:docPartObj>
        <w:docPartGallery w:val="Page Numbers (Bottom of Page)"/>
        <w:docPartUnique/>
      </w:docPartObj>
    </w:sdtPr>
    <w:sdtEndPr/>
    <w:sdtContent>
      <w:p w14:paraId="6EF0E01C" w14:textId="7919A1F3" w:rsidR="00C45D59" w:rsidRDefault="009B0962">
        <w:pPr>
          <w:pStyle w:val="Footer"/>
          <w:jc w:val="center"/>
        </w:pPr>
        <w:r>
          <w:fldChar w:fldCharType="begin"/>
        </w:r>
        <w:r>
          <w:instrText xml:space="preserve"> PAGE   \* MERGEFORMAT </w:instrText>
        </w:r>
        <w:r>
          <w:fldChar w:fldCharType="separate"/>
        </w:r>
        <w:r>
          <w:t>2</w:t>
        </w:r>
        <w:r>
          <w:fldChar w:fldCharType="end"/>
        </w:r>
      </w:p>
    </w:sdtContent>
  </w:sdt>
  <w:p w14:paraId="3A3DF935" w14:textId="77777777" w:rsidR="00C45D59" w:rsidRDefault="00C45D59">
    <w:pPr>
      <w:pStyle w:val="FooterCouncil"/>
    </w:pPr>
  </w:p>
</w:ftr>
</file>

<file path=word/footer20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5EDBF5" w14:textId="77777777" w:rsidR="00C45D59" w:rsidRDefault="00C45D59">
    <w:pPr>
      <w:pStyle w:val="Footer"/>
    </w:pPr>
  </w:p>
</w:ftr>
</file>

<file path=word/footer20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264749" w14:textId="77777777" w:rsidR="00C45D59" w:rsidRDefault="00C45D59">
    <w:pPr>
      <w:pStyle w:val="Footer"/>
    </w:pPr>
  </w:p>
</w:ftr>
</file>

<file path=word/footer20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7359217"/>
      <w:docPartObj>
        <w:docPartGallery w:val="Page Numbers (Bottom of Page)"/>
        <w:docPartUnique/>
      </w:docPartObj>
    </w:sdtPr>
    <w:sdtEndPr/>
    <w:sdtContent>
      <w:p w14:paraId="4968BA22" w14:textId="0D27C9A7" w:rsidR="00C45D59" w:rsidRDefault="009B0962">
        <w:pPr>
          <w:pStyle w:val="Footer"/>
          <w:jc w:val="center"/>
        </w:pPr>
        <w:r>
          <w:fldChar w:fldCharType="begin"/>
        </w:r>
        <w:r>
          <w:instrText xml:space="preserve"> PAGE   \* MERGEFORMAT </w:instrText>
        </w:r>
        <w:r>
          <w:fldChar w:fldCharType="separate"/>
        </w:r>
        <w:r>
          <w:t>2</w:t>
        </w:r>
        <w:r>
          <w:fldChar w:fldCharType="end"/>
        </w:r>
      </w:p>
    </w:sdtContent>
  </w:sdt>
  <w:p w14:paraId="78339AC0" w14:textId="77777777" w:rsidR="00C45D59" w:rsidRDefault="00C45D59">
    <w:pPr>
      <w:pStyle w:val="FooterCouncil"/>
    </w:pPr>
  </w:p>
</w:ftr>
</file>

<file path=word/footer20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26A371" w14:textId="77777777" w:rsidR="00C45D59" w:rsidRDefault="00C45D59">
    <w:pPr>
      <w:pStyle w:val="Footer"/>
    </w:pPr>
  </w:p>
</w:ftr>
</file>

<file path=word/footer20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0A0277" w14:textId="77777777" w:rsidR="00C45D59" w:rsidRDefault="00C45D59">
    <w:pPr>
      <w:pStyle w:val="Footer"/>
    </w:pPr>
  </w:p>
</w:ftr>
</file>

<file path=word/footer20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8473672"/>
      <w:docPartObj>
        <w:docPartGallery w:val="Page Numbers (Bottom of Page)"/>
        <w:docPartUnique/>
      </w:docPartObj>
    </w:sdtPr>
    <w:sdtEndPr/>
    <w:sdtContent>
      <w:p w14:paraId="67FF127D" w14:textId="59B833FA" w:rsidR="00C45D59" w:rsidRDefault="009B0962">
        <w:pPr>
          <w:pStyle w:val="Footer"/>
          <w:jc w:val="center"/>
        </w:pPr>
        <w:r>
          <w:fldChar w:fldCharType="begin"/>
        </w:r>
        <w:r>
          <w:instrText xml:space="preserve"> PAGE   \* MERGEFORMAT </w:instrText>
        </w:r>
        <w:r>
          <w:fldChar w:fldCharType="separate"/>
        </w:r>
        <w:r>
          <w:t>2</w:t>
        </w:r>
        <w:r>
          <w:fldChar w:fldCharType="end"/>
        </w:r>
      </w:p>
    </w:sdtContent>
  </w:sdt>
  <w:p w14:paraId="7038D40E" w14:textId="77777777" w:rsidR="00C45D59" w:rsidRDefault="00C45D59">
    <w:pPr>
      <w:pStyle w:val="FooterCouncil"/>
    </w:pPr>
  </w:p>
</w:ftr>
</file>

<file path=word/footer20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7AA6F4" w14:textId="77777777" w:rsidR="00C45D59" w:rsidRDefault="00C45D59">
    <w:pPr>
      <w:pStyle w:val="Footer"/>
    </w:pPr>
  </w:p>
</w:ftr>
</file>

<file path=word/footer20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498C31" w14:textId="77777777" w:rsidR="00C45D59" w:rsidRDefault="00C45D59">
    <w:pPr>
      <w:pStyle w:val="Footer"/>
    </w:pPr>
  </w:p>
</w:ftr>
</file>

<file path=word/footer20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68276639"/>
      <w:docPartObj>
        <w:docPartGallery w:val="Page Numbers (Bottom of Page)"/>
        <w:docPartUnique/>
      </w:docPartObj>
    </w:sdtPr>
    <w:sdtEndPr/>
    <w:sdtContent>
      <w:p w14:paraId="3BA36A3C" w14:textId="7F8ED69E" w:rsidR="00C45D59" w:rsidRDefault="009B0962">
        <w:pPr>
          <w:pStyle w:val="Footer"/>
          <w:jc w:val="center"/>
        </w:pPr>
        <w:r>
          <w:fldChar w:fldCharType="begin"/>
        </w:r>
        <w:r>
          <w:instrText xml:space="preserve"> PAGE   \* MERGEFORMAT </w:instrText>
        </w:r>
        <w:r>
          <w:fldChar w:fldCharType="separate"/>
        </w:r>
        <w:r>
          <w:t>2</w:t>
        </w:r>
        <w:r>
          <w:fldChar w:fldCharType="end"/>
        </w:r>
      </w:p>
    </w:sdtContent>
  </w:sdt>
  <w:p w14:paraId="62B60BCF" w14:textId="77777777" w:rsidR="00C45D59" w:rsidRDefault="00C45D59">
    <w:pPr>
      <w:pStyle w:val="FooterCouncil"/>
    </w:pPr>
  </w:p>
</w:ftr>
</file>

<file path=word/footer2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90939A" w14:textId="77777777" w:rsidR="00C45D59" w:rsidRDefault="00C45D59">
    <w:pPr>
      <w:pStyle w:val="Footer"/>
    </w:pPr>
  </w:p>
</w:ftr>
</file>

<file path=word/footer2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C4261B" w14:textId="77777777" w:rsidR="00C45D59" w:rsidRDefault="00C45D59">
    <w:pPr>
      <w:pStyle w:val="Footer"/>
    </w:pPr>
  </w:p>
</w:ftr>
</file>

<file path=word/footer2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55277674"/>
      <w:docPartObj>
        <w:docPartGallery w:val="Page Numbers (Bottom of Page)"/>
        <w:docPartUnique/>
      </w:docPartObj>
    </w:sdtPr>
    <w:sdtEndPr/>
    <w:sdtContent>
      <w:p w14:paraId="779EEB63" w14:textId="72BBEC03" w:rsidR="00C45D59" w:rsidRDefault="009B0962">
        <w:pPr>
          <w:pStyle w:val="Footer"/>
          <w:jc w:val="center"/>
        </w:pPr>
        <w:r>
          <w:fldChar w:fldCharType="begin"/>
        </w:r>
        <w:r>
          <w:instrText xml:space="preserve"> PAGE   \* MERGEFORMAT </w:instrText>
        </w:r>
        <w:r>
          <w:fldChar w:fldCharType="separate"/>
        </w:r>
        <w:r>
          <w:t>2</w:t>
        </w:r>
        <w:r>
          <w:fldChar w:fldCharType="end"/>
        </w:r>
      </w:p>
    </w:sdtContent>
  </w:sdt>
  <w:p w14:paraId="58694830" w14:textId="77777777" w:rsidR="00C45D59" w:rsidRDefault="00C45D59">
    <w:pPr>
      <w:pStyle w:val="FooterCouncil"/>
    </w:pPr>
  </w:p>
</w:ftr>
</file>

<file path=word/footer2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E90F94" w14:textId="77777777" w:rsidR="00C45D59" w:rsidRDefault="00C45D59">
    <w:pPr>
      <w:pStyle w:val="Footer"/>
    </w:pPr>
  </w:p>
</w:ftr>
</file>

<file path=word/footer2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3D597B" w14:textId="77777777" w:rsidR="00C45D59" w:rsidRDefault="00C45D59">
    <w:pPr>
      <w:pStyle w:val="Footer"/>
    </w:pPr>
  </w:p>
</w:ftr>
</file>

<file path=word/footer2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49946171"/>
      <w:docPartObj>
        <w:docPartGallery w:val="Page Numbers (Bottom of Page)"/>
        <w:docPartUnique/>
      </w:docPartObj>
    </w:sdtPr>
    <w:sdtEndPr/>
    <w:sdtContent>
      <w:p w14:paraId="50AFB7AE" w14:textId="6FB10828" w:rsidR="00C45D59" w:rsidRDefault="009B0962">
        <w:pPr>
          <w:pStyle w:val="Footer"/>
          <w:jc w:val="center"/>
        </w:pPr>
        <w:r>
          <w:fldChar w:fldCharType="begin"/>
        </w:r>
        <w:r>
          <w:instrText xml:space="preserve"> PAGE   \* MERGEFORMAT </w:instrText>
        </w:r>
        <w:r>
          <w:fldChar w:fldCharType="separate"/>
        </w:r>
        <w:r>
          <w:t>2</w:t>
        </w:r>
        <w:r>
          <w:fldChar w:fldCharType="end"/>
        </w:r>
      </w:p>
    </w:sdtContent>
  </w:sdt>
  <w:p w14:paraId="4304A0B5" w14:textId="77777777" w:rsidR="00C45D59" w:rsidRDefault="00C45D59">
    <w:pPr>
      <w:pStyle w:val="FooterCouncil"/>
    </w:pPr>
  </w:p>
</w:ftr>
</file>

<file path=word/footer2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279D22" w14:textId="77777777" w:rsidR="00C45D59" w:rsidRDefault="00C45D59">
    <w:pPr>
      <w:pStyle w:val="Footer"/>
    </w:pPr>
  </w:p>
</w:ftr>
</file>

<file path=word/footer2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2701B7" w14:textId="77777777" w:rsidR="00C45D59" w:rsidRDefault="00C45D59">
    <w:pPr>
      <w:pStyle w:val="Footer"/>
    </w:pPr>
  </w:p>
</w:ftr>
</file>

<file path=word/footer2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50599252"/>
      <w:docPartObj>
        <w:docPartGallery w:val="Page Numbers (Bottom of Page)"/>
        <w:docPartUnique/>
      </w:docPartObj>
    </w:sdtPr>
    <w:sdtEndPr/>
    <w:sdtContent>
      <w:p w14:paraId="27EDEB09" w14:textId="7F84E488" w:rsidR="00C45D59" w:rsidRDefault="009B0962">
        <w:pPr>
          <w:pStyle w:val="Footer"/>
          <w:jc w:val="center"/>
        </w:pPr>
        <w:r>
          <w:fldChar w:fldCharType="begin"/>
        </w:r>
        <w:r>
          <w:instrText xml:space="preserve"> PAGE   \* MERGEFORMAT </w:instrText>
        </w:r>
        <w:r>
          <w:fldChar w:fldCharType="separate"/>
        </w:r>
        <w:r>
          <w:t>2</w:t>
        </w:r>
        <w:r>
          <w:fldChar w:fldCharType="end"/>
        </w:r>
      </w:p>
    </w:sdtContent>
  </w:sdt>
  <w:p w14:paraId="49FF2943" w14:textId="77777777" w:rsidR="00C45D59" w:rsidRDefault="00C45D59">
    <w:pPr>
      <w:pStyle w:val="FooterCouncil"/>
    </w:pPr>
  </w:p>
</w:ftr>
</file>

<file path=word/footer2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9C2F63" w14:textId="77777777" w:rsidR="00C45D59" w:rsidRDefault="00C45D59">
    <w:pPr>
      <w:pStyle w:val="Footer"/>
    </w:pPr>
  </w:p>
</w:ftr>
</file>

<file path=word/footer2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9BA0AA" w14:textId="77777777" w:rsidR="00C45D59" w:rsidRDefault="00C45D59">
    <w:pPr>
      <w:pStyle w:val="Footer"/>
    </w:pPr>
  </w:p>
</w:ftr>
</file>

<file path=word/footer2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95142383"/>
      <w:docPartObj>
        <w:docPartGallery w:val="Page Numbers (Bottom of Page)"/>
        <w:docPartUnique/>
      </w:docPartObj>
    </w:sdtPr>
    <w:sdtEndPr/>
    <w:sdtContent>
      <w:p w14:paraId="169EAB9A" w14:textId="63EB1B19" w:rsidR="00C45D59" w:rsidRDefault="009B0962">
        <w:pPr>
          <w:pStyle w:val="Footer"/>
          <w:jc w:val="center"/>
        </w:pPr>
        <w:r>
          <w:fldChar w:fldCharType="begin"/>
        </w:r>
        <w:r>
          <w:instrText xml:space="preserve"> PAGE   \* MERGEFORMAT </w:instrText>
        </w:r>
        <w:r>
          <w:fldChar w:fldCharType="separate"/>
        </w:r>
        <w:r>
          <w:t>2</w:t>
        </w:r>
        <w:r>
          <w:fldChar w:fldCharType="end"/>
        </w:r>
      </w:p>
    </w:sdtContent>
  </w:sdt>
  <w:p w14:paraId="4AA51132" w14:textId="77777777" w:rsidR="00C45D59" w:rsidRDefault="00C45D59">
    <w:pPr>
      <w:pStyle w:val="FooterCouncil"/>
    </w:pPr>
  </w:p>
</w:ftr>
</file>

<file path=word/footer2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FC96BA" w14:textId="77777777" w:rsidR="00C45D59" w:rsidRDefault="00C45D59">
    <w:pPr>
      <w:pStyle w:val="Footer"/>
    </w:pPr>
  </w:p>
</w:ftr>
</file>

<file path=word/footer2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49A7F2" w14:textId="77777777" w:rsidR="00C45D59" w:rsidRDefault="00C45D59">
    <w:pPr>
      <w:pStyle w:val="Footer"/>
    </w:pPr>
  </w:p>
</w:ftr>
</file>

<file path=word/footer2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36079900"/>
      <w:docPartObj>
        <w:docPartGallery w:val="Page Numbers (Bottom of Page)"/>
        <w:docPartUnique/>
      </w:docPartObj>
    </w:sdtPr>
    <w:sdtEndPr/>
    <w:sdtContent>
      <w:p w14:paraId="46528524" w14:textId="640FC69B" w:rsidR="00C45D59" w:rsidRDefault="009B0962">
        <w:pPr>
          <w:pStyle w:val="Footer"/>
          <w:jc w:val="center"/>
        </w:pPr>
        <w:r>
          <w:fldChar w:fldCharType="begin"/>
        </w:r>
        <w:r>
          <w:instrText xml:space="preserve"> PAGE   \* MERGEFORMAT </w:instrText>
        </w:r>
        <w:r>
          <w:fldChar w:fldCharType="separate"/>
        </w:r>
        <w:r>
          <w:t>2</w:t>
        </w:r>
        <w:r>
          <w:fldChar w:fldCharType="end"/>
        </w:r>
      </w:p>
    </w:sdtContent>
  </w:sdt>
  <w:p w14:paraId="2ABCF28B" w14:textId="77777777" w:rsidR="00C45D59" w:rsidRDefault="00C45D59">
    <w:pPr>
      <w:pStyle w:val="FooterCouncil"/>
    </w:pPr>
  </w:p>
</w:ftr>
</file>

<file path=word/footer2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50B284" w14:textId="77777777" w:rsidR="00C45D59" w:rsidRDefault="00C45D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93D98F" w14:textId="77777777" w:rsidR="009B0962" w:rsidRDefault="009B0962">
      <w:pPr>
        <w:spacing w:after="0" w:line="240" w:lineRule="auto"/>
      </w:pPr>
      <w:r>
        <w:separator/>
      </w:r>
    </w:p>
  </w:footnote>
  <w:footnote w:type="continuationSeparator" w:id="0">
    <w:p w14:paraId="2A625ADA" w14:textId="77777777" w:rsidR="009B0962" w:rsidRDefault="009B0962">
      <w:pPr>
        <w:spacing w:after="0" w:line="240" w:lineRule="auto"/>
      </w:pPr>
      <w:r>
        <w:continuationSeparator/>
      </w:r>
    </w:p>
  </w:footnote>
  <w:footnote w:type="continuationNotice" w:id="1">
    <w:p w14:paraId="4495F63D" w14:textId="77777777" w:rsidR="009B0962" w:rsidRDefault="009B0962">
      <w:pPr>
        <w:spacing w:after="0" w:line="240" w:lineRule="auto"/>
      </w:pPr>
    </w:p>
  </w:footnote>
  <w:footnote w:id="2">
    <w:p w14:paraId="1F83925F" w14:textId="77777777" w:rsidR="00C45D59" w:rsidRDefault="009B0962">
      <w:pPr>
        <w:pStyle w:val="FootnoteText"/>
        <w:ind w:left="0" w:firstLine="0"/>
      </w:pPr>
      <w:r>
        <w:rPr>
          <w:rStyle w:val="FootnoteReference"/>
        </w:rPr>
        <w:footnoteRef/>
      </w:r>
      <w:r>
        <w:t xml:space="preserve"> Intermediarii financiari </w:t>
      </w:r>
      <w:r>
        <w:rPr>
          <w:rFonts w:eastAsia="Times New Roman"/>
        </w:rPr>
        <w:t>au obligația de a furniza o justificare a domeniului de intervenție selectat pentru fiecare proiect sprijinit, împreună cu o descriere a proiectului, în scopul calculării contribuției în domeniul climei. Partenerul de implementare are, de asemenea, obligația de a furniza statului membru un raport semestrial privind punerea în aplicare a fiecărui proiect/fiecărei activități</w:t>
      </w:r>
      <w:r>
        <w:t>.</w:t>
      </w:r>
    </w:p>
  </w:footnote>
  <w:footnote w:id="3">
    <w:p w14:paraId="1592FB6A" w14:textId="77777777" w:rsidR="00C45D59" w:rsidRDefault="009B0962">
      <w:pPr>
        <w:pStyle w:val="FootnoteText"/>
        <w:ind w:left="0" w:firstLine="0"/>
      </w:pPr>
      <w:r>
        <w:rPr>
          <w:rStyle w:val="FootnoteReference"/>
        </w:rPr>
        <w:footnoteRef/>
      </w:r>
      <w:r>
        <w:t xml:space="preserve"> Cu excepția proiectelor din cadrul acestei măsuri în domeniul producerii de energie electrică și/sau termică, precum și al infrastructurii aferente de transport și distribuție, care utilizează gaze naturale, care respectă condițiile stabilite în anexa III la Orientările tehnice „A nu prejudicia în mod semnificativ” (2021/C58/01).</w:t>
      </w:r>
    </w:p>
  </w:footnote>
  <w:footnote w:id="4">
    <w:p w14:paraId="42C3CE20" w14:textId="77777777" w:rsidR="00C45D59" w:rsidRDefault="009B0962">
      <w:pPr>
        <w:pStyle w:val="FootnoteText"/>
        <w:ind w:left="0" w:firstLine="0"/>
      </w:pPr>
      <w:r>
        <w:rPr>
          <w:rStyle w:val="FootnoteReference"/>
        </w:rPr>
        <w:footnoteRef/>
      </w:r>
      <w:r>
        <w:t xml:space="preserve"> În cazul în care activitatea sprijinită generează emisii de gaze cu efect de seră preconizate care nu sunt semnificativ mai mici decât valorile de referință relevante, ar trebui furnizată o explicație a motivelor pentru care acest lucru nu este posibil. Criteriile de referință stabilite pentru alocarea cu titlu gratuit pentru activitățile care intră în domeniul de aplicare al schemei de comercializare a certificatelor de emisii, astfel cum se prevede în regulamentul de punere în aplicare (UE) 2021/447 al Comisiei.</w:t>
      </w:r>
    </w:p>
  </w:footnote>
  <w:footnote w:id="5">
    <w:p w14:paraId="6CC77970" w14:textId="77777777" w:rsidR="00C45D59" w:rsidRDefault="009B0962">
      <w:pPr>
        <w:spacing w:after="0" w:line="240" w:lineRule="auto"/>
        <w:jc w:val="both"/>
        <w:rPr>
          <w:rFonts w:ascii="Times New Roman" w:hAnsi="Times New Roman" w:cs="Times New Roman"/>
        </w:rPr>
      </w:pPr>
      <w:r>
        <w:rPr>
          <w:rStyle w:val="FootnoteReference"/>
          <w:rFonts w:ascii="Times New Roman" w:hAnsi="Times New Roman" w:cs="Times New Roman"/>
          <w:sz w:val="20"/>
          <w:szCs w:val="20"/>
        </w:rPr>
        <w:footnoteRef/>
      </w:r>
      <w:r>
        <w:rPr>
          <w:rFonts w:ascii="Times New Roman" w:hAnsi="Times New Roman"/>
          <w:sz w:val="20"/>
        </w:rPr>
        <w:t xml:space="preserve"> Această excludere nu se aplică acțiunilor întreprinse în cadrul acestei măsuri în instalațiile dedicate exclusiv tratării deșeurilor periculoase nereciclabile și instalațiilor existente, în cazul în care acțiunile din cadrul acestei măsuri vizează creșterea eficienței energetice, captarea gazelor de evacuare pentru depozitare sau utilizare sau recuperarea materialelor din cenușa de incinerare, cu condiția ca astfel de acțiuni din cadrul acestei măsuri să nu conducă la o creștere a capacității de prelucrare a deșeurilor a instalațiilor sau la o prelungire a duratei de viață a instalațiilor; pentru care se furnizează dovezi la nivel de instalație.</w:t>
      </w:r>
    </w:p>
  </w:footnote>
  <w:footnote w:id="6">
    <w:p w14:paraId="3B8AB965" w14:textId="77777777" w:rsidR="00C45D59" w:rsidRDefault="009B0962">
      <w:pPr>
        <w:pStyle w:val="FootnoteText"/>
        <w:ind w:left="0" w:firstLine="0"/>
      </w:pPr>
      <w:r>
        <w:rPr>
          <w:rStyle w:val="FootnoteReference"/>
        </w:rPr>
        <w:footnoteRef/>
      </w:r>
      <w:r>
        <w:t xml:space="preserve"> Această excludere nu se aplică acțiunilor întreprinse în cadrul acestei măsuri în stațiile de tratare mecano-biologică existente, în cazul în care acțiunile din cadrul acestei măsuri vizează creșterea eficienței energetice sau readaptarea la operațiunile de reciclare a deșeurilor separate pentru compostarea deșeurilor biologice și a digestiei anaerobe a deșeurilor biologice, cu condiția ca astfel de acțiuni din cadrul acestei măsuri să nu conducă la o creștere a capacității de prelucrare a deșeurilor a instalațiilor sau la o prelungire a duratei de viață a instalațiilor; pentru care se furnizează dovezi la nivel de instalație.</w:t>
      </w:r>
    </w:p>
  </w:footnote>
  <w:footnote w:id="7">
    <w:p w14:paraId="53F72D55" w14:textId="77777777" w:rsidR="00C45D59" w:rsidRDefault="009B0962">
      <w:pPr>
        <w:spacing w:after="0" w:line="240" w:lineRule="auto"/>
        <w:jc w:val="both"/>
        <w:rPr>
          <w:rFonts w:ascii="Times New Roman" w:eastAsia="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sz w:val="20"/>
          <w:szCs w:val="20"/>
        </w:rPr>
        <w:t>Cu excepția (a) activelor și activităților de generare de energie electrică și/sau termică, precum și a infrastructurii conexe de transport și distribuție pe gaze naturale, care respectă condițiile prevăzute în anexa III la Orientările tehnice privind aplicarea principiului de „a nu prejudicia în mod semnificativ” (2021/C58/01) și (b) activitățile și activele prevăzute la punctul (ii) pentru care utilizarea combustibililor fosili este temporară și inevitabilă din punct de vedere tehnic pentru tranziția în timp util către o operațiune fără combustibili fosili.</w:t>
      </w:r>
    </w:p>
  </w:footnote>
  <w:footnote w:id="8">
    <w:p w14:paraId="4C930752" w14:textId="77777777" w:rsidR="00C45D59" w:rsidRDefault="009B0962">
      <w:pPr>
        <w:spacing w:after="0" w:line="240" w:lineRule="auto"/>
        <w:jc w:val="both"/>
        <w:rPr>
          <w:rFonts w:ascii="Times New Roman" w:eastAsia="EC Square Sans Pro"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În </w:t>
      </w:r>
      <w:r>
        <w:rPr>
          <w:rFonts w:ascii="Times New Roman" w:hAnsi="Times New Roman" w:cs="Times New Roman"/>
          <w:sz w:val="20"/>
          <w:szCs w:val="20"/>
        </w:rPr>
        <w:t>cazul în care activitatea sprijinită generează emisii de gaze cu efect de seră preconizate care nu sunt semnificativ mai scăzute decât valorile de referință relevante, ar trebui furnizată o explicație a motivelor pentru care acest lucru nu este posibil. Criteriile de referință stabilite pentru alocarea cu titlu gratuit pentru activitățile care intră în domeniul de aplicare al schemei de comercializare a certificatelor de emisii, astfel cum se prevede în regulamentul de punere în aplicare (UE) 2021/447 al Comisiei.</w:t>
      </w:r>
      <w:r>
        <w:rPr>
          <w:rFonts w:ascii="Times New Roman" w:eastAsia="EC Square Sans Pro" w:hAnsi="Times New Roman" w:cs="Times New Roman"/>
        </w:rPr>
        <w:t xml:space="preserve"> </w:t>
      </w:r>
    </w:p>
  </w:footnote>
  <w:footnote w:id="9">
    <w:p w14:paraId="3F8CAEC7" w14:textId="77777777" w:rsidR="00C45D59" w:rsidRDefault="009B0962">
      <w:pPr>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Această </w:t>
      </w:r>
      <w:r>
        <w:rPr>
          <w:rFonts w:ascii="Times New Roman" w:hAnsi="Times New Roman" w:cs="Times New Roman"/>
          <w:sz w:val="20"/>
          <w:szCs w:val="20"/>
        </w:rPr>
        <w:t xml:space="preserve">excludere nu se aplică acțiunilor întreprinse în cadrul acestei măsuri în instalațiile dedicate exclusiv tratării deșeurilor periculoase nereciclabile și instalațiilor existente, în cazul în care acțiunile din cadrul acestei măsuri vizează creșterea eficienței energetice, captarea gazelor de evacuare pentru depozitare sau utilizare sau recuperarea materialelor din cenușa de incinerare, cu condiția ca astfel de acțiuni din cadrul acestei măsuri să nu conducă la o creștere a capacității de prelucrare a deșeurilor a instalațiilor sau la o prelungire a duratei de viață a instalațiilor; pentru care se furnizează dovezi la nivel de instalație. </w:t>
      </w:r>
    </w:p>
  </w:footnote>
  <w:footnote w:id="10">
    <w:p w14:paraId="1319E7E8" w14:textId="77777777" w:rsidR="00C45D59" w:rsidRDefault="009B0962">
      <w:pPr>
        <w:spacing w:after="0" w:line="240" w:lineRule="auto"/>
        <w:jc w:val="both"/>
      </w:pPr>
      <w:r>
        <w:rPr>
          <w:rStyle w:val="FootnoteReference"/>
          <w:rFonts w:ascii="Times New Roman" w:hAnsi="Times New Roman" w:cs="Times New Roman"/>
        </w:rPr>
        <w:footnoteRef/>
      </w:r>
      <w:r>
        <w:rPr>
          <w:rFonts w:ascii="Times New Roman" w:hAnsi="Times New Roman" w:cs="Times New Roman"/>
        </w:rPr>
        <w:t xml:space="preserve"> Această </w:t>
      </w:r>
      <w:r>
        <w:rPr>
          <w:rFonts w:ascii="Times New Roman" w:hAnsi="Times New Roman" w:cs="Times New Roman"/>
          <w:sz w:val="20"/>
          <w:szCs w:val="20"/>
        </w:rPr>
        <w:t xml:space="preserve">excludere nu se aplică acțiunilor întreprinse în cadrul acestei măsuri în stațiile de tratare mecano-biologică existente, în cazul în care acțiunile din cadrul acestei măsuri vizează creșterea eficienței energetice sau readaptarea la operațiunile de reciclare a deșeurilor separate pentru compostarea deșeurilor biologice și a digestiei anaerobe a deșeurilor biologice, cu condiția ca astfel de acțiuni din cadrul acestei măsuri să nu conducă la o creștere a capacității de prelucrare a deșeurilor a instalațiilor sau la o prelungire a duratei de viață a instalațiilor; pentru care se furnizează dovezi la nivel de instalație. </w:t>
      </w:r>
    </w:p>
  </w:footnote>
  <w:footnote w:id="11">
    <w:p w14:paraId="63E25A10" w14:textId="77777777" w:rsidR="00C45D59" w:rsidRDefault="009B0962">
      <w:pPr>
        <w:spacing w:after="0" w:line="240" w:lineRule="auto"/>
        <w:jc w:val="both"/>
        <w:rPr>
          <w:rFonts w:eastAsia="Times New Roman"/>
        </w:rPr>
      </w:pPr>
      <w:r>
        <w:rPr>
          <w:rStyle w:val="FootnoteReference"/>
        </w:rPr>
        <w:footnoteRef/>
      </w:r>
      <w:r>
        <w:t xml:space="preserve"> </w:t>
      </w:r>
      <w:r>
        <w:rPr>
          <w:rFonts w:ascii="Times New Roman" w:eastAsia="Times New Roman" w:hAnsi="Times New Roman" w:cs="Times New Roman"/>
          <w:sz w:val="20"/>
          <w:szCs w:val="20"/>
        </w:rPr>
        <w:t>Se consideră că un beneficiar final pune un „accent considerabil” pe un sector sau o activitate economică în cazul în care un astfel de sector sau activitate este identificat (ă) ca fiind o parte esențială a activității beneficiarului final în raport cu venitul brut, profitul sau baza de clienți a beneficiarului final. Veniturile brute generate de sectorul sau de activitatea restricționat (ă) nu vor depăși, în niciun caz, 50 % din venitul brut.</w:t>
      </w:r>
    </w:p>
  </w:footnote>
  <w:footnote w:id="12">
    <w:p w14:paraId="7DA60D26" w14:textId="77777777" w:rsidR="00C45D59" w:rsidRDefault="009B0962">
      <w:pPr>
        <w:spacing w:after="0" w:line="240" w:lineRule="auto"/>
        <w:jc w:val="both"/>
        <w:rPr>
          <w:rFonts w:ascii="Times New Roman" w:eastAsia="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Cu excepția (a) activelor și activităților de generare de energie electrică și/sau termică, precum și a infrastructurii conexe de transport și distribuție pe gaze naturale, care respectă condițiile prevăzute în anexa III la Orientările tehnice privind aplicarea principiului de „a nu prejudicia în mod semnificativ” (2021/C58/01) și (b) activitățile și activele prevăzute la punctul (ii) pentru care utilizarea combustibililor fosili este temporară și inevitabilă din punct de vedere tehnic pentru tranziția în timp util către o operațiune fără combustibili fosili.</w:t>
      </w:r>
    </w:p>
  </w:footnote>
  <w:footnote w:id="13">
    <w:p w14:paraId="665355E0" w14:textId="77777777" w:rsidR="00C45D59" w:rsidRDefault="009B0962">
      <w:pPr>
        <w:spacing w:after="0" w:line="240" w:lineRule="auto"/>
        <w:jc w:val="both"/>
        <w:rPr>
          <w:rFonts w:eastAsia="EC Square Sans Pro"/>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sz w:val="20"/>
          <w:szCs w:val="20"/>
        </w:rPr>
        <w:t>Inclusiv activitățile și activele din cadrul sistemului UE de comercializare a certificatelor de emisii (ETS) cu emisii preconizate de gaze cu efect de seră care nu sunt mai mici decât valorile de referință relevante. În cazul în care activitatea sprijinită generează emisii de gaze cu efect de seră preconizate care nu sunt semnificativ mai scăzute decât valorile de referință relevante, ar trebui furnizată o explicație a motivelor pentru care acest lucru nu este posibil. Criteriile de referință stabilite pentru alocarea cu titlu gratuit pentru activitățile care intră în domeniul de aplicare al schemei de comercializare a certificatelor de emisii, astfel cum se prevede în regulamentul de punere în aplicare (UE) 2021/447 al Comisiei.</w:t>
      </w:r>
    </w:p>
  </w:footnote>
  <w:footnote w:id="14">
    <w:p w14:paraId="261261F2" w14:textId="77777777" w:rsidR="00C45D59" w:rsidRDefault="009B0962">
      <w:pPr>
        <w:spacing w:after="0" w:line="240" w:lineRule="auto"/>
        <w:jc w:val="both"/>
        <w:rPr>
          <w:rFonts w:ascii="Times New Roman" w:eastAsia="Times New Roman" w:hAnsi="Times New Roman" w:cs="Times New Roman"/>
        </w:rPr>
      </w:pPr>
      <w:r>
        <w:rPr>
          <w:rStyle w:val="FootnoteReference"/>
        </w:rPr>
        <w:footnoteRef/>
      </w:r>
      <w:r>
        <w:rPr>
          <w:rStyle w:val="FootnoteReference"/>
        </w:rPr>
        <w:t xml:space="preserve"> </w:t>
      </w:r>
      <w:r>
        <w:rPr>
          <w:rFonts w:ascii="Times New Roman" w:hAnsi="Times New Roman" w:cs="Times New Roman"/>
          <w:sz w:val="20"/>
          <w:szCs w:val="20"/>
        </w:rPr>
        <w:t>Vehiculele poluante sunt definite ca vehicule fără emisii zero.</w:t>
      </w:r>
    </w:p>
  </w:footnote>
  <w:footnote w:id="15">
    <w:p w14:paraId="2A444626" w14:textId="77777777" w:rsidR="00C45D59" w:rsidRDefault="009B0962">
      <w:pPr>
        <w:spacing w:after="0" w:line="240" w:lineRule="auto"/>
        <w:jc w:val="both"/>
        <w:rPr>
          <w:rFonts w:eastAsia="Times New Roman"/>
        </w:rPr>
      </w:pPr>
      <w:r>
        <w:rPr>
          <w:rStyle w:val="FootnoteReference"/>
        </w:rPr>
        <w:footnoteRef/>
      </w:r>
      <w:r>
        <w:t xml:space="preserve"> Această </w:t>
      </w:r>
      <w:r>
        <w:rPr>
          <w:rFonts w:ascii="Times New Roman" w:eastAsia="Times New Roman" w:hAnsi="Times New Roman" w:cs="Times New Roman"/>
          <w:sz w:val="20"/>
          <w:szCs w:val="20"/>
        </w:rPr>
        <w:t>excludere nu se aplică acțiunilor întreprinse în instalațiile dedicate exclusiv tratării deșeurilor periculoase nereciclabile și instalațiilor existente, în cazul în care acțiunile din cadrul acestei măsuri vizează creșterea eficienței energetice, captarea gazelor de evacuare pentru depozitare sau utilizare sau recuperarea materialelor din cenușa de incinerare, cu condiția ca astfel de acțiuni din cadrul acestei măsuri să nu conducă la o creștere a capacității de prelucrare a deșeurilor a instalațiilor sau la o prelungire a duratei de viață a instalațiilor, pentru care se furnizează dovezi la nivel de instalație.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1776CC" w14:textId="77777777" w:rsidR="00113552" w:rsidRPr="00113552" w:rsidRDefault="00113552" w:rsidP="00113552">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CFFC08" w14:textId="77777777" w:rsidR="00113552" w:rsidRPr="00113552" w:rsidRDefault="00113552" w:rsidP="00113552">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F4E66B" w14:textId="77777777" w:rsidR="00113552" w:rsidRPr="00113552" w:rsidRDefault="00113552" w:rsidP="00113552">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4D4779" w14:textId="77777777" w:rsidR="00C45D59" w:rsidRDefault="00C45D5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2D0AF9" w14:textId="77777777" w:rsidR="00C45D59" w:rsidRDefault="009B0962">
    <w:r>
      <w:t> </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598591"/>
      <w:docPartObj>
        <w:docPartGallery w:val="Page Numbers (Top of Page)"/>
        <w:docPartUnique/>
      </w:docPartObj>
    </w:sdtPr>
    <w:sdtEndPr/>
    <w:sdtContent>
      <w:p w14:paraId="12D34C5D" w14:textId="77777777" w:rsidR="00C45D59" w:rsidRDefault="009B0962">
        <w:pPr>
          <w:pStyle w:val="Header"/>
          <w:jc w:val="center"/>
        </w:pPr>
        <w:r>
          <w:fldChar w:fldCharType="begin"/>
        </w:r>
        <w:r>
          <w:instrText xml:space="preserve"> PAGE   \* MERGEFORMAT </w:instrText>
        </w:r>
        <w:r>
          <w:fldChar w:fldCharType="separate"/>
        </w:r>
        <w:r>
          <w:t>2</w:t>
        </w:r>
        <w:r>
          <w:fldChar w:fldCharType="end"/>
        </w:r>
      </w:p>
    </w:sdtContent>
  </w:sdt>
  <w:p w14:paraId="4F253CCA" w14:textId="77777777" w:rsidR="00C45D59" w:rsidRDefault="00C45D5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811CF1" w14:textId="77777777" w:rsidR="00C45D59" w:rsidRDefault="00C45D59">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9D0DD9" w14:textId="77777777" w:rsidR="00C45D59" w:rsidRDefault="009B0962">
    <w:r>
      <w:t> </w:t>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A3916F" w14:textId="77777777" w:rsidR="00C45D59" w:rsidRDefault="00C45D59">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213812" w14:textId="77777777" w:rsidR="00C45D59" w:rsidRDefault="00C45D59">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B1F00E" w14:textId="77777777" w:rsidR="00C45D59" w:rsidRDefault="009B0962">
    <w:r>
      <w:t> </w:t>
    </w: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13CC1D" w14:textId="77777777" w:rsidR="00C45D59" w:rsidRDefault="00C45D59">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224370" w14:textId="77777777" w:rsidR="00C45D59" w:rsidRDefault="00C45D59">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17B8A9" w14:textId="77777777" w:rsidR="00C45D59" w:rsidRDefault="009B0962">
    <w:r>
      <w:t> </w:t>
    </w: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B3D2D4" w14:textId="77777777" w:rsidR="00C45D59" w:rsidRDefault="00C45D59">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A18FEF" w14:textId="77777777" w:rsidR="00C45D59" w:rsidRDefault="00C45D59">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008E7A" w14:textId="77777777" w:rsidR="00C45D59" w:rsidRDefault="009B0962">
    <w:r>
      <w:t> </w:t>
    </w: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0834DF" w14:textId="77777777" w:rsidR="00C45D59" w:rsidRDefault="00C45D59">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AEF105" w14:textId="77777777" w:rsidR="00C45D59" w:rsidRDefault="00C45D59">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913EB6" w14:textId="77777777" w:rsidR="00C45D59" w:rsidRDefault="009B0962">
    <w:r>
      <w:t> </w:t>
    </w: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71ECAF" w14:textId="77777777" w:rsidR="00C45D59" w:rsidRDefault="00C45D59">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7FC060" w14:textId="77777777" w:rsidR="00C45D59" w:rsidRDefault="00C45D59">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E99975" w14:textId="77777777" w:rsidR="00C45D59" w:rsidRDefault="009B0962">
    <w:r>
      <w:t> </w:t>
    </w: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EC82C5" w14:textId="77777777" w:rsidR="00C45D59" w:rsidRDefault="00C45D59">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A10793" w14:textId="77777777" w:rsidR="00C45D59" w:rsidRDefault="00C45D59">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BB74C0" w14:textId="77777777" w:rsidR="00C45D59" w:rsidRDefault="009B0962">
    <w:r>
      <w:t> </w:t>
    </w: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875C2A" w14:textId="77777777" w:rsidR="00C45D59" w:rsidRDefault="00C45D59">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56DB8E" w14:textId="77777777" w:rsidR="00C45D59" w:rsidRDefault="00C45D59">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37D30F" w14:textId="77777777" w:rsidR="00C45D59" w:rsidRDefault="009B0962">
    <w:r>
      <w:t> </w:t>
    </w: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AC990E" w14:textId="77777777" w:rsidR="00C45D59" w:rsidRDefault="00C45D59">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E31ECE" w14:textId="77777777" w:rsidR="00C45D59" w:rsidRDefault="00C45D59">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EF7EAD" w14:textId="77777777" w:rsidR="00C45D59" w:rsidRDefault="009B0962">
    <w:r>
      <w:t> </w:t>
    </w:r>
  </w:p>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484609" w14:textId="77777777" w:rsidR="00C45D59" w:rsidRDefault="00C45D59">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5E6E0C" w14:textId="77777777" w:rsidR="00C45D59" w:rsidRDefault="00C45D59">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89A6F8" w14:textId="77777777" w:rsidR="00C45D59" w:rsidRDefault="009B0962">
    <w:r>
      <w:t> </w:t>
    </w:r>
  </w:p>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7BDCDC" w14:textId="77777777" w:rsidR="00C45D59" w:rsidRDefault="00C45D59">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E67A24" w14:textId="77777777" w:rsidR="00C45D59" w:rsidRDefault="00C45D59">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429F90" w14:textId="77777777" w:rsidR="00C45D59" w:rsidRDefault="009B0962">
    <w:r>
      <w:t> </w:t>
    </w:r>
  </w:p>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6085EF" w14:textId="77777777" w:rsidR="00C45D59" w:rsidRDefault="00C45D59">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51ED04" w14:textId="77777777" w:rsidR="00C45D59" w:rsidRDefault="00C45D59">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A849C9" w14:textId="77777777" w:rsidR="00C45D59" w:rsidRDefault="009B0962">
    <w:r>
      <w:t> </w:t>
    </w:r>
  </w:p>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A8ECA9" w14:textId="77777777" w:rsidR="00C45D59" w:rsidRDefault="00C45D59">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C9EEE6" w14:textId="77777777" w:rsidR="00C45D59" w:rsidRDefault="00C45D59">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1367B8" w14:textId="77777777" w:rsidR="00C45D59" w:rsidRDefault="009B0962">
    <w:r>
      <w:t> </w:t>
    </w:r>
  </w:p>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C38F23" w14:textId="77777777" w:rsidR="00C45D59" w:rsidRDefault="00C45D59">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5B2D15" w14:textId="77777777" w:rsidR="00C45D59" w:rsidRDefault="00C45D59">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052BDD" w14:textId="77777777" w:rsidR="00C45D59" w:rsidRDefault="009B0962">
    <w:r>
      <w:t> </w:t>
    </w:r>
  </w:p>
</w:hdr>
</file>

<file path=word/header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28644E" w14:textId="77777777" w:rsidR="00C45D59" w:rsidRDefault="00C45D59">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782E72" w14:textId="77777777" w:rsidR="00C45D59" w:rsidRDefault="00C45D59">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F9422F" w14:textId="77777777" w:rsidR="00C45D59" w:rsidRDefault="009B0962">
    <w:r>
      <w:t> </w:t>
    </w:r>
  </w:p>
</w:hdr>
</file>

<file path=word/header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9D1486" w14:textId="77777777" w:rsidR="00C45D59" w:rsidRDefault="00C45D59">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775B59" w14:textId="77777777" w:rsidR="00C45D59" w:rsidRDefault="00C45D59">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A3C735" w14:textId="77777777" w:rsidR="00C45D59" w:rsidRDefault="009B0962">
    <w:r>
      <w:t> </w:t>
    </w:r>
  </w:p>
</w:hdr>
</file>

<file path=word/header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5357DF" w14:textId="77777777" w:rsidR="00C45D59" w:rsidRDefault="00C45D59">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44687B" w14:textId="77777777" w:rsidR="00C45D59" w:rsidRDefault="00C45D59">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B9BEAF" w14:textId="77777777" w:rsidR="00C45D59" w:rsidRDefault="009B0962">
    <w:r>
      <w:t> </w:t>
    </w:r>
  </w:p>
</w:hdr>
</file>

<file path=word/header5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B6D5D3" w14:textId="77777777" w:rsidR="00C45D59" w:rsidRDefault="00C45D59">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90890D" w14:textId="77777777" w:rsidR="00C45D59" w:rsidRDefault="00C45D59">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25BF25" w14:textId="77777777" w:rsidR="00C45D59" w:rsidRDefault="009B0962">
    <w:r>
      <w:t> </w:t>
    </w:r>
  </w:p>
</w:hdr>
</file>

<file path=word/header6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A27B47" w14:textId="77777777" w:rsidR="00C45D59" w:rsidRDefault="00C45D59">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5C60D9" w14:textId="77777777" w:rsidR="00C45D59" w:rsidRDefault="00C45D59">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EEEA50" w14:textId="77777777" w:rsidR="00C45D59" w:rsidRDefault="009B0962">
    <w:r>
      <w:t> </w:t>
    </w:r>
  </w:p>
</w:hdr>
</file>

<file path=word/header6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006A3A" w14:textId="77777777" w:rsidR="00C45D59" w:rsidRDefault="00C45D59">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23EC75" w14:textId="77777777" w:rsidR="00C45D59" w:rsidRDefault="00C45D59">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65100C" w14:textId="77777777" w:rsidR="00C45D59" w:rsidRDefault="009B0962">
    <w:r>
      <w:t> </w:t>
    </w:r>
  </w:p>
</w:hdr>
</file>

<file path=word/header6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DB320D" w14:textId="77777777" w:rsidR="00C45D59" w:rsidRDefault="00C45D59">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0CAB1F" w14:textId="77777777" w:rsidR="00C45D59" w:rsidRDefault="00C45D59">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8FD320" w14:textId="77777777" w:rsidR="00C45D59" w:rsidRDefault="009B0962">
    <w:r>
      <w:t> </w:t>
    </w:r>
  </w:p>
</w:hdr>
</file>

<file path=word/header6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9A55FB" w14:textId="77777777" w:rsidR="00C45D59" w:rsidRDefault="00C45D59">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D85E14" w14:textId="77777777" w:rsidR="00C45D59" w:rsidRDefault="00C45D59">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394086" w14:textId="77777777" w:rsidR="00C45D59" w:rsidRDefault="009B0962">
    <w:r>
      <w:t> </w:t>
    </w:r>
  </w:p>
</w:hdr>
</file>

<file path=word/header7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D37392" w14:textId="77777777" w:rsidR="00C45D59" w:rsidRDefault="00C45D59">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A1EF00" w14:textId="77777777" w:rsidR="00C45D59" w:rsidRDefault="00C45D59">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3465EA" w14:textId="77777777" w:rsidR="00C45D59" w:rsidRDefault="009B0962">
    <w:r>
      <w:t> </w:t>
    </w:r>
  </w:p>
</w:hdr>
</file>

<file path=word/header7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430532" w14:textId="77777777" w:rsidR="00C45D59" w:rsidRDefault="00C45D59">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02E280" w14:textId="77777777" w:rsidR="00C45D59" w:rsidRDefault="00C45D59">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6BC560" w14:textId="77777777" w:rsidR="00C45D59" w:rsidRDefault="009B0962">
    <w:r>
      <w:t> </w:t>
    </w:r>
  </w:p>
</w:hdr>
</file>

<file path=word/header7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CEC080" w14:textId="77777777" w:rsidR="00C45D59" w:rsidRDefault="00C45D59">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2116AB" w14:textId="77777777" w:rsidR="00C45D59" w:rsidRDefault="00C45D59">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38C7AC" w14:textId="77777777" w:rsidR="00C45D59" w:rsidRDefault="009B0962">
    <w:r>
      <w:t> </w:t>
    </w:r>
  </w:p>
</w:hdr>
</file>

<file path=word/header8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6BBF4C" w14:textId="77777777" w:rsidR="00C45D59" w:rsidRDefault="00C45D59">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7246BF" w14:textId="77777777" w:rsidR="00C45D59" w:rsidRDefault="00C45D59">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746059" w14:textId="77777777" w:rsidR="00C45D59" w:rsidRDefault="009B0962">
    <w:r>
      <w:t> </w:t>
    </w:r>
  </w:p>
</w:hdr>
</file>

<file path=word/header8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DE8199" w14:textId="77777777" w:rsidR="00C45D59" w:rsidRDefault="00C45D59">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42D741" w14:textId="77777777" w:rsidR="00C45D59" w:rsidRDefault="00C45D59">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0B1220" w14:textId="77777777" w:rsidR="00C45D59" w:rsidRDefault="009B0962">
    <w:r>
      <w:t> </w:t>
    </w:r>
  </w:p>
</w:hdr>
</file>

<file path=word/header8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3F5FDE" w14:textId="77777777" w:rsidR="00C45D59" w:rsidRDefault="00C45D59">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65744B" w14:textId="77777777" w:rsidR="00C45D59" w:rsidRDefault="00C45D59">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15983B" w14:textId="77777777" w:rsidR="00C45D59" w:rsidRDefault="009B0962">
    <w:r>
      <w:t> </w:t>
    </w:r>
  </w:p>
</w:hdr>
</file>

<file path=word/header9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335059" w14:textId="77777777" w:rsidR="00C45D59" w:rsidRDefault="00C45D59">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610273" w14:textId="77777777" w:rsidR="00C45D59" w:rsidRDefault="00C45D59">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FE77DA" w14:textId="77777777" w:rsidR="00C45D59" w:rsidRDefault="009B0962">
    <w:r>
      <w:t> </w:t>
    </w:r>
  </w:p>
</w:hdr>
</file>

<file path=word/header9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4662C3" w14:textId="77777777" w:rsidR="00C45D59" w:rsidRDefault="00C45D59">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045304" w14:textId="77777777" w:rsidR="00C45D59" w:rsidRDefault="00C45D59">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D34882" w14:textId="77777777" w:rsidR="00C45D59" w:rsidRDefault="009B0962">
    <w:r>
      <w:t> </w:t>
    </w:r>
  </w:p>
</w:hdr>
</file>

<file path=word/header9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4093BA" w14:textId="77777777" w:rsidR="00C45D59" w:rsidRDefault="00C45D59">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9C0D30" w14:textId="77777777" w:rsidR="00C45D59" w:rsidRDefault="00C45D59">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820E0D" w14:textId="77777777" w:rsidR="00C45D59" w:rsidRDefault="009B0962">
    <w:r>
      <w:t> </w:t>
    </w:r>
  </w:p>
</w:hdr>
</file>

<file path=word/header9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F007D0" w14:textId="77777777" w:rsidR="00C45D59" w:rsidRDefault="00C45D59">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74D2B8" w14:textId="77777777" w:rsidR="00C45D59" w:rsidRDefault="00C45D59">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C6308C" w14:textId="77777777" w:rsidR="00C45D59" w:rsidRDefault="009B0962">
    <w:r>
      <w:t> </w:t>
    </w:r>
  </w:p>
</w:hdr>
</file>

<file path=word/header10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EBDD62" w14:textId="77777777" w:rsidR="00C45D59" w:rsidRDefault="00C45D59">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4B80F3" w14:textId="77777777" w:rsidR="00C45D59" w:rsidRDefault="00C45D59">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EC79F1" w14:textId="77777777" w:rsidR="00C45D59" w:rsidRDefault="009B0962">
    <w:r>
      <w:t> </w:t>
    </w:r>
  </w:p>
</w:hdr>
</file>

<file path=word/header10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EEE984" w14:textId="77777777" w:rsidR="00C45D59" w:rsidRDefault="00C45D59">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4C9855" w14:textId="77777777" w:rsidR="00C45D59" w:rsidRDefault="00C45D59">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2A3E7B" w14:textId="77777777" w:rsidR="00C45D59" w:rsidRDefault="009B0962">
    <w:r>
      <w:t> </w:t>
    </w:r>
  </w:p>
</w:hdr>
</file>

<file path=word/header10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65A249" w14:textId="77777777" w:rsidR="00C45D59" w:rsidRDefault="00C45D59">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5BB949" w14:textId="77777777" w:rsidR="00C45D59" w:rsidRDefault="00C45D59">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9C71E2" w14:textId="77777777" w:rsidR="00C45D59" w:rsidRDefault="009B0962">
    <w:r>
      <w:t> </w:t>
    </w:r>
  </w:p>
</w:hdr>
</file>

<file path=word/header1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493892" w14:textId="77777777" w:rsidR="00C45D59" w:rsidRDefault="00C45D59">
    <w:pPr>
      <w:pStyle w:val="Header"/>
    </w:pPr>
  </w:p>
</w:hdr>
</file>

<file path=word/header1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99CA4D" w14:textId="77777777" w:rsidR="00C45D59" w:rsidRDefault="00C45D59">
    <w:pPr>
      <w:pStyle w:val="Header"/>
    </w:pPr>
  </w:p>
</w:hdr>
</file>

<file path=word/header1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E0B6A4" w14:textId="77777777" w:rsidR="00C45D59" w:rsidRDefault="009B0962">
    <w:r>
      <w:t> </w:t>
    </w:r>
  </w:p>
</w:hdr>
</file>

<file path=word/header1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24F926" w14:textId="77777777" w:rsidR="00C45D59" w:rsidRDefault="00C45D59">
    <w:pPr>
      <w:pStyle w:val="Header"/>
    </w:pPr>
  </w:p>
</w:hdr>
</file>

<file path=word/header1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30D28C" w14:textId="77777777" w:rsidR="00C45D59" w:rsidRDefault="00C45D59">
    <w:pPr>
      <w:pStyle w:val="Header"/>
    </w:pPr>
  </w:p>
</w:hdr>
</file>

<file path=word/header1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FFBFCE" w14:textId="00177FCE" w:rsidR="00C45D59" w:rsidRDefault="00C45D59">
    <w:pPr>
      <w:pStyle w:val="Header"/>
      <w:jc w:val="center"/>
    </w:pPr>
  </w:p>
  <w:p w14:paraId="4434971D" w14:textId="74E03FE2" w:rsidR="00C45D59" w:rsidRDefault="00C45D59"/>
</w:hdr>
</file>

<file path=word/header1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303476" w14:textId="77777777" w:rsidR="00C45D59" w:rsidRDefault="00C45D59">
    <w:pPr>
      <w:pStyle w:val="Header"/>
    </w:pPr>
  </w:p>
</w:hdr>
</file>

<file path=word/header1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EA9508" w14:textId="77777777" w:rsidR="00C45D59" w:rsidRDefault="00C45D59">
    <w:pPr>
      <w:pStyle w:val="Header"/>
    </w:pPr>
  </w:p>
</w:hdr>
</file>

<file path=word/header1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D3752A" w14:textId="77777777" w:rsidR="00C45D59" w:rsidRDefault="009B0962">
    <w:r>
      <w:t> </w:t>
    </w:r>
  </w:p>
</w:hdr>
</file>

<file path=word/header1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F1D636" w14:textId="77777777" w:rsidR="00C45D59" w:rsidRDefault="00C45D59">
    <w:pPr>
      <w:pStyle w:val="Header"/>
    </w:pPr>
  </w:p>
</w:hdr>
</file>

<file path=word/header1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2AA94B" w14:textId="77777777" w:rsidR="00C45D59" w:rsidRDefault="00C45D59">
    <w:pPr>
      <w:pStyle w:val="Header"/>
    </w:pPr>
  </w:p>
</w:hdr>
</file>

<file path=word/header1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3F4388" w14:textId="77777777" w:rsidR="00C45D59" w:rsidRDefault="009B0962">
    <w:r>
      <w:t> </w:t>
    </w:r>
  </w:p>
</w:hdr>
</file>

<file path=word/header1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AE5D9A" w14:textId="77777777" w:rsidR="00C45D59" w:rsidRDefault="00C45D59">
    <w:pPr>
      <w:pStyle w:val="Header"/>
    </w:pPr>
  </w:p>
</w:hdr>
</file>

<file path=word/header1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3B9B20" w14:textId="77777777" w:rsidR="00C45D59" w:rsidRDefault="00C45D59">
    <w:pPr>
      <w:pStyle w:val="Header"/>
    </w:pPr>
  </w:p>
</w:hdr>
</file>

<file path=word/header1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688FA4" w14:textId="77777777" w:rsidR="00C45D59" w:rsidRDefault="009B0962">
    <w:r>
      <w:t> </w:t>
    </w:r>
  </w:p>
</w:hdr>
</file>

<file path=word/header1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7958D7" w14:textId="77777777" w:rsidR="00C45D59" w:rsidRDefault="00C45D59">
    <w:pPr>
      <w:pStyle w:val="Header"/>
    </w:pPr>
  </w:p>
</w:hdr>
</file>

<file path=word/header1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AC326B" w14:textId="77777777" w:rsidR="00C45D59" w:rsidRDefault="00C45D59">
    <w:pPr>
      <w:pStyle w:val="Header"/>
    </w:pPr>
  </w:p>
</w:hdr>
</file>

<file path=word/header1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C87E94" w14:textId="77777777" w:rsidR="00C45D59" w:rsidRDefault="009B0962">
    <w:r>
      <w:t> </w:t>
    </w:r>
  </w:p>
</w:hdr>
</file>

<file path=word/header1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A51D4F" w14:textId="77777777" w:rsidR="00C45D59" w:rsidRDefault="00C45D59">
    <w:pPr>
      <w:pStyle w:val="Header"/>
    </w:pPr>
  </w:p>
</w:hdr>
</file>

<file path=word/header1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A03091" w14:textId="77777777" w:rsidR="00C45D59" w:rsidRDefault="00C45D59">
    <w:pPr>
      <w:pStyle w:val="Header"/>
    </w:pPr>
  </w:p>
</w:hdr>
</file>

<file path=word/header1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A0AB47" w14:textId="77777777" w:rsidR="00C45D59" w:rsidRDefault="009B0962">
    <w:r>
      <w:t> </w:t>
    </w:r>
  </w:p>
</w:hdr>
</file>

<file path=word/header1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1935C8" w14:textId="77777777" w:rsidR="00C45D59" w:rsidRDefault="00C45D59">
    <w:pPr>
      <w:pStyle w:val="Header"/>
    </w:pPr>
  </w:p>
</w:hdr>
</file>

<file path=word/header1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B3CEBF" w14:textId="77777777" w:rsidR="00C45D59" w:rsidRDefault="00C45D59">
    <w:pPr>
      <w:pStyle w:val="Header"/>
    </w:pPr>
  </w:p>
</w:hdr>
</file>

<file path=word/header1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29C8C5" w14:textId="77777777" w:rsidR="00C45D59" w:rsidRDefault="009B0962">
    <w:r>
      <w:t> </w:t>
    </w:r>
  </w:p>
</w:hdr>
</file>

<file path=word/header1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583C18" w14:textId="77777777" w:rsidR="00C45D59" w:rsidRDefault="00C45D59">
    <w:pPr>
      <w:pStyle w:val="Header"/>
    </w:pPr>
  </w:p>
</w:hdr>
</file>

<file path=word/header1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AFAE7A" w14:textId="77777777" w:rsidR="00C45D59" w:rsidRDefault="00C45D59">
    <w:pPr>
      <w:pStyle w:val="Header"/>
    </w:pPr>
  </w:p>
</w:hdr>
</file>

<file path=word/header1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97CB45" w14:textId="77777777" w:rsidR="00C45D59" w:rsidRDefault="009B0962">
    <w:r>
      <w:t> </w:t>
    </w:r>
  </w:p>
</w:hdr>
</file>

<file path=word/header1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C67FCB" w14:textId="77777777" w:rsidR="00C45D59" w:rsidRDefault="00C45D59">
    <w:pPr>
      <w:pStyle w:val="Header"/>
    </w:pPr>
  </w:p>
</w:hdr>
</file>

<file path=word/header1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795616" w14:textId="77777777" w:rsidR="00C45D59" w:rsidRDefault="00C45D59">
    <w:pPr>
      <w:pStyle w:val="Header"/>
    </w:pPr>
  </w:p>
</w:hdr>
</file>

<file path=word/header1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28C83D" w14:textId="77777777" w:rsidR="00C45D59" w:rsidRDefault="009B0962">
    <w:r>
      <w:t> </w:t>
    </w:r>
  </w:p>
</w:hdr>
</file>

<file path=word/header1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6E61E7" w14:textId="77777777" w:rsidR="00C45D59" w:rsidRDefault="00C45D59">
    <w:pPr>
      <w:pStyle w:val="Header"/>
    </w:pPr>
  </w:p>
</w:hdr>
</file>

<file path=word/header1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6EA06B" w14:textId="77777777" w:rsidR="00C45D59" w:rsidRDefault="00C45D59">
    <w:pPr>
      <w:pStyle w:val="Header"/>
    </w:pPr>
  </w:p>
</w:hdr>
</file>

<file path=word/header1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F06F72" w14:textId="77777777" w:rsidR="00C45D59" w:rsidRDefault="009B0962">
    <w:r>
      <w:t> </w:t>
    </w:r>
  </w:p>
</w:hdr>
</file>

<file path=word/header1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818C2B" w14:textId="77777777" w:rsidR="00C45D59" w:rsidRDefault="00C45D59">
    <w:pPr>
      <w:pStyle w:val="Header"/>
    </w:pPr>
  </w:p>
</w:hdr>
</file>

<file path=word/header1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F8F9D4" w14:textId="77777777" w:rsidR="00C45D59" w:rsidRDefault="00C45D59">
    <w:pPr>
      <w:pStyle w:val="Header"/>
    </w:pPr>
  </w:p>
</w:hdr>
</file>

<file path=word/header1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D1A521" w14:textId="77777777" w:rsidR="00C45D59" w:rsidRDefault="009B0962">
    <w:r>
      <w:t> </w:t>
    </w:r>
  </w:p>
</w:hdr>
</file>

<file path=word/header1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4A2298" w14:textId="77777777" w:rsidR="00C45D59" w:rsidRDefault="00C45D59">
    <w:pPr>
      <w:pStyle w:val="Header"/>
    </w:pPr>
  </w:p>
</w:hdr>
</file>

<file path=word/header1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9EC503" w14:textId="77777777" w:rsidR="00C45D59" w:rsidRDefault="00C45D59">
    <w:pPr>
      <w:pStyle w:val="Header"/>
    </w:pPr>
  </w:p>
</w:hdr>
</file>

<file path=word/header1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18D19C" w14:textId="77777777" w:rsidR="00C45D59" w:rsidRDefault="009B0962">
    <w:r>
      <w:t> </w:t>
    </w:r>
  </w:p>
</w:hdr>
</file>

<file path=word/header1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D3F225" w14:textId="77777777" w:rsidR="00C45D59" w:rsidRDefault="00C45D59">
    <w:pPr>
      <w:pStyle w:val="Header"/>
    </w:pPr>
  </w:p>
</w:hdr>
</file>

<file path=word/header1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4C33B2" w14:textId="77777777" w:rsidR="00C45D59" w:rsidRDefault="00C45D59">
    <w:pPr>
      <w:pStyle w:val="Header"/>
    </w:pPr>
  </w:p>
</w:hdr>
</file>

<file path=word/header1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03A041" w14:textId="77777777" w:rsidR="00C45D59" w:rsidRDefault="009B0962">
    <w:r>
      <w:t> </w:t>
    </w:r>
  </w:p>
</w:hdr>
</file>

<file path=word/header1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051AFF" w14:textId="77777777" w:rsidR="00C45D59" w:rsidRDefault="00C45D59">
    <w:pPr>
      <w:pStyle w:val="Header"/>
    </w:pPr>
  </w:p>
</w:hdr>
</file>

<file path=word/header1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6F0C98" w14:textId="77777777" w:rsidR="00C45D59" w:rsidRDefault="00C45D59">
    <w:pPr>
      <w:pStyle w:val="Header"/>
    </w:pPr>
  </w:p>
</w:hdr>
</file>

<file path=word/header15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CB69F8" w14:textId="77777777" w:rsidR="00C45D59" w:rsidRDefault="009B0962">
    <w:r>
      <w:t> </w:t>
    </w:r>
  </w:p>
</w:hdr>
</file>

<file path=word/header15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4608B6" w14:textId="77777777" w:rsidR="00C45D59" w:rsidRDefault="00C45D59">
    <w:pPr>
      <w:pStyle w:val="Header"/>
    </w:pPr>
  </w:p>
</w:hdr>
</file>

<file path=word/header15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CF7FEF" w14:textId="77777777" w:rsidR="00C45D59" w:rsidRDefault="00C45D59">
    <w:pPr>
      <w:pStyle w:val="Header"/>
    </w:pPr>
  </w:p>
</w:hdr>
</file>

<file path=word/header15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AE6004" w14:textId="77777777" w:rsidR="00C45D59" w:rsidRDefault="009B0962">
    <w:r>
      <w:t> </w:t>
    </w:r>
  </w:p>
</w:hdr>
</file>

<file path=word/header15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3047F0" w14:textId="77777777" w:rsidR="00C45D59" w:rsidRDefault="00C45D59">
    <w:pPr>
      <w:pStyle w:val="Header"/>
    </w:pPr>
  </w:p>
</w:hdr>
</file>

<file path=word/header16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1B47ED" w14:textId="77777777" w:rsidR="00C45D59" w:rsidRDefault="00C45D59">
    <w:pPr>
      <w:pStyle w:val="Header"/>
    </w:pPr>
  </w:p>
</w:hdr>
</file>

<file path=word/header16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7869A2" w14:textId="77777777" w:rsidR="00C45D59" w:rsidRDefault="009B0962">
    <w:r>
      <w:t> </w:t>
    </w:r>
  </w:p>
</w:hdr>
</file>

<file path=word/header16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55372A" w14:textId="77777777" w:rsidR="00C45D59" w:rsidRDefault="00C45D59">
    <w:pPr>
      <w:pStyle w:val="Header"/>
    </w:pPr>
  </w:p>
</w:hdr>
</file>

<file path=word/header16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42F3C1" w14:textId="77777777" w:rsidR="00C45D59" w:rsidRDefault="00C45D59">
    <w:pPr>
      <w:pStyle w:val="Header"/>
    </w:pPr>
  </w:p>
</w:hdr>
</file>

<file path=word/header16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5DB6BC" w14:textId="77777777" w:rsidR="00C45D59" w:rsidRDefault="009B0962">
    <w:r>
      <w:t> </w:t>
    </w:r>
  </w:p>
</w:hdr>
</file>

<file path=word/header16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4A1718" w14:textId="77777777" w:rsidR="00C45D59" w:rsidRDefault="00C45D59">
    <w:pPr>
      <w:pStyle w:val="Header"/>
    </w:pPr>
  </w:p>
</w:hdr>
</file>

<file path=word/header16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AA5A22" w14:textId="77777777" w:rsidR="00C45D59" w:rsidRDefault="00C45D59">
    <w:pPr>
      <w:pStyle w:val="Header"/>
    </w:pPr>
  </w:p>
</w:hdr>
</file>

<file path=word/header16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37CD28" w14:textId="77777777" w:rsidR="00C45D59" w:rsidRDefault="009B0962">
    <w:r>
      <w:t> </w:t>
    </w:r>
  </w:p>
</w:hdr>
</file>

<file path=word/header16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410983" w14:textId="77777777" w:rsidR="00C45D59" w:rsidRDefault="00C45D59">
    <w:pPr>
      <w:pStyle w:val="Header"/>
    </w:pPr>
  </w:p>
</w:hdr>
</file>

<file path=word/header16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CD5806" w14:textId="77777777" w:rsidR="00C45D59" w:rsidRDefault="00C45D59">
    <w:pPr>
      <w:pStyle w:val="Header"/>
    </w:pPr>
  </w:p>
</w:hdr>
</file>

<file path=word/header17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69788B" w14:textId="77777777" w:rsidR="00C45D59" w:rsidRDefault="009B0962">
    <w:r>
      <w:t> </w:t>
    </w:r>
  </w:p>
</w:hdr>
</file>

<file path=word/header17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D072E3" w14:textId="77777777" w:rsidR="00C45D59" w:rsidRDefault="00C45D59">
    <w:pPr>
      <w:pStyle w:val="Header"/>
    </w:pPr>
  </w:p>
</w:hdr>
</file>

<file path=word/header17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DFE3B9" w14:textId="77777777" w:rsidR="00C45D59" w:rsidRDefault="00C45D59">
    <w:pPr>
      <w:pStyle w:val="Header"/>
    </w:pPr>
  </w:p>
</w:hdr>
</file>

<file path=word/header17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60B359" w14:textId="77777777" w:rsidR="00C45D59" w:rsidRDefault="009B0962">
    <w:r>
      <w:t> </w:t>
    </w:r>
  </w:p>
</w:hdr>
</file>

<file path=word/header17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49C4EE" w14:textId="77777777" w:rsidR="00C45D59" w:rsidRDefault="00C45D59">
    <w:pPr>
      <w:pStyle w:val="Header"/>
    </w:pPr>
  </w:p>
</w:hdr>
</file>

<file path=word/header17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6BA8E7" w14:textId="77777777" w:rsidR="00C45D59" w:rsidRDefault="00C45D59">
    <w:pPr>
      <w:pStyle w:val="Header"/>
    </w:pPr>
  </w:p>
</w:hdr>
</file>

<file path=word/header17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819415" w14:textId="77777777" w:rsidR="00C45D59" w:rsidRDefault="009B0962">
    <w:r>
      <w:t> </w:t>
    </w:r>
  </w:p>
</w:hdr>
</file>

<file path=word/header17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EC0520" w14:textId="77777777" w:rsidR="00C45D59" w:rsidRDefault="00C45D59">
    <w:pPr>
      <w:pStyle w:val="Header"/>
    </w:pPr>
  </w:p>
</w:hdr>
</file>

<file path=word/header17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7C7457" w14:textId="77777777" w:rsidR="00C45D59" w:rsidRDefault="00C45D59">
    <w:pPr>
      <w:pStyle w:val="Header"/>
    </w:pPr>
  </w:p>
</w:hdr>
</file>

<file path=word/header17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BD64A2" w14:textId="77777777" w:rsidR="00C45D59" w:rsidRDefault="009B0962">
    <w:r>
      <w:t> </w:t>
    </w:r>
  </w:p>
</w:hdr>
</file>

<file path=word/header18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B6F1C5" w14:textId="77777777" w:rsidR="00C45D59" w:rsidRDefault="00C45D59">
    <w:pPr>
      <w:pStyle w:val="Header"/>
    </w:pPr>
  </w:p>
</w:hdr>
</file>

<file path=word/header18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DEDA7A" w14:textId="77777777" w:rsidR="00C45D59" w:rsidRDefault="00C45D59">
    <w:pPr>
      <w:pStyle w:val="Header"/>
    </w:pPr>
  </w:p>
</w:hdr>
</file>

<file path=word/header18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BA93BF" w14:textId="77777777" w:rsidR="00C45D59" w:rsidRDefault="009B0962">
    <w:r>
      <w:t> </w:t>
    </w:r>
  </w:p>
</w:hdr>
</file>

<file path=word/header18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44089E" w14:textId="77777777" w:rsidR="00C45D59" w:rsidRDefault="00C45D59">
    <w:pPr>
      <w:pStyle w:val="Header"/>
    </w:pPr>
  </w:p>
</w:hdr>
</file>

<file path=word/header18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CFD0A" w14:textId="77777777" w:rsidR="00C45D59" w:rsidRDefault="00C45D59">
    <w:pPr>
      <w:pStyle w:val="Header"/>
    </w:pPr>
  </w:p>
</w:hdr>
</file>

<file path=word/header18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00E1EB" w14:textId="77777777" w:rsidR="00C45D59" w:rsidRDefault="009B0962">
    <w:r>
      <w:t> </w:t>
    </w:r>
  </w:p>
</w:hdr>
</file>

<file path=word/header18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162D29" w14:textId="77777777" w:rsidR="00C45D59" w:rsidRDefault="00C45D59">
    <w:pPr>
      <w:pStyle w:val="Header"/>
    </w:pPr>
  </w:p>
</w:hdr>
</file>

<file path=word/header18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21F121" w14:textId="77777777" w:rsidR="00C45D59" w:rsidRDefault="00C45D59">
    <w:pPr>
      <w:pStyle w:val="Header"/>
    </w:pPr>
  </w:p>
</w:hdr>
</file>

<file path=word/header18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5B430D" w14:textId="77777777" w:rsidR="00C45D59" w:rsidRDefault="009B0962">
    <w:r>
      <w:t> </w:t>
    </w:r>
  </w:p>
</w:hdr>
</file>

<file path=word/header18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D58166" w14:textId="77777777" w:rsidR="00C45D59" w:rsidRDefault="00C45D59">
    <w:pPr>
      <w:pStyle w:val="Header"/>
    </w:pPr>
  </w:p>
</w:hdr>
</file>

<file path=word/header19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6970F0" w14:textId="77777777" w:rsidR="00C45D59" w:rsidRDefault="00C45D59">
    <w:pPr>
      <w:pStyle w:val="Header"/>
    </w:pPr>
  </w:p>
</w:hdr>
</file>

<file path=word/header19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BC6415" w14:textId="77777777" w:rsidR="00C45D59" w:rsidRDefault="009B0962">
    <w:r>
      <w:t> </w:t>
    </w:r>
  </w:p>
</w:hdr>
</file>

<file path=word/header19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37ADAF" w14:textId="77777777" w:rsidR="00C45D59" w:rsidRDefault="00C45D59">
    <w:pPr>
      <w:pStyle w:val="Header"/>
    </w:pPr>
  </w:p>
</w:hdr>
</file>

<file path=word/header19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776D3A" w14:textId="77777777" w:rsidR="00C45D59" w:rsidRDefault="00C45D59">
    <w:pPr>
      <w:pStyle w:val="Header"/>
    </w:pPr>
  </w:p>
</w:hdr>
</file>

<file path=word/header19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7BED35" w14:textId="77777777" w:rsidR="00C45D59" w:rsidRDefault="009B0962">
    <w:r>
      <w:t> </w:t>
    </w:r>
  </w:p>
</w:hdr>
</file>

<file path=word/header19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F612B1" w14:textId="77777777" w:rsidR="00C45D59" w:rsidRDefault="00C45D59">
    <w:pPr>
      <w:pStyle w:val="Header"/>
    </w:pPr>
  </w:p>
</w:hdr>
</file>

<file path=word/header19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CD2A37" w14:textId="77777777" w:rsidR="00C45D59" w:rsidRDefault="00C45D59">
    <w:pPr>
      <w:pStyle w:val="Header"/>
    </w:pPr>
  </w:p>
</w:hdr>
</file>

<file path=word/header19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64879A" w14:textId="77777777" w:rsidR="00C45D59" w:rsidRDefault="009B0962">
    <w:r>
      <w:t> </w:t>
    </w:r>
  </w:p>
</w:hdr>
</file>

<file path=word/header19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79E274" w14:textId="77777777" w:rsidR="00C45D59" w:rsidRDefault="00C45D59">
    <w:pPr>
      <w:pStyle w:val="Header"/>
    </w:pPr>
  </w:p>
</w:hdr>
</file>

<file path=word/header19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6665EE" w14:textId="77777777" w:rsidR="00C45D59" w:rsidRDefault="00C45D59">
    <w:pPr>
      <w:pStyle w:val="Header"/>
    </w:pPr>
  </w:p>
</w:hdr>
</file>

<file path=word/header20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33571A" w14:textId="77777777" w:rsidR="00C45D59" w:rsidRDefault="009B0962">
    <w:r>
      <w:t> </w:t>
    </w:r>
  </w:p>
</w:hdr>
</file>

<file path=word/header20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20C02C" w14:textId="77777777" w:rsidR="00C45D59" w:rsidRDefault="00C45D59">
    <w:pPr>
      <w:pStyle w:val="Header"/>
    </w:pPr>
  </w:p>
</w:hdr>
</file>

<file path=word/header20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49E10A" w14:textId="77777777" w:rsidR="00C45D59" w:rsidRDefault="00C45D59">
    <w:pPr>
      <w:pStyle w:val="Header"/>
    </w:pPr>
  </w:p>
</w:hdr>
</file>

<file path=word/header20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A536F2" w14:textId="77777777" w:rsidR="00C45D59" w:rsidRDefault="009B0962">
    <w:r>
      <w:t> </w:t>
    </w:r>
  </w:p>
</w:hdr>
</file>

<file path=word/header20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D4BD30" w14:textId="77777777" w:rsidR="00C45D59" w:rsidRDefault="00C45D59">
    <w:pPr>
      <w:pStyle w:val="Header"/>
    </w:pPr>
  </w:p>
</w:hdr>
</file>

<file path=word/header20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21C4BF" w14:textId="77777777" w:rsidR="00C45D59" w:rsidRDefault="00C45D59">
    <w:pPr>
      <w:pStyle w:val="Header"/>
    </w:pPr>
  </w:p>
</w:hdr>
</file>

<file path=word/header20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E637A9" w14:textId="77777777" w:rsidR="00C45D59" w:rsidRDefault="009B0962">
    <w:r>
      <w:t> </w:t>
    </w:r>
  </w:p>
</w:hdr>
</file>

<file path=word/header20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07D614" w14:textId="77777777" w:rsidR="00C45D59" w:rsidRDefault="00C45D59">
    <w:pPr>
      <w:pStyle w:val="Header"/>
    </w:pPr>
  </w:p>
</w:hdr>
</file>

<file path=word/header20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0644C9" w14:textId="77777777" w:rsidR="00C45D59" w:rsidRDefault="00C45D59">
    <w:pPr>
      <w:pStyle w:val="Header"/>
    </w:pPr>
  </w:p>
</w:hdr>
</file>

<file path=word/header20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2B9262" w14:textId="77777777" w:rsidR="00C45D59" w:rsidRDefault="009B0962">
    <w:r>
      <w:t> </w:t>
    </w:r>
  </w:p>
</w:hdr>
</file>

<file path=word/header2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9258D8" w14:textId="77777777" w:rsidR="00C45D59" w:rsidRDefault="00C45D59">
    <w:pPr>
      <w:pStyle w:val="Header"/>
    </w:pPr>
  </w:p>
</w:hdr>
</file>

<file path=word/header2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846847" w14:textId="77777777" w:rsidR="00C45D59" w:rsidRDefault="00C45D59">
    <w:pPr>
      <w:pStyle w:val="Header"/>
    </w:pPr>
  </w:p>
</w:hdr>
</file>

<file path=word/header2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1BFEFE" w14:textId="77777777" w:rsidR="00C45D59" w:rsidRDefault="009B0962">
    <w:r>
      <w:t> </w:t>
    </w:r>
  </w:p>
</w:hdr>
</file>

<file path=word/header2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3D00A9" w14:textId="77777777" w:rsidR="00C45D59" w:rsidRDefault="00C45D59">
    <w:pPr>
      <w:pStyle w:val="Header"/>
    </w:pPr>
  </w:p>
</w:hdr>
</file>

<file path=word/header2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1EC2C5" w14:textId="77777777" w:rsidR="00C45D59" w:rsidRDefault="00C45D59">
    <w:pPr>
      <w:pStyle w:val="Header"/>
    </w:pPr>
  </w:p>
</w:hdr>
</file>

<file path=word/header2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72DB0F" w14:textId="77777777" w:rsidR="00C45D59" w:rsidRDefault="009B0962">
    <w:r>
      <w:t> </w:t>
    </w:r>
  </w:p>
</w:hdr>
</file>

<file path=word/header2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47EF4C" w14:textId="77777777" w:rsidR="00C45D59" w:rsidRDefault="00C45D59">
    <w:pPr>
      <w:pStyle w:val="Header"/>
    </w:pPr>
  </w:p>
</w:hdr>
</file>

<file path=word/header2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4BBB3F" w14:textId="77777777" w:rsidR="00C45D59" w:rsidRDefault="00C45D59">
    <w:pPr>
      <w:pStyle w:val="Header"/>
    </w:pPr>
  </w:p>
</w:hdr>
</file>

<file path=word/header2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D97A5A" w14:textId="77777777" w:rsidR="00C45D59" w:rsidRDefault="009B0962">
    <w:r>
      <w:t> </w:t>
    </w:r>
  </w:p>
</w:hdr>
</file>

<file path=word/header2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CBA354" w14:textId="77777777" w:rsidR="00C45D59" w:rsidRDefault="00C45D59">
    <w:pPr>
      <w:pStyle w:val="Header"/>
    </w:pPr>
  </w:p>
</w:hdr>
</file>

<file path=word/header2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763D3E" w14:textId="77777777" w:rsidR="00C45D59" w:rsidRDefault="00C45D59">
    <w:pPr>
      <w:pStyle w:val="Header"/>
    </w:pPr>
  </w:p>
</w:hdr>
</file>

<file path=word/header2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E9B470" w14:textId="77777777" w:rsidR="00C45D59" w:rsidRDefault="009B0962">
    <w:r>
      <w:t> </w:t>
    </w:r>
  </w:p>
</w:hdr>
</file>

<file path=word/header2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658CE" w14:textId="77777777" w:rsidR="00C45D59" w:rsidRDefault="00C45D59">
    <w:pPr>
      <w:pStyle w:val="Header"/>
    </w:pPr>
  </w:p>
</w:hdr>
</file>

<file path=word/header2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F57C4A" w14:textId="77777777" w:rsidR="00C45D59" w:rsidRDefault="00C45D59">
    <w:pPr>
      <w:pStyle w:val="Header"/>
    </w:pPr>
  </w:p>
</w:hdr>
</file>

<file path=word/header2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05A068" w14:textId="77777777" w:rsidR="00C45D59" w:rsidRDefault="009B0962">
    <w:r>
      <w:t> </w:t>
    </w:r>
  </w:p>
</w:hdr>
</file>

<file path=word/header2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255887" w14:textId="77777777" w:rsidR="00C45D59" w:rsidRDefault="00C45D5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71682140"/>
    <w:lvl w:ilvl="0">
      <w:start w:val="1"/>
      <w:numFmt w:val="bullet"/>
      <w:pStyle w:val="ListBullet4"/>
      <w:lvlText w:val=""/>
      <w:lvlJc w:val="left"/>
      <w:pPr>
        <w:tabs>
          <w:tab w:val="num" w:pos="1628"/>
        </w:tabs>
        <w:ind w:left="1628" w:hanging="360"/>
      </w:pPr>
      <w:rPr>
        <w:rFonts w:ascii="Symbol" w:hAnsi="Symbol" w:hint="default"/>
      </w:rPr>
    </w:lvl>
  </w:abstractNum>
  <w:abstractNum w:abstractNumId="1" w15:restartNumberingAfterBreak="0">
    <w:nsid w:val="FFFFFF82"/>
    <w:multiLevelType w:val="singleLevel"/>
    <w:tmpl w:val="BBC045FC"/>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B4EC6180"/>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D31E9FD2"/>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00003F54"/>
    <w:multiLevelType w:val="hybridMultilevel"/>
    <w:tmpl w:val="99862E8E"/>
    <w:lvl w:ilvl="0" w:tplc="FFFFFFFF">
      <w:start w:val="1"/>
      <w:numFmt w:val="lowerRoman"/>
      <w:lvlText w:val="%1."/>
      <w:lvlJc w:val="righ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0732442"/>
    <w:multiLevelType w:val="hybridMultilevel"/>
    <w:tmpl w:val="E3C0D34E"/>
    <w:lvl w:ilvl="0" w:tplc="0AB29A70">
      <w:start w:val="1"/>
      <w:numFmt w:val="bullet"/>
      <w:lvlText w:val="-"/>
      <w:lvlJc w:val="left"/>
      <w:pPr>
        <w:ind w:left="720" w:hanging="360"/>
      </w:pPr>
      <w:rPr>
        <w:rFonts w:ascii="Aptos" w:hAnsi="Aptos" w:hint="default"/>
      </w:rPr>
    </w:lvl>
    <w:lvl w:ilvl="1" w:tplc="29BEBDFA">
      <w:start w:val="1"/>
      <w:numFmt w:val="bullet"/>
      <w:lvlText w:val="o"/>
      <w:lvlJc w:val="left"/>
      <w:pPr>
        <w:ind w:left="1440" w:hanging="360"/>
      </w:pPr>
      <w:rPr>
        <w:rFonts w:ascii="Courier New" w:hAnsi="Courier New" w:hint="default"/>
      </w:rPr>
    </w:lvl>
    <w:lvl w:ilvl="2" w:tplc="C2826F78">
      <w:start w:val="1"/>
      <w:numFmt w:val="bullet"/>
      <w:lvlText w:val=""/>
      <w:lvlJc w:val="left"/>
      <w:pPr>
        <w:ind w:left="2160" w:hanging="360"/>
      </w:pPr>
      <w:rPr>
        <w:rFonts w:ascii="Wingdings" w:hAnsi="Wingdings" w:hint="default"/>
      </w:rPr>
    </w:lvl>
    <w:lvl w:ilvl="3" w:tplc="A8D46660">
      <w:start w:val="1"/>
      <w:numFmt w:val="bullet"/>
      <w:lvlText w:val=""/>
      <w:lvlJc w:val="left"/>
      <w:pPr>
        <w:ind w:left="2880" w:hanging="360"/>
      </w:pPr>
      <w:rPr>
        <w:rFonts w:ascii="Symbol" w:hAnsi="Symbol" w:hint="default"/>
      </w:rPr>
    </w:lvl>
    <w:lvl w:ilvl="4" w:tplc="C5C834B2">
      <w:start w:val="1"/>
      <w:numFmt w:val="bullet"/>
      <w:lvlText w:val="o"/>
      <w:lvlJc w:val="left"/>
      <w:pPr>
        <w:ind w:left="3600" w:hanging="360"/>
      </w:pPr>
      <w:rPr>
        <w:rFonts w:ascii="Courier New" w:hAnsi="Courier New" w:hint="default"/>
      </w:rPr>
    </w:lvl>
    <w:lvl w:ilvl="5" w:tplc="0A7C94C6">
      <w:start w:val="1"/>
      <w:numFmt w:val="bullet"/>
      <w:lvlText w:val=""/>
      <w:lvlJc w:val="left"/>
      <w:pPr>
        <w:ind w:left="4320" w:hanging="360"/>
      </w:pPr>
      <w:rPr>
        <w:rFonts w:ascii="Wingdings" w:hAnsi="Wingdings" w:hint="default"/>
      </w:rPr>
    </w:lvl>
    <w:lvl w:ilvl="6" w:tplc="F61E8150">
      <w:start w:val="1"/>
      <w:numFmt w:val="bullet"/>
      <w:lvlText w:val=""/>
      <w:lvlJc w:val="left"/>
      <w:pPr>
        <w:ind w:left="5040" w:hanging="360"/>
      </w:pPr>
      <w:rPr>
        <w:rFonts w:ascii="Symbol" w:hAnsi="Symbol" w:hint="default"/>
      </w:rPr>
    </w:lvl>
    <w:lvl w:ilvl="7" w:tplc="594C1818">
      <w:start w:val="1"/>
      <w:numFmt w:val="bullet"/>
      <w:lvlText w:val="o"/>
      <w:lvlJc w:val="left"/>
      <w:pPr>
        <w:ind w:left="5760" w:hanging="360"/>
      </w:pPr>
      <w:rPr>
        <w:rFonts w:ascii="Courier New" w:hAnsi="Courier New" w:hint="default"/>
      </w:rPr>
    </w:lvl>
    <w:lvl w:ilvl="8" w:tplc="918AD63C">
      <w:start w:val="1"/>
      <w:numFmt w:val="bullet"/>
      <w:lvlText w:val=""/>
      <w:lvlJc w:val="left"/>
      <w:pPr>
        <w:ind w:left="6480" w:hanging="360"/>
      </w:pPr>
      <w:rPr>
        <w:rFonts w:ascii="Wingdings" w:hAnsi="Wingdings" w:hint="default"/>
      </w:rPr>
    </w:lvl>
  </w:abstractNum>
  <w:abstractNum w:abstractNumId="6" w15:restartNumberingAfterBreak="0">
    <w:nsid w:val="0128B611"/>
    <w:multiLevelType w:val="hybridMultilevel"/>
    <w:tmpl w:val="FFFFFFFF"/>
    <w:lvl w:ilvl="0" w:tplc="7220A7B8">
      <w:start w:val="1"/>
      <w:numFmt w:val="lowerLetter"/>
      <w:lvlText w:val="%1)"/>
      <w:lvlJc w:val="left"/>
      <w:pPr>
        <w:ind w:left="720" w:hanging="360"/>
      </w:pPr>
    </w:lvl>
    <w:lvl w:ilvl="1" w:tplc="CBB698D8">
      <w:start w:val="1"/>
      <w:numFmt w:val="lowerLetter"/>
      <w:lvlText w:val="%2."/>
      <w:lvlJc w:val="left"/>
      <w:pPr>
        <w:ind w:left="1440" w:hanging="360"/>
      </w:pPr>
    </w:lvl>
    <w:lvl w:ilvl="2" w:tplc="09F8B0FC">
      <w:start w:val="1"/>
      <w:numFmt w:val="lowerRoman"/>
      <w:lvlText w:val="%3."/>
      <w:lvlJc w:val="right"/>
      <w:pPr>
        <w:ind w:left="2160" w:hanging="180"/>
      </w:pPr>
    </w:lvl>
    <w:lvl w:ilvl="3" w:tplc="6656899C">
      <w:start w:val="1"/>
      <w:numFmt w:val="decimal"/>
      <w:lvlText w:val="%4."/>
      <w:lvlJc w:val="left"/>
      <w:pPr>
        <w:ind w:left="2880" w:hanging="360"/>
      </w:pPr>
    </w:lvl>
    <w:lvl w:ilvl="4" w:tplc="B3622BD6">
      <w:start w:val="1"/>
      <w:numFmt w:val="lowerLetter"/>
      <w:lvlText w:val="%5."/>
      <w:lvlJc w:val="left"/>
      <w:pPr>
        <w:ind w:left="3600" w:hanging="360"/>
      </w:pPr>
    </w:lvl>
    <w:lvl w:ilvl="5" w:tplc="FA7C2F20">
      <w:start w:val="1"/>
      <w:numFmt w:val="lowerRoman"/>
      <w:lvlText w:val="%6."/>
      <w:lvlJc w:val="right"/>
      <w:pPr>
        <w:ind w:left="4320" w:hanging="180"/>
      </w:pPr>
    </w:lvl>
    <w:lvl w:ilvl="6" w:tplc="2BE0BC62">
      <w:start w:val="1"/>
      <w:numFmt w:val="decimal"/>
      <w:lvlText w:val="%7."/>
      <w:lvlJc w:val="left"/>
      <w:pPr>
        <w:ind w:left="5040" w:hanging="360"/>
      </w:pPr>
    </w:lvl>
    <w:lvl w:ilvl="7" w:tplc="95E85040">
      <w:start w:val="1"/>
      <w:numFmt w:val="lowerLetter"/>
      <w:lvlText w:val="%8."/>
      <w:lvlJc w:val="left"/>
      <w:pPr>
        <w:ind w:left="5760" w:hanging="360"/>
      </w:pPr>
    </w:lvl>
    <w:lvl w:ilvl="8" w:tplc="41AA8054">
      <w:start w:val="1"/>
      <w:numFmt w:val="lowerRoman"/>
      <w:lvlText w:val="%9."/>
      <w:lvlJc w:val="right"/>
      <w:pPr>
        <w:ind w:left="6480" w:hanging="180"/>
      </w:pPr>
    </w:lvl>
  </w:abstractNum>
  <w:abstractNum w:abstractNumId="7" w15:restartNumberingAfterBreak="0">
    <w:nsid w:val="01321A28"/>
    <w:multiLevelType w:val="multilevel"/>
    <w:tmpl w:val="7174EE06"/>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8" w15:restartNumberingAfterBreak="0">
    <w:nsid w:val="02A22527"/>
    <w:multiLevelType w:val="multilevel"/>
    <w:tmpl w:val="F63276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05D84DF0"/>
    <w:multiLevelType w:val="hybridMultilevel"/>
    <w:tmpl w:val="7A020E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06730FBE"/>
    <w:multiLevelType w:val="hybridMultilevel"/>
    <w:tmpl w:val="9318A7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764457B"/>
    <w:multiLevelType w:val="multilevel"/>
    <w:tmpl w:val="905ED7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07F6236F"/>
    <w:multiLevelType w:val="multilevel"/>
    <w:tmpl w:val="1F7410D2"/>
    <w:lvl w:ilvl="0">
      <w:start w:val="1"/>
      <w:numFmt w:val="decimal"/>
      <w:lvlText w:val="%1."/>
      <w:lvlJc w:val="left"/>
      <w:pPr>
        <w:ind w:left="476" w:hanging="476"/>
      </w:pPr>
      <w:rPr>
        <w:rFonts w:hint="default"/>
        <w:b/>
        <w:bCs/>
        <w:lang w:val="de-DE"/>
      </w:rPr>
    </w:lvl>
    <w:lvl w:ilvl="1">
      <w:start w:val="1"/>
      <w:numFmt w:val="bullet"/>
      <w:lvlText w:val=""/>
      <w:lvlJc w:val="left"/>
      <w:pPr>
        <w:ind w:left="644" w:hanging="360"/>
      </w:pPr>
      <w:rPr>
        <w:rFonts w:ascii="Symbol" w:hAnsi="Symbol" w:hint="default"/>
      </w:rPr>
    </w:lvl>
    <w:lvl w:ilvl="2">
      <w:start w:val="1"/>
      <w:numFmt w:val="lowerRoman"/>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09B22FCB"/>
    <w:multiLevelType w:val="multilevel"/>
    <w:tmpl w:val="5A1C7EA6"/>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14" w15:restartNumberingAfterBreak="0">
    <w:nsid w:val="0DA77D5B"/>
    <w:multiLevelType w:val="multilevel"/>
    <w:tmpl w:val="BDC84AC2"/>
    <w:lvl w:ilvl="0">
      <w:start w:val="1"/>
      <w:numFmt w:val="decimal"/>
      <w:lvlText w:val="%1."/>
      <w:lvlJc w:val="left"/>
      <w:pPr>
        <w:ind w:left="720" w:hanging="360"/>
      </w:pPr>
      <w:rPr>
        <w:color w:val="00602B"/>
      </w:rPr>
    </w:lvl>
    <w:lvl w:ilvl="1">
      <w:start w:val="7"/>
      <w:numFmt w:val="decimal"/>
      <w:isLgl/>
      <w:lvlText w:val="%1.%2"/>
      <w:lvlJc w:val="left"/>
      <w:pPr>
        <w:ind w:left="720" w:hanging="360"/>
      </w:pPr>
      <w:rPr>
        <w:rFonts w:eastAsia="Calibri" w:cs="Myanmar Text" w:hint="default"/>
      </w:rPr>
    </w:lvl>
    <w:lvl w:ilvl="2">
      <w:start w:val="1"/>
      <w:numFmt w:val="decimal"/>
      <w:isLgl/>
      <w:lvlText w:val="%1.%2.%3"/>
      <w:lvlJc w:val="left"/>
      <w:pPr>
        <w:ind w:left="1080" w:hanging="720"/>
      </w:pPr>
      <w:rPr>
        <w:rFonts w:eastAsia="Calibri" w:cs="Myanmar Text" w:hint="default"/>
      </w:rPr>
    </w:lvl>
    <w:lvl w:ilvl="3">
      <w:start w:val="1"/>
      <w:numFmt w:val="decimal"/>
      <w:isLgl/>
      <w:lvlText w:val="%1.%2.%3.%4"/>
      <w:lvlJc w:val="left"/>
      <w:pPr>
        <w:ind w:left="1080" w:hanging="720"/>
      </w:pPr>
      <w:rPr>
        <w:rFonts w:eastAsia="Calibri" w:cs="Myanmar Text" w:hint="default"/>
      </w:rPr>
    </w:lvl>
    <w:lvl w:ilvl="4">
      <w:start w:val="1"/>
      <w:numFmt w:val="decimal"/>
      <w:isLgl/>
      <w:lvlText w:val="%1.%2.%3.%4.%5"/>
      <w:lvlJc w:val="left"/>
      <w:pPr>
        <w:ind w:left="1440" w:hanging="1080"/>
      </w:pPr>
      <w:rPr>
        <w:rFonts w:eastAsia="Calibri" w:cs="Myanmar Text" w:hint="default"/>
      </w:rPr>
    </w:lvl>
    <w:lvl w:ilvl="5">
      <w:start w:val="1"/>
      <w:numFmt w:val="decimal"/>
      <w:isLgl/>
      <w:lvlText w:val="%1.%2.%3.%4.%5.%6"/>
      <w:lvlJc w:val="left"/>
      <w:pPr>
        <w:ind w:left="1440" w:hanging="1080"/>
      </w:pPr>
      <w:rPr>
        <w:rFonts w:eastAsia="Calibri" w:cs="Myanmar Text" w:hint="default"/>
      </w:rPr>
    </w:lvl>
    <w:lvl w:ilvl="6">
      <w:start w:val="1"/>
      <w:numFmt w:val="decimal"/>
      <w:isLgl/>
      <w:lvlText w:val="%1.%2.%3.%4.%5.%6.%7"/>
      <w:lvlJc w:val="left"/>
      <w:pPr>
        <w:ind w:left="1800" w:hanging="1440"/>
      </w:pPr>
      <w:rPr>
        <w:rFonts w:eastAsia="Calibri" w:cs="Myanmar Text" w:hint="default"/>
      </w:rPr>
    </w:lvl>
    <w:lvl w:ilvl="7">
      <w:start w:val="1"/>
      <w:numFmt w:val="decimal"/>
      <w:isLgl/>
      <w:lvlText w:val="%1.%2.%3.%4.%5.%6.%7.%8"/>
      <w:lvlJc w:val="left"/>
      <w:pPr>
        <w:ind w:left="1800" w:hanging="1440"/>
      </w:pPr>
      <w:rPr>
        <w:rFonts w:eastAsia="Calibri" w:cs="Myanmar Text" w:hint="default"/>
      </w:rPr>
    </w:lvl>
    <w:lvl w:ilvl="8">
      <w:start w:val="1"/>
      <w:numFmt w:val="decimal"/>
      <w:isLgl/>
      <w:lvlText w:val="%1.%2.%3.%4.%5.%6.%7.%8.%9"/>
      <w:lvlJc w:val="left"/>
      <w:pPr>
        <w:ind w:left="2160" w:hanging="1800"/>
      </w:pPr>
      <w:rPr>
        <w:rFonts w:eastAsia="Calibri" w:cs="Myanmar Text" w:hint="default"/>
      </w:rPr>
    </w:lvl>
  </w:abstractNum>
  <w:abstractNum w:abstractNumId="15" w15:restartNumberingAfterBreak="0">
    <w:nsid w:val="0DC866E5"/>
    <w:multiLevelType w:val="hybridMultilevel"/>
    <w:tmpl w:val="3EB87E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0F666A71"/>
    <w:multiLevelType w:val="hybridMultilevel"/>
    <w:tmpl w:val="99862E8E"/>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109A2932"/>
    <w:multiLevelType w:val="hybridMultilevel"/>
    <w:tmpl w:val="271E17A2"/>
    <w:lvl w:ilvl="0" w:tplc="F96681D0">
      <w:numFmt w:val="bullet"/>
      <w:lvlText w:val="-"/>
      <w:lvlJc w:val="left"/>
      <w:pPr>
        <w:ind w:left="360" w:hanging="360"/>
      </w:pPr>
      <w:rPr>
        <w:rFonts w:ascii="Calibri" w:eastAsia="Times New Roman"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110175DC"/>
    <w:multiLevelType w:val="multilevel"/>
    <w:tmpl w:val="7FF44A7A"/>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19" w15:restartNumberingAfterBreak="0">
    <w:nsid w:val="12976F17"/>
    <w:multiLevelType w:val="hybridMultilevel"/>
    <w:tmpl w:val="2B7C8A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2EE5687"/>
    <w:multiLevelType w:val="multilevel"/>
    <w:tmpl w:val="A3A2197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15:restartNumberingAfterBreak="0">
    <w:nsid w:val="139A3C8B"/>
    <w:multiLevelType w:val="hybridMultilevel"/>
    <w:tmpl w:val="CCF20416"/>
    <w:lvl w:ilvl="0" w:tplc="F96681D0">
      <w:numFmt w:val="bullet"/>
      <w:lvlText w:val="-"/>
      <w:lvlJc w:val="left"/>
      <w:pPr>
        <w:ind w:left="360" w:hanging="360"/>
      </w:pPr>
      <w:rPr>
        <w:rFonts w:ascii="Calibri" w:eastAsia="Times New Roman"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155D3EF1"/>
    <w:multiLevelType w:val="multilevel"/>
    <w:tmpl w:val="DBAE2684"/>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23" w15:restartNumberingAfterBreak="0">
    <w:nsid w:val="16F01D6B"/>
    <w:multiLevelType w:val="hybridMultilevel"/>
    <w:tmpl w:val="7BDC30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181AE706"/>
    <w:multiLevelType w:val="hybridMultilevel"/>
    <w:tmpl w:val="FFFFFFFF"/>
    <w:lvl w:ilvl="0" w:tplc="0C28948E">
      <w:start w:val="1"/>
      <w:numFmt w:val="bullet"/>
      <w:lvlText w:val=""/>
      <w:lvlJc w:val="left"/>
      <w:pPr>
        <w:ind w:left="360" w:hanging="360"/>
      </w:pPr>
      <w:rPr>
        <w:rFonts w:ascii="Symbol" w:hAnsi="Symbol" w:hint="default"/>
      </w:rPr>
    </w:lvl>
    <w:lvl w:ilvl="1" w:tplc="976EBBCE">
      <w:start w:val="1"/>
      <w:numFmt w:val="bullet"/>
      <w:lvlText w:val="o"/>
      <w:lvlJc w:val="left"/>
      <w:pPr>
        <w:ind w:left="1080" w:hanging="360"/>
      </w:pPr>
      <w:rPr>
        <w:rFonts w:ascii="Courier New" w:hAnsi="Courier New" w:hint="default"/>
      </w:rPr>
    </w:lvl>
    <w:lvl w:ilvl="2" w:tplc="64CEB02E">
      <w:start w:val="1"/>
      <w:numFmt w:val="bullet"/>
      <w:lvlText w:val=""/>
      <w:lvlJc w:val="left"/>
      <w:pPr>
        <w:ind w:left="1800" w:hanging="360"/>
      </w:pPr>
      <w:rPr>
        <w:rFonts w:ascii="Wingdings" w:hAnsi="Wingdings" w:hint="default"/>
      </w:rPr>
    </w:lvl>
    <w:lvl w:ilvl="3" w:tplc="88F245AC">
      <w:start w:val="1"/>
      <w:numFmt w:val="bullet"/>
      <w:lvlText w:val=""/>
      <w:lvlJc w:val="left"/>
      <w:pPr>
        <w:ind w:left="2520" w:hanging="360"/>
      </w:pPr>
      <w:rPr>
        <w:rFonts w:ascii="Symbol" w:hAnsi="Symbol" w:hint="default"/>
      </w:rPr>
    </w:lvl>
    <w:lvl w:ilvl="4" w:tplc="67DA6BD4">
      <w:start w:val="1"/>
      <w:numFmt w:val="bullet"/>
      <w:lvlText w:val="o"/>
      <w:lvlJc w:val="left"/>
      <w:pPr>
        <w:ind w:left="3240" w:hanging="360"/>
      </w:pPr>
      <w:rPr>
        <w:rFonts w:ascii="Courier New" w:hAnsi="Courier New" w:hint="default"/>
      </w:rPr>
    </w:lvl>
    <w:lvl w:ilvl="5" w:tplc="00C048B2">
      <w:start w:val="1"/>
      <w:numFmt w:val="bullet"/>
      <w:lvlText w:val=""/>
      <w:lvlJc w:val="left"/>
      <w:pPr>
        <w:ind w:left="3960" w:hanging="360"/>
      </w:pPr>
      <w:rPr>
        <w:rFonts w:ascii="Wingdings" w:hAnsi="Wingdings" w:hint="default"/>
      </w:rPr>
    </w:lvl>
    <w:lvl w:ilvl="6" w:tplc="24A63EC8">
      <w:start w:val="1"/>
      <w:numFmt w:val="bullet"/>
      <w:lvlText w:val=""/>
      <w:lvlJc w:val="left"/>
      <w:pPr>
        <w:ind w:left="4680" w:hanging="360"/>
      </w:pPr>
      <w:rPr>
        <w:rFonts w:ascii="Symbol" w:hAnsi="Symbol" w:hint="default"/>
      </w:rPr>
    </w:lvl>
    <w:lvl w:ilvl="7" w:tplc="13BEDF68">
      <w:start w:val="1"/>
      <w:numFmt w:val="bullet"/>
      <w:lvlText w:val="o"/>
      <w:lvlJc w:val="left"/>
      <w:pPr>
        <w:ind w:left="5400" w:hanging="360"/>
      </w:pPr>
      <w:rPr>
        <w:rFonts w:ascii="Courier New" w:hAnsi="Courier New" w:hint="default"/>
      </w:rPr>
    </w:lvl>
    <w:lvl w:ilvl="8" w:tplc="33A00E56">
      <w:start w:val="1"/>
      <w:numFmt w:val="bullet"/>
      <w:lvlText w:val=""/>
      <w:lvlJc w:val="left"/>
      <w:pPr>
        <w:ind w:left="6120" w:hanging="360"/>
      </w:pPr>
      <w:rPr>
        <w:rFonts w:ascii="Wingdings" w:hAnsi="Wingdings" w:hint="default"/>
      </w:rPr>
    </w:lvl>
  </w:abstractNum>
  <w:abstractNum w:abstractNumId="25" w15:restartNumberingAfterBreak="0">
    <w:nsid w:val="190205AA"/>
    <w:multiLevelType w:val="multilevel"/>
    <w:tmpl w:val="98B8582E"/>
    <w:lvl w:ilvl="0">
      <w:start w:val="1"/>
      <w:numFmt w:val="decimal"/>
      <w:lvlText w:val="%1."/>
      <w:lvlJc w:val="left"/>
      <w:pPr>
        <w:ind w:left="476" w:hanging="476"/>
      </w:pPr>
      <w:rPr>
        <w:rFonts w:hint="default"/>
        <w:b/>
        <w:bCs/>
        <w:lang w:val="de-DE"/>
      </w:rPr>
    </w:lvl>
    <w:lvl w:ilvl="1">
      <w:start w:val="1"/>
      <w:numFmt w:val="bullet"/>
      <w:lvlText w:val=""/>
      <w:lvlJc w:val="left"/>
      <w:pPr>
        <w:ind w:left="836" w:hanging="360"/>
      </w:pPr>
      <w:rPr>
        <w:rFonts w:ascii="Symbol" w:hAnsi="Symbol" w:hint="default"/>
      </w:rPr>
    </w:lvl>
    <w:lvl w:ilvl="2">
      <w:start w:val="1"/>
      <w:numFmt w:val="bullet"/>
      <w:lvlText w:val="o"/>
      <w:lvlJc w:val="left"/>
      <w:pPr>
        <w:ind w:left="1069" w:hanging="360"/>
      </w:pPr>
      <w:rPr>
        <w:rFonts w:ascii="Courier New" w:hAnsi="Courier New" w:cs="Courier New"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6" w15:restartNumberingAfterBreak="0">
    <w:nsid w:val="197853E9"/>
    <w:multiLevelType w:val="hybridMultilevel"/>
    <w:tmpl w:val="17A42E36"/>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7" w15:restartNumberingAfterBreak="0">
    <w:nsid w:val="19921D6B"/>
    <w:multiLevelType w:val="multilevel"/>
    <w:tmpl w:val="9BAEDC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19E64B66"/>
    <w:multiLevelType w:val="multilevel"/>
    <w:tmpl w:val="A9080538"/>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29"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30" w15:restartNumberingAfterBreak="0">
    <w:nsid w:val="2028C3AD"/>
    <w:multiLevelType w:val="hybridMultilevel"/>
    <w:tmpl w:val="FFFFFFFF"/>
    <w:lvl w:ilvl="0" w:tplc="E4342D88">
      <w:start w:val="1"/>
      <w:numFmt w:val="decimal"/>
      <w:lvlText w:val="%1)"/>
      <w:lvlJc w:val="left"/>
      <w:pPr>
        <w:ind w:left="720" w:hanging="360"/>
      </w:pPr>
    </w:lvl>
    <w:lvl w:ilvl="1" w:tplc="039CF8D4">
      <w:start w:val="1"/>
      <w:numFmt w:val="lowerLetter"/>
      <w:lvlText w:val="%2."/>
      <w:lvlJc w:val="left"/>
      <w:pPr>
        <w:ind w:left="1440" w:hanging="360"/>
      </w:pPr>
    </w:lvl>
    <w:lvl w:ilvl="2" w:tplc="A240114C">
      <w:start w:val="1"/>
      <w:numFmt w:val="lowerRoman"/>
      <w:lvlText w:val="%3."/>
      <w:lvlJc w:val="right"/>
      <w:pPr>
        <w:ind w:left="2160" w:hanging="180"/>
      </w:pPr>
    </w:lvl>
    <w:lvl w:ilvl="3" w:tplc="CF16114C">
      <w:start w:val="1"/>
      <w:numFmt w:val="decimal"/>
      <w:lvlText w:val="%4."/>
      <w:lvlJc w:val="left"/>
      <w:pPr>
        <w:ind w:left="2880" w:hanging="360"/>
      </w:pPr>
    </w:lvl>
    <w:lvl w:ilvl="4" w:tplc="0B80930E">
      <w:start w:val="1"/>
      <w:numFmt w:val="lowerLetter"/>
      <w:lvlText w:val="%5."/>
      <w:lvlJc w:val="left"/>
      <w:pPr>
        <w:ind w:left="3600" w:hanging="360"/>
      </w:pPr>
    </w:lvl>
    <w:lvl w:ilvl="5" w:tplc="2BAE23B6">
      <w:start w:val="1"/>
      <w:numFmt w:val="lowerRoman"/>
      <w:lvlText w:val="%6."/>
      <w:lvlJc w:val="right"/>
      <w:pPr>
        <w:ind w:left="4320" w:hanging="180"/>
      </w:pPr>
    </w:lvl>
    <w:lvl w:ilvl="6" w:tplc="3F588A18">
      <w:start w:val="1"/>
      <w:numFmt w:val="decimal"/>
      <w:lvlText w:val="%7."/>
      <w:lvlJc w:val="left"/>
      <w:pPr>
        <w:ind w:left="5040" w:hanging="360"/>
      </w:pPr>
    </w:lvl>
    <w:lvl w:ilvl="7" w:tplc="530A252E">
      <w:start w:val="1"/>
      <w:numFmt w:val="lowerLetter"/>
      <w:lvlText w:val="%8."/>
      <w:lvlJc w:val="left"/>
      <w:pPr>
        <w:ind w:left="5760" w:hanging="360"/>
      </w:pPr>
    </w:lvl>
    <w:lvl w:ilvl="8" w:tplc="AA1C9F64">
      <w:start w:val="1"/>
      <w:numFmt w:val="lowerRoman"/>
      <w:lvlText w:val="%9."/>
      <w:lvlJc w:val="right"/>
      <w:pPr>
        <w:ind w:left="6480" w:hanging="180"/>
      </w:pPr>
    </w:lvl>
  </w:abstractNum>
  <w:abstractNum w:abstractNumId="31"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249404C2"/>
    <w:multiLevelType w:val="hybridMultilevel"/>
    <w:tmpl w:val="4888F43E"/>
    <w:lvl w:ilvl="0" w:tplc="C8283302">
      <w:start w:val="1"/>
      <w:numFmt w:val="lowerRoman"/>
      <w:lvlText w:val="(%1)"/>
      <w:lvlJc w:val="left"/>
      <w:pPr>
        <w:ind w:left="720" w:hanging="72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3" w15:restartNumberingAfterBreak="0">
    <w:nsid w:val="24EC33D5"/>
    <w:multiLevelType w:val="hybridMultilevel"/>
    <w:tmpl w:val="40A8DE26"/>
    <w:lvl w:ilvl="0" w:tplc="62B05020">
      <w:numFmt w:val="bullet"/>
      <w:lvlText w:val="-"/>
      <w:lvlJc w:val="left"/>
      <w:pPr>
        <w:ind w:left="720" w:hanging="360"/>
      </w:pPr>
      <w:rPr>
        <w:rFonts w:ascii="Calibri" w:eastAsia="Calibr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35" w15:restartNumberingAfterBreak="0">
    <w:nsid w:val="2CD05BB1"/>
    <w:multiLevelType w:val="hybridMultilevel"/>
    <w:tmpl w:val="DF902CDC"/>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6" w15:restartNumberingAfterBreak="0">
    <w:nsid w:val="2CD116E7"/>
    <w:multiLevelType w:val="multilevel"/>
    <w:tmpl w:val="C26074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38" w15:restartNumberingAfterBreak="0">
    <w:nsid w:val="300D3194"/>
    <w:multiLevelType w:val="multilevel"/>
    <w:tmpl w:val="8368AE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15:restartNumberingAfterBreak="0">
    <w:nsid w:val="320E078C"/>
    <w:multiLevelType w:val="hybridMultilevel"/>
    <w:tmpl w:val="976809DE"/>
    <w:lvl w:ilvl="0" w:tplc="A3568C5E">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0" w15:restartNumberingAfterBreak="0">
    <w:nsid w:val="32360600"/>
    <w:multiLevelType w:val="hybridMultilevel"/>
    <w:tmpl w:val="5364B536"/>
    <w:lvl w:ilvl="0" w:tplc="1A78EA3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1" w15:restartNumberingAfterBreak="0">
    <w:nsid w:val="337A0803"/>
    <w:multiLevelType w:val="hybridMultilevel"/>
    <w:tmpl w:val="7EDE79A4"/>
    <w:lvl w:ilvl="0" w:tplc="98E2A84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2" w15:restartNumberingAfterBreak="0">
    <w:nsid w:val="3BC47C87"/>
    <w:multiLevelType w:val="hybridMultilevel"/>
    <w:tmpl w:val="4F62CC2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3" w15:restartNumberingAfterBreak="0">
    <w:nsid w:val="3F5F175A"/>
    <w:multiLevelType w:val="hybridMultilevel"/>
    <w:tmpl w:val="FFFFFFFF"/>
    <w:lvl w:ilvl="0" w:tplc="F2EE4638">
      <w:start w:val="1"/>
      <w:numFmt w:val="decimal"/>
      <w:lvlText w:val="%1-"/>
      <w:lvlJc w:val="left"/>
      <w:pPr>
        <w:ind w:left="720" w:hanging="360"/>
      </w:pPr>
    </w:lvl>
    <w:lvl w:ilvl="1" w:tplc="40D6CE1C">
      <w:start w:val="1"/>
      <w:numFmt w:val="lowerLetter"/>
      <w:lvlText w:val="%2."/>
      <w:lvlJc w:val="left"/>
      <w:pPr>
        <w:ind w:left="1440" w:hanging="360"/>
      </w:pPr>
    </w:lvl>
    <w:lvl w:ilvl="2" w:tplc="A1D85650">
      <w:start w:val="1"/>
      <w:numFmt w:val="lowerRoman"/>
      <w:lvlText w:val="%3."/>
      <w:lvlJc w:val="right"/>
      <w:pPr>
        <w:ind w:left="2160" w:hanging="180"/>
      </w:pPr>
    </w:lvl>
    <w:lvl w:ilvl="3" w:tplc="97FC4DFE">
      <w:start w:val="1"/>
      <w:numFmt w:val="decimal"/>
      <w:lvlText w:val="%4."/>
      <w:lvlJc w:val="left"/>
      <w:pPr>
        <w:ind w:left="2880" w:hanging="360"/>
      </w:pPr>
    </w:lvl>
    <w:lvl w:ilvl="4" w:tplc="5F026EB2">
      <w:start w:val="1"/>
      <w:numFmt w:val="lowerLetter"/>
      <w:lvlText w:val="%5."/>
      <w:lvlJc w:val="left"/>
      <w:pPr>
        <w:ind w:left="3600" w:hanging="360"/>
      </w:pPr>
    </w:lvl>
    <w:lvl w:ilvl="5" w:tplc="FB30F0EE">
      <w:start w:val="1"/>
      <w:numFmt w:val="lowerRoman"/>
      <w:lvlText w:val="%6."/>
      <w:lvlJc w:val="right"/>
      <w:pPr>
        <w:ind w:left="4320" w:hanging="180"/>
      </w:pPr>
    </w:lvl>
    <w:lvl w:ilvl="6" w:tplc="77AC69B0">
      <w:start w:val="1"/>
      <w:numFmt w:val="decimal"/>
      <w:lvlText w:val="%7."/>
      <w:lvlJc w:val="left"/>
      <w:pPr>
        <w:ind w:left="5040" w:hanging="360"/>
      </w:pPr>
    </w:lvl>
    <w:lvl w:ilvl="7" w:tplc="F864DE14">
      <w:start w:val="1"/>
      <w:numFmt w:val="lowerLetter"/>
      <w:lvlText w:val="%8."/>
      <w:lvlJc w:val="left"/>
      <w:pPr>
        <w:ind w:left="5760" w:hanging="360"/>
      </w:pPr>
    </w:lvl>
    <w:lvl w:ilvl="8" w:tplc="35869EEC">
      <w:start w:val="1"/>
      <w:numFmt w:val="lowerRoman"/>
      <w:lvlText w:val="%9."/>
      <w:lvlJc w:val="right"/>
      <w:pPr>
        <w:ind w:left="6480" w:hanging="180"/>
      </w:pPr>
    </w:lvl>
  </w:abstractNum>
  <w:abstractNum w:abstractNumId="44" w15:restartNumberingAfterBreak="0">
    <w:nsid w:val="3FFC6422"/>
    <w:multiLevelType w:val="hybridMultilevel"/>
    <w:tmpl w:val="519A150C"/>
    <w:lvl w:ilvl="0" w:tplc="080C0001">
      <w:start w:val="1"/>
      <w:numFmt w:val="bullet"/>
      <w:lvlText w:val=""/>
      <w:lvlJc w:val="left"/>
      <w:pPr>
        <w:ind w:left="1080" w:hanging="360"/>
      </w:pPr>
      <w:rPr>
        <w:rFonts w:ascii="Symbol" w:hAnsi="Symbol"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45" w15:restartNumberingAfterBreak="0">
    <w:nsid w:val="400A7B18"/>
    <w:multiLevelType w:val="multilevel"/>
    <w:tmpl w:val="2DB03CA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i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47"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48" w15:restartNumberingAfterBreak="0">
    <w:nsid w:val="436B27B9"/>
    <w:multiLevelType w:val="hybridMultilevel"/>
    <w:tmpl w:val="4DB6C90E"/>
    <w:lvl w:ilvl="0" w:tplc="FFFFFFFF">
      <w:start w:val="1"/>
      <w:numFmt w:val="lowerRoman"/>
      <w:lvlText w:val="%1)"/>
      <w:lvlJc w:val="left"/>
      <w:pPr>
        <w:ind w:left="1080" w:hanging="72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9" w15:restartNumberingAfterBreak="0">
    <w:nsid w:val="4467723A"/>
    <w:multiLevelType w:val="hybridMultilevel"/>
    <w:tmpl w:val="C966C76A"/>
    <w:lvl w:ilvl="0" w:tplc="E4BC8A30">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50"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51" w15:restartNumberingAfterBreak="0">
    <w:nsid w:val="4A0D2350"/>
    <w:multiLevelType w:val="hybridMultilevel"/>
    <w:tmpl w:val="E018BCA6"/>
    <w:lvl w:ilvl="0" w:tplc="E3583C7A">
      <w:start w:val="1"/>
      <w:numFmt w:val="decimal"/>
      <w:lvlText w:val="%1."/>
      <w:lvlJc w:val="left"/>
      <w:pPr>
        <w:ind w:left="1020" w:hanging="360"/>
      </w:pPr>
    </w:lvl>
    <w:lvl w:ilvl="1" w:tplc="685604A4">
      <w:start w:val="1"/>
      <w:numFmt w:val="decimal"/>
      <w:lvlText w:val="%2."/>
      <w:lvlJc w:val="left"/>
      <w:pPr>
        <w:ind w:left="1020" w:hanging="360"/>
      </w:pPr>
    </w:lvl>
    <w:lvl w:ilvl="2" w:tplc="62B65808">
      <w:start w:val="1"/>
      <w:numFmt w:val="decimal"/>
      <w:lvlText w:val="%3."/>
      <w:lvlJc w:val="left"/>
      <w:pPr>
        <w:ind w:left="1020" w:hanging="360"/>
      </w:pPr>
    </w:lvl>
    <w:lvl w:ilvl="3" w:tplc="BA58342C">
      <w:start w:val="1"/>
      <w:numFmt w:val="decimal"/>
      <w:lvlText w:val="%4."/>
      <w:lvlJc w:val="left"/>
      <w:pPr>
        <w:ind w:left="1020" w:hanging="360"/>
      </w:pPr>
    </w:lvl>
    <w:lvl w:ilvl="4" w:tplc="08BA1722">
      <w:start w:val="1"/>
      <w:numFmt w:val="decimal"/>
      <w:lvlText w:val="%5."/>
      <w:lvlJc w:val="left"/>
      <w:pPr>
        <w:ind w:left="1020" w:hanging="360"/>
      </w:pPr>
    </w:lvl>
    <w:lvl w:ilvl="5" w:tplc="B332FE60">
      <w:start w:val="1"/>
      <w:numFmt w:val="decimal"/>
      <w:lvlText w:val="%6."/>
      <w:lvlJc w:val="left"/>
      <w:pPr>
        <w:ind w:left="1020" w:hanging="360"/>
      </w:pPr>
    </w:lvl>
    <w:lvl w:ilvl="6" w:tplc="71A68456">
      <w:start w:val="1"/>
      <w:numFmt w:val="decimal"/>
      <w:lvlText w:val="%7."/>
      <w:lvlJc w:val="left"/>
      <w:pPr>
        <w:ind w:left="1020" w:hanging="360"/>
      </w:pPr>
    </w:lvl>
    <w:lvl w:ilvl="7" w:tplc="7E364594">
      <w:start w:val="1"/>
      <w:numFmt w:val="decimal"/>
      <w:lvlText w:val="%8."/>
      <w:lvlJc w:val="left"/>
      <w:pPr>
        <w:ind w:left="1020" w:hanging="360"/>
      </w:pPr>
    </w:lvl>
    <w:lvl w:ilvl="8" w:tplc="A7A4BB24">
      <w:start w:val="1"/>
      <w:numFmt w:val="decimal"/>
      <w:lvlText w:val="%9."/>
      <w:lvlJc w:val="left"/>
      <w:pPr>
        <w:ind w:left="1020" w:hanging="360"/>
      </w:pPr>
    </w:lvl>
  </w:abstractNum>
  <w:abstractNum w:abstractNumId="52" w15:restartNumberingAfterBreak="0">
    <w:nsid w:val="4B218ABF"/>
    <w:multiLevelType w:val="hybridMultilevel"/>
    <w:tmpl w:val="D23E1AAA"/>
    <w:lvl w:ilvl="0" w:tplc="46E8C500">
      <w:start w:val="1"/>
      <w:numFmt w:val="bullet"/>
      <w:lvlText w:val="-"/>
      <w:lvlJc w:val="left"/>
      <w:pPr>
        <w:ind w:left="720" w:hanging="360"/>
      </w:pPr>
      <w:rPr>
        <w:rFonts w:ascii="Aptos" w:hAnsi="Aptos" w:hint="default"/>
      </w:rPr>
    </w:lvl>
    <w:lvl w:ilvl="1" w:tplc="4C2A65DC">
      <w:start w:val="1"/>
      <w:numFmt w:val="bullet"/>
      <w:lvlText w:val="o"/>
      <w:lvlJc w:val="left"/>
      <w:pPr>
        <w:ind w:left="1440" w:hanging="360"/>
      </w:pPr>
      <w:rPr>
        <w:rFonts w:ascii="Courier New" w:hAnsi="Courier New" w:hint="default"/>
      </w:rPr>
    </w:lvl>
    <w:lvl w:ilvl="2" w:tplc="01E87196">
      <w:start w:val="1"/>
      <w:numFmt w:val="bullet"/>
      <w:lvlText w:val=""/>
      <w:lvlJc w:val="left"/>
      <w:pPr>
        <w:ind w:left="2160" w:hanging="360"/>
      </w:pPr>
      <w:rPr>
        <w:rFonts w:ascii="Wingdings" w:hAnsi="Wingdings" w:hint="default"/>
      </w:rPr>
    </w:lvl>
    <w:lvl w:ilvl="3" w:tplc="FD346BEA">
      <w:start w:val="1"/>
      <w:numFmt w:val="bullet"/>
      <w:lvlText w:val=""/>
      <w:lvlJc w:val="left"/>
      <w:pPr>
        <w:ind w:left="2880" w:hanging="360"/>
      </w:pPr>
      <w:rPr>
        <w:rFonts w:ascii="Symbol" w:hAnsi="Symbol" w:hint="default"/>
      </w:rPr>
    </w:lvl>
    <w:lvl w:ilvl="4" w:tplc="63F2C132">
      <w:start w:val="1"/>
      <w:numFmt w:val="bullet"/>
      <w:lvlText w:val="o"/>
      <w:lvlJc w:val="left"/>
      <w:pPr>
        <w:ind w:left="3600" w:hanging="360"/>
      </w:pPr>
      <w:rPr>
        <w:rFonts w:ascii="Courier New" w:hAnsi="Courier New" w:hint="default"/>
      </w:rPr>
    </w:lvl>
    <w:lvl w:ilvl="5" w:tplc="48A67136">
      <w:start w:val="1"/>
      <w:numFmt w:val="bullet"/>
      <w:lvlText w:val=""/>
      <w:lvlJc w:val="left"/>
      <w:pPr>
        <w:ind w:left="4320" w:hanging="360"/>
      </w:pPr>
      <w:rPr>
        <w:rFonts w:ascii="Wingdings" w:hAnsi="Wingdings" w:hint="default"/>
      </w:rPr>
    </w:lvl>
    <w:lvl w:ilvl="6" w:tplc="BD54F20A">
      <w:start w:val="1"/>
      <w:numFmt w:val="bullet"/>
      <w:lvlText w:val=""/>
      <w:lvlJc w:val="left"/>
      <w:pPr>
        <w:ind w:left="5040" w:hanging="360"/>
      </w:pPr>
      <w:rPr>
        <w:rFonts w:ascii="Symbol" w:hAnsi="Symbol" w:hint="default"/>
      </w:rPr>
    </w:lvl>
    <w:lvl w:ilvl="7" w:tplc="29E6B384">
      <w:start w:val="1"/>
      <w:numFmt w:val="bullet"/>
      <w:lvlText w:val="o"/>
      <w:lvlJc w:val="left"/>
      <w:pPr>
        <w:ind w:left="5760" w:hanging="360"/>
      </w:pPr>
      <w:rPr>
        <w:rFonts w:ascii="Courier New" w:hAnsi="Courier New" w:hint="default"/>
      </w:rPr>
    </w:lvl>
    <w:lvl w:ilvl="8" w:tplc="49D87BB0">
      <w:start w:val="1"/>
      <w:numFmt w:val="bullet"/>
      <w:lvlText w:val=""/>
      <w:lvlJc w:val="left"/>
      <w:pPr>
        <w:ind w:left="6480" w:hanging="360"/>
      </w:pPr>
      <w:rPr>
        <w:rFonts w:ascii="Wingdings" w:hAnsi="Wingdings" w:hint="default"/>
      </w:rPr>
    </w:lvl>
  </w:abstractNum>
  <w:abstractNum w:abstractNumId="53" w15:restartNumberingAfterBreak="0">
    <w:nsid w:val="4BE2717E"/>
    <w:multiLevelType w:val="hybridMultilevel"/>
    <w:tmpl w:val="4FB0A9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4C3B34F7"/>
    <w:multiLevelType w:val="multilevel"/>
    <w:tmpl w:val="50DED888"/>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55" w15:restartNumberingAfterBreak="0">
    <w:nsid w:val="4F4F6024"/>
    <w:multiLevelType w:val="hybridMultilevel"/>
    <w:tmpl w:val="2B28177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50284D54"/>
    <w:multiLevelType w:val="hybridMultilevel"/>
    <w:tmpl w:val="CC58E9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7" w15:restartNumberingAfterBreak="0">
    <w:nsid w:val="526B06BC"/>
    <w:multiLevelType w:val="hybridMultilevel"/>
    <w:tmpl w:val="DA907C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52F96387"/>
    <w:multiLevelType w:val="hybridMultilevel"/>
    <w:tmpl w:val="D74E642E"/>
    <w:lvl w:ilvl="0" w:tplc="18090001">
      <w:start w:val="1"/>
      <w:numFmt w:val="bullet"/>
      <w:lvlText w:val=""/>
      <w:lvlJc w:val="left"/>
      <w:pPr>
        <w:ind w:left="780" w:hanging="360"/>
      </w:pPr>
      <w:rPr>
        <w:rFonts w:ascii="Symbol" w:hAnsi="Symbol" w:hint="default"/>
      </w:rPr>
    </w:lvl>
    <w:lvl w:ilvl="1" w:tplc="18090003" w:tentative="1">
      <w:start w:val="1"/>
      <w:numFmt w:val="bullet"/>
      <w:lvlText w:val="o"/>
      <w:lvlJc w:val="left"/>
      <w:pPr>
        <w:ind w:left="1500" w:hanging="360"/>
      </w:pPr>
      <w:rPr>
        <w:rFonts w:ascii="Courier New" w:hAnsi="Courier New" w:cs="Courier New" w:hint="default"/>
      </w:rPr>
    </w:lvl>
    <w:lvl w:ilvl="2" w:tplc="18090005" w:tentative="1">
      <w:start w:val="1"/>
      <w:numFmt w:val="bullet"/>
      <w:lvlText w:val=""/>
      <w:lvlJc w:val="left"/>
      <w:pPr>
        <w:ind w:left="2220" w:hanging="360"/>
      </w:pPr>
      <w:rPr>
        <w:rFonts w:ascii="Wingdings" w:hAnsi="Wingdings" w:hint="default"/>
      </w:rPr>
    </w:lvl>
    <w:lvl w:ilvl="3" w:tplc="18090001" w:tentative="1">
      <w:start w:val="1"/>
      <w:numFmt w:val="bullet"/>
      <w:lvlText w:val=""/>
      <w:lvlJc w:val="left"/>
      <w:pPr>
        <w:ind w:left="2940" w:hanging="360"/>
      </w:pPr>
      <w:rPr>
        <w:rFonts w:ascii="Symbol" w:hAnsi="Symbol" w:hint="default"/>
      </w:rPr>
    </w:lvl>
    <w:lvl w:ilvl="4" w:tplc="18090003" w:tentative="1">
      <w:start w:val="1"/>
      <w:numFmt w:val="bullet"/>
      <w:lvlText w:val="o"/>
      <w:lvlJc w:val="left"/>
      <w:pPr>
        <w:ind w:left="3660" w:hanging="360"/>
      </w:pPr>
      <w:rPr>
        <w:rFonts w:ascii="Courier New" w:hAnsi="Courier New" w:cs="Courier New" w:hint="default"/>
      </w:rPr>
    </w:lvl>
    <w:lvl w:ilvl="5" w:tplc="18090005" w:tentative="1">
      <w:start w:val="1"/>
      <w:numFmt w:val="bullet"/>
      <w:lvlText w:val=""/>
      <w:lvlJc w:val="left"/>
      <w:pPr>
        <w:ind w:left="4380" w:hanging="360"/>
      </w:pPr>
      <w:rPr>
        <w:rFonts w:ascii="Wingdings" w:hAnsi="Wingdings" w:hint="default"/>
      </w:rPr>
    </w:lvl>
    <w:lvl w:ilvl="6" w:tplc="18090001" w:tentative="1">
      <w:start w:val="1"/>
      <w:numFmt w:val="bullet"/>
      <w:lvlText w:val=""/>
      <w:lvlJc w:val="left"/>
      <w:pPr>
        <w:ind w:left="5100" w:hanging="360"/>
      </w:pPr>
      <w:rPr>
        <w:rFonts w:ascii="Symbol" w:hAnsi="Symbol" w:hint="default"/>
      </w:rPr>
    </w:lvl>
    <w:lvl w:ilvl="7" w:tplc="18090003" w:tentative="1">
      <w:start w:val="1"/>
      <w:numFmt w:val="bullet"/>
      <w:lvlText w:val="o"/>
      <w:lvlJc w:val="left"/>
      <w:pPr>
        <w:ind w:left="5820" w:hanging="360"/>
      </w:pPr>
      <w:rPr>
        <w:rFonts w:ascii="Courier New" w:hAnsi="Courier New" w:cs="Courier New" w:hint="default"/>
      </w:rPr>
    </w:lvl>
    <w:lvl w:ilvl="8" w:tplc="18090005" w:tentative="1">
      <w:start w:val="1"/>
      <w:numFmt w:val="bullet"/>
      <w:lvlText w:val=""/>
      <w:lvlJc w:val="left"/>
      <w:pPr>
        <w:ind w:left="6540" w:hanging="360"/>
      </w:pPr>
      <w:rPr>
        <w:rFonts w:ascii="Wingdings" w:hAnsi="Wingdings" w:hint="default"/>
      </w:rPr>
    </w:lvl>
  </w:abstractNum>
  <w:abstractNum w:abstractNumId="59" w15:restartNumberingAfterBreak="0">
    <w:nsid w:val="532B6C49"/>
    <w:multiLevelType w:val="hybridMultilevel"/>
    <w:tmpl w:val="108AE942"/>
    <w:lvl w:ilvl="0" w:tplc="1616BC1C">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53EE1BB8"/>
    <w:multiLevelType w:val="hybridMultilevel"/>
    <w:tmpl w:val="04604954"/>
    <w:lvl w:ilvl="0" w:tplc="E87431E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1" w15:restartNumberingAfterBreak="0">
    <w:nsid w:val="54F104CB"/>
    <w:multiLevelType w:val="hybridMultilevel"/>
    <w:tmpl w:val="FFFFFFFF"/>
    <w:lvl w:ilvl="0" w:tplc="E15658D8">
      <w:start w:val="1"/>
      <w:numFmt w:val="bullet"/>
      <w:lvlText w:val=""/>
      <w:lvlJc w:val="left"/>
      <w:pPr>
        <w:ind w:left="360" w:hanging="360"/>
      </w:pPr>
      <w:rPr>
        <w:rFonts w:ascii="Symbol" w:hAnsi="Symbol" w:hint="default"/>
      </w:rPr>
    </w:lvl>
    <w:lvl w:ilvl="1" w:tplc="B6A2FC1A">
      <w:start w:val="1"/>
      <w:numFmt w:val="bullet"/>
      <w:lvlText w:val="o"/>
      <w:lvlJc w:val="left"/>
      <w:pPr>
        <w:ind w:left="1080" w:hanging="360"/>
      </w:pPr>
      <w:rPr>
        <w:rFonts w:ascii="Courier New" w:hAnsi="Courier New" w:hint="default"/>
      </w:rPr>
    </w:lvl>
    <w:lvl w:ilvl="2" w:tplc="01325BA2">
      <w:start w:val="1"/>
      <w:numFmt w:val="bullet"/>
      <w:lvlText w:val=""/>
      <w:lvlJc w:val="left"/>
      <w:pPr>
        <w:ind w:left="1800" w:hanging="360"/>
      </w:pPr>
      <w:rPr>
        <w:rFonts w:ascii="Wingdings" w:hAnsi="Wingdings" w:hint="default"/>
      </w:rPr>
    </w:lvl>
    <w:lvl w:ilvl="3" w:tplc="AA2CD7B4">
      <w:start w:val="1"/>
      <w:numFmt w:val="bullet"/>
      <w:lvlText w:val=""/>
      <w:lvlJc w:val="left"/>
      <w:pPr>
        <w:ind w:left="2520" w:hanging="360"/>
      </w:pPr>
      <w:rPr>
        <w:rFonts w:ascii="Symbol" w:hAnsi="Symbol" w:hint="default"/>
      </w:rPr>
    </w:lvl>
    <w:lvl w:ilvl="4" w:tplc="AC0E1A56">
      <w:start w:val="1"/>
      <w:numFmt w:val="bullet"/>
      <w:lvlText w:val="o"/>
      <w:lvlJc w:val="left"/>
      <w:pPr>
        <w:ind w:left="3240" w:hanging="360"/>
      </w:pPr>
      <w:rPr>
        <w:rFonts w:ascii="Courier New" w:hAnsi="Courier New" w:hint="default"/>
      </w:rPr>
    </w:lvl>
    <w:lvl w:ilvl="5" w:tplc="9CDE5962">
      <w:start w:val="1"/>
      <w:numFmt w:val="bullet"/>
      <w:lvlText w:val=""/>
      <w:lvlJc w:val="left"/>
      <w:pPr>
        <w:ind w:left="3960" w:hanging="360"/>
      </w:pPr>
      <w:rPr>
        <w:rFonts w:ascii="Wingdings" w:hAnsi="Wingdings" w:hint="default"/>
      </w:rPr>
    </w:lvl>
    <w:lvl w:ilvl="6" w:tplc="96187D40">
      <w:start w:val="1"/>
      <w:numFmt w:val="bullet"/>
      <w:lvlText w:val=""/>
      <w:lvlJc w:val="left"/>
      <w:pPr>
        <w:ind w:left="4680" w:hanging="360"/>
      </w:pPr>
      <w:rPr>
        <w:rFonts w:ascii="Symbol" w:hAnsi="Symbol" w:hint="default"/>
      </w:rPr>
    </w:lvl>
    <w:lvl w:ilvl="7" w:tplc="6C72D076">
      <w:start w:val="1"/>
      <w:numFmt w:val="bullet"/>
      <w:lvlText w:val="o"/>
      <w:lvlJc w:val="left"/>
      <w:pPr>
        <w:ind w:left="5400" w:hanging="360"/>
      </w:pPr>
      <w:rPr>
        <w:rFonts w:ascii="Courier New" w:hAnsi="Courier New" w:hint="default"/>
      </w:rPr>
    </w:lvl>
    <w:lvl w:ilvl="8" w:tplc="FF74B83A">
      <w:start w:val="1"/>
      <w:numFmt w:val="bullet"/>
      <w:lvlText w:val=""/>
      <w:lvlJc w:val="left"/>
      <w:pPr>
        <w:ind w:left="6120" w:hanging="360"/>
      </w:pPr>
      <w:rPr>
        <w:rFonts w:ascii="Wingdings" w:hAnsi="Wingdings" w:hint="default"/>
      </w:rPr>
    </w:lvl>
  </w:abstractNum>
  <w:abstractNum w:abstractNumId="6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63" w15:restartNumberingAfterBreak="0">
    <w:nsid w:val="55B679E1"/>
    <w:multiLevelType w:val="hybridMultilevel"/>
    <w:tmpl w:val="1F22A3BC"/>
    <w:lvl w:ilvl="0" w:tplc="78D05602">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4" w15:restartNumberingAfterBreak="0">
    <w:nsid w:val="55C10E65"/>
    <w:multiLevelType w:val="multilevel"/>
    <w:tmpl w:val="466AA280"/>
    <w:lvl w:ilvl="0">
      <w:start w:val="1"/>
      <w:numFmt w:val="decimal"/>
      <w:pStyle w:val="LegalNumPar"/>
      <w:lvlText w:val="%1."/>
      <w:lvlJc w:val="left"/>
      <w:pPr>
        <w:ind w:left="476" w:hanging="476"/>
      </w:pPr>
      <w:rPr>
        <w:rFonts w:hint="default"/>
        <w:b/>
        <w:bCs/>
        <w:lang w:val="de-DE"/>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5" w15:restartNumberingAfterBreak="0">
    <w:nsid w:val="56B10038"/>
    <w:multiLevelType w:val="hybridMultilevel"/>
    <w:tmpl w:val="94E2346C"/>
    <w:lvl w:ilvl="0" w:tplc="0E1A799A">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6" w15:restartNumberingAfterBreak="0">
    <w:nsid w:val="5700728D"/>
    <w:multiLevelType w:val="multilevel"/>
    <w:tmpl w:val="2DB03CA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i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7" w15:restartNumberingAfterBreak="0">
    <w:nsid w:val="57BC7E99"/>
    <w:multiLevelType w:val="hybridMultilevel"/>
    <w:tmpl w:val="7F52DF7A"/>
    <w:lvl w:ilvl="0" w:tplc="01E2743C">
      <w:numFmt w:val="bullet"/>
      <w:lvlText w:val="-"/>
      <w:lvlJc w:val="left"/>
      <w:pPr>
        <w:ind w:left="720" w:hanging="360"/>
      </w:pPr>
      <w:rPr>
        <w:rFonts w:ascii="Calibri" w:eastAsia="Calibr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8" w15:restartNumberingAfterBreak="0">
    <w:nsid w:val="59F422D7"/>
    <w:multiLevelType w:val="multilevel"/>
    <w:tmpl w:val="7618F69A"/>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69" w15:restartNumberingAfterBreak="0">
    <w:nsid w:val="5A0E05EF"/>
    <w:multiLevelType w:val="hybridMultilevel"/>
    <w:tmpl w:val="08D065F8"/>
    <w:lvl w:ilvl="0" w:tplc="45FAF8F2">
      <w:start w:val="1"/>
      <w:numFmt w:val="bullet"/>
      <w:lvlText w:val="-"/>
      <w:lvlJc w:val="left"/>
      <w:pPr>
        <w:ind w:left="720" w:hanging="360"/>
      </w:pPr>
      <w:rPr>
        <w:rFonts w:ascii="Aptos" w:hAnsi="Aptos" w:hint="default"/>
      </w:rPr>
    </w:lvl>
    <w:lvl w:ilvl="1" w:tplc="EEE423F2">
      <w:start w:val="1"/>
      <w:numFmt w:val="bullet"/>
      <w:lvlText w:val="o"/>
      <w:lvlJc w:val="left"/>
      <w:pPr>
        <w:ind w:left="1440" w:hanging="360"/>
      </w:pPr>
      <w:rPr>
        <w:rFonts w:ascii="Courier New" w:hAnsi="Courier New" w:hint="default"/>
      </w:rPr>
    </w:lvl>
    <w:lvl w:ilvl="2" w:tplc="6A6C0A9E">
      <w:start w:val="1"/>
      <w:numFmt w:val="bullet"/>
      <w:lvlText w:val=""/>
      <w:lvlJc w:val="left"/>
      <w:pPr>
        <w:ind w:left="2160" w:hanging="360"/>
      </w:pPr>
      <w:rPr>
        <w:rFonts w:ascii="Wingdings" w:hAnsi="Wingdings" w:hint="default"/>
      </w:rPr>
    </w:lvl>
    <w:lvl w:ilvl="3" w:tplc="BBA06638">
      <w:start w:val="1"/>
      <w:numFmt w:val="bullet"/>
      <w:lvlText w:val=""/>
      <w:lvlJc w:val="left"/>
      <w:pPr>
        <w:ind w:left="2880" w:hanging="360"/>
      </w:pPr>
      <w:rPr>
        <w:rFonts w:ascii="Symbol" w:hAnsi="Symbol" w:hint="default"/>
      </w:rPr>
    </w:lvl>
    <w:lvl w:ilvl="4" w:tplc="D430D5BC">
      <w:start w:val="1"/>
      <w:numFmt w:val="bullet"/>
      <w:lvlText w:val="o"/>
      <w:lvlJc w:val="left"/>
      <w:pPr>
        <w:ind w:left="3600" w:hanging="360"/>
      </w:pPr>
      <w:rPr>
        <w:rFonts w:ascii="Courier New" w:hAnsi="Courier New" w:hint="default"/>
      </w:rPr>
    </w:lvl>
    <w:lvl w:ilvl="5" w:tplc="2CF87B8A">
      <w:start w:val="1"/>
      <w:numFmt w:val="bullet"/>
      <w:lvlText w:val=""/>
      <w:lvlJc w:val="left"/>
      <w:pPr>
        <w:ind w:left="4320" w:hanging="360"/>
      </w:pPr>
      <w:rPr>
        <w:rFonts w:ascii="Wingdings" w:hAnsi="Wingdings" w:hint="default"/>
      </w:rPr>
    </w:lvl>
    <w:lvl w:ilvl="6" w:tplc="F5AC9392">
      <w:start w:val="1"/>
      <w:numFmt w:val="bullet"/>
      <w:lvlText w:val=""/>
      <w:lvlJc w:val="left"/>
      <w:pPr>
        <w:ind w:left="5040" w:hanging="360"/>
      </w:pPr>
      <w:rPr>
        <w:rFonts w:ascii="Symbol" w:hAnsi="Symbol" w:hint="default"/>
      </w:rPr>
    </w:lvl>
    <w:lvl w:ilvl="7" w:tplc="F6CC8566">
      <w:start w:val="1"/>
      <w:numFmt w:val="bullet"/>
      <w:lvlText w:val="o"/>
      <w:lvlJc w:val="left"/>
      <w:pPr>
        <w:ind w:left="5760" w:hanging="360"/>
      </w:pPr>
      <w:rPr>
        <w:rFonts w:ascii="Courier New" w:hAnsi="Courier New" w:hint="default"/>
      </w:rPr>
    </w:lvl>
    <w:lvl w:ilvl="8" w:tplc="05D8B292">
      <w:start w:val="1"/>
      <w:numFmt w:val="bullet"/>
      <w:lvlText w:val=""/>
      <w:lvlJc w:val="left"/>
      <w:pPr>
        <w:ind w:left="6480" w:hanging="360"/>
      </w:pPr>
      <w:rPr>
        <w:rFonts w:ascii="Wingdings" w:hAnsi="Wingdings" w:hint="default"/>
      </w:rPr>
    </w:lvl>
  </w:abstractNum>
  <w:abstractNum w:abstractNumId="70"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71"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72" w15:restartNumberingAfterBreak="0">
    <w:nsid w:val="5C184A6A"/>
    <w:multiLevelType w:val="hybridMultilevel"/>
    <w:tmpl w:val="20F8182E"/>
    <w:lvl w:ilvl="0" w:tplc="782E153C">
      <w:start w:val="1"/>
      <w:numFmt w:val="upperLetter"/>
      <w:lvlText w:val="%1."/>
      <w:lvlJc w:val="left"/>
      <w:pPr>
        <w:ind w:left="366" w:hanging="360"/>
      </w:pPr>
      <w:rPr>
        <w:rFonts w:hint="default"/>
      </w:rPr>
    </w:lvl>
    <w:lvl w:ilvl="1" w:tplc="08090019" w:tentative="1">
      <w:start w:val="1"/>
      <w:numFmt w:val="lowerLetter"/>
      <w:lvlText w:val="%2."/>
      <w:lvlJc w:val="left"/>
      <w:pPr>
        <w:ind w:left="1086" w:hanging="360"/>
      </w:pPr>
    </w:lvl>
    <w:lvl w:ilvl="2" w:tplc="0809001B" w:tentative="1">
      <w:start w:val="1"/>
      <w:numFmt w:val="lowerRoman"/>
      <w:lvlText w:val="%3."/>
      <w:lvlJc w:val="right"/>
      <w:pPr>
        <w:ind w:left="1806" w:hanging="180"/>
      </w:pPr>
    </w:lvl>
    <w:lvl w:ilvl="3" w:tplc="0809000F" w:tentative="1">
      <w:start w:val="1"/>
      <w:numFmt w:val="decimal"/>
      <w:lvlText w:val="%4."/>
      <w:lvlJc w:val="left"/>
      <w:pPr>
        <w:ind w:left="2526" w:hanging="360"/>
      </w:pPr>
    </w:lvl>
    <w:lvl w:ilvl="4" w:tplc="08090019" w:tentative="1">
      <w:start w:val="1"/>
      <w:numFmt w:val="lowerLetter"/>
      <w:lvlText w:val="%5."/>
      <w:lvlJc w:val="left"/>
      <w:pPr>
        <w:ind w:left="3246" w:hanging="360"/>
      </w:pPr>
    </w:lvl>
    <w:lvl w:ilvl="5" w:tplc="0809001B" w:tentative="1">
      <w:start w:val="1"/>
      <w:numFmt w:val="lowerRoman"/>
      <w:lvlText w:val="%6."/>
      <w:lvlJc w:val="right"/>
      <w:pPr>
        <w:ind w:left="3966" w:hanging="180"/>
      </w:pPr>
    </w:lvl>
    <w:lvl w:ilvl="6" w:tplc="0809000F" w:tentative="1">
      <w:start w:val="1"/>
      <w:numFmt w:val="decimal"/>
      <w:lvlText w:val="%7."/>
      <w:lvlJc w:val="left"/>
      <w:pPr>
        <w:ind w:left="4686" w:hanging="360"/>
      </w:pPr>
    </w:lvl>
    <w:lvl w:ilvl="7" w:tplc="08090019" w:tentative="1">
      <w:start w:val="1"/>
      <w:numFmt w:val="lowerLetter"/>
      <w:lvlText w:val="%8."/>
      <w:lvlJc w:val="left"/>
      <w:pPr>
        <w:ind w:left="5406" w:hanging="360"/>
      </w:pPr>
    </w:lvl>
    <w:lvl w:ilvl="8" w:tplc="0809001B" w:tentative="1">
      <w:start w:val="1"/>
      <w:numFmt w:val="lowerRoman"/>
      <w:lvlText w:val="%9."/>
      <w:lvlJc w:val="right"/>
      <w:pPr>
        <w:ind w:left="6126" w:hanging="180"/>
      </w:pPr>
    </w:lvl>
  </w:abstractNum>
  <w:abstractNum w:abstractNumId="73" w15:restartNumberingAfterBreak="0">
    <w:nsid w:val="5C7C46E5"/>
    <w:multiLevelType w:val="hybridMultilevel"/>
    <w:tmpl w:val="AAB43224"/>
    <w:lvl w:ilvl="0" w:tplc="FD9268C4">
      <w:start w:val="1"/>
      <w:numFmt w:val="lowerRoman"/>
      <w:lvlText w:val="(%1)"/>
      <w:lvlJc w:val="left"/>
      <w:pPr>
        <w:ind w:left="1080" w:hanging="720"/>
      </w:pPr>
      <w:rPr>
        <w:rFonts w:eastAsia="Calibri" w:cs="Myanmar Text"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4"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75" w15:restartNumberingAfterBreak="0">
    <w:nsid w:val="5D111E8D"/>
    <w:multiLevelType w:val="hybridMultilevel"/>
    <w:tmpl w:val="AA2E595C"/>
    <w:lvl w:ilvl="0" w:tplc="8CF2C182">
      <w:start w:val="5"/>
      <w:numFmt w:val="upperLetter"/>
      <w:lvlText w:val="%1."/>
      <w:lvlJc w:val="left"/>
      <w:pPr>
        <w:ind w:left="366" w:hanging="360"/>
      </w:pPr>
      <w:rPr>
        <w:rFonts w:hint="default"/>
        <w:u w:val="none"/>
      </w:rPr>
    </w:lvl>
    <w:lvl w:ilvl="1" w:tplc="18090019" w:tentative="1">
      <w:start w:val="1"/>
      <w:numFmt w:val="lowerLetter"/>
      <w:lvlText w:val="%2."/>
      <w:lvlJc w:val="left"/>
      <w:pPr>
        <w:ind w:left="1086" w:hanging="360"/>
      </w:pPr>
    </w:lvl>
    <w:lvl w:ilvl="2" w:tplc="1809001B" w:tentative="1">
      <w:start w:val="1"/>
      <w:numFmt w:val="lowerRoman"/>
      <w:lvlText w:val="%3."/>
      <w:lvlJc w:val="right"/>
      <w:pPr>
        <w:ind w:left="1806" w:hanging="180"/>
      </w:pPr>
    </w:lvl>
    <w:lvl w:ilvl="3" w:tplc="1809000F" w:tentative="1">
      <w:start w:val="1"/>
      <w:numFmt w:val="decimal"/>
      <w:lvlText w:val="%4."/>
      <w:lvlJc w:val="left"/>
      <w:pPr>
        <w:ind w:left="2526" w:hanging="360"/>
      </w:pPr>
    </w:lvl>
    <w:lvl w:ilvl="4" w:tplc="18090019" w:tentative="1">
      <w:start w:val="1"/>
      <w:numFmt w:val="lowerLetter"/>
      <w:lvlText w:val="%5."/>
      <w:lvlJc w:val="left"/>
      <w:pPr>
        <w:ind w:left="3246" w:hanging="360"/>
      </w:pPr>
    </w:lvl>
    <w:lvl w:ilvl="5" w:tplc="1809001B" w:tentative="1">
      <w:start w:val="1"/>
      <w:numFmt w:val="lowerRoman"/>
      <w:lvlText w:val="%6."/>
      <w:lvlJc w:val="right"/>
      <w:pPr>
        <w:ind w:left="3966" w:hanging="180"/>
      </w:pPr>
    </w:lvl>
    <w:lvl w:ilvl="6" w:tplc="1809000F" w:tentative="1">
      <w:start w:val="1"/>
      <w:numFmt w:val="decimal"/>
      <w:lvlText w:val="%7."/>
      <w:lvlJc w:val="left"/>
      <w:pPr>
        <w:ind w:left="4686" w:hanging="360"/>
      </w:pPr>
    </w:lvl>
    <w:lvl w:ilvl="7" w:tplc="18090019" w:tentative="1">
      <w:start w:val="1"/>
      <w:numFmt w:val="lowerLetter"/>
      <w:lvlText w:val="%8."/>
      <w:lvlJc w:val="left"/>
      <w:pPr>
        <w:ind w:left="5406" w:hanging="360"/>
      </w:pPr>
    </w:lvl>
    <w:lvl w:ilvl="8" w:tplc="1809001B" w:tentative="1">
      <w:start w:val="1"/>
      <w:numFmt w:val="lowerRoman"/>
      <w:lvlText w:val="%9."/>
      <w:lvlJc w:val="right"/>
      <w:pPr>
        <w:ind w:left="6126" w:hanging="180"/>
      </w:pPr>
    </w:lvl>
  </w:abstractNum>
  <w:abstractNum w:abstractNumId="76" w15:restartNumberingAfterBreak="0">
    <w:nsid w:val="5DCC1A5E"/>
    <w:multiLevelType w:val="multilevel"/>
    <w:tmpl w:val="64044F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7" w15:restartNumberingAfterBreak="0">
    <w:nsid w:val="5F1446F8"/>
    <w:multiLevelType w:val="hybridMultilevel"/>
    <w:tmpl w:val="CBCA9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5F4A65B4"/>
    <w:multiLevelType w:val="hybridMultilevel"/>
    <w:tmpl w:val="FD7AD938"/>
    <w:lvl w:ilvl="0" w:tplc="D186C28E">
      <w:start w:val="1"/>
      <w:numFmt w:val="bullet"/>
      <w:lvlText w:val=""/>
      <w:lvlJc w:val="left"/>
      <w:pPr>
        <w:ind w:left="1020" w:hanging="360"/>
      </w:pPr>
      <w:rPr>
        <w:rFonts w:ascii="Symbol" w:hAnsi="Symbol"/>
      </w:rPr>
    </w:lvl>
    <w:lvl w:ilvl="1" w:tplc="4BC676AE">
      <w:start w:val="1"/>
      <w:numFmt w:val="bullet"/>
      <w:lvlText w:val=""/>
      <w:lvlJc w:val="left"/>
      <w:pPr>
        <w:ind w:left="1020" w:hanging="360"/>
      </w:pPr>
      <w:rPr>
        <w:rFonts w:ascii="Symbol" w:hAnsi="Symbol"/>
      </w:rPr>
    </w:lvl>
    <w:lvl w:ilvl="2" w:tplc="5AFCC78E">
      <w:start w:val="1"/>
      <w:numFmt w:val="bullet"/>
      <w:lvlText w:val=""/>
      <w:lvlJc w:val="left"/>
      <w:pPr>
        <w:ind w:left="1020" w:hanging="360"/>
      </w:pPr>
      <w:rPr>
        <w:rFonts w:ascii="Symbol" w:hAnsi="Symbol"/>
      </w:rPr>
    </w:lvl>
    <w:lvl w:ilvl="3" w:tplc="0BF88CC4">
      <w:start w:val="1"/>
      <w:numFmt w:val="bullet"/>
      <w:lvlText w:val=""/>
      <w:lvlJc w:val="left"/>
      <w:pPr>
        <w:ind w:left="1020" w:hanging="360"/>
      </w:pPr>
      <w:rPr>
        <w:rFonts w:ascii="Symbol" w:hAnsi="Symbol"/>
      </w:rPr>
    </w:lvl>
    <w:lvl w:ilvl="4" w:tplc="A650DC6C">
      <w:start w:val="1"/>
      <w:numFmt w:val="bullet"/>
      <w:lvlText w:val=""/>
      <w:lvlJc w:val="left"/>
      <w:pPr>
        <w:ind w:left="1020" w:hanging="360"/>
      </w:pPr>
      <w:rPr>
        <w:rFonts w:ascii="Symbol" w:hAnsi="Symbol"/>
      </w:rPr>
    </w:lvl>
    <w:lvl w:ilvl="5" w:tplc="DBEEDA7C">
      <w:start w:val="1"/>
      <w:numFmt w:val="bullet"/>
      <w:lvlText w:val=""/>
      <w:lvlJc w:val="left"/>
      <w:pPr>
        <w:ind w:left="1020" w:hanging="360"/>
      </w:pPr>
      <w:rPr>
        <w:rFonts w:ascii="Symbol" w:hAnsi="Symbol"/>
      </w:rPr>
    </w:lvl>
    <w:lvl w:ilvl="6" w:tplc="442838B6">
      <w:start w:val="1"/>
      <w:numFmt w:val="bullet"/>
      <w:lvlText w:val=""/>
      <w:lvlJc w:val="left"/>
      <w:pPr>
        <w:ind w:left="1020" w:hanging="360"/>
      </w:pPr>
      <w:rPr>
        <w:rFonts w:ascii="Symbol" w:hAnsi="Symbol"/>
      </w:rPr>
    </w:lvl>
    <w:lvl w:ilvl="7" w:tplc="0D027F96">
      <w:start w:val="1"/>
      <w:numFmt w:val="bullet"/>
      <w:lvlText w:val=""/>
      <w:lvlJc w:val="left"/>
      <w:pPr>
        <w:ind w:left="1020" w:hanging="360"/>
      </w:pPr>
      <w:rPr>
        <w:rFonts w:ascii="Symbol" w:hAnsi="Symbol"/>
      </w:rPr>
    </w:lvl>
    <w:lvl w:ilvl="8" w:tplc="431CD60A">
      <w:start w:val="1"/>
      <w:numFmt w:val="bullet"/>
      <w:lvlText w:val=""/>
      <w:lvlJc w:val="left"/>
      <w:pPr>
        <w:ind w:left="1020" w:hanging="360"/>
      </w:pPr>
      <w:rPr>
        <w:rFonts w:ascii="Symbol" w:hAnsi="Symbol"/>
      </w:rPr>
    </w:lvl>
  </w:abstractNum>
  <w:abstractNum w:abstractNumId="79" w15:restartNumberingAfterBreak="0">
    <w:nsid w:val="63C14204"/>
    <w:multiLevelType w:val="hybridMultilevel"/>
    <w:tmpl w:val="FD265596"/>
    <w:lvl w:ilvl="0" w:tplc="8EB40B82">
      <w:start w:val="11"/>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0" w15:restartNumberingAfterBreak="0">
    <w:nsid w:val="63C42873"/>
    <w:multiLevelType w:val="multilevel"/>
    <w:tmpl w:val="17462D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1" w15:restartNumberingAfterBreak="0">
    <w:nsid w:val="63FC14C9"/>
    <w:multiLevelType w:val="hybridMultilevel"/>
    <w:tmpl w:val="593CB226"/>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2"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83" w15:restartNumberingAfterBreak="0">
    <w:nsid w:val="6CA4FBD0"/>
    <w:multiLevelType w:val="hybridMultilevel"/>
    <w:tmpl w:val="FFFFFFFF"/>
    <w:lvl w:ilvl="0" w:tplc="79DEB380">
      <w:start w:val="1"/>
      <w:numFmt w:val="bullet"/>
      <w:lvlText w:val="-"/>
      <w:lvlJc w:val="left"/>
      <w:pPr>
        <w:ind w:left="720" w:hanging="360"/>
      </w:pPr>
      <w:rPr>
        <w:rFonts w:ascii="&quot;Times New Roman&quot;,serif" w:hAnsi="&quot;Times New Roman&quot;,serif" w:hint="default"/>
      </w:rPr>
    </w:lvl>
    <w:lvl w:ilvl="1" w:tplc="B22A73C8">
      <w:start w:val="1"/>
      <w:numFmt w:val="bullet"/>
      <w:lvlText w:val="o"/>
      <w:lvlJc w:val="left"/>
      <w:pPr>
        <w:ind w:left="1440" w:hanging="360"/>
      </w:pPr>
      <w:rPr>
        <w:rFonts w:ascii="Courier New" w:hAnsi="Courier New" w:hint="default"/>
      </w:rPr>
    </w:lvl>
    <w:lvl w:ilvl="2" w:tplc="4F6EBAE8">
      <w:start w:val="1"/>
      <w:numFmt w:val="bullet"/>
      <w:lvlText w:val=""/>
      <w:lvlJc w:val="left"/>
      <w:pPr>
        <w:ind w:left="2160" w:hanging="360"/>
      </w:pPr>
      <w:rPr>
        <w:rFonts w:ascii="Wingdings" w:hAnsi="Wingdings" w:hint="default"/>
      </w:rPr>
    </w:lvl>
    <w:lvl w:ilvl="3" w:tplc="CC3EF7E4">
      <w:start w:val="1"/>
      <w:numFmt w:val="bullet"/>
      <w:lvlText w:val=""/>
      <w:lvlJc w:val="left"/>
      <w:pPr>
        <w:ind w:left="2880" w:hanging="360"/>
      </w:pPr>
      <w:rPr>
        <w:rFonts w:ascii="Symbol" w:hAnsi="Symbol" w:hint="default"/>
      </w:rPr>
    </w:lvl>
    <w:lvl w:ilvl="4" w:tplc="741483C2">
      <w:start w:val="1"/>
      <w:numFmt w:val="bullet"/>
      <w:lvlText w:val="o"/>
      <w:lvlJc w:val="left"/>
      <w:pPr>
        <w:ind w:left="3600" w:hanging="360"/>
      </w:pPr>
      <w:rPr>
        <w:rFonts w:ascii="Courier New" w:hAnsi="Courier New" w:hint="default"/>
      </w:rPr>
    </w:lvl>
    <w:lvl w:ilvl="5" w:tplc="23106D50">
      <w:start w:val="1"/>
      <w:numFmt w:val="bullet"/>
      <w:lvlText w:val=""/>
      <w:lvlJc w:val="left"/>
      <w:pPr>
        <w:ind w:left="4320" w:hanging="360"/>
      </w:pPr>
      <w:rPr>
        <w:rFonts w:ascii="Wingdings" w:hAnsi="Wingdings" w:hint="default"/>
      </w:rPr>
    </w:lvl>
    <w:lvl w:ilvl="6" w:tplc="189A4F28">
      <w:start w:val="1"/>
      <w:numFmt w:val="bullet"/>
      <w:lvlText w:val=""/>
      <w:lvlJc w:val="left"/>
      <w:pPr>
        <w:ind w:left="5040" w:hanging="360"/>
      </w:pPr>
      <w:rPr>
        <w:rFonts w:ascii="Symbol" w:hAnsi="Symbol" w:hint="default"/>
      </w:rPr>
    </w:lvl>
    <w:lvl w:ilvl="7" w:tplc="16D0AAAA">
      <w:start w:val="1"/>
      <w:numFmt w:val="bullet"/>
      <w:lvlText w:val="o"/>
      <w:lvlJc w:val="left"/>
      <w:pPr>
        <w:ind w:left="5760" w:hanging="360"/>
      </w:pPr>
      <w:rPr>
        <w:rFonts w:ascii="Courier New" w:hAnsi="Courier New" w:hint="default"/>
      </w:rPr>
    </w:lvl>
    <w:lvl w:ilvl="8" w:tplc="D2E42798">
      <w:start w:val="1"/>
      <w:numFmt w:val="bullet"/>
      <w:lvlText w:val=""/>
      <w:lvlJc w:val="left"/>
      <w:pPr>
        <w:ind w:left="6480" w:hanging="360"/>
      </w:pPr>
      <w:rPr>
        <w:rFonts w:ascii="Wingdings" w:hAnsi="Wingdings" w:hint="default"/>
      </w:rPr>
    </w:lvl>
  </w:abstractNum>
  <w:abstractNum w:abstractNumId="84" w15:restartNumberingAfterBreak="0">
    <w:nsid w:val="6DA10BBB"/>
    <w:multiLevelType w:val="hybridMultilevel"/>
    <w:tmpl w:val="4CE8CEB4"/>
    <w:lvl w:ilvl="0" w:tplc="F96681D0">
      <w:numFmt w:val="bullet"/>
      <w:lvlText w:val="-"/>
      <w:lvlJc w:val="left"/>
      <w:pPr>
        <w:ind w:left="360" w:hanging="360"/>
      </w:pPr>
      <w:rPr>
        <w:rFonts w:ascii="Calibri" w:eastAsia="Times New Roman"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5" w15:restartNumberingAfterBreak="0">
    <w:nsid w:val="6E184B22"/>
    <w:multiLevelType w:val="multilevel"/>
    <w:tmpl w:val="1A34B1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6" w15:restartNumberingAfterBreak="0">
    <w:nsid w:val="6F1848E5"/>
    <w:multiLevelType w:val="hybridMultilevel"/>
    <w:tmpl w:val="0D48F38A"/>
    <w:lvl w:ilvl="0" w:tplc="201A0AA0">
      <w:start w:val="1"/>
      <w:numFmt w:val="lowerRoman"/>
      <w:lvlText w:val="%1)"/>
      <w:lvlJc w:val="left"/>
      <w:pPr>
        <w:ind w:left="720" w:hanging="720"/>
      </w:pPr>
      <w:rPr>
        <w:rFonts w:eastAsia="Calibri" w:cs="Myanmar Text"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87" w15:restartNumberingAfterBreak="0">
    <w:nsid w:val="6FCC309F"/>
    <w:multiLevelType w:val="hybridMultilevel"/>
    <w:tmpl w:val="889C2A7E"/>
    <w:lvl w:ilvl="0" w:tplc="0408000F">
      <w:start w:val="1"/>
      <w:numFmt w:val="decimal"/>
      <w:lvlText w:val="%1."/>
      <w:lvlJc w:val="left"/>
      <w:pPr>
        <w:ind w:left="360" w:hanging="360"/>
      </w:pPr>
      <w:rPr>
        <w:rFonts w:hint="default"/>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88" w15:restartNumberingAfterBreak="0">
    <w:nsid w:val="70140041"/>
    <w:multiLevelType w:val="multilevel"/>
    <w:tmpl w:val="817E2E62"/>
    <w:lvl w:ilvl="0">
      <w:start w:val="3"/>
      <w:numFmt w:val="decimal"/>
      <w:lvlText w:val="%1."/>
      <w:lvlJc w:val="left"/>
      <w:pPr>
        <w:ind w:left="720" w:hanging="360"/>
      </w:pPr>
      <w:rPr>
        <w:rFonts w:hint="default"/>
        <w:u w:val="none"/>
      </w:rPr>
    </w:lvl>
    <w:lvl w:ilvl="1">
      <w:start w:val="1"/>
      <w:numFmt w:val="bullet"/>
      <w:lvlText w:val="○"/>
      <w:lvlJc w:val="left"/>
      <w:pPr>
        <w:ind w:left="1440" w:hanging="360"/>
      </w:pPr>
      <w:rPr>
        <w:rFonts w:hint="default"/>
        <w:u w:val="none"/>
      </w:rPr>
    </w:lvl>
    <w:lvl w:ilvl="2">
      <w:start w:val="1"/>
      <w:numFmt w:val="bullet"/>
      <w:lvlText w:val="■"/>
      <w:lvlJc w:val="left"/>
      <w:pPr>
        <w:ind w:left="2160" w:hanging="360"/>
      </w:pPr>
      <w:rPr>
        <w:rFonts w:hint="default"/>
        <w:u w:val="none"/>
      </w:rPr>
    </w:lvl>
    <w:lvl w:ilvl="3">
      <w:start w:val="1"/>
      <w:numFmt w:val="bullet"/>
      <w:lvlText w:val="●"/>
      <w:lvlJc w:val="left"/>
      <w:pPr>
        <w:ind w:left="2880" w:hanging="360"/>
      </w:pPr>
      <w:rPr>
        <w:rFonts w:hint="default"/>
        <w:u w:val="none"/>
      </w:rPr>
    </w:lvl>
    <w:lvl w:ilvl="4">
      <w:start w:val="1"/>
      <w:numFmt w:val="bullet"/>
      <w:lvlText w:val="○"/>
      <w:lvlJc w:val="left"/>
      <w:pPr>
        <w:ind w:left="3600" w:hanging="360"/>
      </w:pPr>
      <w:rPr>
        <w:rFonts w:hint="default"/>
        <w:u w:val="none"/>
      </w:rPr>
    </w:lvl>
    <w:lvl w:ilvl="5">
      <w:start w:val="1"/>
      <w:numFmt w:val="bullet"/>
      <w:lvlText w:val="■"/>
      <w:lvlJc w:val="left"/>
      <w:pPr>
        <w:ind w:left="4320" w:hanging="360"/>
      </w:pPr>
      <w:rPr>
        <w:rFonts w:hint="default"/>
        <w:u w:val="none"/>
      </w:rPr>
    </w:lvl>
    <w:lvl w:ilvl="6">
      <w:start w:val="1"/>
      <w:numFmt w:val="bullet"/>
      <w:lvlText w:val="●"/>
      <w:lvlJc w:val="left"/>
      <w:pPr>
        <w:ind w:left="5040" w:hanging="360"/>
      </w:pPr>
      <w:rPr>
        <w:rFonts w:hint="default"/>
        <w:u w:val="none"/>
      </w:rPr>
    </w:lvl>
    <w:lvl w:ilvl="7">
      <w:start w:val="1"/>
      <w:numFmt w:val="bullet"/>
      <w:lvlText w:val="○"/>
      <w:lvlJc w:val="left"/>
      <w:pPr>
        <w:ind w:left="5760" w:hanging="360"/>
      </w:pPr>
      <w:rPr>
        <w:rFonts w:hint="default"/>
        <w:u w:val="none"/>
      </w:rPr>
    </w:lvl>
    <w:lvl w:ilvl="8">
      <w:start w:val="1"/>
      <w:numFmt w:val="bullet"/>
      <w:lvlText w:val="■"/>
      <w:lvlJc w:val="left"/>
      <w:pPr>
        <w:ind w:left="6480" w:hanging="360"/>
      </w:pPr>
      <w:rPr>
        <w:rFonts w:hint="default"/>
        <w:u w:val="none"/>
      </w:rPr>
    </w:lvl>
  </w:abstractNum>
  <w:abstractNum w:abstractNumId="89" w15:restartNumberingAfterBreak="0">
    <w:nsid w:val="702E54AB"/>
    <w:multiLevelType w:val="hybridMultilevel"/>
    <w:tmpl w:val="99862E8E"/>
    <w:lvl w:ilvl="0" w:tplc="0809001B">
      <w:start w:val="1"/>
      <w:numFmt w:val="lowerRoman"/>
      <w:lvlText w:val="%1."/>
      <w:lvlJc w:val="right"/>
      <w:pPr>
        <w:ind w:left="719"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0" w15:restartNumberingAfterBreak="0">
    <w:nsid w:val="74041A25"/>
    <w:multiLevelType w:val="hybridMultilevel"/>
    <w:tmpl w:val="7A84A6D0"/>
    <w:lvl w:ilvl="0" w:tplc="BA98E700">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1" w15:restartNumberingAfterBreak="0">
    <w:nsid w:val="76A3747F"/>
    <w:multiLevelType w:val="hybridMultilevel"/>
    <w:tmpl w:val="FFFFFFFF"/>
    <w:lvl w:ilvl="0" w:tplc="9F422C9E">
      <w:start w:val="1"/>
      <w:numFmt w:val="bullet"/>
      <w:lvlText w:val="-"/>
      <w:lvlJc w:val="left"/>
      <w:pPr>
        <w:ind w:left="720" w:hanging="360"/>
      </w:pPr>
      <w:rPr>
        <w:rFonts w:ascii="Aptos" w:hAnsi="Aptos" w:hint="default"/>
      </w:rPr>
    </w:lvl>
    <w:lvl w:ilvl="1" w:tplc="30661080">
      <w:start w:val="1"/>
      <w:numFmt w:val="bullet"/>
      <w:lvlText w:val="o"/>
      <w:lvlJc w:val="left"/>
      <w:pPr>
        <w:ind w:left="1440" w:hanging="360"/>
      </w:pPr>
      <w:rPr>
        <w:rFonts w:ascii="Courier New" w:hAnsi="Courier New" w:hint="default"/>
      </w:rPr>
    </w:lvl>
    <w:lvl w:ilvl="2" w:tplc="727222BA">
      <w:start w:val="1"/>
      <w:numFmt w:val="bullet"/>
      <w:lvlText w:val=""/>
      <w:lvlJc w:val="left"/>
      <w:pPr>
        <w:ind w:left="2160" w:hanging="360"/>
      </w:pPr>
      <w:rPr>
        <w:rFonts w:ascii="Wingdings" w:hAnsi="Wingdings" w:hint="default"/>
      </w:rPr>
    </w:lvl>
    <w:lvl w:ilvl="3" w:tplc="9A067F2C">
      <w:start w:val="1"/>
      <w:numFmt w:val="bullet"/>
      <w:lvlText w:val=""/>
      <w:lvlJc w:val="left"/>
      <w:pPr>
        <w:ind w:left="2880" w:hanging="360"/>
      </w:pPr>
      <w:rPr>
        <w:rFonts w:ascii="Symbol" w:hAnsi="Symbol" w:hint="default"/>
      </w:rPr>
    </w:lvl>
    <w:lvl w:ilvl="4" w:tplc="1D6866CC">
      <w:start w:val="1"/>
      <w:numFmt w:val="bullet"/>
      <w:lvlText w:val="o"/>
      <w:lvlJc w:val="left"/>
      <w:pPr>
        <w:ind w:left="3600" w:hanging="360"/>
      </w:pPr>
      <w:rPr>
        <w:rFonts w:ascii="Courier New" w:hAnsi="Courier New" w:hint="default"/>
      </w:rPr>
    </w:lvl>
    <w:lvl w:ilvl="5" w:tplc="FD98348A">
      <w:start w:val="1"/>
      <w:numFmt w:val="bullet"/>
      <w:lvlText w:val=""/>
      <w:lvlJc w:val="left"/>
      <w:pPr>
        <w:ind w:left="4320" w:hanging="360"/>
      </w:pPr>
      <w:rPr>
        <w:rFonts w:ascii="Wingdings" w:hAnsi="Wingdings" w:hint="default"/>
      </w:rPr>
    </w:lvl>
    <w:lvl w:ilvl="6" w:tplc="00B0B6E0">
      <w:start w:val="1"/>
      <w:numFmt w:val="bullet"/>
      <w:lvlText w:val=""/>
      <w:lvlJc w:val="left"/>
      <w:pPr>
        <w:ind w:left="5040" w:hanging="360"/>
      </w:pPr>
      <w:rPr>
        <w:rFonts w:ascii="Symbol" w:hAnsi="Symbol" w:hint="default"/>
      </w:rPr>
    </w:lvl>
    <w:lvl w:ilvl="7" w:tplc="387C3744">
      <w:start w:val="1"/>
      <w:numFmt w:val="bullet"/>
      <w:lvlText w:val="o"/>
      <w:lvlJc w:val="left"/>
      <w:pPr>
        <w:ind w:left="5760" w:hanging="360"/>
      </w:pPr>
      <w:rPr>
        <w:rFonts w:ascii="Courier New" w:hAnsi="Courier New" w:hint="default"/>
      </w:rPr>
    </w:lvl>
    <w:lvl w:ilvl="8" w:tplc="8968D69C">
      <w:start w:val="1"/>
      <w:numFmt w:val="bullet"/>
      <w:lvlText w:val=""/>
      <w:lvlJc w:val="left"/>
      <w:pPr>
        <w:ind w:left="6480" w:hanging="360"/>
      </w:pPr>
      <w:rPr>
        <w:rFonts w:ascii="Wingdings" w:hAnsi="Wingdings" w:hint="default"/>
      </w:rPr>
    </w:lvl>
  </w:abstractNum>
  <w:abstractNum w:abstractNumId="92" w15:restartNumberingAfterBreak="0">
    <w:nsid w:val="76D06977"/>
    <w:multiLevelType w:val="hybridMultilevel"/>
    <w:tmpl w:val="42E4798A"/>
    <w:lvl w:ilvl="0" w:tplc="991C3E1E">
      <w:start w:val="1"/>
      <w:numFmt w:val="bullet"/>
      <w:lvlText w:val="-"/>
      <w:lvlJc w:val="left"/>
      <w:pPr>
        <w:ind w:left="1080" w:hanging="720"/>
      </w:pPr>
      <w:rPr>
        <w:rFonts w:ascii="Calibri" w:hAnsi="Calibri" w:hint="default"/>
      </w:rPr>
    </w:lvl>
    <w:lvl w:ilvl="1" w:tplc="548ABFEE">
      <w:start w:val="1"/>
      <w:numFmt w:val="decimal"/>
      <w:lvlText w:val="%2."/>
      <w:lvlJc w:val="left"/>
      <w:pPr>
        <w:ind w:left="1440" w:hanging="360"/>
      </w:pPr>
      <w:rPr>
        <w:rFonts w:hint="default"/>
      </w:rPr>
    </w:lvl>
    <w:lvl w:ilvl="2" w:tplc="450EA25E">
      <w:start w:val="1"/>
      <w:numFmt w:val="lowerRoman"/>
      <w:lvlText w:val="(%3)"/>
      <w:lvlJc w:val="left"/>
      <w:pPr>
        <w:ind w:left="2700" w:hanging="720"/>
      </w:pPr>
      <w:rPr>
        <w:rFonts w:hint="default"/>
      </w:r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93" w15:restartNumberingAfterBreak="0">
    <w:nsid w:val="77566D51"/>
    <w:multiLevelType w:val="hybridMultilevel"/>
    <w:tmpl w:val="334A26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4" w15:restartNumberingAfterBreak="0">
    <w:nsid w:val="7816483B"/>
    <w:multiLevelType w:val="hybridMultilevel"/>
    <w:tmpl w:val="14569A86"/>
    <w:lvl w:ilvl="0" w:tplc="B22E0E3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5" w15:restartNumberingAfterBreak="0">
    <w:nsid w:val="79EFD594"/>
    <w:multiLevelType w:val="hybridMultilevel"/>
    <w:tmpl w:val="29BA2D90"/>
    <w:lvl w:ilvl="0" w:tplc="68DE7F80">
      <w:start w:val="1"/>
      <w:numFmt w:val="bullet"/>
      <w:lvlText w:val="-"/>
      <w:lvlJc w:val="left"/>
      <w:pPr>
        <w:ind w:left="720" w:hanging="360"/>
      </w:pPr>
      <w:rPr>
        <w:rFonts w:ascii="Aptos" w:hAnsi="Aptos" w:hint="default"/>
      </w:rPr>
    </w:lvl>
    <w:lvl w:ilvl="1" w:tplc="DFA8AC82">
      <w:start w:val="1"/>
      <w:numFmt w:val="bullet"/>
      <w:lvlText w:val="o"/>
      <w:lvlJc w:val="left"/>
      <w:pPr>
        <w:ind w:left="1440" w:hanging="360"/>
      </w:pPr>
      <w:rPr>
        <w:rFonts w:ascii="Courier New" w:hAnsi="Courier New" w:hint="default"/>
      </w:rPr>
    </w:lvl>
    <w:lvl w:ilvl="2" w:tplc="80ACE3EC">
      <w:start w:val="1"/>
      <w:numFmt w:val="bullet"/>
      <w:lvlText w:val=""/>
      <w:lvlJc w:val="left"/>
      <w:pPr>
        <w:ind w:left="2160" w:hanging="360"/>
      </w:pPr>
      <w:rPr>
        <w:rFonts w:ascii="Wingdings" w:hAnsi="Wingdings" w:hint="default"/>
      </w:rPr>
    </w:lvl>
    <w:lvl w:ilvl="3" w:tplc="9A4E138A">
      <w:start w:val="1"/>
      <w:numFmt w:val="bullet"/>
      <w:lvlText w:val=""/>
      <w:lvlJc w:val="left"/>
      <w:pPr>
        <w:ind w:left="2880" w:hanging="360"/>
      </w:pPr>
      <w:rPr>
        <w:rFonts w:ascii="Symbol" w:hAnsi="Symbol" w:hint="default"/>
      </w:rPr>
    </w:lvl>
    <w:lvl w:ilvl="4" w:tplc="E682B9AA">
      <w:start w:val="1"/>
      <w:numFmt w:val="bullet"/>
      <w:lvlText w:val="o"/>
      <w:lvlJc w:val="left"/>
      <w:pPr>
        <w:ind w:left="3600" w:hanging="360"/>
      </w:pPr>
      <w:rPr>
        <w:rFonts w:ascii="Courier New" w:hAnsi="Courier New" w:hint="default"/>
      </w:rPr>
    </w:lvl>
    <w:lvl w:ilvl="5" w:tplc="212CE970">
      <w:start w:val="1"/>
      <w:numFmt w:val="bullet"/>
      <w:lvlText w:val=""/>
      <w:lvlJc w:val="left"/>
      <w:pPr>
        <w:ind w:left="4320" w:hanging="360"/>
      </w:pPr>
      <w:rPr>
        <w:rFonts w:ascii="Wingdings" w:hAnsi="Wingdings" w:hint="default"/>
      </w:rPr>
    </w:lvl>
    <w:lvl w:ilvl="6" w:tplc="0364771A">
      <w:start w:val="1"/>
      <w:numFmt w:val="bullet"/>
      <w:lvlText w:val=""/>
      <w:lvlJc w:val="left"/>
      <w:pPr>
        <w:ind w:left="5040" w:hanging="360"/>
      </w:pPr>
      <w:rPr>
        <w:rFonts w:ascii="Symbol" w:hAnsi="Symbol" w:hint="default"/>
      </w:rPr>
    </w:lvl>
    <w:lvl w:ilvl="7" w:tplc="BCA6CD9A">
      <w:start w:val="1"/>
      <w:numFmt w:val="bullet"/>
      <w:lvlText w:val="o"/>
      <w:lvlJc w:val="left"/>
      <w:pPr>
        <w:ind w:left="5760" w:hanging="360"/>
      </w:pPr>
      <w:rPr>
        <w:rFonts w:ascii="Courier New" w:hAnsi="Courier New" w:hint="default"/>
      </w:rPr>
    </w:lvl>
    <w:lvl w:ilvl="8" w:tplc="1A00ED24">
      <w:start w:val="1"/>
      <w:numFmt w:val="bullet"/>
      <w:lvlText w:val=""/>
      <w:lvlJc w:val="left"/>
      <w:pPr>
        <w:ind w:left="6480" w:hanging="360"/>
      </w:pPr>
      <w:rPr>
        <w:rFonts w:ascii="Wingdings" w:hAnsi="Wingdings" w:hint="default"/>
      </w:rPr>
    </w:lvl>
  </w:abstractNum>
  <w:abstractNum w:abstractNumId="96" w15:restartNumberingAfterBreak="0">
    <w:nsid w:val="7BF94956"/>
    <w:multiLevelType w:val="hybridMultilevel"/>
    <w:tmpl w:val="26F287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15:restartNumberingAfterBreak="0">
    <w:nsid w:val="7C080B6C"/>
    <w:multiLevelType w:val="hybridMultilevel"/>
    <w:tmpl w:val="4B28B65A"/>
    <w:lvl w:ilvl="0" w:tplc="0408000F">
      <w:start w:val="1"/>
      <w:numFmt w:val="decimal"/>
      <w:lvlText w:val="%1."/>
      <w:lvlJc w:val="left"/>
      <w:pPr>
        <w:ind w:left="720" w:hanging="360"/>
      </w:p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9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abstractNum w:abstractNumId="99" w15:restartNumberingAfterBreak="0">
    <w:nsid w:val="7CD26665"/>
    <w:multiLevelType w:val="multilevel"/>
    <w:tmpl w:val="13DA11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0" w15:restartNumberingAfterBreak="0">
    <w:nsid w:val="7F010CB7"/>
    <w:multiLevelType w:val="multilevel"/>
    <w:tmpl w:val="08ECA518"/>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101" w15:restartNumberingAfterBreak="0">
    <w:nsid w:val="7F332538"/>
    <w:multiLevelType w:val="multilevel"/>
    <w:tmpl w:val="2094396A"/>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102" w15:restartNumberingAfterBreak="0">
    <w:nsid w:val="7F830756"/>
    <w:multiLevelType w:val="hybridMultilevel"/>
    <w:tmpl w:val="8A4CF84E"/>
    <w:lvl w:ilvl="0" w:tplc="F96681D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4"/>
  </w:num>
  <w:num w:numId="2">
    <w:abstractNumId w:val="74"/>
  </w:num>
  <w:num w:numId="3">
    <w:abstractNumId w:val="46"/>
  </w:num>
  <w:num w:numId="4">
    <w:abstractNumId w:val="82"/>
  </w:num>
  <w:num w:numId="5">
    <w:abstractNumId w:val="37"/>
  </w:num>
  <w:num w:numId="6">
    <w:abstractNumId w:val="47"/>
  </w:num>
  <w:num w:numId="7">
    <w:abstractNumId w:val="31"/>
  </w:num>
  <w:num w:numId="8">
    <w:abstractNumId w:val="29"/>
  </w:num>
  <w:num w:numId="9">
    <w:abstractNumId w:val="50"/>
  </w:num>
  <w:num w:numId="10">
    <w:abstractNumId w:val="70"/>
  </w:num>
  <w:num w:numId="11">
    <w:abstractNumId w:val="71"/>
  </w:num>
  <w:num w:numId="12">
    <w:abstractNumId w:val="34"/>
  </w:num>
  <w:num w:numId="13">
    <w:abstractNumId w:val="62"/>
  </w:num>
  <w:num w:numId="14">
    <w:abstractNumId w:val="98"/>
  </w:num>
  <w:num w:numId="15">
    <w:abstractNumId w:val="3"/>
  </w:num>
  <w:num w:numId="16">
    <w:abstractNumId w:val="2"/>
  </w:num>
  <w:num w:numId="17">
    <w:abstractNumId w:val="1"/>
  </w:num>
  <w:num w:numId="18">
    <w:abstractNumId w:val="0"/>
  </w:num>
  <w:num w:numId="19">
    <w:abstractNumId w:val="10"/>
  </w:num>
  <w:num w:numId="20">
    <w:abstractNumId w:val="72"/>
  </w:num>
  <w:num w:numId="21">
    <w:abstractNumId w:val="55"/>
  </w:num>
  <w:num w:numId="22">
    <w:abstractNumId w:val="44"/>
  </w:num>
  <w:num w:numId="23">
    <w:abstractNumId w:val="42"/>
  </w:num>
  <w:num w:numId="24">
    <w:abstractNumId w:val="12"/>
  </w:num>
  <w:num w:numId="25">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5"/>
  </w:num>
  <w:num w:numId="27">
    <w:abstractNumId w:val="102"/>
  </w:num>
  <w:num w:numId="28">
    <w:abstractNumId w:val="21"/>
  </w:num>
  <w:num w:numId="29">
    <w:abstractNumId w:val="17"/>
  </w:num>
  <w:num w:numId="30">
    <w:abstractNumId w:val="52"/>
  </w:num>
  <w:num w:numId="31">
    <w:abstractNumId w:val="5"/>
  </w:num>
  <w:num w:numId="32">
    <w:abstractNumId w:val="69"/>
  </w:num>
  <w:num w:numId="33">
    <w:abstractNumId w:val="56"/>
  </w:num>
  <w:num w:numId="34">
    <w:abstractNumId w:val="57"/>
  </w:num>
  <w:num w:numId="35">
    <w:abstractNumId w:val="53"/>
  </w:num>
  <w:num w:numId="36">
    <w:abstractNumId w:val="96"/>
  </w:num>
  <w:num w:numId="37">
    <w:abstractNumId w:val="75"/>
  </w:num>
  <w:num w:numId="38">
    <w:abstractNumId w:val="15"/>
  </w:num>
  <w:num w:numId="39">
    <w:abstractNumId w:val="67"/>
  </w:num>
  <w:num w:numId="40">
    <w:abstractNumId w:val="33"/>
  </w:num>
  <w:num w:numId="41">
    <w:abstractNumId w:val="100"/>
  </w:num>
  <w:num w:numId="42">
    <w:abstractNumId w:val="14"/>
  </w:num>
  <w:num w:numId="43">
    <w:abstractNumId w:val="68"/>
  </w:num>
  <w:num w:numId="44">
    <w:abstractNumId w:val="22"/>
  </w:num>
  <w:num w:numId="45">
    <w:abstractNumId w:val="19"/>
  </w:num>
  <w:num w:numId="46">
    <w:abstractNumId w:val="13"/>
  </w:num>
  <w:num w:numId="47">
    <w:abstractNumId w:val="86"/>
  </w:num>
  <w:num w:numId="48">
    <w:abstractNumId w:val="49"/>
  </w:num>
  <w:num w:numId="49">
    <w:abstractNumId w:val="18"/>
  </w:num>
  <w:num w:numId="50">
    <w:abstractNumId w:val="6"/>
  </w:num>
  <w:num w:numId="51">
    <w:abstractNumId w:val="101"/>
  </w:num>
  <w:num w:numId="52">
    <w:abstractNumId w:val="79"/>
  </w:num>
  <w:num w:numId="53">
    <w:abstractNumId w:val="28"/>
  </w:num>
  <w:num w:numId="54">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41"/>
  </w:num>
  <w:num w:numId="56">
    <w:abstractNumId w:val="54"/>
  </w:num>
  <w:num w:numId="57">
    <w:abstractNumId w:val="94"/>
  </w:num>
  <w:num w:numId="58">
    <w:abstractNumId w:val="23"/>
  </w:num>
  <w:num w:numId="59">
    <w:abstractNumId w:val="7"/>
  </w:num>
  <w:num w:numId="60">
    <w:abstractNumId w:val="59"/>
  </w:num>
  <w:num w:numId="61">
    <w:abstractNumId w:val="27"/>
  </w:num>
  <w:num w:numId="62">
    <w:abstractNumId w:val="73"/>
  </w:num>
  <w:num w:numId="63">
    <w:abstractNumId w:val="40"/>
  </w:num>
  <w:num w:numId="64">
    <w:abstractNumId w:val="80"/>
  </w:num>
  <w:num w:numId="65">
    <w:abstractNumId w:val="77"/>
  </w:num>
  <w:num w:numId="66">
    <w:abstractNumId w:val="20"/>
  </w:num>
  <w:num w:numId="67">
    <w:abstractNumId w:val="88"/>
  </w:num>
  <w:num w:numId="68">
    <w:abstractNumId w:val="90"/>
  </w:num>
  <w:num w:numId="69">
    <w:abstractNumId w:val="39"/>
  </w:num>
  <w:num w:numId="70">
    <w:abstractNumId w:val="35"/>
  </w:num>
  <w:num w:numId="71">
    <w:abstractNumId w:val="85"/>
  </w:num>
  <w:num w:numId="72">
    <w:abstractNumId w:val="60"/>
  </w:num>
  <w:num w:numId="73">
    <w:abstractNumId w:val="63"/>
  </w:num>
  <w:num w:numId="74">
    <w:abstractNumId w:val="32"/>
  </w:num>
  <w:num w:numId="75">
    <w:abstractNumId w:val="76"/>
  </w:num>
  <w:num w:numId="76">
    <w:abstractNumId w:val="58"/>
  </w:num>
  <w:num w:numId="77">
    <w:abstractNumId w:val="38"/>
  </w:num>
  <w:num w:numId="78">
    <w:abstractNumId w:val="11"/>
  </w:num>
  <w:num w:numId="79">
    <w:abstractNumId w:val="95"/>
  </w:num>
  <w:num w:numId="80">
    <w:abstractNumId w:val="8"/>
  </w:num>
  <w:num w:numId="81">
    <w:abstractNumId w:val="84"/>
  </w:num>
  <w:num w:numId="82">
    <w:abstractNumId w:val="99"/>
  </w:num>
  <w:num w:numId="83">
    <w:abstractNumId w:val="36"/>
  </w:num>
  <w:num w:numId="84">
    <w:abstractNumId w:val="16"/>
  </w:num>
  <w:num w:numId="85">
    <w:abstractNumId w:val="4"/>
  </w:num>
  <w:num w:numId="86">
    <w:abstractNumId w:val="89"/>
  </w:num>
  <w:num w:numId="87">
    <w:abstractNumId w:val="24"/>
  </w:num>
  <w:num w:numId="88">
    <w:abstractNumId w:val="61"/>
  </w:num>
  <w:num w:numId="89">
    <w:abstractNumId w:val="93"/>
  </w:num>
  <w:num w:numId="90">
    <w:abstractNumId w:val="65"/>
  </w:num>
  <w:num w:numId="91">
    <w:abstractNumId w:val="26"/>
  </w:num>
  <w:num w:numId="92">
    <w:abstractNumId w:val="92"/>
  </w:num>
  <w:num w:numId="93">
    <w:abstractNumId w:val="45"/>
  </w:num>
  <w:num w:numId="94">
    <w:abstractNumId w:val="9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87"/>
  </w:num>
  <w:num w:numId="97">
    <w:abstractNumId w:val="91"/>
  </w:num>
  <w:num w:numId="98">
    <w:abstractNumId w:val="30"/>
  </w:num>
  <w:num w:numId="99">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9"/>
  </w:num>
  <w:num w:numId="101">
    <w:abstractNumId w:val="43"/>
  </w:num>
  <w:num w:numId="102">
    <w:abstractNumId w:val="83"/>
  </w:num>
  <w:num w:numId="103">
    <w:abstractNumId w:val="51"/>
  </w:num>
  <w:num w:numId="104">
    <w:abstractNumId w:val="8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78"/>
  </w:num>
  <w:num w:numId="106">
    <w:abstractNumId w:val="66"/>
  </w:num>
  <w:numIdMacAtCleanup w:val="10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Pr>
  <w:compat>
    <w:doNotExpandShiftReturn/>
    <w:doNotUseHTMLParagraphAutoSpacing/>
    <w:splitPgBreakAndParaMark/>
    <w:compatSetting w:name="compatibilityMode" w:uri="http://schemas.microsoft.com/office/word" w:val="12"/>
  </w:compat>
  <w:docVars>
    <w:docVar w:name="Council" w:val="true"/>
    <w:docVar w:name="DocStatus" w:val="Green"/>
    <w:docVar w:name="DocuWriteMetaData" w:val="&lt;metadataset docuwriteversion=&quot;4.13.1&quot; technicalblockguid=&quot;5568692986073102431&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UniqueHeading&quot;&gt;_x000d__x000a_    &lt;basicdatatype&gt;_x000d__x000a_      &lt;heading key=&quot;uh_36&quot; text=&quot;NOTE&quot; /&gt;_x000d__x000a_    &lt;/basicdatatype&gt;_x000d__x000a_  &lt;/metadata&gt;_x000d__x000a_  &lt;metadata key=&quot;md_HeadingText&quot;&gt;_x000d__x000a_    &lt;headingtext text=&quot;NOTE&quot;&gt;_x000d__x000a_      &lt;formattedtext&gt;_x000d__x000a_        &lt;xaml text=&quot;NOTE&quot;&gt;&amp;lt;FlowDocument xmlns=&quot;http://schemas.microsoft.com/winfx/2006/xaml/presentation&quot;&amp;gt;&amp;lt;Paragraph&amp;gt;NOTE&amp;lt;/Paragraph&amp;gt;&amp;lt;/FlowDocument&amp;gt;&lt;/xaml&gt;_x000d__x000a_      &lt;/formattedtext&gt;_x000d__x000a_    &lt;/headingtext&gt;_x000d__x000a_  &lt;/metadata&gt;_x000d__x000a_  &lt;metadata key=&quot;md_CustomFootnote&quot;&gt;_x000d__x000a_    &lt;text&gt;&lt;/text&gt;_x000d__x000a_  &lt;/metadata&gt;_x000d__x000a_  &lt;metadata key=&quot;md_DocumentGroup&quot;&gt;_x000d__x000a_    &lt;basicdatatype&gt;_x000d__x000a_      &lt;document_group key=&quot;dg_07&quot; text=&quot;Not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 /&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5-12-09&lt;/text&gt;_x000d__x000a_  &lt;/metadata&gt;_x000d__x000a_  &lt;metadata key=&quot;md_Prefix&quot;&gt;_x000d__x000a_    &lt;text&gt;&lt;/text&gt;_x000d__x000a_  &lt;/metadata&gt;_x000d__x000a_  &lt;metadata key=&quot;md_DocumentNumber&quot;&gt;_x000d__x000a_    &lt;text&gt;15754&lt;/text&gt;_x000d__x000a_  &lt;/metadata&gt;_x000d__x000a_  &lt;metadata key=&quot;md_YearDocumentNumber&quot;&gt;_x000d__x000a_    &lt;text&gt;2025&lt;/text&gt;_x000d__x000a_  &lt;/metadata&gt;_x000d__x000a_  &lt;metadata key=&quot;md_Suffixes&quot;&gt;_x000d__x000a_    &lt;text&gt;ADD 1&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ECOFIN 1575&lt;/text&gt;_x000d__x000a_      &lt;text&gt;UEM 573&lt;/text&gt;_x000d__x000a_      &lt;text&gt;FIN 1428&lt;/text&gt;_x000d__x000a_    &lt;/textlist&gt;_x000d__x000a_  &lt;/metadata&gt;_x000d__x000a_  &lt;metadata key=&quot;md_ThirdPartyDistributionMarkers&quot;&gt;_x000d__x000a_    &lt;textlist&gt;_x000d__x000a_      &lt;text&gt;ECB&lt;/text&gt;_x000d__x000a_      &lt;text&gt;EIB&lt;/text&gt;_x000d__x000a_    &lt;/textlist&gt;_x000d__x000a_  &lt;/metadata&gt;_x000d__x000a_  &lt;metadata key=&quot;md_Contact&quot;&gt;_x000d__x000a_    &lt;text&gt;&lt;/text&gt;_x000d__x000a_  &lt;/metadata&gt;_x000d__x000a_  &lt;metadata key=&quot;md_ContactPhoneFax&quot;&gt;_x000d__x000a_    &lt;text&gt;&lt;/text&gt;_x000d__x000a_  &lt;/metadata&gt;_x000d__x000a_  &lt;metadata key=&quot;md_MeetingVenue&quot; /&gt;_x000d__x000a_  &lt;metadata key=&quot;md_ProvisionalVersion&quot;&gt;_x000d__x000a_    &lt;text&gt;&lt;/text&gt;_x000d__x000a_  &lt;/metadata&gt;_x000d__x000a_  &lt;metadata key=&quot;md_PresidentInformation&quot; /&gt;_x000d__x000a_  &lt;metadata key=&quot;md_MeetingNumber&quot;&gt;_x000d__x000a_    &lt;text&gt;&lt;/text&gt;_x000d__x000a_  &lt;/metadata&gt;_x000d__x000a_  &lt;metadata key=&quot;md_CouncilConfiguration&quot; /&gt;_x000d__x000a_  &lt;metadata key=&quot;md_CouncilIssue&quot; /&gt;_x000d__x000a_  &lt;metadata key=&quot;md_PhoneNumber&quot;&gt;_x000d__x000a_    &lt;text&gt;&lt;/text&gt;_x000d__x000a_  &lt;/metadata&gt;_x000d__x000a_  &lt;metadata key=&quot;md_TypeOfHeading&quot;&gt;_x000d__x000a_    &lt;basicdatatype&gt;_x000d__x000a_      &lt;typeofheading key=&quot;typeofhead_06&quot; text=&quot;Other&quot; /&gt;_x000d__x000a_    &lt;/basicdatatype&gt;_x000d__x000a_  &lt;/metadata&gt;_x000d__x000a_  &lt;metadata key=&quot;md_ReplyName&quot; /&gt;_x000d__x000a_  &lt;metadata key=&quot;md_EPQuestionsData&quot; /&gt;_x000d__x000a_  &lt;metadata key=&quot;md_Deadline&quot; /&gt;_x000d__x000a_  &lt;metadata key=&quot;md_InterinstitutionalFiles&quot;&gt;_x000d__x000a_    &lt;textlist&gt;_x000d__x000a_      &lt;text&gt;2025/0377 (NLE)&lt;/text&gt;_x000d__x000a_    &lt;/textlist&gt;_x000d__x000a_  &lt;/metadata&gt;_x000d__x000a_  &lt;metadata key=&quot;md_AdditionalReferences&quot;&gt;_x000d__x000a_    &lt;textlist&gt;_x000d__x000a_      &lt;text&gt;&lt;/text&gt;_x000d__x000a_    &lt;/textlist&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originator key=&quot;or_09&quot; text=&quot;General Secretariat of the Council&quot; /&gt;_x000d__x000a_    &lt;/basicdatatype&gt;_x000d__x000a_  &lt;/metadata&gt;_x000d__x000a_  &lt;metadata key=&quot;md_Recipient&quot;&gt;_x000d__x000a_    &lt;basicdatatype&gt;_x000d__x000a_      &lt;recipient key=&quot;re_07&quot; text=&quot;Delegations&quot; /&gt;_x000d__x000a_    &lt;/basicdatatype&gt;_x000d__x000a_  &lt;/metadata&gt;_x000d__x000a_  &lt;metadata key=&quot;md_DateOfReceipt&quot;&gt;_x000d__x000a_    &lt;text&gt;&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 /&gt;_x000d__x000a_  &lt;/metadata&gt;_x000d__x000a_  &lt;metadata key=&quot;md_DocForDWNDCL&quot; /&gt;_x000d__x000a_  &lt;metadata key=&quot;md_Distribution_NewClassification&quot; /&gt;_x000d__x000a_  &lt;metadata key=&quot;md_DWNDCLAuthorization&quot; /&gt;_x000d__x000a_  &lt;metadata key=&quot;md_DateOfAuthorization&quot; /&gt;_x000d__x000a_  &lt;metadata key=&quot;md_MeetingLocation&quot;&gt;_x000d__x000a_    &lt;basicdatatype&gt;_x000d__x000a_      &lt;location key=&quot;&quot; /&gt;_x000d__x000a_    &lt;/basicdatatype&gt;_x000d__x000a_  &lt;/metadata&gt;_x000d__x000a_  &lt;metadata key=&quot;md_MeetingDate&quot;&gt;_x000d__x000a_    &lt;textlist /&gt;_x000d__x000a_  &lt;/metadata&gt;_x000d__x000a_  &lt;metadata key=&quot;md_DateFormatOr&quot;&gt;_x000d__x000a_    &lt;text&gt;&lt;/text&gt;_x000d__x000a_  &lt;/metadata&gt;_x000d__x000a_  &lt;metadata key=&quot;md_MeetingInformation&quot; /&gt;_x000d__x000a_  &lt;metadata key=&quot;md_Item&quot; /&gt;_x000d__x000a_  &lt;metadata key=&quot;md_SubjectPrefix&quot; /&gt;_x000d__x000a_  &lt;metadata key=&quot;md_Subject&quot;&gt;_x000d__x000a_    &lt;xaml text=&quot;ANNEX to the COUNCIL IMPLEMENTING DECISION amending Implementing Decision of 13 July 2021 on the approval of the assessment of the recovery and resilience plan for Greece&quot;&gt;&amp;lt;FlowDocument xmlns=&quot;http://schemas.microsoft.com/winfx/2006/xaml/presentation&quot;&amp;gt;&amp;lt;Paragraph&amp;gt;ANNEX to the COUNCIL IMPLEMENTING DECISION amending Implementing Decision of 13 July 2021 on the approval of the assessment of the recovery and resilience plan for Greece&amp;lt;/Paragraph&amp;gt;&amp;lt;/FlowDocument&amp;gt;&lt;/xaml&gt;_x000d__x000a_  &lt;/metadata&gt;_x000d__x000a_  &lt;metadata key=&quot;md_SubjectFootnote&quot;&gt;_x000d__x000a_    &lt;text&gt;&lt;/text&gt;_x000d__x000a_  &lt;/metadata&gt;_x000d__x000a_  &lt;metadata key=&quot;md_DG&quot;&gt;_x000d__x000a_    &lt;text&gt;ECOIFN 1A&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1&quot; text=&quot;PUBLIC&quot; labelid=&quot;af60b174-6478-47f9-866e-33f097bb6603&quot; siteid=&quot;03ad1c97-0a4d-4e82-8f93-27291a6a0767&quot; isdefault=&quot;false&quot; /&gt;_x000d__x000a_    &lt;/basicdatatype&gt;_x000d__x000a_  &lt;/metadata&gt;_x000d__x000a_  &lt;metadata key=&quot;md_RectifProcedureType&quot; /&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 /&gt;_x000d__x000a_  &lt;metadata key=&quot;md_Rectif_Source1_DocumentType&quot; /&gt;_x000d__x000a_  &lt;metadata key=&quot;md_Rectif_Source1_DocumentNumber&quot; /&gt;_x000d__x000a_  &lt;metadata key=&quot;md_Rectif_Source1_YearDocumentNumber&quot; /&gt;_x000d__x000a_  &lt;metadata key=&quot;md_Rectif_Source1_Suffixes&quot; /&gt;_x000d__x000a_  &lt;metadata key=&quot;md_Rectif_Source2_UniqueHeading&quot; /&gt;_x000d__x000a_  &lt;metadata key=&quot;md_Rectif_Source2_DocumentType&quot; /&gt;_x000d__x000a_  &lt;metadata key=&quot;md_Rectif_Source2_DocumentNumber&quot; /&gt;_x000d__x000a_  &lt;metadata key=&quot;md_Rectif_Source2_YearDocumentNumber&quot; /&gt;_x000d__x000a_  &lt;metadata key=&quot;md_Rectif_Source2_Suffixes&quot; /&gt;_x000d__x000a_  &lt;metadata key=&quot;md_CoverPageDocWithCouncilFooter&quot;&gt;_x000d__x000a_    &lt;text&gt;&lt;/text&gt;_x000d__x000a_  &lt;/metadata&gt;_x000d__x000a_  &lt;metadata key=&quot;md_SourceDocLanguage&quot; /&gt;_x000d__x000a_  &lt;metadata key=&quot;md_SourceDocType&quot; /&gt;_x000d__x000a_  &lt;metadata key=&quot;md_SourceDocTitle&quot; /&gt;_x000d__x000a_  &lt;metadata key=&quot;md_SourceDocIsCECDoc&quot;&gt;_x000d__x000a_    &lt;text&gt;&lt;/text&gt;_x000d__x000a_  &lt;/metadata&gt;_x000d__x000a_  &lt;metadata key=&quot;md_NB1&quot; /&gt;_x000d__x000a_  &lt;metadata key=&quot;md_NB2&quot; /&gt;_x000d__x000a_  &lt;metadata key=&quot;md_NB3&quot; /&gt;_x000d__x000a_  &lt;metadata key=&quot;md_NB4&quot; /&gt;_x000d__x000a_  &lt;metadata key=&quot;md_NB5&quot; /&gt;_x000d__x000a_  &lt;metadata key=&quot;md_CustomNB&quot; /&gt;_x000d__x000a_  &lt;metadata key=&quot;md_Meetings&quot;&gt;_x000d__x000a_    &lt;meetings /&gt;_x000d__x000a_  &lt;/metadata&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 /&gt;_x000d__x000a_  &lt;metadata key=&quot;md_InstFrSubWordmark&quot;&gt;_x000d__x000a_    &lt;xaml text=&quot;&quot;&gt;&amp;lt;FlowDocument xmlns=&quot;http://schemas.microsoft.com/winfx/2006/xaml/presentation&quot;&amp;gt;&amp;lt;Paragraph&amp;gt;&amp;lt;/Paragraph&amp;gt;&amp;lt;/FlowDocument&amp;gt;&lt;/xaml&gt;_x000d__x000a_  &lt;/metadata&gt;_x000d__x000a_  &lt;metadata key=&quot;md_WorkflowLinkStatus&quot; /&gt;_x000d__x000a_  &lt;metadata key=&quot;md_eAgendaLinkStatus&quot; /&gt;_x000d__x000a_  &lt;metadata key=&quot;md_Caveat&quot; /&gt;_x000d__x000a_  &lt;metadata key=&quot;md_TechnicalKey&quot; /&gt;_x000d__x000a_&lt;/metadataset&gt;"/>
    <w:docVar w:name="DW_AutoOpen" w:val="True"/>
    <w:docVar w:name="EPKit_DocumentHasBeenSaved" w:val="true"/>
    <w:docVar w:name="LW_ACCOMPAGNANT.CP" w:val="la"/>
    <w:docVar w:name="LW_ANNEX_NBR_FIRST" w:val="1"/>
    <w:docVar w:name="LW_ANNEX_NBR_LAST" w:val="1"/>
    <w:docVar w:name="LW_ANNEX_UNIQUE" w:val="1"/>
    <w:docVar w:name="LW_CORRIGENDUM" w:val="&lt;UNUSED&gt;"/>
    <w:docVar w:name="LW_COVERPAGE_EXISTS" w:val="True"/>
    <w:docVar w:name="LW_COVERPAGE_GUID" w:val="9E9DDDB9-E96C-4FBB-B89C-A73B0F22BAA5"/>
    <w:docVar w:name="LW_COVERPAGE_TYPE" w:val="1"/>
    <w:docVar w:name="LW_CROSSREFERENCE" w:val="{SWD(2026) 252 final}"/>
    <w:docVar w:name="LW_DocType" w:val="DW_COUNCIL"/>
    <w:docVar w:name="LW_EMISSION" w:val="23.7.2026"/>
    <w:docVar w:name="LW_EMISSION_ISODATE" w:val="2026-07-23"/>
    <w:docVar w:name="LW_EMISSION_LOCATION" w:val="BRX"/>
    <w:docVar w:name="LW_EMISSION_PREFIX" w:val="Bruxelles, "/>
    <w:docVar w:name="LW_EMISSION_SUFFIX" w:val=" "/>
    <w:docVar w:name="LW_ID_DOCTYPE_NONLW" w:val="CP-036"/>
    <w:docVar w:name="LW_LANGUE" w:val="RO"/>
    <w:docVar w:name="LW_LEVEL_OF_SENSITIVITY" w:val="Standard treatment"/>
    <w:docVar w:name="LW_NOM.INST" w:val="COMISIA EUROPEAN\u258?"/>
    <w:docVar w:name="LW_NOM.INST_JOINTDOC" w:val="&lt;EMPTY&gt;"/>
    <w:docVar w:name="LW_OBJETACTEPRINCIPAL.CP" w:val="&lt;FMT:Bold&gt;de modificare a Deciziei de punere în aplicare din 13 iulie 2021 de aprobare a evalu\u259?rii planului de redresare \u537?i rezilien\u539?\u259? al Greciei&lt;/FMT&gt;_x000d__x000b_"/>
    <w:docVar w:name="LW_PART_NBR" w:val="1"/>
    <w:docVar w:name="LW_PART_NBR_TOTAL" w:val="1"/>
    <w:docVar w:name="LW_REF.INST.NEW" w:val="COM"/>
    <w:docVar w:name="LW_REF.INST.NEW_ADOPTED" w:val="final"/>
    <w:docVar w:name="LW_REF.INST.NEW_TEXT" w:val="(2026) 41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EX\u258?_x000b_"/>
    <w:docVar w:name="LW_TYPEACTEPRINCIPAL.CP" w:val="Propunerea de DECIZIE DE PUNERE ÎN APLICARE A CONSIULUI"/>
    <w:docVar w:name="LwApiVersions" w:val="LW4CoDe 1.24.5.0; LW 9.2, Build 20251112"/>
  </w:docVars>
  <w:rsids>
    <w:rsidRoot w:val="00A86151"/>
    <w:rsid w:val="00000017"/>
    <w:rsid w:val="00000112"/>
    <w:rsid w:val="00000150"/>
    <w:rsid w:val="000002AC"/>
    <w:rsid w:val="0000032E"/>
    <w:rsid w:val="000004EF"/>
    <w:rsid w:val="00000625"/>
    <w:rsid w:val="00000680"/>
    <w:rsid w:val="00000832"/>
    <w:rsid w:val="000009AE"/>
    <w:rsid w:val="00000ABF"/>
    <w:rsid w:val="00000E9B"/>
    <w:rsid w:val="000012B7"/>
    <w:rsid w:val="00001342"/>
    <w:rsid w:val="000015A8"/>
    <w:rsid w:val="00001605"/>
    <w:rsid w:val="00001A17"/>
    <w:rsid w:val="00001A1D"/>
    <w:rsid w:val="00001CA7"/>
    <w:rsid w:val="00001D51"/>
    <w:rsid w:val="00001E55"/>
    <w:rsid w:val="00001F1C"/>
    <w:rsid w:val="000021C8"/>
    <w:rsid w:val="00002413"/>
    <w:rsid w:val="0000242E"/>
    <w:rsid w:val="00002520"/>
    <w:rsid w:val="000025A6"/>
    <w:rsid w:val="00002734"/>
    <w:rsid w:val="00002B2E"/>
    <w:rsid w:val="00002E58"/>
    <w:rsid w:val="00002F60"/>
    <w:rsid w:val="00003174"/>
    <w:rsid w:val="000033B9"/>
    <w:rsid w:val="00003541"/>
    <w:rsid w:val="000035C6"/>
    <w:rsid w:val="000036F5"/>
    <w:rsid w:val="00003731"/>
    <w:rsid w:val="00003A2C"/>
    <w:rsid w:val="00003D89"/>
    <w:rsid w:val="00003DBB"/>
    <w:rsid w:val="00003EA2"/>
    <w:rsid w:val="00003F15"/>
    <w:rsid w:val="0000432F"/>
    <w:rsid w:val="00004465"/>
    <w:rsid w:val="000045A1"/>
    <w:rsid w:val="00004849"/>
    <w:rsid w:val="00005003"/>
    <w:rsid w:val="000054F3"/>
    <w:rsid w:val="000054FA"/>
    <w:rsid w:val="00005598"/>
    <w:rsid w:val="00005924"/>
    <w:rsid w:val="00005C33"/>
    <w:rsid w:val="00005D58"/>
    <w:rsid w:val="00005D83"/>
    <w:rsid w:val="00005DFB"/>
    <w:rsid w:val="00005EE7"/>
    <w:rsid w:val="00005F39"/>
    <w:rsid w:val="000065BB"/>
    <w:rsid w:val="00006722"/>
    <w:rsid w:val="00006790"/>
    <w:rsid w:val="00006859"/>
    <w:rsid w:val="00006A0D"/>
    <w:rsid w:val="00006DA3"/>
    <w:rsid w:val="00006F88"/>
    <w:rsid w:val="0000700F"/>
    <w:rsid w:val="00007292"/>
    <w:rsid w:val="00007302"/>
    <w:rsid w:val="000073AB"/>
    <w:rsid w:val="0000743F"/>
    <w:rsid w:val="0000746C"/>
    <w:rsid w:val="000077B4"/>
    <w:rsid w:val="000077EB"/>
    <w:rsid w:val="00007975"/>
    <w:rsid w:val="00007AB6"/>
    <w:rsid w:val="00007ACA"/>
    <w:rsid w:val="00007E61"/>
    <w:rsid w:val="000102AF"/>
    <w:rsid w:val="00010484"/>
    <w:rsid w:val="00010568"/>
    <w:rsid w:val="00010976"/>
    <w:rsid w:val="0001115B"/>
    <w:rsid w:val="0001132C"/>
    <w:rsid w:val="0001186F"/>
    <w:rsid w:val="000119DE"/>
    <w:rsid w:val="00011D19"/>
    <w:rsid w:val="00011E37"/>
    <w:rsid w:val="00011E4D"/>
    <w:rsid w:val="0001211E"/>
    <w:rsid w:val="000126FE"/>
    <w:rsid w:val="000128B2"/>
    <w:rsid w:val="00012BBE"/>
    <w:rsid w:val="00012C51"/>
    <w:rsid w:val="00012C5A"/>
    <w:rsid w:val="00012FEC"/>
    <w:rsid w:val="000132A6"/>
    <w:rsid w:val="000132E1"/>
    <w:rsid w:val="00013354"/>
    <w:rsid w:val="00013509"/>
    <w:rsid w:val="0001356B"/>
    <w:rsid w:val="000135A6"/>
    <w:rsid w:val="000135DF"/>
    <w:rsid w:val="00013689"/>
    <w:rsid w:val="0001384A"/>
    <w:rsid w:val="0001389B"/>
    <w:rsid w:val="00013AA5"/>
    <w:rsid w:val="00013AC3"/>
    <w:rsid w:val="00013B0F"/>
    <w:rsid w:val="00013EDC"/>
    <w:rsid w:val="000142C1"/>
    <w:rsid w:val="000145F5"/>
    <w:rsid w:val="00014805"/>
    <w:rsid w:val="00014816"/>
    <w:rsid w:val="0001491E"/>
    <w:rsid w:val="0001494D"/>
    <w:rsid w:val="000149B4"/>
    <w:rsid w:val="000149C8"/>
    <w:rsid w:val="00014D62"/>
    <w:rsid w:val="00014FDB"/>
    <w:rsid w:val="000151FE"/>
    <w:rsid w:val="00015484"/>
    <w:rsid w:val="0001578F"/>
    <w:rsid w:val="00015939"/>
    <w:rsid w:val="0001595B"/>
    <w:rsid w:val="00015AFB"/>
    <w:rsid w:val="00015F1D"/>
    <w:rsid w:val="00015FB9"/>
    <w:rsid w:val="000161F6"/>
    <w:rsid w:val="000162DD"/>
    <w:rsid w:val="000163BE"/>
    <w:rsid w:val="0001648C"/>
    <w:rsid w:val="0001659F"/>
    <w:rsid w:val="00016721"/>
    <w:rsid w:val="00016797"/>
    <w:rsid w:val="000167D6"/>
    <w:rsid w:val="00016951"/>
    <w:rsid w:val="00016A84"/>
    <w:rsid w:val="00016BF1"/>
    <w:rsid w:val="00017317"/>
    <w:rsid w:val="00017688"/>
    <w:rsid w:val="000176B2"/>
    <w:rsid w:val="000178DE"/>
    <w:rsid w:val="00017B2E"/>
    <w:rsid w:val="00017BA1"/>
    <w:rsid w:val="00017CF8"/>
    <w:rsid w:val="00017F86"/>
    <w:rsid w:val="00020025"/>
    <w:rsid w:val="0002002B"/>
    <w:rsid w:val="00020269"/>
    <w:rsid w:val="00020326"/>
    <w:rsid w:val="00020348"/>
    <w:rsid w:val="0002067D"/>
    <w:rsid w:val="0002071C"/>
    <w:rsid w:val="00020732"/>
    <w:rsid w:val="00020761"/>
    <w:rsid w:val="000208E8"/>
    <w:rsid w:val="00020AC5"/>
    <w:rsid w:val="00020B63"/>
    <w:rsid w:val="00020C48"/>
    <w:rsid w:val="00020CAF"/>
    <w:rsid w:val="00020F1E"/>
    <w:rsid w:val="00020F4A"/>
    <w:rsid w:val="000213FC"/>
    <w:rsid w:val="00021446"/>
    <w:rsid w:val="00021699"/>
    <w:rsid w:val="00021763"/>
    <w:rsid w:val="00021971"/>
    <w:rsid w:val="00021BF1"/>
    <w:rsid w:val="00021D23"/>
    <w:rsid w:val="000220F1"/>
    <w:rsid w:val="0002227B"/>
    <w:rsid w:val="00022375"/>
    <w:rsid w:val="0002243B"/>
    <w:rsid w:val="000226D8"/>
    <w:rsid w:val="00022A58"/>
    <w:rsid w:val="000232E0"/>
    <w:rsid w:val="00023338"/>
    <w:rsid w:val="0002363F"/>
    <w:rsid w:val="0002367C"/>
    <w:rsid w:val="000237A1"/>
    <w:rsid w:val="00023AD4"/>
    <w:rsid w:val="00023BD1"/>
    <w:rsid w:val="00023D2B"/>
    <w:rsid w:val="00023DB5"/>
    <w:rsid w:val="00023DCF"/>
    <w:rsid w:val="00024021"/>
    <w:rsid w:val="000240B8"/>
    <w:rsid w:val="000244F0"/>
    <w:rsid w:val="000247CD"/>
    <w:rsid w:val="000248F4"/>
    <w:rsid w:val="0002495F"/>
    <w:rsid w:val="00024B29"/>
    <w:rsid w:val="000251B8"/>
    <w:rsid w:val="000254D1"/>
    <w:rsid w:val="00025511"/>
    <w:rsid w:val="000256B2"/>
    <w:rsid w:val="00025A39"/>
    <w:rsid w:val="00025A43"/>
    <w:rsid w:val="00025A4E"/>
    <w:rsid w:val="00025A97"/>
    <w:rsid w:val="00025B8E"/>
    <w:rsid w:val="00025D80"/>
    <w:rsid w:val="00025DDE"/>
    <w:rsid w:val="00026017"/>
    <w:rsid w:val="000260BF"/>
    <w:rsid w:val="0002613D"/>
    <w:rsid w:val="00026360"/>
    <w:rsid w:val="00026372"/>
    <w:rsid w:val="00026688"/>
    <w:rsid w:val="000269F4"/>
    <w:rsid w:val="00026A5C"/>
    <w:rsid w:val="00026A9D"/>
    <w:rsid w:val="00026AB9"/>
    <w:rsid w:val="00026C48"/>
    <w:rsid w:val="00027018"/>
    <w:rsid w:val="000274C4"/>
    <w:rsid w:val="0002777C"/>
    <w:rsid w:val="0002780C"/>
    <w:rsid w:val="000278D8"/>
    <w:rsid w:val="000279E8"/>
    <w:rsid w:val="00027D57"/>
    <w:rsid w:val="00027E15"/>
    <w:rsid w:val="00030059"/>
    <w:rsid w:val="0003035A"/>
    <w:rsid w:val="00030390"/>
    <w:rsid w:val="0003054D"/>
    <w:rsid w:val="000305B3"/>
    <w:rsid w:val="00030BB4"/>
    <w:rsid w:val="00030CD8"/>
    <w:rsid w:val="00030D14"/>
    <w:rsid w:val="00030F79"/>
    <w:rsid w:val="00030FBD"/>
    <w:rsid w:val="000310C0"/>
    <w:rsid w:val="0003153C"/>
    <w:rsid w:val="0003177F"/>
    <w:rsid w:val="000319D7"/>
    <w:rsid w:val="00031A78"/>
    <w:rsid w:val="00031B77"/>
    <w:rsid w:val="00031B9A"/>
    <w:rsid w:val="00031CE9"/>
    <w:rsid w:val="00031D9D"/>
    <w:rsid w:val="00031FA3"/>
    <w:rsid w:val="00032000"/>
    <w:rsid w:val="0003214E"/>
    <w:rsid w:val="00032187"/>
    <w:rsid w:val="000324FF"/>
    <w:rsid w:val="00032713"/>
    <w:rsid w:val="000329AA"/>
    <w:rsid w:val="00032BAF"/>
    <w:rsid w:val="00032BC5"/>
    <w:rsid w:val="00032F4D"/>
    <w:rsid w:val="0003326E"/>
    <w:rsid w:val="000332A0"/>
    <w:rsid w:val="0003356C"/>
    <w:rsid w:val="000338D9"/>
    <w:rsid w:val="00033A8A"/>
    <w:rsid w:val="00033EC5"/>
    <w:rsid w:val="00034154"/>
    <w:rsid w:val="000342F8"/>
    <w:rsid w:val="00034481"/>
    <w:rsid w:val="000344F6"/>
    <w:rsid w:val="00034627"/>
    <w:rsid w:val="000346CF"/>
    <w:rsid w:val="000347EB"/>
    <w:rsid w:val="00034817"/>
    <w:rsid w:val="00034915"/>
    <w:rsid w:val="000349D7"/>
    <w:rsid w:val="00034ACA"/>
    <w:rsid w:val="00034B83"/>
    <w:rsid w:val="00034B85"/>
    <w:rsid w:val="00034E14"/>
    <w:rsid w:val="00034E64"/>
    <w:rsid w:val="0003518B"/>
    <w:rsid w:val="000351DB"/>
    <w:rsid w:val="0003566F"/>
    <w:rsid w:val="000356D8"/>
    <w:rsid w:val="000357B9"/>
    <w:rsid w:val="00035D40"/>
    <w:rsid w:val="00035DF8"/>
    <w:rsid w:val="00036073"/>
    <w:rsid w:val="00036080"/>
    <w:rsid w:val="000360C5"/>
    <w:rsid w:val="000361A5"/>
    <w:rsid w:val="000361F7"/>
    <w:rsid w:val="0003628C"/>
    <w:rsid w:val="00036320"/>
    <w:rsid w:val="0003665A"/>
    <w:rsid w:val="0003673C"/>
    <w:rsid w:val="00036799"/>
    <w:rsid w:val="00036BAB"/>
    <w:rsid w:val="00036DC6"/>
    <w:rsid w:val="00037004"/>
    <w:rsid w:val="000371E4"/>
    <w:rsid w:val="00037975"/>
    <w:rsid w:val="000379C4"/>
    <w:rsid w:val="00037AD1"/>
    <w:rsid w:val="00037E31"/>
    <w:rsid w:val="00037F44"/>
    <w:rsid w:val="00037FC1"/>
    <w:rsid w:val="0004017A"/>
    <w:rsid w:val="00040200"/>
    <w:rsid w:val="0004024F"/>
    <w:rsid w:val="000402AA"/>
    <w:rsid w:val="000405D4"/>
    <w:rsid w:val="000406AC"/>
    <w:rsid w:val="000408D6"/>
    <w:rsid w:val="00040CFE"/>
    <w:rsid w:val="00040DF9"/>
    <w:rsid w:val="00040F07"/>
    <w:rsid w:val="00041022"/>
    <w:rsid w:val="000410F4"/>
    <w:rsid w:val="00041205"/>
    <w:rsid w:val="00041643"/>
    <w:rsid w:val="00041946"/>
    <w:rsid w:val="00041ECD"/>
    <w:rsid w:val="00042392"/>
    <w:rsid w:val="000427B1"/>
    <w:rsid w:val="00042881"/>
    <w:rsid w:val="00042AB2"/>
    <w:rsid w:val="00042AD2"/>
    <w:rsid w:val="00042ED3"/>
    <w:rsid w:val="00043545"/>
    <w:rsid w:val="000435E4"/>
    <w:rsid w:val="00043662"/>
    <w:rsid w:val="000438E6"/>
    <w:rsid w:val="00043B76"/>
    <w:rsid w:val="00043C43"/>
    <w:rsid w:val="00043DBE"/>
    <w:rsid w:val="00043F44"/>
    <w:rsid w:val="000440F7"/>
    <w:rsid w:val="000443C5"/>
    <w:rsid w:val="00044A23"/>
    <w:rsid w:val="00044B7E"/>
    <w:rsid w:val="00044CA7"/>
    <w:rsid w:val="00044CB1"/>
    <w:rsid w:val="00044EC2"/>
    <w:rsid w:val="000451C1"/>
    <w:rsid w:val="0004533A"/>
    <w:rsid w:val="0004534C"/>
    <w:rsid w:val="00045424"/>
    <w:rsid w:val="00045451"/>
    <w:rsid w:val="00045697"/>
    <w:rsid w:val="000459FD"/>
    <w:rsid w:val="00045C5A"/>
    <w:rsid w:val="00045E45"/>
    <w:rsid w:val="00045EEE"/>
    <w:rsid w:val="000460E1"/>
    <w:rsid w:val="00046229"/>
    <w:rsid w:val="000462EC"/>
    <w:rsid w:val="00046338"/>
    <w:rsid w:val="0004633C"/>
    <w:rsid w:val="000464E6"/>
    <w:rsid w:val="00046510"/>
    <w:rsid w:val="00046587"/>
    <w:rsid w:val="0004667B"/>
    <w:rsid w:val="000466A8"/>
    <w:rsid w:val="000468A5"/>
    <w:rsid w:val="00046D12"/>
    <w:rsid w:val="00046F56"/>
    <w:rsid w:val="000470FD"/>
    <w:rsid w:val="00047107"/>
    <w:rsid w:val="000471D7"/>
    <w:rsid w:val="00047282"/>
    <w:rsid w:val="000476B5"/>
    <w:rsid w:val="000478F8"/>
    <w:rsid w:val="00047AC5"/>
    <w:rsid w:val="00047BD4"/>
    <w:rsid w:val="00047E10"/>
    <w:rsid w:val="00047F01"/>
    <w:rsid w:val="0005032D"/>
    <w:rsid w:val="00050416"/>
    <w:rsid w:val="00050422"/>
    <w:rsid w:val="0005055A"/>
    <w:rsid w:val="00050634"/>
    <w:rsid w:val="000506A7"/>
    <w:rsid w:val="00050770"/>
    <w:rsid w:val="00050776"/>
    <w:rsid w:val="000507EF"/>
    <w:rsid w:val="00050855"/>
    <w:rsid w:val="0005098F"/>
    <w:rsid w:val="00050A11"/>
    <w:rsid w:val="00050BE2"/>
    <w:rsid w:val="00050C80"/>
    <w:rsid w:val="00050D0D"/>
    <w:rsid w:val="00050E97"/>
    <w:rsid w:val="00050FC2"/>
    <w:rsid w:val="00051072"/>
    <w:rsid w:val="00051329"/>
    <w:rsid w:val="0005139A"/>
    <w:rsid w:val="000513EE"/>
    <w:rsid w:val="000515A7"/>
    <w:rsid w:val="00051677"/>
    <w:rsid w:val="0005172D"/>
    <w:rsid w:val="000517F2"/>
    <w:rsid w:val="00051B68"/>
    <w:rsid w:val="00051FB7"/>
    <w:rsid w:val="00051FCE"/>
    <w:rsid w:val="000520DB"/>
    <w:rsid w:val="0005248B"/>
    <w:rsid w:val="0005257A"/>
    <w:rsid w:val="0005262B"/>
    <w:rsid w:val="000526D1"/>
    <w:rsid w:val="00052AA1"/>
    <w:rsid w:val="00052B68"/>
    <w:rsid w:val="00052D7C"/>
    <w:rsid w:val="00052DD4"/>
    <w:rsid w:val="00053316"/>
    <w:rsid w:val="000533F8"/>
    <w:rsid w:val="00053538"/>
    <w:rsid w:val="00053886"/>
    <w:rsid w:val="00053CB5"/>
    <w:rsid w:val="00053D1F"/>
    <w:rsid w:val="00053E0C"/>
    <w:rsid w:val="0005402A"/>
    <w:rsid w:val="000543AE"/>
    <w:rsid w:val="0005454A"/>
    <w:rsid w:val="0005471E"/>
    <w:rsid w:val="000548F3"/>
    <w:rsid w:val="0005494D"/>
    <w:rsid w:val="00054AF6"/>
    <w:rsid w:val="00054B57"/>
    <w:rsid w:val="00054D56"/>
    <w:rsid w:val="00054D6D"/>
    <w:rsid w:val="00054EF3"/>
    <w:rsid w:val="00054FE8"/>
    <w:rsid w:val="0005507C"/>
    <w:rsid w:val="0005508E"/>
    <w:rsid w:val="00055226"/>
    <w:rsid w:val="000553A8"/>
    <w:rsid w:val="000553EF"/>
    <w:rsid w:val="00055402"/>
    <w:rsid w:val="00055543"/>
    <w:rsid w:val="00055711"/>
    <w:rsid w:val="000559B0"/>
    <w:rsid w:val="00055D22"/>
    <w:rsid w:val="00055FDA"/>
    <w:rsid w:val="00056111"/>
    <w:rsid w:val="00056457"/>
    <w:rsid w:val="00056594"/>
    <w:rsid w:val="00056743"/>
    <w:rsid w:val="000569CA"/>
    <w:rsid w:val="00056B55"/>
    <w:rsid w:val="00056DD0"/>
    <w:rsid w:val="00056DD2"/>
    <w:rsid w:val="00056ECA"/>
    <w:rsid w:val="00056F4B"/>
    <w:rsid w:val="00057000"/>
    <w:rsid w:val="00057036"/>
    <w:rsid w:val="000572F0"/>
    <w:rsid w:val="0005732D"/>
    <w:rsid w:val="0005747A"/>
    <w:rsid w:val="000574B2"/>
    <w:rsid w:val="00057813"/>
    <w:rsid w:val="00057924"/>
    <w:rsid w:val="00057DE5"/>
    <w:rsid w:val="00057EE8"/>
    <w:rsid w:val="00057FFD"/>
    <w:rsid w:val="00060057"/>
    <w:rsid w:val="00060420"/>
    <w:rsid w:val="00060458"/>
    <w:rsid w:val="000609E1"/>
    <w:rsid w:val="00060BA2"/>
    <w:rsid w:val="00060BE9"/>
    <w:rsid w:val="00060C22"/>
    <w:rsid w:val="00061302"/>
    <w:rsid w:val="000613E3"/>
    <w:rsid w:val="00061521"/>
    <w:rsid w:val="0006177F"/>
    <w:rsid w:val="000617D4"/>
    <w:rsid w:val="00061AF0"/>
    <w:rsid w:val="00061C11"/>
    <w:rsid w:val="00061CFC"/>
    <w:rsid w:val="00061FFD"/>
    <w:rsid w:val="00062141"/>
    <w:rsid w:val="0006215E"/>
    <w:rsid w:val="0006240D"/>
    <w:rsid w:val="0006245E"/>
    <w:rsid w:val="00062544"/>
    <w:rsid w:val="000626AD"/>
    <w:rsid w:val="000627B8"/>
    <w:rsid w:val="000629CB"/>
    <w:rsid w:val="00062B70"/>
    <w:rsid w:val="00062DAA"/>
    <w:rsid w:val="000630EF"/>
    <w:rsid w:val="00063145"/>
    <w:rsid w:val="00063459"/>
    <w:rsid w:val="0006348E"/>
    <w:rsid w:val="00063699"/>
    <w:rsid w:val="0006375B"/>
    <w:rsid w:val="00063B41"/>
    <w:rsid w:val="00063C77"/>
    <w:rsid w:val="00063E2E"/>
    <w:rsid w:val="00063EF6"/>
    <w:rsid w:val="00064284"/>
    <w:rsid w:val="000648C9"/>
    <w:rsid w:val="00064AD8"/>
    <w:rsid w:val="00064B22"/>
    <w:rsid w:val="00064F30"/>
    <w:rsid w:val="00065020"/>
    <w:rsid w:val="00065035"/>
    <w:rsid w:val="0006506B"/>
    <w:rsid w:val="0006516D"/>
    <w:rsid w:val="00065603"/>
    <w:rsid w:val="00065928"/>
    <w:rsid w:val="0006592A"/>
    <w:rsid w:val="00065D68"/>
    <w:rsid w:val="00065DFB"/>
    <w:rsid w:val="00065E0A"/>
    <w:rsid w:val="0006604E"/>
    <w:rsid w:val="00066247"/>
    <w:rsid w:val="0006659D"/>
    <w:rsid w:val="000665A2"/>
    <w:rsid w:val="00066655"/>
    <w:rsid w:val="00066656"/>
    <w:rsid w:val="000666BE"/>
    <w:rsid w:val="000668D5"/>
    <w:rsid w:val="000669FD"/>
    <w:rsid w:val="00066C10"/>
    <w:rsid w:val="00066D92"/>
    <w:rsid w:val="000672E6"/>
    <w:rsid w:val="0006738C"/>
    <w:rsid w:val="000673C7"/>
    <w:rsid w:val="0007003A"/>
    <w:rsid w:val="00070304"/>
    <w:rsid w:val="00070668"/>
    <w:rsid w:val="000706EA"/>
    <w:rsid w:val="000709FC"/>
    <w:rsid w:val="00070A13"/>
    <w:rsid w:val="00070A4A"/>
    <w:rsid w:val="000710FD"/>
    <w:rsid w:val="0007111F"/>
    <w:rsid w:val="000711E2"/>
    <w:rsid w:val="000712CA"/>
    <w:rsid w:val="000713BC"/>
    <w:rsid w:val="000714DD"/>
    <w:rsid w:val="0007154D"/>
    <w:rsid w:val="000715A2"/>
    <w:rsid w:val="00071733"/>
    <w:rsid w:val="00071910"/>
    <w:rsid w:val="0007199A"/>
    <w:rsid w:val="00071C53"/>
    <w:rsid w:val="00071FD7"/>
    <w:rsid w:val="00072103"/>
    <w:rsid w:val="0007219C"/>
    <w:rsid w:val="000721D0"/>
    <w:rsid w:val="0007228A"/>
    <w:rsid w:val="000722C4"/>
    <w:rsid w:val="00072376"/>
    <w:rsid w:val="00072515"/>
    <w:rsid w:val="00072542"/>
    <w:rsid w:val="00072602"/>
    <w:rsid w:val="000728E0"/>
    <w:rsid w:val="0007297D"/>
    <w:rsid w:val="000729F8"/>
    <w:rsid w:val="00072A56"/>
    <w:rsid w:val="00072C60"/>
    <w:rsid w:val="00072CCA"/>
    <w:rsid w:val="00072F6F"/>
    <w:rsid w:val="000733C7"/>
    <w:rsid w:val="000734DA"/>
    <w:rsid w:val="00073544"/>
    <w:rsid w:val="0007386F"/>
    <w:rsid w:val="000739CC"/>
    <w:rsid w:val="00073C0F"/>
    <w:rsid w:val="00073E62"/>
    <w:rsid w:val="00074476"/>
    <w:rsid w:val="00074657"/>
    <w:rsid w:val="00074BA6"/>
    <w:rsid w:val="00074CEA"/>
    <w:rsid w:val="00074DD9"/>
    <w:rsid w:val="000753B0"/>
    <w:rsid w:val="000753F1"/>
    <w:rsid w:val="00075417"/>
    <w:rsid w:val="0007548D"/>
    <w:rsid w:val="000755E7"/>
    <w:rsid w:val="00075884"/>
    <w:rsid w:val="0007588F"/>
    <w:rsid w:val="000759C3"/>
    <w:rsid w:val="00075B72"/>
    <w:rsid w:val="00075CA0"/>
    <w:rsid w:val="00075CEB"/>
    <w:rsid w:val="00075E94"/>
    <w:rsid w:val="00075FB5"/>
    <w:rsid w:val="00076038"/>
    <w:rsid w:val="000764C9"/>
    <w:rsid w:val="000767ED"/>
    <w:rsid w:val="000768E4"/>
    <w:rsid w:val="00076B06"/>
    <w:rsid w:val="00076DE9"/>
    <w:rsid w:val="00076EAC"/>
    <w:rsid w:val="0007713A"/>
    <w:rsid w:val="000771AD"/>
    <w:rsid w:val="00077225"/>
    <w:rsid w:val="000772BF"/>
    <w:rsid w:val="0007749E"/>
    <w:rsid w:val="00077519"/>
    <w:rsid w:val="00077698"/>
    <w:rsid w:val="00077E98"/>
    <w:rsid w:val="00077EAF"/>
    <w:rsid w:val="00077F91"/>
    <w:rsid w:val="00077FA7"/>
    <w:rsid w:val="00077FD9"/>
    <w:rsid w:val="00080063"/>
    <w:rsid w:val="00080307"/>
    <w:rsid w:val="000804DD"/>
    <w:rsid w:val="00080579"/>
    <w:rsid w:val="000806C4"/>
    <w:rsid w:val="00080850"/>
    <w:rsid w:val="000809DA"/>
    <w:rsid w:val="00080B83"/>
    <w:rsid w:val="00080EBF"/>
    <w:rsid w:val="00080F26"/>
    <w:rsid w:val="000812EB"/>
    <w:rsid w:val="00081311"/>
    <w:rsid w:val="000815B3"/>
    <w:rsid w:val="00081B28"/>
    <w:rsid w:val="00081FEE"/>
    <w:rsid w:val="00082329"/>
    <w:rsid w:val="00082453"/>
    <w:rsid w:val="00082589"/>
    <w:rsid w:val="00082756"/>
    <w:rsid w:val="000829E7"/>
    <w:rsid w:val="00082A77"/>
    <w:rsid w:val="00082B87"/>
    <w:rsid w:val="00082E14"/>
    <w:rsid w:val="00082E5A"/>
    <w:rsid w:val="00082E76"/>
    <w:rsid w:val="00082F1A"/>
    <w:rsid w:val="00082F51"/>
    <w:rsid w:val="000831D3"/>
    <w:rsid w:val="00083214"/>
    <w:rsid w:val="00083234"/>
    <w:rsid w:val="00083B7B"/>
    <w:rsid w:val="00083E44"/>
    <w:rsid w:val="00083E91"/>
    <w:rsid w:val="00083F66"/>
    <w:rsid w:val="000844BD"/>
    <w:rsid w:val="00084642"/>
    <w:rsid w:val="000846A3"/>
    <w:rsid w:val="00084771"/>
    <w:rsid w:val="0008482F"/>
    <w:rsid w:val="0008498A"/>
    <w:rsid w:val="00084ADB"/>
    <w:rsid w:val="00084D46"/>
    <w:rsid w:val="0008526E"/>
    <w:rsid w:val="000853D9"/>
    <w:rsid w:val="00085658"/>
    <w:rsid w:val="000857FC"/>
    <w:rsid w:val="000859A8"/>
    <w:rsid w:val="00085A99"/>
    <w:rsid w:val="00085B18"/>
    <w:rsid w:val="00085B99"/>
    <w:rsid w:val="00085F89"/>
    <w:rsid w:val="0008621D"/>
    <w:rsid w:val="00086384"/>
    <w:rsid w:val="000863CC"/>
    <w:rsid w:val="000863D3"/>
    <w:rsid w:val="00086498"/>
    <w:rsid w:val="000865D6"/>
    <w:rsid w:val="00086723"/>
    <w:rsid w:val="00086739"/>
    <w:rsid w:val="000868F5"/>
    <w:rsid w:val="000869EF"/>
    <w:rsid w:val="00086AA6"/>
    <w:rsid w:val="00086B57"/>
    <w:rsid w:val="00086DA5"/>
    <w:rsid w:val="00086E56"/>
    <w:rsid w:val="00087015"/>
    <w:rsid w:val="000873E7"/>
    <w:rsid w:val="000875CB"/>
    <w:rsid w:val="00087B79"/>
    <w:rsid w:val="00087E51"/>
    <w:rsid w:val="00087FB0"/>
    <w:rsid w:val="00090017"/>
    <w:rsid w:val="000901C5"/>
    <w:rsid w:val="0009048E"/>
    <w:rsid w:val="00090559"/>
    <w:rsid w:val="000906C2"/>
    <w:rsid w:val="000906EA"/>
    <w:rsid w:val="000908C9"/>
    <w:rsid w:val="00090D76"/>
    <w:rsid w:val="00090DC9"/>
    <w:rsid w:val="00090E42"/>
    <w:rsid w:val="000911C8"/>
    <w:rsid w:val="000911EE"/>
    <w:rsid w:val="000912B2"/>
    <w:rsid w:val="00091385"/>
    <w:rsid w:val="000914CC"/>
    <w:rsid w:val="000915AA"/>
    <w:rsid w:val="000916EC"/>
    <w:rsid w:val="00091742"/>
    <w:rsid w:val="000917C1"/>
    <w:rsid w:val="000919B7"/>
    <w:rsid w:val="00091A41"/>
    <w:rsid w:val="00091B44"/>
    <w:rsid w:val="00091CE3"/>
    <w:rsid w:val="00091D75"/>
    <w:rsid w:val="00091E02"/>
    <w:rsid w:val="00092058"/>
    <w:rsid w:val="000920B6"/>
    <w:rsid w:val="0009214D"/>
    <w:rsid w:val="000923A3"/>
    <w:rsid w:val="000923D9"/>
    <w:rsid w:val="000923EE"/>
    <w:rsid w:val="000926C4"/>
    <w:rsid w:val="00092799"/>
    <w:rsid w:val="00092C75"/>
    <w:rsid w:val="00092DEE"/>
    <w:rsid w:val="00092FCF"/>
    <w:rsid w:val="00093260"/>
    <w:rsid w:val="00093403"/>
    <w:rsid w:val="000936D7"/>
    <w:rsid w:val="00093B05"/>
    <w:rsid w:val="00093C49"/>
    <w:rsid w:val="00093D51"/>
    <w:rsid w:val="00093E2A"/>
    <w:rsid w:val="00093F32"/>
    <w:rsid w:val="000944F9"/>
    <w:rsid w:val="0009483A"/>
    <w:rsid w:val="0009497A"/>
    <w:rsid w:val="00094AAA"/>
    <w:rsid w:val="00094F6F"/>
    <w:rsid w:val="00094FE5"/>
    <w:rsid w:val="000952B4"/>
    <w:rsid w:val="000954D6"/>
    <w:rsid w:val="00095556"/>
    <w:rsid w:val="000957C7"/>
    <w:rsid w:val="00095836"/>
    <w:rsid w:val="0009585D"/>
    <w:rsid w:val="0009594F"/>
    <w:rsid w:val="00095B0A"/>
    <w:rsid w:val="0009644C"/>
    <w:rsid w:val="000965EF"/>
    <w:rsid w:val="00096951"/>
    <w:rsid w:val="00096E78"/>
    <w:rsid w:val="0009752D"/>
    <w:rsid w:val="00097639"/>
    <w:rsid w:val="00097806"/>
    <w:rsid w:val="00097874"/>
    <w:rsid w:val="00097B63"/>
    <w:rsid w:val="00097B77"/>
    <w:rsid w:val="00097D92"/>
    <w:rsid w:val="00097DB3"/>
    <w:rsid w:val="00097DCD"/>
    <w:rsid w:val="00097FF9"/>
    <w:rsid w:val="000A0138"/>
    <w:rsid w:val="000A050F"/>
    <w:rsid w:val="000A0752"/>
    <w:rsid w:val="000A08D5"/>
    <w:rsid w:val="000A13E3"/>
    <w:rsid w:val="000A14CE"/>
    <w:rsid w:val="000A1702"/>
    <w:rsid w:val="000A1710"/>
    <w:rsid w:val="000A17EA"/>
    <w:rsid w:val="000A1851"/>
    <w:rsid w:val="000A190B"/>
    <w:rsid w:val="000A1B67"/>
    <w:rsid w:val="000A1BC6"/>
    <w:rsid w:val="000A1D21"/>
    <w:rsid w:val="000A1D7B"/>
    <w:rsid w:val="000A1F0E"/>
    <w:rsid w:val="000A21BE"/>
    <w:rsid w:val="000A228E"/>
    <w:rsid w:val="000A234E"/>
    <w:rsid w:val="000A2490"/>
    <w:rsid w:val="000A24D6"/>
    <w:rsid w:val="000A2552"/>
    <w:rsid w:val="000A2778"/>
    <w:rsid w:val="000A27F4"/>
    <w:rsid w:val="000A289D"/>
    <w:rsid w:val="000A2AB8"/>
    <w:rsid w:val="000A2CD0"/>
    <w:rsid w:val="000A2DC0"/>
    <w:rsid w:val="000A2DDB"/>
    <w:rsid w:val="000A2EFF"/>
    <w:rsid w:val="000A3047"/>
    <w:rsid w:val="000A3050"/>
    <w:rsid w:val="000A311E"/>
    <w:rsid w:val="000A31C2"/>
    <w:rsid w:val="000A33C9"/>
    <w:rsid w:val="000A34FA"/>
    <w:rsid w:val="000A361B"/>
    <w:rsid w:val="000A394C"/>
    <w:rsid w:val="000A3A21"/>
    <w:rsid w:val="000A3B53"/>
    <w:rsid w:val="000A3B8E"/>
    <w:rsid w:val="000A3F8E"/>
    <w:rsid w:val="000A41D2"/>
    <w:rsid w:val="000A426C"/>
    <w:rsid w:val="000A42E5"/>
    <w:rsid w:val="000A46E2"/>
    <w:rsid w:val="000A46EE"/>
    <w:rsid w:val="000A4798"/>
    <w:rsid w:val="000A498E"/>
    <w:rsid w:val="000A4A2F"/>
    <w:rsid w:val="000A4C56"/>
    <w:rsid w:val="000A4CB6"/>
    <w:rsid w:val="000A4D9A"/>
    <w:rsid w:val="000A4E9B"/>
    <w:rsid w:val="000A4ECC"/>
    <w:rsid w:val="000A4EF2"/>
    <w:rsid w:val="000A4F2E"/>
    <w:rsid w:val="000A501E"/>
    <w:rsid w:val="000A5314"/>
    <w:rsid w:val="000A54CF"/>
    <w:rsid w:val="000A564B"/>
    <w:rsid w:val="000A58B2"/>
    <w:rsid w:val="000A59BD"/>
    <w:rsid w:val="000A59DF"/>
    <w:rsid w:val="000A5C73"/>
    <w:rsid w:val="000A5C8A"/>
    <w:rsid w:val="000A5EBF"/>
    <w:rsid w:val="000A5FE1"/>
    <w:rsid w:val="000A60E8"/>
    <w:rsid w:val="000A6513"/>
    <w:rsid w:val="000A6591"/>
    <w:rsid w:val="000A6B38"/>
    <w:rsid w:val="000A6B7E"/>
    <w:rsid w:val="000A71B3"/>
    <w:rsid w:val="000A72D1"/>
    <w:rsid w:val="000A75E1"/>
    <w:rsid w:val="000A7604"/>
    <w:rsid w:val="000A7A7F"/>
    <w:rsid w:val="000A7CAA"/>
    <w:rsid w:val="000A7E11"/>
    <w:rsid w:val="000B0031"/>
    <w:rsid w:val="000B01D4"/>
    <w:rsid w:val="000B02A4"/>
    <w:rsid w:val="000B0311"/>
    <w:rsid w:val="000B06C4"/>
    <w:rsid w:val="000B0884"/>
    <w:rsid w:val="000B0A3A"/>
    <w:rsid w:val="000B0B73"/>
    <w:rsid w:val="000B0B7D"/>
    <w:rsid w:val="000B0C83"/>
    <w:rsid w:val="000B0C88"/>
    <w:rsid w:val="000B0C8A"/>
    <w:rsid w:val="000B0CBD"/>
    <w:rsid w:val="000B0D00"/>
    <w:rsid w:val="000B0E33"/>
    <w:rsid w:val="000B0E92"/>
    <w:rsid w:val="000B1035"/>
    <w:rsid w:val="000B10C1"/>
    <w:rsid w:val="000B125D"/>
    <w:rsid w:val="000B1321"/>
    <w:rsid w:val="000B164B"/>
    <w:rsid w:val="000B1B31"/>
    <w:rsid w:val="000B1C41"/>
    <w:rsid w:val="000B1DD3"/>
    <w:rsid w:val="000B202E"/>
    <w:rsid w:val="000B2127"/>
    <w:rsid w:val="000B2148"/>
    <w:rsid w:val="000B231D"/>
    <w:rsid w:val="000B2333"/>
    <w:rsid w:val="000B2686"/>
    <w:rsid w:val="000B26B9"/>
    <w:rsid w:val="000B26EA"/>
    <w:rsid w:val="000B28F5"/>
    <w:rsid w:val="000B2AF4"/>
    <w:rsid w:val="000B2B81"/>
    <w:rsid w:val="000B2D4A"/>
    <w:rsid w:val="000B303B"/>
    <w:rsid w:val="000B31BA"/>
    <w:rsid w:val="000B338E"/>
    <w:rsid w:val="000B33D0"/>
    <w:rsid w:val="000B3455"/>
    <w:rsid w:val="000B35EB"/>
    <w:rsid w:val="000B3729"/>
    <w:rsid w:val="000B3747"/>
    <w:rsid w:val="000B39D9"/>
    <w:rsid w:val="000B3A06"/>
    <w:rsid w:val="000B3A65"/>
    <w:rsid w:val="000B3B33"/>
    <w:rsid w:val="000B3BA8"/>
    <w:rsid w:val="000B3D9E"/>
    <w:rsid w:val="000B40BF"/>
    <w:rsid w:val="000B421D"/>
    <w:rsid w:val="000B46D9"/>
    <w:rsid w:val="000B46E1"/>
    <w:rsid w:val="000B47F7"/>
    <w:rsid w:val="000B484B"/>
    <w:rsid w:val="000B49C0"/>
    <w:rsid w:val="000B4B39"/>
    <w:rsid w:val="000B4CD2"/>
    <w:rsid w:val="000B4D7E"/>
    <w:rsid w:val="000B4F8C"/>
    <w:rsid w:val="000B4FE4"/>
    <w:rsid w:val="000B5092"/>
    <w:rsid w:val="000B51F3"/>
    <w:rsid w:val="000B52D6"/>
    <w:rsid w:val="000B5394"/>
    <w:rsid w:val="000B53B0"/>
    <w:rsid w:val="000B57E9"/>
    <w:rsid w:val="000B5B49"/>
    <w:rsid w:val="000B5B4B"/>
    <w:rsid w:val="000B5BC4"/>
    <w:rsid w:val="000B5D9C"/>
    <w:rsid w:val="000B5DF6"/>
    <w:rsid w:val="000B6024"/>
    <w:rsid w:val="000B641A"/>
    <w:rsid w:val="000B6741"/>
    <w:rsid w:val="000B6A23"/>
    <w:rsid w:val="000B6C36"/>
    <w:rsid w:val="000B709E"/>
    <w:rsid w:val="000B70C9"/>
    <w:rsid w:val="000B7238"/>
    <w:rsid w:val="000B753F"/>
    <w:rsid w:val="000B777B"/>
    <w:rsid w:val="000B7836"/>
    <w:rsid w:val="000B78CD"/>
    <w:rsid w:val="000B792E"/>
    <w:rsid w:val="000B79B1"/>
    <w:rsid w:val="000B7A48"/>
    <w:rsid w:val="000B7A6C"/>
    <w:rsid w:val="000B7C3B"/>
    <w:rsid w:val="000C0278"/>
    <w:rsid w:val="000C04A7"/>
    <w:rsid w:val="000C0A08"/>
    <w:rsid w:val="000C0BC9"/>
    <w:rsid w:val="000C0F7E"/>
    <w:rsid w:val="000C11FD"/>
    <w:rsid w:val="000C15A8"/>
    <w:rsid w:val="000C16DD"/>
    <w:rsid w:val="000C181C"/>
    <w:rsid w:val="000C1C23"/>
    <w:rsid w:val="000C1C49"/>
    <w:rsid w:val="000C1DC8"/>
    <w:rsid w:val="000C1EAF"/>
    <w:rsid w:val="000C2132"/>
    <w:rsid w:val="000C21B5"/>
    <w:rsid w:val="000C2607"/>
    <w:rsid w:val="000C2894"/>
    <w:rsid w:val="000C2CC0"/>
    <w:rsid w:val="000C2D08"/>
    <w:rsid w:val="000C2D53"/>
    <w:rsid w:val="000C2E66"/>
    <w:rsid w:val="000C2F3C"/>
    <w:rsid w:val="000C3000"/>
    <w:rsid w:val="000C343D"/>
    <w:rsid w:val="000C3465"/>
    <w:rsid w:val="000C3747"/>
    <w:rsid w:val="000C389E"/>
    <w:rsid w:val="000C3A12"/>
    <w:rsid w:val="000C3A53"/>
    <w:rsid w:val="000C3BCE"/>
    <w:rsid w:val="000C3BE2"/>
    <w:rsid w:val="000C3F53"/>
    <w:rsid w:val="000C441F"/>
    <w:rsid w:val="000C47D1"/>
    <w:rsid w:val="000C47DF"/>
    <w:rsid w:val="000C48BE"/>
    <w:rsid w:val="000C48CF"/>
    <w:rsid w:val="000C4AFA"/>
    <w:rsid w:val="000C4B45"/>
    <w:rsid w:val="000C4C03"/>
    <w:rsid w:val="000C4C5E"/>
    <w:rsid w:val="000C4D71"/>
    <w:rsid w:val="000C4DA8"/>
    <w:rsid w:val="000C4ED3"/>
    <w:rsid w:val="000C533A"/>
    <w:rsid w:val="000C5349"/>
    <w:rsid w:val="000C53DB"/>
    <w:rsid w:val="000C556C"/>
    <w:rsid w:val="000C59F5"/>
    <w:rsid w:val="000C5A33"/>
    <w:rsid w:val="000C5A4C"/>
    <w:rsid w:val="000C5ABA"/>
    <w:rsid w:val="000C5B63"/>
    <w:rsid w:val="000C5D1C"/>
    <w:rsid w:val="000C5DB9"/>
    <w:rsid w:val="000C5ECF"/>
    <w:rsid w:val="000C5FB9"/>
    <w:rsid w:val="000C6024"/>
    <w:rsid w:val="000C61B8"/>
    <w:rsid w:val="000C6304"/>
    <w:rsid w:val="000C63CC"/>
    <w:rsid w:val="000C644F"/>
    <w:rsid w:val="000C6462"/>
    <w:rsid w:val="000C6513"/>
    <w:rsid w:val="000C6A98"/>
    <w:rsid w:val="000C6AF8"/>
    <w:rsid w:val="000C6E14"/>
    <w:rsid w:val="000C7098"/>
    <w:rsid w:val="000C7116"/>
    <w:rsid w:val="000C74A7"/>
    <w:rsid w:val="000C75A1"/>
    <w:rsid w:val="000C76C3"/>
    <w:rsid w:val="000C77A2"/>
    <w:rsid w:val="000C77B5"/>
    <w:rsid w:val="000C77F8"/>
    <w:rsid w:val="000C78A3"/>
    <w:rsid w:val="000C79BD"/>
    <w:rsid w:val="000C79F7"/>
    <w:rsid w:val="000C7A6D"/>
    <w:rsid w:val="000C7A95"/>
    <w:rsid w:val="000C7A9A"/>
    <w:rsid w:val="000C7EBB"/>
    <w:rsid w:val="000C7EF7"/>
    <w:rsid w:val="000D01D3"/>
    <w:rsid w:val="000D0556"/>
    <w:rsid w:val="000D0666"/>
    <w:rsid w:val="000D0718"/>
    <w:rsid w:val="000D0AEF"/>
    <w:rsid w:val="000D0C17"/>
    <w:rsid w:val="000D0C44"/>
    <w:rsid w:val="000D0DB8"/>
    <w:rsid w:val="000D0E4C"/>
    <w:rsid w:val="000D1290"/>
    <w:rsid w:val="000D139D"/>
    <w:rsid w:val="000D16B2"/>
    <w:rsid w:val="000D1AB8"/>
    <w:rsid w:val="000D1CDD"/>
    <w:rsid w:val="000D1CF8"/>
    <w:rsid w:val="000D1D70"/>
    <w:rsid w:val="000D1EB3"/>
    <w:rsid w:val="000D1F75"/>
    <w:rsid w:val="000D20FF"/>
    <w:rsid w:val="000D2163"/>
    <w:rsid w:val="000D21F6"/>
    <w:rsid w:val="000D22C4"/>
    <w:rsid w:val="000D248E"/>
    <w:rsid w:val="000D2534"/>
    <w:rsid w:val="000D276C"/>
    <w:rsid w:val="000D285B"/>
    <w:rsid w:val="000D287F"/>
    <w:rsid w:val="000D2907"/>
    <w:rsid w:val="000D2B4E"/>
    <w:rsid w:val="000D2DFF"/>
    <w:rsid w:val="000D3040"/>
    <w:rsid w:val="000D3129"/>
    <w:rsid w:val="000D345D"/>
    <w:rsid w:val="000D3641"/>
    <w:rsid w:val="000D365B"/>
    <w:rsid w:val="000D37FA"/>
    <w:rsid w:val="000D3819"/>
    <w:rsid w:val="000D381D"/>
    <w:rsid w:val="000D3BDC"/>
    <w:rsid w:val="000D3DB2"/>
    <w:rsid w:val="000D3F2D"/>
    <w:rsid w:val="000D4204"/>
    <w:rsid w:val="000D4241"/>
    <w:rsid w:val="000D4263"/>
    <w:rsid w:val="000D46C6"/>
    <w:rsid w:val="000D474D"/>
    <w:rsid w:val="000D4B2F"/>
    <w:rsid w:val="000D4D87"/>
    <w:rsid w:val="000D514A"/>
    <w:rsid w:val="000D5605"/>
    <w:rsid w:val="000D58FB"/>
    <w:rsid w:val="000D5A34"/>
    <w:rsid w:val="000D5A8A"/>
    <w:rsid w:val="000D5AFF"/>
    <w:rsid w:val="000D5EA3"/>
    <w:rsid w:val="000D5ECE"/>
    <w:rsid w:val="000D5EEB"/>
    <w:rsid w:val="000D5FF6"/>
    <w:rsid w:val="000D608F"/>
    <w:rsid w:val="000D6522"/>
    <w:rsid w:val="000D6530"/>
    <w:rsid w:val="000D6537"/>
    <w:rsid w:val="000D67DD"/>
    <w:rsid w:val="000D68F2"/>
    <w:rsid w:val="000D6999"/>
    <w:rsid w:val="000D6A93"/>
    <w:rsid w:val="000D6CA9"/>
    <w:rsid w:val="000D6ECD"/>
    <w:rsid w:val="000D6F62"/>
    <w:rsid w:val="000D6F68"/>
    <w:rsid w:val="000D6FD8"/>
    <w:rsid w:val="000D70AF"/>
    <w:rsid w:val="000D70C1"/>
    <w:rsid w:val="000D72DC"/>
    <w:rsid w:val="000D72F0"/>
    <w:rsid w:val="000D738B"/>
    <w:rsid w:val="000D740F"/>
    <w:rsid w:val="000D74B9"/>
    <w:rsid w:val="000D751E"/>
    <w:rsid w:val="000D75BA"/>
    <w:rsid w:val="000D76A7"/>
    <w:rsid w:val="000D77BA"/>
    <w:rsid w:val="000D77C5"/>
    <w:rsid w:val="000D78E7"/>
    <w:rsid w:val="000D7C13"/>
    <w:rsid w:val="000D7C90"/>
    <w:rsid w:val="000D7CAD"/>
    <w:rsid w:val="000D7D43"/>
    <w:rsid w:val="000D7D4A"/>
    <w:rsid w:val="000D7DC6"/>
    <w:rsid w:val="000E0230"/>
    <w:rsid w:val="000E06DF"/>
    <w:rsid w:val="000E07F6"/>
    <w:rsid w:val="000E0879"/>
    <w:rsid w:val="000E0897"/>
    <w:rsid w:val="000E09A2"/>
    <w:rsid w:val="000E0A6F"/>
    <w:rsid w:val="000E0EA2"/>
    <w:rsid w:val="000E1010"/>
    <w:rsid w:val="000E1552"/>
    <w:rsid w:val="000E161E"/>
    <w:rsid w:val="000E1744"/>
    <w:rsid w:val="000E1C60"/>
    <w:rsid w:val="000E1D3B"/>
    <w:rsid w:val="000E215D"/>
    <w:rsid w:val="000E2267"/>
    <w:rsid w:val="000E2519"/>
    <w:rsid w:val="000E2AE8"/>
    <w:rsid w:val="000E2B58"/>
    <w:rsid w:val="000E2CC7"/>
    <w:rsid w:val="000E2E7A"/>
    <w:rsid w:val="000E3396"/>
    <w:rsid w:val="000E33C2"/>
    <w:rsid w:val="000E35EC"/>
    <w:rsid w:val="000E3715"/>
    <w:rsid w:val="000E39C0"/>
    <w:rsid w:val="000E3AB8"/>
    <w:rsid w:val="000E3E1E"/>
    <w:rsid w:val="000E3EA7"/>
    <w:rsid w:val="000E41AC"/>
    <w:rsid w:val="000E448E"/>
    <w:rsid w:val="000E46E6"/>
    <w:rsid w:val="000E4882"/>
    <w:rsid w:val="000E4A17"/>
    <w:rsid w:val="000E4B0D"/>
    <w:rsid w:val="000E4E5B"/>
    <w:rsid w:val="000E4EBC"/>
    <w:rsid w:val="000E4EBD"/>
    <w:rsid w:val="000E4EC6"/>
    <w:rsid w:val="000E5010"/>
    <w:rsid w:val="000E5035"/>
    <w:rsid w:val="000E593C"/>
    <w:rsid w:val="000E5B3F"/>
    <w:rsid w:val="000E5CFA"/>
    <w:rsid w:val="000E5F5E"/>
    <w:rsid w:val="000E607C"/>
    <w:rsid w:val="000E60A8"/>
    <w:rsid w:val="000E6497"/>
    <w:rsid w:val="000E681E"/>
    <w:rsid w:val="000E6E2A"/>
    <w:rsid w:val="000E6F60"/>
    <w:rsid w:val="000E7316"/>
    <w:rsid w:val="000E7317"/>
    <w:rsid w:val="000E7414"/>
    <w:rsid w:val="000E7769"/>
    <w:rsid w:val="000E77F8"/>
    <w:rsid w:val="000E7D83"/>
    <w:rsid w:val="000E7E55"/>
    <w:rsid w:val="000E7F7C"/>
    <w:rsid w:val="000E7F95"/>
    <w:rsid w:val="000E7FFC"/>
    <w:rsid w:val="000F00FC"/>
    <w:rsid w:val="000F0748"/>
    <w:rsid w:val="000F077B"/>
    <w:rsid w:val="000F07BA"/>
    <w:rsid w:val="000F0A32"/>
    <w:rsid w:val="000F0CA3"/>
    <w:rsid w:val="000F0D0D"/>
    <w:rsid w:val="000F0E55"/>
    <w:rsid w:val="000F0F2B"/>
    <w:rsid w:val="000F13EC"/>
    <w:rsid w:val="000F1432"/>
    <w:rsid w:val="000F15A8"/>
    <w:rsid w:val="000F192C"/>
    <w:rsid w:val="000F1A3D"/>
    <w:rsid w:val="000F1BD7"/>
    <w:rsid w:val="000F1C3B"/>
    <w:rsid w:val="000F1D7C"/>
    <w:rsid w:val="000F212B"/>
    <w:rsid w:val="000F2234"/>
    <w:rsid w:val="000F2248"/>
    <w:rsid w:val="000F2278"/>
    <w:rsid w:val="000F255E"/>
    <w:rsid w:val="000F2A3C"/>
    <w:rsid w:val="000F2B24"/>
    <w:rsid w:val="000F2C46"/>
    <w:rsid w:val="000F2F10"/>
    <w:rsid w:val="000F3080"/>
    <w:rsid w:val="000F3192"/>
    <w:rsid w:val="000F31F5"/>
    <w:rsid w:val="000F32AA"/>
    <w:rsid w:val="000F373D"/>
    <w:rsid w:val="000F38DA"/>
    <w:rsid w:val="000F3A72"/>
    <w:rsid w:val="000F3D68"/>
    <w:rsid w:val="000F3EA5"/>
    <w:rsid w:val="000F3ED0"/>
    <w:rsid w:val="000F3F94"/>
    <w:rsid w:val="000F40F9"/>
    <w:rsid w:val="000F4495"/>
    <w:rsid w:val="000F45CB"/>
    <w:rsid w:val="000F45E3"/>
    <w:rsid w:val="000F4603"/>
    <w:rsid w:val="000F48AE"/>
    <w:rsid w:val="000F49F8"/>
    <w:rsid w:val="000F4A87"/>
    <w:rsid w:val="000F4C00"/>
    <w:rsid w:val="000F4DA2"/>
    <w:rsid w:val="000F4ECD"/>
    <w:rsid w:val="000F554F"/>
    <w:rsid w:val="000F561C"/>
    <w:rsid w:val="000F56B4"/>
    <w:rsid w:val="000F5985"/>
    <w:rsid w:val="000F5995"/>
    <w:rsid w:val="000F5AC2"/>
    <w:rsid w:val="000F5B82"/>
    <w:rsid w:val="000F5CD3"/>
    <w:rsid w:val="000F5E33"/>
    <w:rsid w:val="000F5F83"/>
    <w:rsid w:val="000F602B"/>
    <w:rsid w:val="000F608C"/>
    <w:rsid w:val="000F6099"/>
    <w:rsid w:val="000F61E0"/>
    <w:rsid w:val="000F6278"/>
    <w:rsid w:val="000F62A9"/>
    <w:rsid w:val="000F6388"/>
    <w:rsid w:val="000F63B6"/>
    <w:rsid w:val="000F6448"/>
    <w:rsid w:val="000F6484"/>
    <w:rsid w:val="000F6592"/>
    <w:rsid w:val="000F663B"/>
    <w:rsid w:val="000F67F2"/>
    <w:rsid w:val="000F685E"/>
    <w:rsid w:val="000F68A4"/>
    <w:rsid w:val="000F6940"/>
    <w:rsid w:val="000F6956"/>
    <w:rsid w:val="000F6ABE"/>
    <w:rsid w:val="000F6BA7"/>
    <w:rsid w:val="000F6C01"/>
    <w:rsid w:val="000F6C51"/>
    <w:rsid w:val="000F6D68"/>
    <w:rsid w:val="000F6E1B"/>
    <w:rsid w:val="000F708D"/>
    <w:rsid w:val="000F75A8"/>
    <w:rsid w:val="000F7DF1"/>
    <w:rsid w:val="000F7F43"/>
    <w:rsid w:val="00100225"/>
    <w:rsid w:val="001003F1"/>
    <w:rsid w:val="001004A7"/>
    <w:rsid w:val="00100563"/>
    <w:rsid w:val="0010063E"/>
    <w:rsid w:val="00100917"/>
    <w:rsid w:val="00100C76"/>
    <w:rsid w:val="001010F9"/>
    <w:rsid w:val="00101565"/>
    <w:rsid w:val="001017E2"/>
    <w:rsid w:val="0010184D"/>
    <w:rsid w:val="00101D12"/>
    <w:rsid w:val="001020DE"/>
    <w:rsid w:val="00102573"/>
    <w:rsid w:val="001025E1"/>
    <w:rsid w:val="00102608"/>
    <w:rsid w:val="001026F7"/>
    <w:rsid w:val="00102889"/>
    <w:rsid w:val="00102941"/>
    <w:rsid w:val="00102A24"/>
    <w:rsid w:val="00102CD1"/>
    <w:rsid w:val="00102D44"/>
    <w:rsid w:val="00102EFA"/>
    <w:rsid w:val="00102FB0"/>
    <w:rsid w:val="001030D1"/>
    <w:rsid w:val="00103209"/>
    <w:rsid w:val="0010323E"/>
    <w:rsid w:val="00103327"/>
    <w:rsid w:val="001033A4"/>
    <w:rsid w:val="001034F6"/>
    <w:rsid w:val="00103518"/>
    <w:rsid w:val="00103634"/>
    <w:rsid w:val="0010368E"/>
    <w:rsid w:val="00103903"/>
    <w:rsid w:val="00103AA3"/>
    <w:rsid w:val="00103AE3"/>
    <w:rsid w:val="00103C9C"/>
    <w:rsid w:val="00103E4A"/>
    <w:rsid w:val="00103E81"/>
    <w:rsid w:val="001040AB"/>
    <w:rsid w:val="001041CB"/>
    <w:rsid w:val="0010423C"/>
    <w:rsid w:val="00104563"/>
    <w:rsid w:val="001045C2"/>
    <w:rsid w:val="00104736"/>
    <w:rsid w:val="00104896"/>
    <w:rsid w:val="00104A8B"/>
    <w:rsid w:val="00104E7A"/>
    <w:rsid w:val="00104F7F"/>
    <w:rsid w:val="00105015"/>
    <w:rsid w:val="001050EA"/>
    <w:rsid w:val="00105240"/>
    <w:rsid w:val="001052F1"/>
    <w:rsid w:val="00105539"/>
    <w:rsid w:val="001058D9"/>
    <w:rsid w:val="00105902"/>
    <w:rsid w:val="00105964"/>
    <w:rsid w:val="00105974"/>
    <w:rsid w:val="001059B2"/>
    <w:rsid w:val="00105B4F"/>
    <w:rsid w:val="00105F23"/>
    <w:rsid w:val="00106021"/>
    <w:rsid w:val="00106270"/>
    <w:rsid w:val="0010632C"/>
    <w:rsid w:val="00106344"/>
    <w:rsid w:val="00106767"/>
    <w:rsid w:val="0010690B"/>
    <w:rsid w:val="0010697D"/>
    <w:rsid w:val="00107177"/>
    <w:rsid w:val="001071CE"/>
    <w:rsid w:val="001072C7"/>
    <w:rsid w:val="001073CD"/>
    <w:rsid w:val="00107566"/>
    <w:rsid w:val="0010774C"/>
    <w:rsid w:val="00107852"/>
    <w:rsid w:val="001079EA"/>
    <w:rsid w:val="00107A30"/>
    <w:rsid w:val="00107BB5"/>
    <w:rsid w:val="00110031"/>
    <w:rsid w:val="0011018A"/>
    <w:rsid w:val="0011024F"/>
    <w:rsid w:val="00110669"/>
    <w:rsid w:val="00110C2D"/>
    <w:rsid w:val="00110FA3"/>
    <w:rsid w:val="001114AF"/>
    <w:rsid w:val="00111637"/>
    <w:rsid w:val="00111AB1"/>
    <w:rsid w:val="00111B26"/>
    <w:rsid w:val="00111C7D"/>
    <w:rsid w:val="00111D1A"/>
    <w:rsid w:val="00111E15"/>
    <w:rsid w:val="00111F2C"/>
    <w:rsid w:val="0011233F"/>
    <w:rsid w:val="00112496"/>
    <w:rsid w:val="00112606"/>
    <w:rsid w:val="001126CA"/>
    <w:rsid w:val="001126FF"/>
    <w:rsid w:val="001128E3"/>
    <w:rsid w:val="00112972"/>
    <w:rsid w:val="00112A2C"/>
    <w:rsid w:val="00112AA6"/>
    <w:rsid w:val="00112D1E"/>
    <w:rsid w:val="001130A6"/>
    <w:rsid w:val="001130C9"/>
    <w:rsid w:val="00113251"/>
    <w:rsid w:val="001132F3"/>
    <w:rsid w:val="00113552"/>
    <w:rsid w:val="001137C5"/>
    <w:rsid w:val="00113A13"/>
    <w:rsid w:val="00113D50"/>
    <w:rsid w:val="00113D51"/>
    <w:rsid w:val="00113DB4"/>
    <w:rsid w:val="00113E04"/>
    <w:rsid w:val="00113F84"/>
    <w:rsid w:val="00114122"/>
    <w:rsid w:val="00114AC9"/>
    <w:rsid w:val="00114B21"/>
    <w:rsid w:val="00114B54"/>
    <w:rsid w:val="00114C2A"/>
    <w:rsid w:val="00114C43"/>
    <w:rsid w:val="00114FA4"/>
    <w:rsid w:val="00115077"/>
    <w:rsid w:val="00115115"/>
    <w:rsid w:val="001153A4"/>
    <w:rsid w:val="001154B6"/>
    <w:rsid w:val="001155B2"/>
    <w:rsid w:val="001157B3"/>
    <w:rsid w:val="00115923"/>
    <w:rsid w:val="00115A94"/>
    <w:rsid w:val="00115B61"/>
    <w:rsid w:val="00115BFE"/>
    <w:rsid w:val="00115E40"/>
    <w:rsid w:val="00115E5A"/>
    <w:rsid w:val="00115F61"/>
    <w:rsid w:val="0011622F"/>
    <w:rsid w:val="001164E8"/>
    <w:rsid w:val="00116775"/>
    <w:rsid w:val="0011677E"/>
    <w:rsid w:val="00116864"/>
    <w:rsid w:val="00116CE7"/>
    <w:rsid w:val="00117179"/>
    <w:rsid w:val="001172BE"/>
    <w:rsid w:val="0011738E"/>
    <w:rsid w:val="0011788E"/>
    <w:rsid w:val="001178FE"/>
    <w:rsid w:val="00117C8A"/>
    <w:rsid w:val="00117EAF"/>
    <w:rsid w:val="00117F9E"/>
    <w:rsid w:val="001201F7"/>
    <w:rsid w:val="001202B6"/>
    <w:rsid w:val="001204B4"/>
    <w:rsid w:val="00120C69"/>
    <w:rsid w:val="00120F47"/>
    <w:rsid w:val="00120FCD"/>
    <w:rsid w:val="00121002"/>
    <w:rsid w:val="00121198"/>
    <w:rsid w:val="00121630"/>
    <w:rsid w:val="00121967"/>
    <w:rsid w:val="00121C19"/>
    <w:rsid w:val="00121C47"/>
    <w:rsid w:val="00121C48"/>
    <w:rsid w:val="00121EAF"/>
    <w:rsid w:val="00121EB2"/>
    <w:rsid w:val="001225D4"/>
    <w:rsid w:val="0012269A"/>
    <w:rsid w:val="001226CD"/>
    <w:rsid w:val="0012281A"/>
    <w:rsid w:val="00122920"/>
    <w:rsid w:val="00122AF6"/>
    <w:rsid w:val="00122DA6"/>
    <w:rsid w:val="00122E30"/>
    <w:rsid w:val="0012331D"/>
    <w:rsid w:val="0012345B"/>
    <w:rsid w:val="001235C2"/>
    <w:rsid w:val="00123881"/>
    <w:rsid w:val="00123C96"/>
    <w:rsid w:val="00123E9C"/>
    <w:rsid w:val="001240DE"/>
    <w:rsid w:val="00124152"/>
    <w:rsid w:val="001244A1"/>
    <w:rsid w:val="00124649"/>
    <w:rsid w:val="00124776"/>
    <w:rsid w:val="00124E00"/>
    <w:rsid w:val="00124E01"/>
    <w:rsid w:val="00124F23"/>
    <w:rsid w:val="001251B9"/>
    <w:rsid w:val="00125348"/>
    <w:rsid w:val="00125412"/>
    <w:rsid w:val="00125788"/>
    <w:rsid w:val="001259C3"/>
    <w:rsid w:val="00125A92"/>
    <w:rsid w:val="00125B3E"/>
    <w:rsid w:val="00125BB6"/>
    <w:rsid w:val="00125D73"/>
    <w:rsid w:val="00125DFD"/>
    <w:rsid w:val="00125EB2"/>
    <w:rsid w:val="00126026"/>
    <w:rsid w:val="00126264"/>
    <w:rsid w:val="001263EF"/>
    <w:rsid w:val="00126459"/>
    <w:rsid w:val="00126548"/>
    <w:rsid w:val="00126566"/>
    <w:rsid w:val="001265AC"/>
    <w:rsid w:val="001265AD"/>
    <w:rsid w:val="001265DC"/>
    <w:rsid w:val="00126705"/>
    <w:rsid w:val="00126989"/>
    <w:rsid w:val="00126A62"/>
    <w:rsid w:val="00126D66"/>
    <w:rsid w:val="00126D83"/>
    <w:rsid w:val="00126DF1"/>
    <w:rsid w:val="001270CB"/>
    <w:rsid w:val="001271A4"/>
    <w:rsid w:val="001274DF"/>
    <w:rsid w:val="00127967"/>
    <w:rsid w:val="00127B78"/>
    <w:rsid w:val="00127C10"/>
    <w:rsid w:val="00127E6B"/>
    <w:rsid w:val="00130058"/>
    <w:rsid w:val="001300DC"/>
    <w:rsid w:val="001301A3"/>
    <w:rsid w:val="00130393"/>
    <w:rsid w:val="001306CE"/>
    <w:rsid w:val="001307A7"/>
    <w:rsid w:val="001309AB"/>
    <w:rsid w:val="001309D8"/>
    <w:rsid w:val="00130CCA"/>
    <w:rsid w:val="00130E24"/>
    <w:rsid w:val="00131160"/>
    <w:rsid w:val="001314B3"/>
    <w:rsid w:val="0013161D"/>
    <w:rsid w:val="001318E8"/>
    <w:rsid w:val="00131A45"/>
    <w:rsid w:val="00131A8D"/>
    <w:rsid w:val="00131B0D"/>
    <w:rsid w:val="00131B49"/>
    <w:rsid w:val="00131BEF"/>
    <w:rsid w:val="00131BFD"/>
    <w:rsid w:val="00131F1D"/>
    <w:rsid w:val="00131FEC"/>
    <w:rsid w:val="001320F3"/>
    <w:rsid w:val="00132456"/>
    <w:rsid w:val="0013257B"/>
    <w:rsid w:val="001325A5"/>
    <w:rsid w:val="001328A3"/>
    <w:rsid w:val="00132AC3"/>
    <w:rsid w:val="0013326E"/>
    <w:rsid w:val="00133340"/>
    <w:rsid w:val="00133389"/>
    <w:rsid w:val="00133616"/>
    <w:rsid w:val="00133BAC"/>
    <w:rsid w:val="00133C69"/>
    <w:rsid w:val="00133C76"/>
    <w:rsid w:val="00133CC5"/>
    <w:rsid w:val="00133CC7"/>
    <w:rsid w:val="00133D95"/>
    <w:rsid w:val="00134013"/>
    <w:rsid w:val="00134294"/>
    <w:rsid w:val="001342ED"/>
    <w:rsid w:val="001347E9"/>
    <w:rsid w:val="00134A2A"/>
    <w:rsid w:val="00134D56"/>
    <w:rsid w:val="00135005"/>
    <w:rsid w:val="001350BF"/>
    <w:rsid w:val="0013514F"/>
    <w:rsid w:val="00135380"/>
    <w:rsid w:val="0013538E"/>
    <w:rsid w:val="00135463"/>
    <w:rsid w:val="00135521"/>
    <w:rsid w:val="001355A0"/>
    <w:rsid w:val="001355D5"/>
    <w:rsid w:val="001355FA"/>
    <w:rsid w:val="00135961"/>
    <w:rsid w:val="00135E97"/>
    <w:rsid w:val="00136073"/>
    <w:rsid w:val="0013614F"/>
    <w:rsid w:val="00136794"/>
    <w:rsid w:val="00136809"/>
    <w:rsid w:val="00136824"/>
    <w:rsid w:val="00136ACD"/>
    <w:rsid w:val="00136B39"/>
    <w:rsid w:val="00136B3A"/>
    <w:rsid w:val="00136B7D"/>
    <w:rsid w:val="00136C64"/>
    <w:rsid w:val="00136F46"/>
    <w:rsid w:val="00136F95"/>
    <w:rsid w:val="00136FCA"/>
    <w:rsid w:val="00137178"/>
    <w:rsid w:val="00137205"/>
    <w:rsid w:val="0013724D"/>
    <w:rsid w:val="0013741D"/>
    <w:rsid w:val="00137561"/>
    <w:rsid w:val="00137578"/>
    <w:rsid w:val="0013775B"/>
    <w:rsid w:val="001377DF"/>
    <w:rsid w:val="001378AF"/>
    <w:rsid w:val="00137947"/>
    <w:rsid w:val="00137A46"/>
    <w:rsid w:val="00137BE2"/>
    <w:rsid w:val="00137C7E"/>
    <w:rsid w:val="00137D53"/>
    <w:rsid w:val="00140821"/>
    <w:rsid w:val="00140C6C"/>
    <w:rsid w:val="00140F08"/>
    <w:rsid w:val="00141015"/>
    <w:rsid w:val="0014102F"/>
    <w:rsid w:val="001410D7"/>
    <w:rsid w:val="00141F3B"/>
    <w:rsid w:val="00141FFC"/>
    <w:rsid w:val="00142037"/>
    <w:rsid w:val="00142209"/>
    <w:rsid w:val="0014247A"/>
    <w:rsid w:val="00142682"/>
    <w:rsid w:val="00142877"/>
    <w:rsid w:val="001429A1"/>
    <w:rsid w:val="00142A0F"/>
    <w:rsid w:val="00142E40"/>
    <w:rsid w:val="00142F4D"/>
    <w:rsid w:val="0014338B"/>
    <w:rsid w:val="00143719"/>
    <w:rsid w:val="00143793"/>
    <w:rsid w:val="00143840"/>
    <w:rsid w:val="00143A0D"/>
    <w:rsid w:val="00143C09"/>
    <w:rsid w:val="00143DAE"/>
    <w:rsid w:val="00143E88"/>
    <w:rsid w:val="00143F7B"/>
    <w:rsid w:val="00144043"/>
    <w:rsid w:val="001441ED"/>
    <w:rsid w:val="00144441"/>
    <w:rsid w:val="0014447D"/>
    <w:rsid w:val="00144511"/>
    <w:rsid w:val="0014451A"/>
    <w:rsid w:val="00144768"/>
    <w:rsid w:val="00144A49"/>
    <w:rsid w:val="00144A70"/>
    <w:rsid w:val="00144AB9"/>
    <w:rsid w:val="00144C73"/>
    <w:rsid w:val="00144CF2"/>
    <w:rsid w:val="00144DFE"/>
    <w:rsid w:val="00144E65"/>
    <w:rsid w:val="00144F3C"/>
    <w:rsid w:val="00144F9E"/>
    <w:rsid w:val="00144FF1"/>
    <w:rsid w:val="0014501C"/>
    <w:rsid w:val="00145110"/>
    <w:rsid w:val="0014515D"/>
    <w:rsid w:val="001457BB"/>
    <w:rsid w:val="00145838"/>
    <w:rsid w:val="00145870"/>
    <w:rsid w:val="00145952"/>
    <w:rsid w:val="00145B43"/>
    <w:rsid w:val="00145F59"/>
    <w:rsid w:val="00146138"/>
    <w:rsid w:val="00146166"/>
    <w:rsid w:val="00146346"/>
    <w:rsid w:val="001463C1"/>
    <w:rsid w:val="00146584"/>
    <w:rsid w:val="0014661F"/>
    <w:rsid w:val="00146AEE"/>
    <w:rsid w:val="00146B86"/>
    <w:rsid w:val="00146D40"/>
    <w:rsid w:val="00146FF7"/>
    <w:rsid w:val="001470FB"/>
    <w:rsid w:val="001472ED"/>
    <w:rsid w:val="00147304"/>
    <w:rsid w:val="0014761D"/>
    <w:rsid w:val="00147B8A"/>
    <w:rsid w:val="00147C80"/>
    <w:rsid w:val="00147F91"/>
    <w:rsid w:val="00147FA6"/>
    <w:rsid w:val="0015018F"/>
    <w:rsid w:val="001502FC"/>
    <w:rsid w:val="001506E9"/>
    <w:rsid w:val="00150A3C"/>
    <w:rsid w:val="00150B3D"/>
    <w:rsid w:val="00150B77"/>
    <w:rsid w:val="00150C42"/>
    <w:rsid w:val="00150E56"/>
    <w:rsid w:val="00150F72"/>
    <w:rsid w:val="00151149"/>
    <w:rsid w:val="0015144D"/>
    <w:rsid w:val="00151593"/>
    <w:rsid w:val="001515ED"/>
    <w:rsid w:val="00151780"/>
    <w:rsid w:val="001518BD"/>
    <w:rsid w:val="00151B2F"/>
    <w:rsid w:val="00151B37"/>
    <w:rsid w:val="001525AF"/>
    <w:rsid w:val="001526EA"/>
    <w:rsid w:val="001526F6"/>
    <w:rsid w:val="00152821"/>
    <w:rsid w:val="00152913"/>
    <w:rsid w:val="00152AC1"/>
    <w:rsid w:val="00152BCD"/>
    <w:rsid w:val="00152DC6"/>
    <w:rsid w:val="00152E89"/>
    <w:rsid w:val="00152FF0"/>
    <w:rsid w:val="00153080"/>
    <w:rsid w:val="001533CE"/>
    <w:rsid w:val="001534E8"/>
    <w:rsid w:val="00153553"/>
    <w:rsid w:val="0015362A"/>
    <w:rsid w:val="00153665"/>
    <w:rsid w:val="00153AC0"/>
    <w:rsid w:val="00153DB2"/>
    <w:rsid w:val="00154178"/>
    <w:rsid w:val="001541B7"/>
    <w:rsid w:val="001541D6"/>
    <w:rsid w:val="001541DC"/>
    <w:rsid w:val="00154361"/>
    <w:rsid w:val="0015447C"/>
    <w:rsid w:val="001544EB"/>
    <w:rsid w:val="00154540"/>
    <w:rsid w:val="00154611"/>
    <w:rsid w:val="0015492C"/>
    <w:rsid w:val="00154A6B"/>
    <w:rsid w:val="00154AA7"/>
    <w:rsid w:val="00154B64"/>
    <w:rsid w:val="00154B96"/>
    <w:rsid w:val="00154CA3"/>
    <w:rsid w:val="00154CF0"/>
    <w:rsid w:val="00154DC6"/>
    <w:rsid w:val="00154F74"/>
    <w:rsid w:val="00154FFD"/>
    <w:rsid w:val="0015510C"/>
    <w:rsid w:val="00155617"/>
    <w:rsid w:val="00155975"/>
    <w:rsid w:val="00155A46"/>
    <w:rsid w:val="00155C9E"/>
    <w:rsid w:val="00155D91"/>
    <w:rsid w:val="00155DD3"/>
    <w:rsid w:val="0015606A"/>
    <w:rsid w:val="001560C4"/>
    <w:rsid w:val="001561C9"/>
    <w:rsid w:val="0015649F"/>
    <w:rsid w:val="00156717"/>
    <w:rsid w:val="001567D7"/>
    <w:rsid w:val="0015698A"/>
    <w:rsid w:val="00156BBA"/>
    <w:rsid w:val="00156C06"/>
    <w:rsid w:val="00157187"/>
    <w:rsid w:val="0015731E"/>
    <w:rsid w:val="0015739D"/>
    <w:rsid w:val="001577AD"/>
    <w:rsid w:val="001577EE"/>
    <w:rsid w:val="00157A62"/>
    <w:rsid w:val="00157B15"/>
    <w:rsid w:val="00157BB3"/>
    <w:rsid w:val="00157E33"/>
    <w:rsid w:val="00157E52"/>
    <w:rsid w:val="0016005A"/>
    <w:rsid w:val="001600EC"/>
    <w:rsid w:val="00160253"/>
    <w:rsid w:val="00160293"/>
    <w:rsid w:val="00160417"/>
    <w:rsid w:val="00160A0E"/>
    <w:rsid w:val="00160BAA"/>
    <w:rsid w:val="0016119F"/>
    <w:rsid w:val="00161581"/>
    <w:rsid w:val="00161832"/>
    <w:rsid w:val="0016183E"/>
    <w:rsid w:val="001619A9"/>
    <w:rsid w:val="001619F2"/>
    <w:rsid w:val="00161B6E"/>
    <w:rsid w:val="00161E4E"/>
    <w:rsid w:val="001624E3"/>
    <w:rsid w:val="001624E8"/>
    <w:rsid w:val="001625C0"/>
    <w:rsid w:val="0016265A"/>
    <w:rsid w:val="00162D81"/>
    <w:rsid w:val="00162DCF"/>
    <w:rsid w:val="00162F70"/>
    <w:rsid w:val="001630B1"/>
    <w:rsid w:val="00163112"/>
    <w:rsid w:val="00163199"/>
    <w:rsid w:val="00163855"/>
    <w:rsid w:val="00163B1E"/>
    <w:rsid w:val="00163D37"/>
    <w:rsid w:val="00163F36"/>
    <w:rsid w:val="001641A2"/>
    <w:rsid w:val="0016446A"/>
    <w:rsid w:val="001644ED"/>
    <w:rsid w:val="00164750"/>
    <w:rsid w:val="00164915"/>
    <w:rsid w:val="00164A34"/>
    <w:rsid w:val="00164D78"/>
    <w:rsid w:val="00164DBF"/>
    <w:rsid w:val="00165167"/>
    <w:rsid w:val="001651BA"/>
    <w:rsid w:val="001652E4"/>
    <w:rsid w:val="001653A7"/>
    <w:rsid w:val="001654EF"/>
    <w:rsid w:val="00165681"/>
    <w:rsid w:val="00165752"/>
    <w:rsid w:val="001657F2"/>
    <w:rsid w:val="001658A5"/>
    <w:rsid w:val="00165A71"/>
    <w:rsid w:val="00165C78"/>
    <w:rsid w:val="00165EB1"/>
    <w:rsid w:val="00166168"/>
    <w:rsid w:val="0016636A"/>
    <w:rsid w:val="0016666B"/>
    <w:rsid w:val="001666FC"/>
    <w:rsid w:val="0016678C"/>
    <w:rsid w:val="00166909"/>
    <w:rsid w:val="00166B99"/>
    <w:rsid w:val="00166D9E"/>
    <w:rsid w:val="00166E62"/>
    <w:rsid w:val="0016710A"/>
    <w:rsid w:val="001679D9"/>
    <w:rsid w:val="00167A38"/>
    <w:rsid w:val="00167ACB"/>
    <w:rsid w:val="00167B1E"/>
    <w:rsid w:val="00167C7C"/>
    <w:rsid w:val="0017029B"/>
    <w:rsid w:val="001703F7"/>
    <w:rsid w:val="00170530"/>
    <w:rsid w:val="0017060F"/>
    <w:rsid w:val="001706A3"/>
    <w:rsid w:val="00170871"/>
    <w:rsid w:val="0017096A"/>
    <w:rsid w:val="00170B09"/>
    <w:rsid w:val="00170C64"/>
    <w:rsid w:val="00170E91"/>
    <w:rsid w:val="00170EEE"/>
    <w:rsid w:val="0017120D"/>
    <w:rsid w:val="0017121E"/>
    <w:rsid w:val="00171278"/>
    <w:rsid w:val="001712FE"/>
    <w:rsid w:val="00171777"/>
    <w:rsid w:val="00171A9F"/>
    <w:rsid w:val="00171B85"/>
    <w:rsid w:val="00171BE9"/>
    <w:rsid w:val="00171C62"/>
    <w:rsid w:val="00171DEB"/>
    <w:rsid w:val="00171FD9"/>
    <w:rsid w:val="00172729"/>
    <w:rsid w:val="00172BE0"/>
    <w:rsid w:val="00172D43"/>
    <w:rsid w:val="00172DBB"/>
    <w:rsid w:val="001731F2"/>
    <w:rsid w:val="00173554"/>
    <w:rsid w:val="00173594"/>
    <w:rsid w:val="001735C3"/>
    <w:rsid w:val="0017390B"/>
    <w:rsid w:val="00173E06"/>
    <w:rsid w:val="00173E3F"/>
    <w:rsid w:val="00173F16"/>
    <w:rsid w:val="00173F97"/>
    <w:rsid w:val="0017430B"/>
    <w:rsid w:val="00174861"/>
    <w:rsid w:val="00174871"/>
    <w:rsid w:val="00174C8C"/>
    <w:rsid w:val="00174DA8"/>
    <w:rsid w:val="00175052"/>
    <w:rsid w:val="0017506C"/>
    <w:rsid w:val="001750E2"/>
    <w:rsid w:val="0017515F"/>
    <w:rsid w:val="0017532F"/>
    <w:rsid w:val="0017556C"/>
    <w:rsid w:val="001756AF"/>
    <w:rsid w:val="00175967"/>
    <w:rsid w:val="001759E2"/>
    <w:rsid w:val="00175A35"/>
    <w:rsid w:val="00175BE0"/>
    <w:rsid w:val="00175CC5"/>
    <w:rsid w:val="0017629E"/>
    <w:rsid w:val="00176561"/>
    <w:rsid w:val="001767BB"/>
    <w:rsid w:val="00176840"/>
    <w:rsid w:val="001769C6"/>
    <w:rsid w:val="00176DC5"/>
    <w:rsid w:val="00176FCB"/>
    <w:rsid w:val="00177087"/>
    <w:rsid w:val="00177183"/>
    <w:rsid w:val="001773E6"/>
    <w:rsid w:val="00177710"/>
    <w:rsid w:val="0017771F"/>
    <w:rsid w:val="001777BE"/>
    <w:rsid w:val="001778BB"/>
    <w:rsid w:val="001779BE"/>
    <w:rsid w:val="00177A85"/>
    <w:rsid w:val="00177BBC"/>
    <w:rsid w:val="00177C3E"/>
    <w:rsid w:val="00177E3F"/>
    <w:rsid w:val="0018007C"/>
    <w:rsid w:val="001802E9"/>
    <w:rsid w:val="0018068E"/>
    <w:rsid w:val="001806E7"/>
    <w:rsid w:val="00180724"/>
    <w:rsid w:val="00180C93"/>
    <w:rsid w:val="00180D75"/>
    <w:rsid w:val="00180D90"/>
    <w:rsid w:val="00180F73"/>
    <w:rsid w:val="00181045"/>
    <w:rsid w:val="0018148D"/>
    <w:rsid w:val="00181501"/>
    <w:rsid w:val="001818DB"/>
    <w:rsid w:val="001818F1"/>
    <w:rsid w:val="00181D18"/>
    <w:rsid w:val="00181D1D"/>
    <w:rsid w:val="00181D3C"/>
    <w:rsid w:val="00181DFC"/>
    <w:rsid w:val="00181FD9"/>
    <w:rsid w:val="0018256E"/>
    <w:rsid w:val="001826B8"/>
    <w:rsid w:val="001827A8"/>
    <w:rsid w:val="00182860"/>
    <w:rsid w:val="00182A43"/>
    <w:rsid w:val="00182A54"/>
    <w:rsid w:val="00182AAF"/>
    <w:rsid w:val="00182ABD"/>
    <w:rsid w:val="00182B01"/>
    <w:rsid w:val="00182C6D"/>
    <w:rsid w:val="00182D8A"/>
    <w:rsid w:val="00182E57"/>
    <w:rsid w:val="0018312D"/>
    <w:rsid w:val="00183285"/>
    <w:rsid w:val="00183372"/>
    <w:rsid w:val="00183667"/>
    <w:rsid w:val="00183687"/>
    <w:rsid w:val="00183714"/>
    <w:rsid w:val="001837C0"/>
    <w:rsid w:val="001838C6"/>
    <w:rsid w:val="001838FC"/>
    <w:rsid w:val="00183A8C"/>
    <w:rsid w:val="00183DA0"/>
    <w:rsid w:val="00183EFE"/>
    <w:rsid w:val="00183F0F"/>
    <w:rsid w:val="00184081"/>
    <w:rsid w:val="001840FE"/>
    <w:rsid w:val="001842DD"/>
    <w:rsid w:val="0018449E"/>
    <w:rsid w:val="0018489F"/>
    <w:rsid w:val="001848A9"/>
    <w:rsid w:val="001848C4"/>
    <w:rsid w:val="00184A39"/>
    <w:rsid w:val="00184C99"/>
    <w:rsid w:val="00184CA0"/>
    <w:rsid w:val="00184CAA"/>
    <w:rsid w:val="00184D95"/>
    <w:rsid w:val="00184E02"/>
    <w:rsid w:val="00184E8C"/>
    <w:rsid w:val="00184E9A"/>
    <w:rsid w:val="00184EE5"/>
    <w:rsid w:val="0018529F"/>
    <w:rsid w:val="0018538C"/>
    <w:rsid w:val="001854DC"/>
    <w:rsid w:val="00185705"/>
    <w:rsid w:val="001857AA"/>
    <w:rsid w:val="001857CC"/>
    <w:rsid w:val="00185860"/>
    <w:rsid w:val="00185C76"/>
    <w:rsid w:val="00185E95"/>
    <w:rsid w:val="00185F06"/>
    <w:rsid w:val="00185FE9"/>
    <w:rsid w:val="00186349"/>
    <w:rsid w:val="001864B2"/>
    <w:rsid w:val="001864C4"/>
    <w:rsid w:val="0018661A"/>
    <w:rsid w:val="0018671E"/>
    <w:rsid w:val="00186877"/>
    <w:rsid w:val="00186925"/>
    <w:rsid w:val="00186ABD"/>
    <w:rsid w:val="00186F2D"/>
    <w:rsid w:val="00186FE8"/>
    <w:rsid w:val="0018731A"/>
    <w:rsid w:val="00187465"/>
    <w:rsid w:val="0018768B"/>
    <w:rsid w:val="001876D8"/>
    <w:rsid w:val="00187E6B"/>
    <w:rsid w:val="00187F34"/>
    <w:rsid w:val="0019033B"/>
    <w:rsid w:val="00190693"/>
    <w:rsid w:val="0019069F"/>
    <w:rsid w:val="00190BEE"/>
    <w:rsid w:val="00190CCA"/>
    <w:rsid w:val="00190FE2"/>
    <w:rsid w:val="00191733"/>
    <w:rsid w:val="00191AE8"/>
    <w:rsid w:val="00191B2D"/>
    <w:rsid w:val="0019210A"/>
    <w:rsid w:val="001921EE"/>
    <w:rsid w:val="00192262"/>
    <w:rsid w:val="00192348"/>
    <w:rsid w:val="00192779"/>
    <w:rsid w:val="0019279C"/>
    <w:rsid w:val="0019295A"/>
    <w:rsid w:val="001929FF"/>
    <w:rsid w:val="00192AE2"/>
    <w:rsid w:val="00192AFC"/>
    <w:rsid w:val="00192B35"/>
    <w:rsid w:val="00192BF0"/>
    <w:rsid w:val="00192D64"/>
    <w:rsid w:val="00192F3F"/>
    <w:rsid w:val="00193057"/>
    <w:rsid w:val="0019322A"/>
    <w:rsid w:val="0019327E"/>
    <w:rsid w:val="00193A1C"/>
    <w:rsid w:val="00193B54"/>
    <w:rsid w:val="00193CE3"/>
    <w:rsid w:val="00193D66"/>
    <w:rsid w:val="00194173"/>
    <w:rsid w:val="00194345"/>
    <w:rsid w:val="0019448E"/>
    <w:rsid w:val="001946D8"/>
    <w:rsid w:val="0019478D"/>
    <w:rsid w:val="00194984"/>
    <w:rsid w:val="00194B7F"/>
    <w:rsid w:val="00194D7E"/>
    <w:rsid w:val="00194DD5"/>
    <w:rsid w:val="00194EEB"/>
    <w:rsid w:val="00194F51"/>
    <w:rsid w:val="00194F6E"/>
    <w:rsid w:val="00194F9E"/>
    <w:rsid w:val="00195077"/>
    <w:rsid w:val="0019507D"/>
    <w:rsid w:val="001952F1"/>
    <w:rsid w:val="00195320"/>
    <w:rsid w:val="0019559C"/>
    <w:rsid w:val="00195651"/>
    <w:rsid w:val="0019597B"/>
    <w:rsid w:val="001959FA"/>
    <w:rsid w:val="00195C21"/>
    <w:rsid w:val="001960E2"/>
    <w:rsid w:val="001960F5"/>
    <w:rsid w:val="00196221"/>
    <w:rsid w:val="001962F3"/>
    <w:rsid w:val="00196360"/>
    <w:rsid w:val="00196624"/>
    <w:rsid w:val="001966FC"/>
    <w:rsid w:val="0019693E"/>
    <w:rsid w:val="001969E7"/>
    <w:rsid w:val="00197120"/>
    <w:rsid w:val="001971B3"/>
    <w:rsid w:val="00197441"/>
    <w:rsid w:val="001975CA"/>
    <w:rsid w:val="00197757"/>
    <w:rsid w:val="00197763"/>
    <w:rsid w:val="001977EB"/>
    <w:rsid w:val="00197834"/>
    <w:rsid w:val="001978FE"/>
    <w:rsid w:val="001979F1"/>
    <w:rsid w:val="00197BA6"/>
    <w:rsid w:val="00197C6E"/>
    <w:rsid w:val="001A00B1"/>
    <w:rsid w:val="001A013C"/>
    <w:rsid w:val="001A0151"/>
    <w:rsid w:val="001A01A0"/>
    <w:rsid w:val="001A041F"/>
    <w:rsid w:val="001A0420"/>
    <w:rsid w:val="001A0422"/>
    <w:rsid w:val="001A045B"/>
    <w:rsid w:val="001A08F5"/>
    <w:rsid w:val="001A0994"/>
    <w:rsid w:val="001A09FE"/>
    <w:rsid w:val="001A0B12"/>
    <w:rsid w:val="001A0C0C"/>
    <w:rsid w:val="001A0F4E"/>
    <w:rsid w:val="001A0F68"/>
    <w:rsid w:val="001A0FA2"/>
    <w:rsid w:val="001A1120"/>
    <w:rsid w:val="001A1783"/>
    <w:rsid w:val="001A17A3"/>
    <w:rsid w:val="001A192F"/>
    <w:rsid w:val="001A1AC3"/>
    <w:rsid w:val="001A1B12"/>
    <w:rsid w:val="001A1C1A"/>
    <w:rsid w:val="001A1E69"/>
    <w:rsid w:val="001A2144"/>
    <w:rsid w:val="001A2188"/>
    <w:rsid w:val="001A2217"/>
    <w:rsid w:val="001A2236"/>
    <w:rsid w:val="001A238B"/>
    <w:rsid w:val="001A241B"/>
    <w:rsid w:val="001A257A"/>
    <w:rsid w:val="001A2596"/>
    <w:rsid w:val="001A262C"/>
    <w:rsid w:val="001A2777"/>
    <w:rsid w:val="001A27B6"/>
    <w:rsid w:val="001A2800"/>
    <w:rsid w:val="001A2882"/>
    <w:rsid w:val="001A2920"/>
    <w:rsid w:val="001A2AB6"/>
    <w:rsid w:val="001A2CC5"/>
    <w:rsid w:val="001A2FF6"/>
    <w:rsid w:val="001A3063"/>
    <w:rsid w:val="001A3364"/>
    <w:rsid w:val="001A34E9"/>
    <w:rsid w:val="001A38D5"/>
    <w:rsid w:val="001A390A"/>
    <w:rsid w:val="001A39EA"/>
    <w:rsid w:val="001A3E0F"/>
    <w:rsid w:val="001A4068"/>
    <w:rsid w:val="001A40A5"/>
    <w:rsid w:val="001A42E4"/>
    <w:rsid w:val="001A4655"/>
    <w:rsid w:val="001A46E2"/>
    <w:rsid w:val="001A4815"/>
    <w:rsid w:val="001A4958"/>
    <w:rsid w:val="001A4BBC"/>
    <w:rsid w:val="001A4CA9"/>
    <w:rsid w:val="001A4F62"/>
    <w:rsid w:val="001A52BE"/>
    <w:rsid w:val="001A52FF"/>
    <w:rsid w:val="001A55A2"/>
    <w:rsid w:val="001A55D5"/>
    <w:rsid w:val="001A595A"/>
    <w:rsid w:val="001A5DAC"/>
    <w:rsid w:val="001A5FAC"/>
    <w:rsid w:val="001A5FE3"/>
    <w:rsid w:val="001A627D"/>
    <w:rsid w:val="001A6357"/>
    <w:rsid w:val="001A6446"/>
    <w:rsid w:val="001A65CB"/>
    <w:rsid w:val="001A693D"/>
    <w:rsid w:val="001A694E"/>
    <w:rsid w:val="001A6979"/>
    <w:rsid w:val="001A6B6A"/>
    <w:rsid w:val="001A6E27"/>
    <w:rsid w:val="001A6EBC"/>
    <w:rsid w:val="001A7039"/>
    <w:rsid w:val="001A7222"/>
    <w:rsid w:val="001A7419"/>
    <w:rsid w:val="001A762E"/>
    <w:rsid w:val="001A769A"/>
    <w:rsid w:val="001A76AF"/>
    <w:rsid w:val="001A7826"/>
    <w:rsid w:val="001A793E"/>
    <w:rsid w:val="001A7DC7"/>
    <w:rsid w:val="001A7E4A"/>
    <w:rsid w:val="001B0007"/>
    <w:rsid w:val="001B0135"/>
    <w:rsid w:val="001B01F7"/>
    <w:rsid w:val="001B031C"/>
    <w:rsid w:val="001B0765"/>
    <w:rsid w:val="001B0A5A"/>
    <w:rsid w:val="001B0AA9"/>
    <w:rsid w:val="001B0B1A"/>
    <w:rsid w:val="001B0C71"/>
    <w:rsid w:val="001B0F7E"/>
    <w:rsid w:val="001B103A"/>
    <w:rsid w:val="001B117B"/>
    <w:rsid w:val="001B11D5"/>
    <w:rsid w:val="001B15F4"/>
    <w:rsid w:val="001B15F8"/>
    <w:rsid w:val="001B1650"/>
    <w:rsid w:val="001B16C8"/>
    <w:rsid w:val="001B16E0"/>
    <w:rsid w:val="001B1762"/>
    <w:rsid w:val="001B186F"/>
    <w:rsid w:val="001B1B33"/>
    <w:rsid w:val="001B1E4C"/>
    <w:rsid w:val="001B1F27"/>
    <w:rsid w:val="001B1FA2"/>
    <w:rsid w:val="001B25A0"/>
    <w:rsid w:val="001B25A7"/>
    <w:rsid w:val="001B26B8"/>
    <w:rsid w:val="001B279F"/>
    <w:rsid w:val="001B2C06"/>
    <w:rsid w:val="001B2C22"/>
    <w:rsid w:val="001B2D24"/>
    <w:rsid w:val="001B2D45"/>
    <w:rsid w:val="001B2DE2"/>
    <w:rsid w:val="001B309C"/>
    <w:rsid w:val="001B30D4"/>
    <w:rsid w:val="001B3155"/>
    <w:rsid w:val="001B32EA"/>
    <w:rsid w:val="001B335F"/>
    <w:rsid w:val="001B350C"/>
    <w:rsid w:val="001B39FD"/>
    <w:rsid w:val="001B40AC"/>
    <w:rsid w:val="001B4105"/>
    <w:rsid w:val="001B41CE"/>
    <w:rsid w:val="001B4497"/>
    <w:rsid w:val="001B45CB"/>
    <w:rsid w:val="001B462D"/>
    <w:rsid w:val="001B46BC"/>
    <w:rsid w:val="001B4736"/>
    <w:rsid w:val="001B477C"/>
    <w:rsid w:val="001B47AF"/>
    <w:rsid w:val="001B480B"/>
    <w:rsid w:val="001B4A33"/>
    <w:rsid w:val="001B4B32"/>
    <w:rsid w:val="001B4B88"/>
    <w:rsid w:val="001B4D8B"/>
    <w:rsid w:val="001B4E81"/>
    <w:rsid w:val="001B4F57"/>
    <w:rsid w:val="001B5008"/>
    <w:rsid w:val="001B502C"/>
    <w:rsid w:val="001B503E"/>
    <w:rsid w:val="001B51BF"/>
    <w:rsid w:val="001B51EA"/>
    <w:rsid w:val="001B5326"/>
    <w:rsid w:val="001B5419"/>
    <w:rsid w:val="001B584A"/>
    <w:rsid w:val="001B5990"/>
    <w:rsid w:val="001B5A2B"/>
    <w:rsid w:val="001B5A90"/>
    <w:rsid w:val="001B5F78"/>
    <w:rsid w:val="001B61DD"/>
    <w:rsid w:val="001B664C"/>
    <w:rsid w:val="001B66FB"/>
    <w:rsid w:val="001B698F"/>
    <w:rsid w:val="001B6A3D"/>
    <w:rsid w:val="001B6C13"/>
    <w:rsid w:val="001B6C2F"/>
    <w:rsid w:val="001B6C38"/>
    <w:rsid w:val="001B6CC8"/>
    <w:rsid w:val="001B74A4"/>
    <w:rsid w:val="001B793E"/>
    <w:rsid w:val="001B79CA"/>
    <w:rsid w:val="001B7B03"/>
    <w:rsid w:val="001B7B63"/>
    <w:rsid w:val="001B7EB7"/>
    <w:rsid w:val="001B7F38"/>
    <w:rsid w:val="001C0089"/>
    <w:rsid w:val="001C045D"/>
    <w:rsid w:val="001C053D"/>
    <w:rsid w:val="001C05AD"/>
    <w:rsid w:val="001C05F7"/>
    <w:rsid w:val="001C063B"/>
    <w:rsid w:val="001C08D3"/>
    <w:rsid w:val="001C0B2C"/>
    <w:rsid w:val="001C0C54"/>
    <w:rsid w:val="001C0FE9"/>
    <w:rsid w:val="001C123E"/>
    <w:rsid w:val="001C156C"/>
    <w:rsid w:val="001C15EA"/>
    <w:rsid w:val="001C1699"/>
    <w:rsid w:val="001C16E9"/>
    <w:rsid w:val="001C17B9"/>
    <w:rsid w:val="001C1AF5"/>
    <w:rsid w:val="001C2168"/>
    <w:rsid w:val="001C2195"/>
    <w:rsid w:val="001C2342"/>
    <w:rsid w:val="001C2542"/>
    <w:rsid w:val="001C26B3"/>
    <w:rsid w:val="001C274E"/>
    <w:rsid w:val="001C27A8"/>
    <w:rsid w:val="001C2A34"/>
    <w:rsid w:val="001C2BC2"/>
    <w:rsid w:val="001C2BEF"/>
    <w:rsid w:val="001C2C66"/>
    <w:rsid w:val="001C2C77"/>
    <w:rsid w:val="001C2F7F"/>
    <w:rsid w:val="001C301E"/>
    <w:rsid w:val="001C30B1"/>
    <w:rsid w:val="001C3238"/>
    <w:rsid w:val="001C3341"/>
    <w:rsid w:val="001C3380"/>
    <w:rsid w:val="001C3423"/>
    <w:rsid w:val="001C34A5"/>
    <w:rsid w:val="001C36C0"/>
    <w:rsid w:val="001C3733"/>
    <w:rsid w:val="001C3743"/>
    <w:rsid w:val="001C3969"/>
    <w:rsid w:val="001C3AD5"/>
    <w:rsid w:val="001C3B5B"/>
    <w:rsid w:val="001C3E34"/>
    <w:rsid w:val="001C3E4F"/>
    <w:rsid w:val="001C3EBB"/>
    <w:rsid w:val="001C405F"/>
    <w:rsid w:val="001C41EB"/>
    <w:rsid w:val="001C43F3"/>
    <w:rsid w:val="001C46D0"/>
    <w:rsid w:val="001C4743"/>
    <w:rsid w:val="001C48EA"/>
    <w:rsid w:val="001C4E66"/>
    <w:rsid w:val="001C4F57"/>
    <w:rsid w:val="001C4F7A"/>
    <w:rsid w:val="001C50EC"/>
    <w:rsid w:val="001C55D3"/>
    <w:rsid w:val="001C5A48"/>
    <w:rsid w:val="001C5A7D"/>
    <w:rsid w:val="001C5C79"/>
    <w:rsid w:val="001C5C8F"/>
    <w:rsid w:val="001C5E3D"/>
    <w:rsid w:val="001C60BD"/>
    <w:rsid w:val="001C60CD"/>
    <w:rsid w:val="001C6189"/>
    <w:rsid w:val="001C6371"/>
    <w:rsid w:val="001C671C"/>
    <w:rsid w:val="001C67EC"/>
    <w:rsid w:val="001C6A3C"/>
    <w:rsid w:val="001C6B68"/>
    <w:rsid w:val="001C6BE2"/>
    <w:rsid w:val="001C6CAD"/>
    <w:rsid w:val="001C70A7"/>
    <w:rsid w:val="001C71D4"/>
    <w:rsid w:val="001C729F"/>
    <w:rsid w:val="001C732A"/>
    <w:rsid w:val="001C76BF"/>
    <w:rsid w:val="001C777F"/>
    <w:rsid w:val="001C77AD"/>
    <w:rsid w:val="001C7B20"/>
    <w:rsid w:val="001D012A"/>
    <w:rsid w:val="001D0499"/>
    <w:rsid w:val="001D06DF"/>
    <w:rsid w:val="001D0A3A"/>
    <w:rsid w:val="001D0C17"/>
    <w:rsid w:val="001D0DA3"/>
    <w:rsid w:val="001D11F8"/>
    <w:rsid w:val="001D12F1"/>
    <w:rsid w:val="001D1762"/>
    <w:rsid w:val="001D1C44"/>
    <w:rsid w:val="001D1CFB"/>
    <w:rsid w:val="001D2239"/>
    <w:rsid w:val="001D2296"/>
    <w:rsid w:val="001D234F"/>
    <w:rsid w:val="001D264A"/>
    <w:rsid w:val="001D26DA"/>
    <w:rsid w:val="001D28BC"/>
    <w:rsid w:val="001D2A02"/>
    <w:rsid w:val="001D2C2E"/>
    <w:rsid w:val="001D2CC2"/>
    <w:rsid w:val="001D2F34"/>
    <w:rsid w:val="001D30A7"/>
    <w:rsid w:val="001D31B2"/>
    <w:rsid w:val="001D335E"/>
    <w:rsid w:val="001D34F7"/>
    <w:rsid w:val="001D3647"/>
    <w:rsid w:val="001D37B1"/>
    <w:rsid w:val="001D3976"/>
    <w:rsid w:val="001D3A6F"/>
    <w:rsid w:val="001D3B22"/>
    <w:rsid w:val="001D3B7F"/>
    <w:rsid w:val="001D3D26"/>
    <w:rsid w:val="001D4061"/>
    <w:rsid w:val="001D40B3"/>
    <w:rsid w:val="001D446D"/>
    <w:rsid w:val="001D447C"/>
    <w:rsid w:val="001D4AFE"/>
    <w:rsid w:val="001D4C3A"/>
    <w:rsid w:val="001D4DCB"/>
    <w:rsid w:val="001D5239"/>
    <w:rsid w:val="001D5265"/>
    <w:rsid w:val="001D532B"/>
    <w:rsid w:val="001D55D3"/>
    <w:rsid w:val="001D58EF"/>
    <w:rsid w:val="001D5AAC"/>
    <w:rsid w:val="001D5C21"/>
    <w:rsid w:val="001D5C4B"/>
    <w:rsid w:val="001D6231"/>
    <w:rsid w:val="001D640D"/>
    <w:rsid w:val="001D65AC"/>
    <w:rsid w:val="001D65B3"/>
    <w:rsid w:val="001D666F"/>
    <w:rsid w:val="001D6AAF"/>
    <w:rsid w:val="001D6BC1"/>
    <w:rsid w:val="001D6DC8"/>
    <w:rsid w:val="001D6F5C"/>
    <w:rsid w:val="001D6FCE"/>
    <w:rsid w:val="001D74AC"/>
    <w:rsid w:val="001D7652"/>
    <w:rsid w:val="001D7709"/>
    <w:rsid w:val="001D774F"/>
    <w:rsid w:val="001D78CC"/>
    <w:rsid w:val="001D7B6D"/>
    <w:rsid w:val="001D7C33"/>
    <w:rsid w:val="001D7D75"/>
    <w:rsid w:val="001D7EA4"/>
    <w:rsid w:val="001D7ECD"/>
    <w:rsid w:val="001E002A"/>
    <w:rsid w:val="001E00FE"/>
    <w:rsid w:val="001E0155"/>
    <w:rsid w:val="001E0169"/>
    <w:rsid w:val="001E01BB"/>
    <w:rsid w:val="001E02D0"/>
    <w:rsid w:val="001E030E"/>
    <w:rsid w:val="001E0311"/>
    <w:rsid w:val="001E0333"/>
    <w:rsid w:val="001E077B"/>
    <w:rsid w:val="001E091E"/>
    <w:rsid w:val="001E0A4A"/>
    <w:rsid w:val="001E0ACF"/>
    <w:rsid w:val="001E0B04"/>
    <w:rsid w:val="001E0F76"/>
    <w:rsid w:val="001E1237"/>
    <w:rsid w:val="001E14A5"/>
    <w:rsid w:val="001E16CB"/>
    <w:rsid w:val="001E1BC4"/>
    <w:rsid w:val="001E1BC8"/>
    <w:rsid w:val="001E1D4B"/>
    <w:rsid w:val="001E1DA1"/>
    <w:rsid w:val="001E1F41"/>
    <w:rsid w:val="001E21AB"/>
    <w:rsid w:val="001E21F4"/>
    <w:rsid w:val="001E23A0"/>
    <w:rsid w:val="001E24CA"/>
    <w:rsid w:val="001E257A"/>
    <w:rsid w:val="001E2721"/>
    <w:rsid w:val="001E279D"/>
    <w:rsid w:val="001E29A9"/>
    <w:rsid w:val="001E2E19"/>
    <w:rsid w:val="001E2EAE"/>
    <w:rsid w:val="001E311E"/>
    <w:rsid w:val="001E314D"/>
    <w:rsid w:val="001E3399"/>
    <w:rsid w:val="001E35BE"/>
    <w:rsid w:val="001E3AD4"/>
    <w:rsid w:val="001E3E99"/>
    <w:rsid w:val="001E3FC7"/>
    <w:rsid w:val="001E4113"/>
    <w:rsid w:val="001E4328"/>
    <w:rsid w:val="001E43CD"/>
    <w:rsid w:val="001E4515"/>
    <w:rsid w:val="001E45E7"/>
    <w:rsid w:val="001E48AB"/>
    <w:rsid w:val="001E4AAF"/>
    <w:rsid w:val="001E4AD6"/>
    <w:rsid w:val="001E4E75"/>
    <w:rsid w:val="001E526D"/>
    <w:rsid w:val="001E533D"/>
    <w:rsid w:val="001E564E"/>
    <w:rsid w:val="001E5702"/>
    <w:rsid w:val="001E5912"/>
    <w:rsid w:val="001E5923"/>
    <w:rsid w:val="001E5AC6"/>
    <w:rsid w:val="001E5AEB"/>
    <w:rsid w:val="001E5C6E"/>
    <w:rsid w:val="001E5CA1"/>
    <w:rsid w:val="001E5E03"/>
    <w:rsid w:val="001E5E76"/>
    <w:rsid w:val="001E5FB2"/>
    <w:rsid w:val="001E60BA"/>
    <w:rsid w:val="001E6212"/>
    <w:rsid w:val="001E63BE"/>
    <w:rsid w:val="001E66D2"/>
    <w:rsid w:val="001E671C"/>
    <w:rsid w:val="001E6947"/>
    <w:rsid w:val="001E6FC5"/>
    <w:rsid w:val="001E71C8"/>
    <w:rsid w:val="001E72ED"/>
    <w:rsid w:val="001E743E"/>
    <w:rsid w:val="001E7556"/>
    <w:rsid w:val="001E75FF"/>
    <w:rsid w:val="001E7A05"/>
    <w:rsid w:val="001E7BBF"/>
    <w:rsid w:val="001E7CDA"/>
    <w:rsid w:val="001E7DA0"/>
    <w:rsid w:val="001F00CA"/>
    <w:rsid w:val="001F04F1"/>
    <w:rsid w:val="001F082B"/>
    <w:rsid w:val="001F0890"/>
    <w:rsid w:val="001F0B0E"/>
    <w:rsid w:val="001F0C11"/>
    <w:rsid w:val="001F0DC3"/>
    <w:rsid w:val="001F0E15"/>
    <w:rsid w:val="001F0E92"/>
    <w:rsid w:val="001F102A"/>
    <w:rsid w:val="001F11D4"/>
    <w:rsid w:val="001F1254"/>
    <w:rsid w:val="001F131B"/>
    <w:rsid w:val="001F1321"/>
    <w:rsid w:val="001F134E"/>
    <w:rsid w:val="001F15CF"/>
    <w:rsid w:val="001F1698"/>
    <w:rsid w:val="001F1785"/>
    <w:rsid w:val="001F1B13"/>
    <w:rsid w:val="001F1E4A"/>
    <w:rsid w:val="001F1E51"/>
    <w:rsid w:val="001F1F69"/>
    <w:rsid w:val="001F2043"/>
    <w:rsid w:val="001F2288"/>
    <w:rsid w:val="001F23C6"/>
    <w:rsid w:val="001F23D6"/>
    <w:rsid w:val="001F2536"/>
    <w:rsid w:val="001F29A4"/>
    <w:rsid w:val="001F2A38"/>
    <w:rsid w:val="001F2B66"/>
    <w:rsid w:val="001F2B74"/>
    <w:rsid w:val="001F2B99"/>
    <w:rsid w:val="001F2C38"/>
    <w:rsid w:val="001F2DF0"/>
    <w:rsid w:val="001F3011"/>
    <w:rsid w:val="001F3249"/>
    <w:rsid w:val="001F3281"/>
    <w:rsid w:val="001F337D"/>
    <w:rsid w:val="001F34C9"/>
    <w:rsid w:val="001F3849"/>
    <w:rsid w:val="001F3898"/>
    <w:rsid w:val="001F38FE"/>
    <w:rsid w:val="001F399A"/>
    <w:rsid w:val="001F39A0"/>
    <w:rsid w:val="001F3BF8"/>
    <w:rsid w:val="001F3CED"/>
    <w:rsid w:val="001F40DE"/>
    <w:rsid w:val="001F41CD"/>
    <w:rsid w:val="001F4379"/>
    <w:rsid w:val="001F4448"/>
    <w:rsid w:val="001F4467"/>
    <w:rsid w:val="001F4ADA"/>
    <w:rsid w:val="001F4AEF"/>
    <w:rsid w:val="001F4D8A"/>
    <w:rsid w:val="001F4DA2"/>
    <w:rsid w:val="001F4DA3"/>
    <w:rsid w:val="001F53D6"/>
    <w:rsid w:val="001F53FB"/>
    <w:rsid w:val="001F5589"/>
    <w:rsid w:val="001F55AA"/>
    <w:rsid w:val="001F5890"/>
    <w:rsid w:val="001F59DD"/>
    <w:rsid w:val="001F5D25"/>
    <w:rsid w:val="001F5DAD"/>
    <w:rsid w:val="001F5DDD"/>
    <w:rsid w:val="001F5E37"/>
    <w:rsid w:val="001F5E4E"/>
    <w:rsid w:val="001F5FA2"/>
    <w:rsid w:val="001F6216"/>
    <w:rsid w:val="001F656E"/>
    <w:rsid w:val="001F65DE"/>
    <w:rsid w:val="001F65E0"/>
    <w:rsid w:val="001F67A9"/>
    <w:rsid w:val="001F6A8B"/>
    <w:rsid w:val="001F6A9C"/>
    <w:rsid w:val="001F6B32"/>
    <w:rsid w:val="001F6B6B"/>
    <w:rsid w:val="001F6C27"/>
    <w:rsid w:val="001F6D28"/>
    <w:rsid w:val="001F6E73"/>
    <w:rsid w:val="001F6F71"/>
    <w:rsid w:val="001F7119"/>
    <w:rsid w:val="001F734E"/>
    <w:rsid w:val="001F7350"/>
    <w:rsid w:val="001F7482"/>
    <w:rsid w:val="001F7680"/>
    <w:rsid w:val="001F77F8"/>
    <w:rsid w:val="001F7AF2"/>
    <w:rsid w:val="001F7DEA"/>
    <w:rsid w:val="001F7E0C"/>
    <w:rsid w:val="001F7E1B"/>
    <w:rsid w:val="001F7F4E"/>
    <w:rsid w:val="00200229"/>
    <w:rsid w:val="00200286"/>
    <w:rsid w:val="002002B4"/>
    <w:rsid w:val="00200320"/>
    <w:rsid w:val="002007D4"/>
    <w:rsid w:val="002008DB"/>
    <w:rsid w:val="00200B08"/>
    <w:rsid w:val="00200C75"/>
    <w:rsid w:val="00200D3C"/>
    <w:rsid w:val="002010B6"/>
    <w:rsid w:val="002012E4"/>
    <w:rsid w:val="00201383"/>
    <w:rsid w:val="00201447"/>
    <w:rsid w:val="00201668"/>
    <w:rsid w:val="00201C49"/>
    <w:rsid w:val="00201CC4"/>
    <w:rsid w:val="00201E6A"/>
    <w:rsid w:val="00201FEC"/>
    <w:rsid w:val="0020202D"/>
    <w:rsid w:val="002022BF"/>
    <w:rsid w:val="0020274B"/>
    <w:rsid w:val="00202883"/>
    <w:rsid w:val="00202DD4"/>
    <w:rsid w:val="00202F16"/>
    <w:rsid w:val="00202F83"/>
    <w:rsid w:val="00203043"/>
    <w:rsid w:val="0020312A"/>
    <w:rsid w:val="00203340"/>
    <w:rsid w:val="00203390"/>
    <w:rsid w:val="00203698"/>
    <w:rsid w:val="00203862"/>
    <w:rsid w:val="0020389A"/>
    <w:rsid w:val="002039CE"/>
    <w:rsid w:val="00203AE1"/>
    <w:rsid w:val="00203AF3"/>
    <w:rsid w:val="00203B0F"/>
    <w:rsid w:val="00203BED"/>
    <w:rsid w:val="00203D56"/>
    <w:rsid w:val="00203D84"/>
    <w:rsid w:val="00203F05"/>
    <w:rsid w:val="002041B4"/>
    <w:rsid w:val="00204400"/>
    <w:rsid w:val="00204584"/>
    <w:rsid w:val="002045BC"/>
    <w:rsid w:val="00204602"/>
    <w:rsid w:val="0020467D"/>
    <w:rsid w:val="0020484D"/>
    <w:rsid w:val="00204A07"/>
    <w:rsid w:val="00204BD5"/>
    <w:rsid w:val="00204BE7"/>
    <w:rsid w:val="00204CC5"/>
    <w:rsid w:val="00204CEA"/>
    <w:rsid w:val="002050E4"/>
    <w:rsid w:val="0020524B"/>
    <w:rsid w:val="0020528D"/>
    <w:rsid w:val="00205388"/>
    <w:rsid w:val="00205820"/>
    <w:rsid w:val="002059A4"/>
    <w:rsid w:val="00205D30"/>
    <w:rsid w:val="00205F3F"/>
    <w:rsid w:val="00206084"/>
    <w:rsid w:val="0020657A"/>
    <w:rsid w:val="002069B2"/>
    <w:rsid w:val="00206B04"/>
    <w:rsid w:val="00206C37"/>
    <w:rsid w:val="002070C0"/>
    <w:rsid w:val="00207171"/>
    <w:rsid w:val="00207181"/>
    <w:rsid w:val="002071D0"/>
    <w:rsid w:val="00207289"/>
    <w:rsid w:val="00207349"/>
    <w:rsid w:val="00207376"/>
    <w:rsid w:val="002073E3"/>
    <w:rsid w:val="00207491"/>
    <w:rsid w:val="002074B9"/>
    <w:rsid w:val="00207926"/>
    <w:rsid w:val="002079DB"/>
    <w:rsid w:val="00207B1C"/>
    <w:rsid w:val="00207DCE"/>
    <w:rsid w:val="00207EE6"/>
    <w:rsid w:val="00207F92"/>
    <w:rsid w:val="00207FBA"/>
    <w:rsid w:val="00210416"/>
    <w:rsid w:val="00210621"/>
    <w:rsid w:val="002108F5"/>
    <w:rsid w:val="00210A10"/>
    <w:rsid w:val="00210C69"/>
    <w:rsid w:val="00210CE9"/>
    <w:rsid w:val="00211087"/>
    <w:rsid w:val="00211412"/>
    <w:rsid w:val="0021143F"/>
    <w:rsid w:val="00211530"/>
    <w:rsid w:val="0021155C"/>
    <w:rsid w:val="002117EB"/>
    <w:rsid w:val="00211872"/>
    <w:rsid w:val="00211AC3"/>
    <w:rsid w:val="00211B02"/>
    <w:rsid w:val="00211B63"/>
    <w:rsid w:val="00211C6E"/>
    <w:rsid w:val="00212200"/>
    <w:rsid w:val="00212454"/>
    <w:rsid w:val="00212D2F"/>
    <w:rsid w:val="00212D38"/>
    <w:rsid w:val="00212D93"/>
    <w:rsid w:val="00213073"/>
    <w:rsid w:val="00213180"/>
    <w:rsid w:val="00213321"/>
    <w:rsid w:val="002134BB"/>
    <w:rsid w:val="002138CB"/>
    <w:rsid w:val="0021399A"/>
    <w:rsid w:val="002139F7"/>
    <w:rsid w:val="00213A85"/>
    <w:rsid w:val="00213CB2"/>
    <w:rsid w:val="00213D3C"/>
    <w:rsid w:val="00213DBC"/>
    <w:rsid w:val="00213F90"/>
    <w:rsid w:val="00213FE1"/>
    <w:rsid w:val="002147E9"/>
    <w:rsid w:val="0021490F"/>
    <w:rsid w:val="00214944"/>
    <w:rsid w:val="00214D93"/>
    <w:rsid w:val="00214EF5"/>
    <w:rsid w:val="00214FB7"/>
    <w:rsid w:val="00215341"/>
    <w:rsid w:val="0021552A"/>
    <w:rsid w:val="00215BEB"/>
    <w:rsid w:val="00215F24"/>
    <w:rsid w:val="00215FA2"/>
    <w:rsid w:val="0021634D"/>
    <w:rsid w:val="002164EE"/>
    <w:rsid w:val="0021651B"/>
    <w:rsid w:val="00216687"/>
    <w:rsid w:val="00216ABB"/>
    <w:rsid w:val="00216B85"/>
    <w:rsid w:val="00216BE0"/>
    <w:rsid w:val="00216BE2"/>
    <w:rsid w:val="00216CE1"/>
    <w:rsid w:val="00216E44"/>
    <w:rsid w:val="00216FD0"/>
    <w:rsid w:val="00216FE0"/>
    <w:rsid w:val="0021708C"/>
    <w:rsid w:val="00217581"/>
    <w:rsid w:val="0021761F"/>
    <w:rsid w:val="00217992"/>
    <w:rsid w:val="00217AE5"/>
    <w:rsid w:val="00217C6F"/>
    <w:rsid w:val="00217CC4"/>
    <w:rsid w:val="002200AE"/>
    <w:rsid w:val="0022031E"/>
    <w:rsid w:val="002206E9"/>
    <w:rsid w:val="00220700"/>
    <w:rsid w:val="002208E0"/>
    <w:rsid w:val="00220CB4"/>
    <w:rsid w:val="00220D0F"/>
    <w:rsid w:val="00220E9A"/>
    <w:rsid w:val="00220FBF"/>
    <w:rsid w:val="00221089"/>
    <w:rsid w:val="00221242"/>
    <w:rsid w:val="002212AE"/>
    <w:rsid w:val="00221412"/>
    <w:rsid w:val="00221F9E"/>
    <w:rsid w:val="00221FA7"/>
    <w:rsid w:val="002222AA"/>
    <w:rsid w:val="00222383"/>
    <w:rsid w:val="00222437"/>
    <w:rsid w:val="00222767"/>
    <w:rsid w:val="0022277D"/>
    <w:rsid w:val="00222D35"/>
    <w:rsid w:val="00222E13"/>
    <w:rsid w:val="0022317B"/>
    <w:rsid w:val="00223208"/>
    <w:rsid w:val="0022324B"/>
    <w:rsid w:val="002232A1"/>
    <w:rsid w:val="0022334A"/>
    <w:rsid w:val="00223428"/>
    <w:rsid w:val="00223479"/>
    <w:rsid w:val="002234A3"/>
    <w:rsid w:val="00223517"/>
    <w:rsid w:val="00223544"/>
    <w:rsid w:val="0022377C"/>
    <w:rsid w:val="00223792"/>
    <w:rsid w:val="002238FF"/>
    <w:rsid w:val="00223936"/>
    <w:rsid w:val="00223AED"/>
    <w:rsid w:val="00223D07"/>
    <w:rsid w:val="0022416E"/>
    <w:rsid w:val="00224405"/>
    <w:rsid w:val="002245FE"/>
    <w:rsid w:val="00224817"/>
    <w:rsid w:val="00224FC9"/>
    <w:rsid w:val="002250DB"/>
    <w:rsid w:val="002252E7"/>
    <w:rsid w:val="002255F0"/>
    <w:rsid w:val="00225ADB"/>
    <w:rsid w:val="00225C0E"/>
    <w:rsid w:val="00225CC3"/>
    <w:rsid w:val="00225D1A"/>
    <w:rsid w:val="00226197"/>
    <w:rsid w:val="002262AD"/>
    <w:rsid w:val="00226482"/>
    <w:rsid w:val="002264CE"/>
    <w:rsid w:val="00226573"/>
    <w:rsid w:val="00226787"/>
    <w:rsid w:val="00226844"/>
    <w:rsid w:val="00226B48"/>
    <w:rsid w:val="00226D33"/>
    <w:rsid w:val="00226EB2"/>
    <w:rsid w:val="00226F98"/>
    <w:rsid w:val="002272C9"/>
    <w:rsid w:val="002272CB"/>
    <w:rsid w:val="002275D2"/>
    <w:rsid w:val="00227692"/>
    <w:rsid w:val="00227813"/>
    <w:rsid w:val="002279B9"/>
    <w:rsid w:val="00227A5C"/>
    <w:rsid w:val="00227CBE"/>
    <w:rsid w:val="00227EE8"/>
    <w:rsid w:val="00230154"/>
    <w:rsid w:val="002302DD"/>
    <w:rsid w:val="0023033C"/>
    <w:rsid w:val="0023043C"/>
    <w:rsid w:val="00230682"/>
    <w:rsid w:val="00230684"/>
    <w:rsid w:val="0023091F"/>
    <w:rsid w:val="00230957"/>
    <w:rsid w:val="00230AD8"/>
    <w:rsid w:val="00230D09"/>
    <w:rsid w:val="00230D87"/>
    <w:rsid w:val="00230DAC"/>
    <w:rsid w:val="00230E90"/>
    <w:rsid w:val="00230F67"/>
    <w:rsid w:val="0023105B"/>
    <w:rsid w:val="002311C7"/>
    <w:rsid w:val="00231983"/>
    <w:rsid w:val="00231B9C"/>
    <w:rsid w:val="00231E2F"/>
    <w:rsid w:val="002322D7"/>
    <w:rsid w:val="0023231A"/>
    <w:rsid w:val="00232757"/>
    <w:rsid w:val="002328A5"/>
    <w:rsid w:val="00232978"/>
    <w:rsid w:val="00232A6E"/>
    <w:rsid w:val="00232AFC"/>
    <w:rsid w:val="00232C95"/>
    <w:rsid w:val="00232D1A"/>
    <w:rsid w:val="00232E28"/>
    <w:rsid w:val="00232EF5"/>
    <w:rsid w:val="00232FAC"/>
    <w:rsid w:val="00232FC3"/>
    <w:rsid w:val="0023326B"/>
    <w:rsid w:val="00233503"/>
    <w:rsid w:val="0023371C"/>
    <w:rsid w:val="0023380D"/>
    <w:rsid w:val="00233846"/>
    <w:rsid w:val="00233950"/>
    <w:rsid w:val="00233A4E"/>
    <w:rsid w:val="00233AC2"/>
    <w:rsid w:val="00233B93"/>
    <w:rsid w:val="00233B9C"/>
    <w:rsid w:val="00233FD7"/>
    <w:rsid w:val="002340B8"/>
    <w:rsid w:val="00234246"/>
    <w:rsid w:val="00234727"/>
    <w:rsid w:val="0023478F"/>
    <w:rsid w:val="0023493F"/>
    <w:rsid w:val="002349E3"/>
    <w:rsid w:val="00234A9D"/>
    <w:rsid w:val="00234AD5"/>
    <w:rsid w:val="00234BB1"/>
    <w:rsid w:val="00234D86"/>
    <w:rsid w:val="00234E81"/>
    <w:rsid w:val="002352A4"/>
    <w:rsid w:val="00235318"/>
    <w:rsid w:val="00235601"/>
    <w:rsid w:val="00235621"/>
    <w:rsid w:val="00235781"/>
    <w:rsid w:val="002357FE"/>
    <w:rsid w:val="00235847"/>
    <w:rsid w:val="002359E9"/>
    <w:rsid w:val="00235A72"/>
    <w:rsid w:val="00235A9A"/>
    <w:rsid w:val="00235AE4"/>
    <w:rsid w:val="00235BA3"/>
    <w:rsid w:val="00235CA0"/>
    <w:rsid w:val="0023657D"/>
    <w:rsid w:val="002365DF"/>
    <w:rsid w:val="002365ED"/>
    <w:rsid w:val="00236C13"/>
    <w:rsid w:val="00236CCC"/>
    <w:rsid w:val="00237105"/>
    <w:rsid w:val="00237710"/>
    <w:rsid w:val="00237A9A"/>
    <w:rsid w:val="00237B4D"/>
    <w:rsid w:val="00237B51"/>
    <w:rsid w:val="00237FDE"/>
    <w:rsid w:val="00240097"/>
    <w:rsid w:val="002404D3"/>
    <w:rsid w:val="002407E9"/>
    <w:rsid w:val="00240B48"/>
    <w:rsid w:val="00240BD2"/>
    <w:rsid w:val="00240BEA"/>
    <w:rsid w:val="00240BEF"/>
    <w:rsid w:val="00241043"/>
    <w:rsid w:val="002410DF"/>
    <w:rsid w:val="002412A3"/>
    <w:rsid w:val="0024137E"/>
    <w:rsid w:val="002417F3"/>
    <w:rsid w:val="002419B0"/>
    <w:rsid w:val="00241AA0"/>
    <w:rsid w:val="00241C50"/>
    <w:rsid w:val="00241CDE"/>
    <w:rsid w:val="00241E14"/>
    <w:rsid w:val="00241E4D"/>
    <w:rsid w:val="00241E6A"/>
    <w:rsid w:val="00242276"/>
    <w:rsid w:val="002423EF"/>
    <w:rsid w:val="00242545"/>
    <w:rsid w:val="00242570"/>
    <w:rsid w:val="00242598"/>
    <w:rsid w:val="002425BA"/>
    <w:rsid w:val="00242637"/>
    <w:rsid w:val="00242B1C"/>
    <w:rsid w:val="00242D1A"/>
    <w:rsid w:val="00242D93"/>
    <w:rsid w:val="00243384"/>
    <w:rsid w:val="002433D1"/>
    <w:rsid w:val="002433FA"/>
    <w:rsid w:val="0024346B"/>
    <w:rsid w:val="002434AD"/>
    <w:rsid w:val="002435EF"/>
    <w:rsid w:val="002436D5"/>
    <w:rsid w:val="002436EE"/>
    <w:rsid w:val="00243AEC"/>
    <w:rsid w:val="00244157"/>
    <w:rsid w:val="0024424D"/>
    <w:rsid w:val="00244305"/>
    <w:rsid w:val="002443CE"/>
    <w:rsid w:val="00244401"/>
    <w:rsid w:val="00244495"/>
    <w:rsid w:val="002444A1"/>
    <w:rsid w:val="00244538"/>
    <w:rsid w:val="002447CA"/>
    <w:rsid w:val="00244B1A"/>
    <w:rsid w:val="00244CAB"/>
    <w:rsid w:val="00244CB2"/>
    <w:rsid w:val="00245028"/>
    <w:rsid w:val="00245192"/>
    <w:rsid w:val="002452A1"/>
    <w:rsid w:val="0024551C"/>
    <w:rsid w:val="0024553D"/>
    <w:rsid w:val="0024566A"/>
    <w:rsid w:val="00245731"/>
    <w:rsid w:val="00245889"/>
    <w:rsid w:val="00245940"/>
    <w:rsid w:val="00245BBE"/>
    <w:rsid w:val="00245C46"/>
    <w:rsid w:val="00245C98"/>
    <w:rsid w:val="00245E35"/>
    <w:rsid w:val="00245E9B"/>
    <w:rsid w:val="00246039"/>
    <w:rsid w:val="002460AA"/>
    <w:rsid w:val="002463CF"/>
    <w:rsid w:val="0024666C"/>
    <w:rsid w:val="00246944"/>
    <w:rsid w:val="00246D44"/>
    <w:rsid w:val="0024714F"/>
    <w:rsid w:val="00247476"/>
    <w:rsid w:val="00247700"/>
    <w:rsid w:val="00247718"/>
    <w:rsid w:val="00247D99"/>
    <w:rsid w:val="00247DEC"/>
    <w:rsid w:val="00247EAB"/>
    <w:rsid w:val="00247FB5"/>
    <w:rsid w:val="00247FF4"/>
    <w:rsid w:val="002500E5"/>
    <w:rsid w:val="00250247"/>
    <w:rsid w:val="0025043E"/>
    <w:rsid w:val="00250494"/>
    <w:rsid w:val="00250809"/>
    <w:rsid w:val="00250B37"/>
    <w:rsid w:val="00250C32"/>
    <w:rsid w:val="00250E6F"/>
    <w:rsid w:val="00250EAC"/>
    <w:rsid w:val="0025109A"/>
    <w:rsid w:val="00251255"/>
    <w:rsid w:val="002515B3"/>
    <w:rsid w:val="0025183E"/>
    <w:rsid w:val="00251A11"/>
    <w:rsid w:val="00251B45"/>
    <w:rsid w:val="00251B78"/>
    <w:rsid w:val="00251D73"/>
    <w:rsid w:val="00251DA4"/>
    <w:rsid w:val="00251EA5"/>
    <w:rsid w:val="002522E6"/>
    <w:rsid w:val="002524F9"/>
    <w:rsid w:val="0025263B"/>
    <w:rsid w:val="0025263F"/>
    <w:rsid w:val="002526D0"/>
    <w:rsid w:val="00252EDD"/>
    <w:rsid w:val="00252F62"/>
    <w:rsid w:val="00252F97"/>
    <w:rsid w:val="00253294"/>
    <w:rsid w:val="002532ED"/>
    <w:rsid w:val="00253635"/>
    <w:rsid w:val="00253652"/>
    <w:rsid w:val="002536D3"/>
    <w:rsid w:val="002536DF"/>
    <w:rsid w:val="0025374D"/>
    <w:rsid w:val="002538FB"/>
    <w:rsid w:val="002539B0"/>
    <w:rsid w:val="00253CE2"/>
    <w:rsid w:val="00253E2A"/>
    <w:rsid w:val="00253FEF"/>
    <w:rsid w:val="00254481"/>
    <w:rsid w:val="002544C2"/>
    <w:rsid w:val="002544E5"/>
    <w:rsid w:val="002545E4"/>
    <w:rsid w:val="002548B4"/>
    <w:rsid w:val="002549B1"/>
    <w:rsid w:val="00254CA4"/>
    <w:rsid w:val="00254CED"/>
    <w:rsid w:val="0025509E"/>
    <w:rsid w:val="00255124"/>
    <w:rsid w:val="0025513B"/>
    <w:rsid w:val="0025519B"/>
    <w:rsid w:val="002554D1"/>
    <w:rsid w:val="002558D8"/>
    <w:rsid w:val="002559D3"/>
    <w:rsid w:val="00255A22"/>
    <w:rsid w:val="00255A3C"/>
    <w:rsid w:val="00255CC3"/>
    <w:rsid w:val="00255FF0"/>
    <w:rsid w:val="002563CB"/>
    <w:rsid w:val="002566CB"/>
    <w:rsid w:val="00256841"/>
    <w:rsid w:val="0025698D"/>
    <w:rsid w:val="00256C7F"/>
    <w:rsid w:val="00256D1A"/>
    <w:rsid w:val="00256E89"/>
    <w:rsid w:val="00256F7D"/>
    <w:rsid w:val="00256F88"/>
    <w:rsid w:val="00257389"/>
    <w:rsid w:val="00257746"/>
    <w:rsid w:val="00257ADB"/>
    <w:rsid w:val="00257AE8"/>
    <w:rsid w:val="00257BE6"/>
    <w:rsid w:val="00260081"/>
    <w:rsid w:val="00260082"/>
    <w:rsid w:val="00260320"/>
    <w:rsid w:val="002604FA"/>
    <w:rsid w:val="0026065D"/>
    <w:rsid w:val="00260765"/>
    <w:rsid w:val="002609FB"/>
    <w:rsid w:val="00260B97"/>
    <w:rsid w:val="00260D51"/>
    <w:rsid w:val="00261236"/>
    <w:rsid w:val="002617C4"/>
    <w:rsid w:val="00261893"/>
    <w:rsid w:val="00261978"/>
    <w:rsid w:val="00261BA4"/>
    <w:rsid w:val="00261CA6"/>
    <w:rsid w:val="00261D5B"/>
    <w:rsid w:val="00261D76"/>
    <w:rsid w:val="00261FF9"/>
    <w:rsid w:val="00262031"/>
    <w:rsid w:val="0026239B"/>
    <w:rsid w:val="0026244A"/>
    <w:rsid w:val="002625A4"/>
    <w:rsid w:val="002626E2"/>
    <w:rsid w:val="0026279E"/>
    <w:rsid w:val="00262D0E"/>
    <w:rsid w:val="00263BD5"/>
    <w:rsid w:val="00263BE5"/>
    <w:rsid w:val="00263D0E"/>
    <w:rsid w:val="00263E21"/>
    <w:rsid w:val="00264016"/>
    <w:rsid w:val="0026413B"/>
    <w:rsid w:val="0026417A"/>
    <w:rsid w:val="0026429F"/>
    <w:rsid w:val="0026454E"/>
    <w:rsid w:val="0026456A"/>
    <w:rsid w:val="002645A2"/>
    <w:rsid w:val="002645BD"/>
    <w:rsid w:val="002645CF"/>
    <w:rsid w:val="00264641"/>
    <w:rsid w:val="00264E96"/>
    <w:rsid w:val="00264EBD"/>
    <w:rsid w:val="00264F41"/>
    <w:rsid w:val="00264FB0"/>
    <w:rsid w:val="0026510D"/>
    <w:rsid w:val="002651EC"/>
    <w:rsid w:val="00265274"/>
    <w:rsid w:val="00265443"/>
    <w:rsid w:val="00265832"/>
    <w:rsid w:val="002659E0"/>
    <w:rsid w:val="0026605D"/>
    <w:rsid w:val="002661A6"/>
    <w:rsid w:val="00266244"/>
    <w:rsid w:val="0026643D"/>
    <w:rsid w:val="00266A66"/>
    <w:rsid w:val="00266A9C"/>
    <w:rsid w:val="00266C11"/>
    <w:rsid w:val="00266C35"/>
    <w:rsid w:val="00266D25"/>
    <w:rsid w:val="00266D98"/>
    <w:rsid w:val="00266DA0"/>
    <w:rsid w:val="00266E1F"/>
    <w:rsid w:val="00266F76"/>
    <w:rsid w:val="0026753A"/>
    <w:rsid w:val="002677ED"/>
    <w:rsid w:val="00267833"/>
    <w:rsid w:val="00267983"/>
    <w:rsid w:val="00267CE8"/>
    <w:rsid w:val="00267D92"/>
    <w:rsid w:val="00267E6A"/>
    <w:rsid w:val="00267F8A"/>
    <w:rsid w:val="00270574"/>
    <w:rsid w:val="00270859"/>
    <w:rsid w:val="00270895"/>
    <w:rsid w:val="00270CDB"/>
    <w:rsid w:val="00270D4F"/>
    <w:rsid w:val="00270EB7"/>
    <w:rsid w:val="00271340"/>
    <w:rsid w:val="002714D1"/>
    <w:rsid w:val="00271506"/>
    <w:rsid w:val="0027157D"/>
    <w:rsid w:val="002715F8"/>
    <w:rsid w:val="002717B7"/>
    <w:rsid w:val="002717FA"/>
    <w:rsid w:val="0027191E"/>
    <w:rsid w:val="002719C4"/>
    <w:rsid w:val="00271D6A"/>
    <w:rsid w:val="00271E27"/>
    <w:rsid w:val="00271F52"/>
    <w:rsid w:val="00272244"/>
    <w:rsid w:val="00272427"/>
    <w:rsid w:val="00272529"/>
    <w:rsid w:val="0027283C"/>
    <w:rsid w:val="00272A8F"/>
    <w:rsid w:val="00272B81"/>
    <w:rsid w:val="00272D67"/>
    <w:rsid w:val="00273136"/>
    <w:rsid w:val="0027330F"/>
    <w:rsid w:val="00273345"/>
    <w:rsid w:val="00273633"/>
    <w:rsid w:val="002736ED"/>
    <w:rsid w:val="00273785"/>
    <w:rsid w:val="00273F15"/>
    <w:rsid w:val="00273F43"/>
    <w:rsid w:val="00273F57"/>
    <w:rsid w:val="00274013"/>
    <w:rsid w:val="00274095"/>
    <w:rsid w:val="00274243"/>
    <w:rsid w:val="002742D2"/>
    <w:rsid w:val="00274884"/>
    <w:rsid w:val="00274895"/>
    <w:rsid w:val="00274D2A"/>
    <w:rsid w:val="00274FB3"/>
    <w:rsid w:val="002750CF"/>
    <w:rsid w:val="00275337"/>
    <w:rsid w:val="002753EF"/>
    <w:rsid w:val="002756D1"/>
    <w:rsid w:val="002758F2"/>
    <w:rsid w:val="00275A80"/>
    <w:rsid w:val="00275CB5"/>
    <w:rsid w:val="00275E92"/>
    <w:rsid w:val="00275FF0"/>
    <w:rsid w:val="00276473"/>
    <w:rsid w:val="002764A1"/>
    <w:rsid w:val="002766DB"/>
    <w:rsid w:val="00276830"/>
    <w:rsid w:val="0027695E"/>
    <w:rsid w:val="00276B32"/>
    <w:rsid w:val="00276BB9"/>
    <w:rsid w:val="002770C8"/>
    <w:rsid w:val="00277495"/>
    <w:rsid w:val="00277702"/>
    <w:rsid w:val="0027785E"/>
    <w:rsid w:val="00277AD3"/>
    <w:rsid w:val="00277ADE"/>
    <w:rsid w:val="00277BD9"/>
    <w:rsid w:val="00277C99"/>
    <w:rsid w:val="00277D25"/>
    <w:rsid w:val="00277E6D"/>
    <w:rsid w:val="00277F7C"/>
    <w:rsid w:val="002800B3"/>
    <w:rsid w:val="00280110"/>
    <w:rsid w:val="0028013B"/>
    <w:rsid w:val="00280260"/>
    <w:rsid w:val="00280289"/>
    <w:rsid w:val="002803C3"/>
    <w:rsid w:val="00280445"/>
    <w:rsid w:val="00280563"/>
    <w:rsid w:val="002805FC"/>
    <w:rsid w:val="00280624"/>
    <w:rsid w:val="002806CE"/>
    <w:rsid w:val="0028075C"/>
    <w:rsid w:val="002807E1"/>
    <w:rsid w:val="00280966"/>
    <w:rsid w:val="00280A33"/>
    <w:rsid w:val="00280ACC"/>
    <w:rsid w:val="00280DA0"/>
    <w:rsid w:val="00280E76"/>
    <w:rsid w:val="00280EC1"/>
    <w:rsid w:val="0028106F"/>
    <w:rsid w:val="00281124"/>
    <w:rsid w:val="00281664"/>
    <w:rsid w:val="002817D7"/>
    <w:rsid w:val="00281920"/>
    <w:rsid w:val="00281BB2"/>
    <w:rsid w:val="00281DB0"/>
    <w:rsid w:val="00281FF3"/>
    <w:rsid w:val="00282051"/>
    <w:rsid w:val="00282199"/>
    <w:rsid w:val="00282235"/>
    <w:rsid w:val="0028257F"/>
    <w:rsid w:val="00282602"/>
    <w:rsid w:val="002826A3"/>
    <w:rsid w:val="002828C2"/>
    <w:rsid w:val="00282937"/>
    <w:rsid w:val="00282943"/>
    <w:rsid w:val="00282960"/>
    <w:rsid w:val="00282A02"/>
    <w:rsid w:val="00282B10"/>
    <w:rsid w:val="00282D8E"/>
    <w:rsid w:val="002832C2"/>
    <w:rsid w:val="002833EE"/>
    <w:rsid w:val="002835CB"/>
    <w:rsid w:val="00283796"/>
    <w:rsid w:val="00283D51"/>
    <w:rsid w:val="0028409A"/>
    <w:rsid w:val="00284114"/>
    <w:rsid w:val="002842B2"/>
    <w:rsid w:val="0028434C"/>
    <w:rsid w:val="00284407"/>
    <w:rsid w:val="00284558"/>
    <w:rsid w:val="0028468A"/>
    <w:rsid w:val="002846BC"/>
    <w:rsid w:val="00284731"/>
    <w:rsid w:val="002847A0"/>
    <w:rsid w:val="002847A7"/>
    <w:rsid w:val="00284939"/>
    <w:rsid w:val="00284C36"/>
    <w:rsid w:val="00284F1F"/>
    <w:rsid w:val="00284F3D"/>
    <w:rsid w:val="00284F68"/>
    <w:rsid w:val="002851ED"/>
    <w:rsid w:val="002852A7"/>
    <w:rsid w:val="002852DD"/>
    <w:rsid w:val="00285468"/>
    <w:rsid w:val="00285560"/>
    <w:rsid w:val="002859DC"/>
    <w:rsid w:val="00285B0D"/>
    <w:rsid w:val="00285DD3"/>
    <w:rsid w:val="00285DF3"/>
    <w:rsid w:val="00285E27"/>
    <w:rsid w:val="00285F67"/>
    <w:rsid w:val="00286189"/>
    <w:rsid w:val="002863A0"/>
    <w:rsid w:val="00286B13"/>
    <w:rsid w:val="00286F36"/>
    <w:rsid w:val="00286F83"/>
    <w:rsid w:val="0028712A"/>
    <w:rsid w:val="00287299"/>
    <w:rsid w:val="002872EE"/>
    <w:rsid w:val="00287359"/>
    <w:rsid w:val="0028744A"/>
    <w:rsid w:val="0028745D"/>
    <w:rsid w:val="002874C7"/>
    <w:rsid w:val="002874FA"/>
    <w:rsid w:val="002876EC"/>
    <w:rsid w:val="002876FC"/>
    <w:rsid w:val="00287805"/>
    <w:rsid w:val="002878FE"/>
    <w:rsid w:val="002879D1"/>
    <w:rsid w:val="00287C61"/>
    <w:rsid w:val="00287C78"/>
    <w:rsid w:val="00287CAE"/>
    <w:rsid w:val="00287CBC"/>
    <w:rsid w:val="00287CD5"/>
    <w:rsid w:val="00287CE7"/>
    <w:rsid w:val="0029034E"/>
    <w:rsid w:val="00290590"/>
    <w:rsid w:val="002909A3"/>
    <w:rsid w:val="00290AAA"/>
    <w:rsid w:val="00290BAD"/>
    <w:rsid w:val="00290C4B"/>
    <w:rsid w:val="00290D75"/>
    <w:rsid w:val="00291421"/>
    <w:rsid w:val="00291511"/>
    <w:rsid w:val="0029189C"/>
    <w:rsid w:val="0029194E"/>
    <w:rsid w:val="00291BE0"/>
    <w:rsid w:val="00291C83"/>
    <w:rsid w:val="0029211F"/>
    <w:rsid w:val="002922A9"/>
    <w:rsid w:val="002925E6"/>
    <w:rsid w:val="00292668"/>
    <w:rsid w:val="002928FE"/>
    <w:rsid w:val="00292D26"/>
    <w:rsid w:val="00292DD7"/>
    <w:rsid w:val="00292E54"/>
    <w:rsid w:val="00292E7E"/>
    <w:rsid w:val="00292E98"/>
    <w:rsid w:val="00292E9D"/>
    <w:rsid w:val="00292F0E"/>
    <w:rsid w:val="002931B6"/>
    <w:rsid w:val="002932A1"/>
    <w:rsid w:val="0029345E"/>
    <w:rsid w:val="00293681"/>
    <w:rsid w:val="002938A2"/>
    <w:rsid w:val="002938A3"/>
    <w:rsid w:val="0029392F"/>
    <w:rsid w:val="0029396B"/>
    <w:rsid w:val="00293B01"/>
    <w:rsid w:val="00293D5F"/>
    <w:rsid w:val="0029406D"/>
    <w:rsid w:val="002941AE"/>
    <w:rsid w:val="002941BB"/>
    <w:rsid w:val="00294367"/>
    <w:rsid w:val="00294505"/>
    <w:rsid w:val="0029469F"/>
    <w:rsid w:val="00294833"/>
    <w:rsid w:val="0029487C"/>
    <w:rsid w:val="00294988"/>
    <w:rsid w:val="00294D12"/>
    <w:rsid w:val="00294E26"/>
    <w:rsid w:val="00294FEE"/>
    <w:rsid w:val="00295017"/>
    <w:rsid w:val="00295112"/>
    <w:rsid w:val="002952FA"/>
    <w:rsid w:val="00295373"/>
    <w:rsid w:val="002954A6"/>
    <w:rsid w:val="0029562A"/>
    <w:rsid w:val="00295682"/>
    <w:rsid w:val="002959B2"/>
    <w:rsid w:val="00295A6C"/>
    <w:rsid w:val="00295AD0"/>
    <w:rsid w:val="00295B03"/>
    <w:rsid w:val="00295C7E"/>
    <w:rsid w:val="0029600C"/>
    <w:rsid w:val="002968A3"/>
    <w:rsid w:val="002968BC"/>
    <w:rsid w:val="0029691D"/>
    <w:rsid w:val="00296A2C"/>
    <w:rsid w:val="00296DDB"/>
    <w:rsid w:val="002970F8"/>
    <w:rsid w:val="0029723E"/>
    <w:rsid w:val="00297365"/>
    <w:rsid w:val="00297441"/>
    <w:rsid w:val="00297661"/>
    <w:rsid w:val="002977C0"/>
    <w:rsid w:val="00297881"/>
    <w:rsid w:val="00297ACA"/>
    <w:rsid w:val="00297BB0"/>
    <w:rsid w:val="00297DCC"/>
    <w:rsid w:val="00297FB2"/>
    <w:rsid w:val="002A00A8"/>
    <w:rsid w:val="002A04AB"/>
    <w:rsid w:val="002A0553"/>
    <w:rsid w:val="002A06A1"/>
    <w:rsid w:val="002A06AB"/>
    <w:rsid w:val="002A08F8"/>
    <w:rsid w:val="002A0A3B"/>
    <w:rsid w:val="002A0B42"/>
    <w:rsid w:val="002A0B73"/>
    <w:rsid w:val="002A0FB7"/>
    <w:rsid w:val="002A0FE9"/>
    <w:rsid w:val="002A106F"/>
    <w:rsid w:val="002A123B"/>
    <w:rsid w:val="002A1407"/>
    <w:rsid w:val="002A158D"/>
    <w:rsid w:val="002A16A0"/>
    <w:rsid w:val="002A18FD"/>
    <w:rsid w:val="002A1A04"/>
    <w:rsid w:val="002A1AED"/>
    <w:rsid w:val="002A1B0E"/>
    <w:rsid w:val="002A1B21"/>
    <w:rsid w:val="002A1B63"/>
    <w:rsid w:val="002A1ECA"/>
    <w:rsid w:val="002A21D4"/>
    <w:rsid w:val="002A2272"/>
    <w:rsid w:val="002A230D"/>
    <w:rsid w:val="002A2630"/>
    <w:rsid w:val="002A26C5"/>
    <w:rsid w:val="002A2824"/>
    <w:rsid w:val="002A282E"/>
    <w:rsid w:val="002A2901"/>
    <w:rsid w:val="002A2923"/>
    <w:rsid w:val="002A2C62"/>
    <w:rsid w:val="002A2C77"/>
    <w:rsid w:val="002A33E0"/>
    <w:rsid w:val="002A358C"/>
    <w:rsid w:val="002A3AF2"/>
    <w:rsid w:val="002A3B96"/>
    <w:rsid w:val="002A3D74"/>
    <w:rsid w:val="002A3EA5"/>
    <w:rsid w:val="002A401C"/>
    <w:rsid w:val="002A4319"/>
    <w:rsid w:val="002A437C"/>
    <w:rsid w:val="002A4413"/>
    <w:rsid w:val="002A45F5"/>
    <w:rsid w:val="002A46C5"/>
    <w:rsid w:val="002A4842"/>
    <w:rsid w:val="002A4B3C"/>
    <w:rsid w:val="002A509E"/>
    <w:rsid w:val="002A5608"/>
    <w:rsid w:val="002A5646"/>
    <w:rsid w:val="002A5937"/>
    <w:rsid w:val="002A59AB"/>
    <w:rsid w:val="002A5B0C"/>
    <w:rsid w:val="002A5B7A"/>
    <w:rsid w:val="002A5C88"/>
    <w:rsid w:val="002A5CBC"/>
    <w:rsid w:val="002A5ED7"/>
    <w:rsid w:val="002A606D"/>
    <w:rsid w:val="002A62B7"/>
    <w:rsid w:val="002A641E"/>
    <w:rsid w:val="002A67C8"/>
    <w:rsid w:val="002A6908"/>
    <w:rsid w:val="002A6B7E"/>
    <w:rsid w:val="002A6BE6"/>
    <w:rsid w:val="002A6C60"/>
    <w:rsid w:val="002A6D05"/>
    <w:rsid w:val="002A728F"/>
    <w:rsid w:val="002A72DC"/>
    <w:rsid w:val="002A7413"/>
    <w:rsid w:val="002A7792"/>
    <w:rsid w:val="002A7912"/>
    <w:rsid w:val="002A7A78"/>
    <w:rsid w:val="002A7BC7"/>
    <w:rsid w:val="002A7C03"/>
    <w:rsid w:val="002A7EAD"/>
    <w:rsid w:val="002A7FD7"/>
    <w:rsid w:val="002B04B2"/>
    <w:rsid w:val="002B05F8"/>
    <w:rsid w:val="002B0860"/>
    <w:rsid w:val="002B095F"/>
    <w:rsid w:val="002B0984"/>
    <w:rsid w:val="002B0BB9"/>
    <w:rsid w:val="002B0F38"/>
    <w:rsid w:val="002B1117"/>
    <w:rsid w:val="002B1179"/>
    <w:rsid w:val="002B16EE"/>
    <w:rsid w:val="002B1AB1"/>
    <w:rsid w:val="002B1C9F"/>
    <w:rsid w:val="002B21C6"/>
    <w:rsid w:val="002B25BE"/>
    <w:rsid w:val="002B25D6"/>
    <w:rsid w:val="002B2938"/>
    <w:rsid w:val="002B2DA3"/>
    <w:rsid w:val="002B3439"/>
    <w:rsid w:val="002B3738"/>
    <w:rsid w:val="002B39C1"/>
    <w:rsid w:val="002B39D4"/>
    <w:rsid w:val="002B3FC1"/>
    <w:rsid w:val="002B41A9"/>
    <w:rsid w:val="002B42D1"/>
    <w:rsid w:val="002B4368"/>
    <w:rsid w:val="002B4432"/>
    <w:rsid w:val="002B44FE"/>
    <w:rsid w:val="002B45B7"/>
    <w:rsid w:val="002B4636"/>
    <w:rsid w:val="002B4638"/>
    <w:rsid w:val="002B4C3D"/>
    <w:rsid w:val="002B4DB5"/>
    <w:rsid w:val="002B4F4E"/>
    <w:rsid w:val="002B4F87"/>
    <w:rsid w:val="002B4FEF"/>
    <w:rsid w:val="002B51BF"/>
    <w:rsid w:val="002B54E3"/>
    <w:rsid w:val="002B5574"/>
    <w:rsid w:val="002B5885"/>
    <w:rsid w:val="002B5DB8"/>
    <w:rsid w:val="002B5DED"/>
    <w:rsid w:val="002B5E39"/>
    <w:rsid w:val="002B5F28"/>
    <w:rsid w:val="002B606F"/>
    <w:rsid w:val="002B6097"/>
    <w:rsid w:val="002B60BD"/>
    <w:rsid w:val="002B60D8"/>
    <w:rsid w:val="002B6118"/>
    <w:rsid w:val="002B61A6"/>
    <w:rsid w:val="002B61E8"/>
    <w:rsid w:val="002B6261"/>
    <w:rsid w:val="002B6447"/>
    <w:rsid w:val="002B6522"/>
    <w:rsid w:val="002B678F"/>
    <w:rsid w:val="002B6A94"/>
    <w:rsid w:val="002B6C9D"/>
    <w:rsid w:val="002B6CA9"/>
    <w:rsid w:val="002B6D88"/>
    <w:rsid w:val="002B6FEC"/>
    <w:rsid w:val="002B7036"/>
    <w:rsid w:val="002B72B7"/>
    <w:rsid w:val="002B7316"/>
    <w:rsid w:val="002B7352"/>
    <w:rsid w:val="002B74A4"/>
    <w:rsid w:val="002B762C"/>
    <w:rsid w:val="002B76A1"/>
    <w:rsid w:val="002B778A"/>
    <w:rsid w:val="002B77AA"/>
    <w:rsid w:val="002C002E"/>
    <w:rsid w:val="002C0090"/>
    <w:rsid w:val="002C00BD"/>
    <w:rsid w:val="002C015E"/>
    <w:rsid w:val="002C039E"/>
    <w:rsid w:val="002C03E5"/>
    <w:rsid w:val="002C069C"/>
    <w:rsid w:val="002C07B6"/>
    <w:rsid w:val="002C08D9"/>
    <w:rsid w:val="002C08F2"/>
    <w:rsid w:val="002C0A07"/>
    <w:rsid w:val="002C0B83"/>
    <w:rsid w:val="002C108F"/>
    <w:rsid w:val="002C1245"/>
    <w:rsid w:val="002C1469"/>
    <w:rsid w:val="002C155D"/>
    <w:rsid w:val="002C15CA"/>
    <w:rsid w:val="002C16F9"/>
    <w:rsid w:val="002C1AE3"/>
    <w:rsid w:val="002C2037"/>
    <w:rsid w:val="002C22F7"/>
    <w:rsid w:val="002C2320"/>
    <w:rsid w:val="002C23ED"/>
    <w:rsid w:val="002C271C"/>
    <w:rsid w:val="002C29C7"/>
    <w:rsid w:val="002C29CA"/>
    <w:rsid w:val="002C2BCB"/>
    <w:rsid w:val="002C2BEE"/>
    <w:rsid w:val="002C348D"/>
    <w:rsid w:val="002C388F"/>
    <w:rsid w:val="002C3A4D"/>
    <w:rsid w:val="002C3B8B"/>
    <w:rsid w:val="002C3BCC"/>
    <w:rsid w:val="002C3BF2"/>
    <w:rsid w:val="002C3D6D"/>
    <w:rsid w:val="002C414C"/>
    <w:rsid w:val="002C42F8"/>
    <w:rsid w:val="002C43F4"/>
    <w:rsid w:val="002C44D1"/>
    <w:rsid w:val="002C46A3"/>
    <w:rsid w:val="002C46A6"/>
    <w:rsid w:val="002C48EB"/>
    <w:rsid w:val="002C4B13"/>
    <w:rsid w:val="002C4BE5"/>
    <w:rsid w:val="002C4EF7"/>
    <w:rsid w:val="002C51CB"/>
    <w:rsid w:val="002C5215"/>
    <w:rsid w:val="002C5494"/>
    <w:rsid w:val="002C54D7"/>
    <w:rsid w:val="002C54F5"/>
    <w:rsid w:val="002C55E8"/>
    <w:rsid w:val="002C55ED"/>
    <w:rsid w:val="002C58AB"/>
    <w:rsid w:val="002C5982"/>
    <w:rsid w:val="002C5AA5"/>
    <w:rsid w:val="002C5CD0"/>
    <w:rsid w:val="002C60B6"/>
    <w:rsid w:val="002C60DF"/>
    <w:rsid w:val="002C61D2"/>
    <w:rsid w:val="002C63E8"/>
    <w:rsid w:val="002C6424"/>
    <w:rsid w:val="002C646B"/>
    <w:rsid w:val="002C6567"/>
    <w:rsid w:val="002C65AA"/>
    <w:rsid w:val="002C671A"/>
    <w:rsid w:val="002C6774"/>
    <w:rsid w:val="002C6D93"/>
    <w:rsid w:val="002C6EEA"/>
    <w:rsid w:val="002C6F88"/>
    <w:rsid w:val="002C715B"/>
    <w:rsid w:val="002C770A"/>
    <w:rsid w:val="002C786C"/>
    <w:rsid w:val="002C7ABF"/>
    <w:rsid w:val="002C7BDA"/>
    <w:rsid w:val="002C7C53"/>
    <w:rsid w:val="002C7D16"/>
    <w:rsid w:val="002D0124"/>
    <w:rsid w:val="002D02EF"/>
    <w:rsid w:val="002D0343"/>
    <w:rsid w:val="002D0596"/>
    <w:rsid w:val="002D07EF"/>
    <w:rsid w:val="002D08FB"/>
    <w:rsid w:val="002D0978"/>
    <w:rsid w:val="002D0E28"/>
    <w:rsid w:val="002D1026"/>
    <w:rsid w:val="002D1202"/>
    <w:rsid w:val="002D1279"/>
    <w:rsid w:val="002D14BA"/>
    <w:rsid w:val="002D1536"/>
    <w:rsid w:val="002D19AD"/>
    <w:rsid w:val="002D1B21"/>
    <w:rsid w:val="002D1BB0"/>
    <w:rsid w:val="002D1C12"/>
    <w:rsid w:val="002D1DC6"/>
    <w:rsid w:val="002D1FB3"/>
    <w:rsid w:val="002D207A"/>
    <w:rsid w:val="002D255D"/>
    <w:rsid w:val="002D2602"/>
    <w:rsid w:val="002D292F"/>
    <w:rsid w:val="002D29A9"/>
    <w:rsid w:val="002D2BAA"/>
    <w:rsid w:val="002D2BBE"/>
    <w:rsid w:val="002D2D2B"/>
    <w:rsid w:val="002D2DC7"/>
    <w:rsid w:val="002D2E88"/>
    <w:rsid w:val="002D2EB9"/>
    <w:rsid w:val="002D2F67"/>
    <w:rsid w:val="002D2FE8"/>
    <w:rsid w:val="002D3044"/>
    <w:rsid w:val="002D360F"/>
    <w:rsid w:val="002D367D"/>
    <w:rsid w:val="002D3D9C"/>
    <w:rsid w:val="002D420C"/>
    <w:rsid w:val="002D432A"/>
    <w:rsid w:val="002D434C"/>
    <w:rsid w:val="002D4647"/>
    <w:rsid w:val="002D46F3"/>
    <w:rsid w:val="002D4B3B"/>
    <w:rsid w:val="002D4CA7"/>
    <w:rsid w:val="002D4E0F"/>
    <w:rsid w:val="002D4F05"/>
    <w:rsid w:val="002D5003"/>
    <w:rsid w:val="002D510C"/>
    <w:rsid w:val="002D51D2"/>
    <w:rsid w:val="002D5272"/>
    <w:rsid w:val="002D5376"/>
    <w:rsid w:val="002D5566"/>
    <w:rsid w:val="002D5580"/>
    <w:rsid w:val="002D5674"/>
    <w:rsid w:val="002D5698"/>
    <w:rsid w:val="002D56C6"/>
    <w:rsid w:val="002D56CB"/>
    <w:rsid w:val="002D588D"/>
    <w:rsid w:val="002D598E"/>
    <w:rsid w:val="002D5AB3"/>
    <w:rsid w:val="002D5C67"/>
    <w:rsid w:val="002D5E50"/>
    <w:rsid w:val="002D60DA"/>
    <w:rsid w:val="002D639C"/>
    <w:rsid w:val="002D63DD"/>
    <w:rsid w:val="002D695E"/>
    <w:rsid w:val="002D6B5A"/>
    <w:rsid w:val="002D6E2F"/>
    <w:rsid w:val="002D73BF"/>
    <w:rsid w:val="002D78BF"/>
    <w:rsid w:val="002D7A2A"/>
    <w:rsid w:val="002D7D75"/>
    <w:rsid w:val="002D7E7A"/>
    <w:rsid w:val="002D7F1E"/>
    <w:rsid w:val="002D7FAD"/>
    <w:rsid w:val="002E0102"/>
    <w:rsid w:val="002E015C"/>
    <w:rsid w:val="002E02CC"/>
    <w:rsid w:val="002E04BF"/>
    <w:rsid w:val="002E04E4"/>
    <w:rsid w:val="002E05D5"/>
    <w:rsid w:val="002E06A0"/>
    <w:rsid w:val="002E079D"/>
    <w:rsid w:val="002E0954"/>
    <w:rsid w:val="002E0A0F"/>
    <w:rsid w:val="002E0A7E"/>
    <w:rsid w:val="002E0ACD"/>
    <w:rsid w:val="002E0DAD"/>
    <w:rsid w:val="002E112E"/>
    <w:rsid w:val="002E12AB"/>
    <w:rsid w:val="002E12DD"/>
    <w:rsid w:val="002E1981"/>
    <w:rsid w:val="002E1A62"/>
    <w:rsid w:val="002E1B1E"/>
    <w:rsid w:val="002E1CB9"/>
    <w:rsid w:val="002E1D0C"/>
    <w:rsid w:val="002E2520"/>
    <w:rsid w:val="002E257D"/>
    <w:rsid w:val="002E2615"/>
    <w:rsid w:val="002E2626"/>
    <w:rsid w:val="002E268B"/>
    <w:rsid w:val="002E277D"/>
    <w:rsid w:val="002E29D2"/>
    <w:rsid w:val="002E2ECD"/>
    <w:rsid w:val="002E2EE2"/>
    <w:rsid w:val="002E309B"/>
    <w:rsid w:val="002E3222"/>
    <w:rsid w:val="002E3311"/>
    <w:rsid w:val="002E34EA"/>
    <w:rsid w:val="002E35B2"/>
    <w:rsid w:val="002E372E"/>
    <w:rsid w:val="002E3AC8"/>
    <w:rsid w:val="002E3BB3"/>
    <w:rsid w:val="002E3E91"/>
    <w:rsid w:val="002E3EA3"/>
    <w:rsid w:val="002E40B5"/>
    <w:rsid w:val="002E421E"/>
    <w:rsid w:val="002E43F0"/>
    <w:rsid w:val="002E4440"/>
    <w:rsid w:val="002E4828"/>
    <w:rsid w:val="002E4A3B"/>
    <w:rsid w:val="002E53D5"/>
    <w:rsid w:val="002E5981"/>
    <w:rsid w:val="002E5A1A"/>
    <w:rsid w:val="002E6044"/>
    <w:rsid w:val="002E620F"/>
    <w:rsid w:val="002E62DD"/>
    <w:rsid w:val="002E64FB"/>
    <w:rsid w:val="002E6844"/>
    <w:rsid w:val="002E68A3"/>
    <w:rsid w:val="002E6ACD"/>
    <w:rsid w:val="002E6B6A"/>
    <w:rsid w:val="002E6C27"/>
    <w:rsid w:val="002E6C73"/>
    <w:rsid w:val="002E6E2F"/>
    <w:rsid w:val="002E6EB7"/>
    <w:rsid w:val="002E6EE3"/>
    <w:rsid w:val="002E7258"/>
    <w:rsid w:val="002E7259"/>
    <w:rsid w:val="002E740A"/>
    <w:rsid w:val="002E76CF"/>
    <w:rsid w:val="002E7736"/>
    <w:rsid w:val="002E77D6"/>
    <w:rsid w:val="002E7C82"/>
    <w:rsid w:val="002E7CE3"/>
    <w:rsid w:val="002E7D2D"/>
    <w:rsid w:val="002F017D"/>
    <w:rsid w:val="002F02E6"/>
    <w:rsid w:val="002F0331"/>
    <w:rsid w:val="002F047B"/>
    <w:rsid w:val="002F04B3"/>
    <w:rsid w:val="002F06DF"/>
    <w:rsid w:val="002F074D"/>
    <w:rsid w:val="002F088E"/>
    <w:rsid w:val="002F0BC9"/>
    <w:rsid w:val="002F0D83"/>
    <w:rsid w:val="002F0EA3"/>
    <w:rsid w:val="002F10D6"/>
    <w:rsid w:val="002F1849"/>
    <w:rsid w:val="002F1A8A"/>
    <w:rsid w:val="002F1AD6"/>
    <w:rsid w:val="002F1BCF"/>
    <w:rsid w:val="002F1D21"/>
    <w:rsid w:val="002F1D84"/>
    <w:rsid w:val="002F1DF4"/>
    <w:rsid w:val="002F1E94"/>
    <w:rsid w:val="002F1F8C"/>
    <w:rsid w:val="002F219D"/>
    <w:rsid w:val="002F2260"/>
    <w:rsid w:val="002F23C1"/>
    <w:rsid w:val="002F2575"/>
    <w:rsid w:val="002F293B"/>
    <w:rsid w:val="002F29AA"/>
    <w:rsid w:val="002F2A0C"/>
    <w:rsid w:val="002F2B87"/>
    <w:rsid w:val="002F2CD7"/>
    <w:rsid w:val="002F2E35"/>
    <w:rsid w:val="002F2E6E"/>
    <w:rsid w:val="002F2F5F"/>
    <w:rsid w:val="002F2F61"/>
    <w:rsid w:val="002F2F82"/>
    <w:rsid w:val="002F3081"/>
    <w:rsid w:val="002F311C"/>
    <w:rsid w:val="002F3185"/>
    <w:rsid w:val="002F3198"/>
    <w:rsid w:val="002F328C"/>
    <w:rsid w:val="002F3810"/>
    <w:rsid w:val="002F3828"/>
    <w:rsid w:val="002F3969"/>
    <w:rsid w:val="002F3BE0"/>
    <w:rsid w:val="002F3F07"/>
    <w:rsid w:val="002F3FAF"/>
    <w:rsid w:val="002F4054"/>
    <w:rsid w:val="002F4058"/>
    <w:rsid w:val="002F40F5"/>
    <w:rsid w:val="002F40FB"/>
    <w:rsid w:val="002F4171"/>
    <w:rsid w:val="002F4188"/>
    <w:rsid w:val="002F41BB"/>
    <w:rsid w:val="002F43FA"/>
    <w:rsid w:val="002F44FA"/>
    <w:rsid w:val="002F45ED"/>
    <w:rsid w:val="002F47A5"/>
    <w:rsid w:val="002F4A3E"/>
    <w:rsid w:val="002F4AC6"/>
    <w:rsid w:val="002F4B84"/>
    <w:rsid w:val="002F4BCE"/>
    <w:rsid w:val="002F4D00"/>
    <w:rsid w:val="002F4DCE"/>
    <w:rsid w:val="002F5050"/>
    <w:rsid w:val="002F567C"/>
    <w:rsid w:val="002F5836"/>
    <w:rsid w:val="002F58D9"/>
    <w:rsid w:val="002F5A3D"/>
    <w:rsid w:val="002F5F27"/>
    <w:rsid w:val="002F6468"/>
    <w:rsid w:val="002F695A"/>
    <w:rsid w:val="002F6E3F"/>
    <w:rsid w:val="002F707F"/>
    <w:rsid w:val="002F7163"/>
    <w:rsid w:val="002F7171"/>
    <w:rsid w:val="002F73BD"/>
    <w:rsid w:val="002F73F5"/>
    <w:rsid w:val="002F766B"/>
    <w:rsid w:val="002F77AB"/>
    <w:rsid w:val="002F79E1"/>
    <w:rsid w:val="002F7A7F"/>
    <w:rsid w:val="002F7B17"/>
    <w:rsid w:val="002F7BA0"/>
    <w:rsid w:val="002F7E5A"/>
    <w:rsid w:val="00300091"/>
    <w:rsid w:val="003000F1"/>
    <w:rsid w:val="003001E3"/>
    <w:rsid w:val="0030022A"/>
    <w:rsid w:val="0030066C"/>
    <w:rsid w:val="003006B2"/>
    <w:rsid w:val="003006CC"/>
    <w:rsid w:val="0030087F"/>
    <w:rsid w:val="00300BD5"/>
    <w:rsid w:val="00300C22"/>
    <w:rsid w:val="00300E6F"/>
    <w:rsid w:val="0030101C"/>
    <w:rsid w:val="003013AD"/>
    <w:rsid w:val="003013B5"/>
    <w:rsid w:val="003013C0"/>
    <w:rsid w:val="0030187B"/>
    <w:rsid w:val="003018F5"/>
    <w:rsid w:val="003019B0"/>
    <w:rsid w:val="003019EA"/>
    <w:rsid w:val="00301A1C"/>
    <w:rsid w:val="00301B54"/>
    <w:rsid w:val="00301BD3"/>
    <w:rsid w:val="00301D97"/>
    <w:rsid w:val="00301F2C"/>
    <w:rsid w:val="00301F38"/>
    <w:rsid w:val="00302105"/>
    <w:rsid w:val="00302337"/>
    <w:rsid w:val="00302544"/>
    <w:rsid w:val="00302709"/>
    <w:rsid w:val="00302776"/>
    <w:rsid w:val="00302B2B"/>
    <w:rsid w:val="00302B30"/>
    <w:rsid w:val="00302DC8"/>
    <w:rsid w:val="00302E09"/>
    <w:rsid w:val="00302E13"/>
    <w:rsid w:val="00302FA7"/>
    <w:rsid w:val="00303064"/>
    <w:rsid w:val="003032E8"/>
    <w:rsid w:val="003032FF"/>
    <w:rsid w:val="00303894"/>
    <w:rsid w:val="00303939"/>
    <w:rsid w:val="00303C6B"/>
    <w:rsid w:val="00303C72"/>
    <w:rsid w:val="003040AB"/>
    <w:rsid w:val="00304165"/>
    <w:rsid w:val="003044DE"/>
    <w:rsid w:val="00304571"/>
    <w:rsid w:val="00304655"/>
    <w:rsid w:val="0030466E"/>
    <w:rsid w:val="003046BD"/>
    <w:rsid w:val="003046C8"/>
    <w:rsid w:val="0030475D"/>
    <w:rsid w:val="0030484C"/>
    <w:rsid w:val="00304B99"/>
    <w:rsid w:val="00304E01"/>
    <w:rsid w:val="00304E8C"/>
    <w:rsid w:val="00304FA5"/>
    <w:rsid w:val="00304FB0"/>
    <w:rsid w:val="00305105"/>
    <w:rsid w:val="00305379"/>
    <w:rsid w:val="00305441"/>
    <w:rsid w:val="003056BD"/>
    <w:rsid w:val="003056D1"/>
    <w:rsid w:val="00305771"/>
    <w:rsid w:val="003057C2"/>
    <w:rsid w:val="00305CEC"/>
    <w:rsid w:val="00305FB0"/>
    <w:rsid w:val="0030659B"/>
    <w:rsid w:val="00306760"/>
    <w:rsid w:val="00306851"/>
    <w:rsid w:val="0030688A"/>
    <w:rsid w:val="00306926"/>
    <w:rsid w:val="00306B18"/>
    <w:rsid w:val="00306C55"/>
    <w:rsid w:val="00306E93"/>
    <w:rsid w:val="003070C8"/>
    <w:rsid w:val="00307847"/>
    <w:rsid w:val="00307B81"/>
    <w:rsid w:val="00307E1A"/>
    <w:rsid w:val="00307F52"/>
    <w:rsid w:val="00307FFE"/>
    <w:rsid w:val="003100A7"/>
    <w:rsid w:val="0031012B"/>
    <w:rsid w:val="003103DB"/>
    <w:rsid w:val="0031044C"/>
    <w:rsid w:val="00310507"/>
    <w:rsid w:val="003106F2"/>
    <w:rsid w:val="0031073E"/>
    <w:rsid w:val="00310A05"/>
    <w:rsid w:val="00310A7E"/>
    <w:rsid w:val="00310D3E"/>
    <w:rsid w:val="00310D9D"/>
    <w:rsid w:val="00310DA5"/>
    <w:rsid w:val="00310E5F"/>
    <w:rsid w:val="00310F42"/>
    <w:rsid w:val="003110E1"/>
    <w:rsid w:val="00311284"/>
    <w:rsid w:val="00311B7A"/>
    <w:rsid w:val="00311BD1"/>
    <w:rsid w:val="00311C81"/>
    <w:rsid w:val="00311E2E"/>
    <w:rsid w:val="00311EE6"/>
    <w:rsid w:val="00311F8E"/>
    <w:rsid w:val="00311F92"/>
    <w:rsid w:val="00312027"/>
    <w:rsid w:val="003122C2"/>
    <w:rsid w:val="00312332"/>
    <w:rsid w:val="003125CE"/>
    <w:rsid w:val="00312890"/>
    <w:rsid w:val="00312D70"/>
    <w:rsid w:val="00313105"/>
    <w:rsid w:val="0031313C"/>
    <w:rsid w:val="003133EF"/>
    <w:rsid w:val="0031340F"/>
    <w:rsid w:val="00313798"/>
    <w:rsid w:val="003139C7"/>
    <w:rsid w:val="00313C97"/>
    <w:rsid w:val="00314367"/>
    <w:rsid w:val="003147CE"/>
    <w:rsid w:val="00314812"/>
    <w:rsid w:val="00314C89"/>
    <w:rsid w:val="00314D2E"/>
    <w:rsid w:val="00314D87"/>
    <w:rsid w:val="00315265"/>
    <w:rsid w:val="003152F5"/>
    <w:rsid w:val="0031564C"/>
    <w:rsid w:val="00315690"/>
    <w:rsid w:val="00315888"/>
    <w:rsid w:val="00315CA0"/>
    <w:rsid w:val="00315FD0"/>
    <w:rsid w:val="00316410"/>
    <w:rsid w:val="00316495"/>
    <w:rsid w:val="00316794"/>
    <w:rsid w:val="00316A3E"/>
    <w:rsid w:val="00316CA3"/>
    <w:rsid w:val="00316D53"/>
    <w:rsid w:val="00316FAD"/>
    <w:rsid w:val="00316FE9"/>
    <w:rsid w:val="00317266"/>
    <w:rsid w:val="003172F1"/>
    <w:rsid w:val="00317635"/>
    <w:rsid w:val="00317D90"/>
    <w:rsid w:val="00317EA9"/>
    <w:rsid w:val="003201D7"/>
    <w:rsid w:val="003203F4"/>
    <w:rsid w:val="0032092E"/>
    <w:rsid w:val="00320954"/>
    <w:rsid w:val="00320A7A"/>
    <w:rsid w:val="00320A83"/>
    <w:rsid w:val="00320F76"/>
    <w:rsid w:val="00320FB3"/>
    <w:rsid w:val="00320FCF"/>
    <w:rsid w:val="0032183C"/>
    <w:rsid w:val="00321963"/>
    <w:rsid w:val="00321AA2"/>
    <w:rsid w:val="00321ACA"/>
    <w:rsid w:val="00322237"/>
    <w:rsid w:val="00322297"/>
    <w:rsid w:val="003222CA"/>
    <w:rsid w:val="0032279B"/>
    <w:rsid w:val="00322952"/>
    <w:rsid w:val="00322964"/>
    <w:rsid w:val="003229F8"/>
    <w:rsid w:val="00322AF2"/>
    <w:rsid w:val="00322B34"/>
    <w:rsid w:val="00322D8E"/>
    <w:rsid w:val="00322EAF"/>
    <w:rsid w:val="00322FB1"/>
    <w:rsid w:val="00322FEF"/>
    <w:rsid w:val="00323067"/>
    <w:rsid w:val="0032308D"/>
    <w:rsid w:val="003232F4"/>
    <w:rsid w:val="00323499"/>
    <w:rsid w:val="00323761"/>
    <w:rsid w:val="003237C0"/>
    <w:rsid w:val="0032386E"/>
    <w:rsid w:val="003239CD"/>
    <w:rsid w:val="00323B96"/>
    <w:rsid w:val="00323BB9"/>
    <w:rsid w:val="00324445"/>
    <w:rsid w:val="0032452F"/>
    <w:rsid w:val="00324642"/>
    <w:rsid w:val="00324839"/>
    <w:rsid w:val="00324D0C"/>
    <w:rsid w:val="00324EC6"/>
    <w:rsid w:val="00325436"/>
    <w:rsid w:val="0032579D"/>
    <w:rsid w:val="0032584C"/>
    <w:rsid w:val="00325A01"/>
    <w:rsid w:val="00325CDA"/>
    <w:rsid w:val="00325D8D"/>
    <w:rsid w:val="00325DF0"/>
    <w:rsid w:val="00325EC6"/>
    <w:rsid w:val="003260A5"/>
    <w:rsid w:val="00326147"/>
    <w:rsid w:val="00326236"/>
    <w:rsid w:val="0032629E"/>
    <w:rsid w:val="0032668D"/>
    <w:rsid w:val="00326719"/>
    <w:rsid w:val="00326779"/>
    <w:rsid w:val="00326784"/>
    <w:rsid w:val="00326788"/>
    <w:rsid w:val="00326A5E"/>
    <w:rsid w:val="00326E05"/>
    <w:rsid w:val="00326E64"/>
    <w:rsid w:val="0032712C"/>
    <w:rsid w:val="00327240"/>
    <w:rsid w:val="00327490"/>
    <w:rsid w:val="00327494"/>
    <w:rsid w:val="0032752A"/>
    <w:rsid w:val="00327F93"/>
    <w:rsid w:val="003302C0"/>
    <w:rsid w:val="00330303"/>
    <w:rsid w:val="003304DB"/>
    <w:rsid w:val="003305F0"/>
    <w:rsid w:val="00330657"/>
    <w:rsid w:val="00330A52"/>
    <w:rsid w:val="00330C1B"/>
    <w:rsid w:val="00330C2D"/>
    <w:rsid w:val="00330C99"/>
    <w:rsid w:val="00330CBC"/>
    <w:rsid w:val="003314A1"/>
    <w:rsid w:val="003316A4"/>
    <w:rsid w:val="003316B4"/>
    <w:rsid w:val="00331C12"/>
    <w:rsid w:val="00331C5D"/>
    <w:rsid w:val="00331F72"/>
    <w:rsid w:val="003320B1"/>
    <w:rsid w:val="003325D3"/>
    <w:rsid w:val="00332794"/>
    <w:rsid w:val="00332B96"/>
    <w:rsid w:val="00332E8F"/>
    <w:rsid w:val="00332FB5"/>
    <w:rsid w:val="0033304E"/>
    <w:rsid w:val="00333302"/>
    <w:rsid w:val="003336F4"/>
    <w:rsid w:val="00333753"/>
    <w:rsid w:val="003338A7"/>
    <w:rsid w:val="003339BB"/>
    <w:rsid w:val="003339F3"/>
    <w:rsid w:val="00333ADA"/>
    <w:rsid w:val="00333ED4"/>
    <w:rsid w:val="00334274"/>
    <w:rsid w:val="00334390"/>
    <w:rsid w:val="003345D9"/>
    <w:rsid w:val="00334739"/>
    <w:rsid w:val="00334DED"/>
    <w:rsid w:val="00334F3B"/>
    <w:rsid w:val="003352EE"/>
    <w:rsid w:val="00335306"/>
    <w:rsid w:val="0033530D"/>
    <w:rsid w:val="003356A7"/>
    <w:rsid w:val="0033581C"/>
    <w:rsid w:val="00335935"/>
    <w:rsid w:val="0033610C"/>
    <w:rsid w:val="00336313"/>
    <w:rsid w:val="00336338"/>
    <w:rsid w:val="003364F5"/>
    <w:rsid w:val="003365A9"/>
    <w:rsid w:val="003367D7"/>
    <w:rsid w:val="00336A29"/>
    <w:rsid w:val="00336D10"/>
    <w:rsid w:val="0033704E"/>
    <w:rsid w:val="003370A4"/>
    <w:rsid w:val="00337305"/>
    <w:rsid w:val="0033750E"/>
    <w:rsid w:val="003377D3"/>
    <w:rsid w:val="00337802"/>
    <w:rsid w:val="003379A5"/>
    <w:rsid w:val="00337A74"/>
    <w:rsid w:val="00337C59"/>
    <w:rsid w:val="00337E91"/>
    <w:rsid w:val="00337FDA"/>
    <w:rsid w:val="00337FE5"/>
    <w:rsid w:val="00340360"/>
    <w:rsid w:val="003405EC"/>
    <w:rsid w:val="003408D9"/>
    <w:rsid w:val="00340B74"/>
    <w:rsid w:val="00340DD4"/>
    <w:rsid w:val="003410E1"/>
    <w:rsid w:val="0034110D"/>
    <w:rsid w:val="00341129"/>
    <w:rsid w:val="00341168"/>
    <w:rsid w:val="00341332"/>
    <w:rsid w:val="00341417"/>
    <w:rsid w:val="00341456"/>
    <w:rsid w:val="00341509"/>
    <w:rsid w:val="00341545"/>
    <w:rsid w:val="0034154A"/>
    <w:rsid w:val="0034162D"/>
    <w:rsid w:val="00341CC9"/>
    <w:rsid w:val="00341E9A"/>
    <w:rsid w:val="003420A6"/>
    <w:rsid w:val="003420D0"/>
    <w:rsid w:val="003420D6"/>
    <w:rsid w:val="00342303"/>
    <w:rsid w:val="00342482"/>
    <w:rsid w:val="00342591"/>
    <w:rsid w:val="0034266D"/>
    <w:rsid w:val="003426D6"/>
    <w:rsid w:val="00342818"/>
    <w:rsid w:val="0034282B"/>
    <w:rsid w:val="00342860"/>
    <w:rsid w:val="003429E2"/>
    <w:rsid w:val="00342A8B"/>
    <w:rsid w:val="00342CD1"/>
    <w:rsid w:val="00342D4F"/>
    <w:rsid w:val="00342E66"/>
    <w:rsid w:val="00342F4B"/>
    <w:rsid w:val="0034327F"/>
    <w:rsid w:val="00343383"/>
    <w:rsid w:val="003433BA"/>
    <w:rsid w:val="00343709"/>
    <w:rsid w:val="003437A6"/>
    <w:rsid w:val="00343839"/>
    <w:rsid w:val="00343973"/>
    <w:rsid w:val="0034397C"/>
    <w:rsid w:val="00343A3C"/>
    <w:rsid w:val="00343AD0"/>
    <w:rsid w:val="00343C3F"/>
    <w:rsid w:val="00343E37"/>
    <w:rsid w:val="003441BE"/>
    <w:rsid w:val="00344A42"/>
    <w:rsid w:val="00344DDB"/>
    <w:rsid w:val="003450A0"/>
    <w:rsid w:val="003453D1"/>
    <w:rsid w:val="00345488"/>
    <w:rsid w:val="0034572B"/>
    <w:rsid w:val="003458BF"/>
    <w:rsid w:val="00345A0A"/>
    <w:rsid w:val="00345A39"/>
    <w:rsid w:val="00345F42"/>
    <w:rsid w:val="00345FB6"/>
    <w:rsid w:val="00346288"/>
    <w:rsid w:val="003463D0"/>
    <w:rsid w:val="003466FF"/>
    <w:rsid w:val="00346A8E"/>
    <w:rsid w:val="00346B24"/>
    <w:rsid w:val="00346B96"/>
    <w:rsid w:val="00346C48"/>
    <w:rsid w:val="00346C9F"/>
    <w:rsid w:val="00346D16"/>
    <w:rsid w:val="00346FC5"/>
    <w:rsid w:val="00347174"/>
    <w:rsid w:val="00347380"/>
    <w:rsid w:val="003473C8"/>
    <w:rsid w:val="00347436"/>
    <w:rsid w:val="00347580"/>
    <w:rsid w:val="00347824"/>
    <w:rsid w:val="00347A3B"/>
    <w:rsid w:val="00347B4A"/>
    <w:rsid w:val="00347C18"/>
    <w:rsid w:val="00347CE6"/>
    <w:rsid w:val="00347D63"/>
    <w:rsid w:val="00347EA4"/>
    <w:rsid w:val="0035073E"/>
    <w:rsid w:val="00350A74"/>
    <w:rsid w:val="0035100E"/>
    <w:rsid w:val="00351011"/>
    <w:rsid w:val="00351018"/>
    <w:rsid w:val="00351195"/>
    <w:rsid w:val="00351546"/>
    <w:rsid w:val="00351574"/>
    <w:rsid w:val="003515F4"/>
    <w:rsid w:val="00351618"/>
    <w:rsid w:val="00351646"/>
    <w:rsid w:val="003516CC"/>
    <w:rsid w:val="003518E4"/>
    <w:rsid w:val="00351AFB"/>
    <w:rsid w:val="00351CBC"/>
    <w:rsid w:val="00351E73"/>
    <w:rsid w:val="00351E8D"/>
    <w:rsid w:val="00351E92"/>
    <w:rsid w:val="00351F72"/>
    <w:rsid w:val="00352035"/>
    <w:rsid w:val="00352082"/>
    <w:rsid w:val="00352692"/>
    <w:rsid w:val="00352722"/>
    <w:rsid w:val="003528A1"/>
    <w:rsid w:val="0035290B"/>
    <w:rsid w:val="003529C1"/>
    <w:rsid w:val="00352A29"/>
    <w:rsid w:val="00352BAE"/>
    <w:rsid w:val="00352C75"/>
    <w:rsid w:val="00352EFC"/>
    <w:rsid w:val="00352F16"/>
    <w:rsid w:val="003533C2"/>
    <w:rsid w:val="003534AE"/>
    <w:rsid w:val="003534FE"/>
    <w:rsid w:val="003537DF"/>
    <w:rsid w:val="003538C4"/>
    <w:rsid w:val="00353D35"/>
    <w:rsid w:val="00353D58"/>
    <w:rsid w:val="00353F6A"/>
    <w:rsid w:val="003540A1"/>
    <w:rsid w:val="003542AC"/>
    <w:rsid w:val="00354667"/>
    <w:rsid w:val="003546C5"/>
    <w:rsid w:val="00354B8C"/>
    <w:rsid w:val="00354BE1"/>
    <w:rsid w:val="00354E1F"/>
    <w:rsid w:val="00354ED2"/>
    <w:rsid w:val="00355651"/>
    <w:rsid w:val="0035571C"/>
    <w:rsid w:val="003558E4"/>
    <w:rsid w:val="00355981"/>
    <w:rsid w:val="00355AD8"/>
    <w:rsid w:val="00355AFD"/>
    <w:rsid w:val="00355C9A"/>
    <w:rsid w:val="00355D66"/>
    <w:rsid w:val="0035617E"/>
    <w:rsid w:val="003561D2"/>
    <w:rsid w:val="003562C7"/>
    <w:rsid w:val="00356325"/>
    <w:rsid w:val="003563DB"/>
    <w:rsid w:val="0035679A"/>
    <w:rsid w:val="003568F6"/>
    <w:rsid w:val="00356939"/>
    <w:rsid w:val="00356C37"/>
    <w:rsid w:val="00356EAA"/>
    <w:rsid w:val="00356F78"/>
    <w:rsid w:val="00357008"/>
    <w:rsid w:val="00357142"/>
    <w:rsid w:val="003571A5"/>
    <w:rsid w:val="0035738D"/>
    <w:rsid w:val="003574C9"/>
    <w:rsid w:val="003574FB"/>
    <w:rsid w:val="003575F7"/>
    <w:rsid w:val="00357633"/>
    <w:rsid w:val="00357661"/>
    <w:rsid w:val="00357A0F"/>
    <w:rsid w:val="00357C09"/>
    <w:rsid w:val="00357EB4"/>
    <w:rsid w:val="00360004"/>
    <w:rsid w:val="0036030A"/>
    <w:rsid w:val="003605DF"/>
    <w:rsid w:val="003607EF"/>
    <w:rsid w:val="00360A20"/>
    <w:rsid w:val="00360A98"/>
    <w:rsid w:val="00360E90"/>
    <w:rsid w:val="00361055"/>
    <w:rsid w:val="00361320"/>
    <w:rsid w:val="00361608"/>
    <w:rsid w:val="00361633"/>
    <w:rsid w:val="0036177D"/>
    <w:rsid w:val="00361CA0"/>
    <w:rsid w:val="00361D9C"/>
    <w:rsid w:val="0036208B"/>
    <w:rsid w:val="00362179"/>
    <w:rsid w:val="003622AF"/>
    <w:rsid w:val="0036243E"/>
    <w:rsid w:val="003628DC"/>
    <w:rsid w:val="00362940"/>
    <w:rsid w:val="00362A68"/>
    <w:rsid w:val="00362A77"/>
    <w:rsid w:val="00362E14"/>
    <w:rsid w:val="00362E99"/>
    <w:rsid w:val="00362EA7"/>
    <w:rsid w:val="00363542"/>
    <w:rsid w:val="00363ADF"/>
    <w:rsid w:val="00363B80"/>
    <w:rsid w:val="00363BB1"/>
    <w:rsid w:val="00363C44"/>
    <w:rsid w:val="00363D03"/>
    <w:rsid w:val="00363E09"/>
    <w:rsid w:val="00363E31"/>
    <w:rsid w:val="00363EC0"/>
    <w:rsid w:val="00363F16"/>
    <w:rsid w:val="0036401C"/>
    <w:rsid w:val="003640AE"/>
    <w:rsid w:val="00364232"/>
    <w:rsid w:val="00364287"/>
    <w:rsid w:val="003643CF"/>
    <w:rsid w:val="003644E1"/>
    <w:rsid w:val="0036474C"/>
    <w:rsid w:val="00364865"/>
    <w:rsid w:val="0036490E"/>
    <w:rsid w:val="00364AB2"/>
    <w:rsid w:val="00364B74"/>
    <w:rsid w:val="00364B78"/>
    <w:rsid w:val="00364CFF"/>
    <w:rsid w:val="0036517B"/>
    <w:rsid w:val="0036532A"/>
    <w:rsid w:val="0036543C"/>
    <w:rsid w:val="003655FF"/>
    <w:rsid w:val="0036563E"/>
    <w:rsid w:val="003658D7"/>
    <w:rsid w:val="003658E8"/>
    <w:rsid w:val="00365A2B"/>
    <w:rsid w:val="00365A89"/>
    <w:rsid w:val="00365B6C"/>
    <w:rsid w:val="00365D5C"/>
    <w:rsid w:val="003660F9"/>
    <w:rsid w:val="00366125"/>
    <w:rsid w:val="0036637B"/>
    <w:rsid w:val="0036659C"/>
    <w:rsid w:val="003666DD"/>
    <w:rsid w:val="00366A83"/>
    <w:rsid w:val="00366BA5"/>
    <w:rsid w:val="00366DF0"/>
    <w:rsid w:val="00366FE1"/>
    <w:rsid w:val="0036700D"/>
    <w:rsid w:val="0036737F"/>
    <w:rsid w:val="003673E8"/>
    <w:rsid w:val="003677DE"/>
    <w:rsid w:val="0036784E"/>
    <w:rsid w:val="003679AF"/>
    <w:rsid w:val="003679F2"/>
    <w:rsid w:val="00367C5F"/>
    <w:rsid w:val="00367E3B"/>
    <w:rsid w:val="00367F24"/>
    <w:rsid w:val="00367F73"/>
    <w:rsid w:val="003700F6"/>
    <w:rsid w:val="00370284"/>
    <w:rsid w:val="00370464"/>
    <w:rsid w:val="00370717"/>
    <w:rsid w:val="003707D6"/>
    <w:rsid w:val="00370B91"/>
    <w:rsid w:val="00370C79"/>
    <w:rsid w:val="00370F17"/>
    <w:rsid w:val="0037110C"/>
    <w:rsid w:val="003713D5"/>
    <w:rsid w:val="0037150A"/>
    <w:rsid w:val="0037163A"/>
    <w:rsid w:val="003716C3"/>
    <w:rsid w:val="003716F8"/>
    <w:rsid w:val="0037173E"/>
    <w:rsid w:val="0037176E"/>
    <w:rsid w:val="00371A00"/>
    <w:rsid w:val="00371A6C"/>
    <w:rsid w:val="00371BC2"/>
    <w:rsid w:val="00372007"/>
    <w:rsid w:val="003721BA"/>
    <w:rsid w:val="0037221A"/>
    <w:rsid w:val="00372392"/>
    <w:rsid w:val="0037297E"/>
    <w:rsid w:val="003729FA"/>
    <w:rsid w:val="00372A7D"/>
    <w:rsid w:val="00372F52"/>
    <w:rsid w:val="003737C4"/>
    <w:rsid w:val="0037397E"/>
    <w:rsid w:val="003739C0"/>
    <w:rsid w:val="00373A53"/>
    <w:rsid w:val="00373A93"/>
    <w:rsid w:val="00373D0D"/>
    <w:rsid w:val="00373F2D"/>
    <w:rsid w:val="003741EF"/>
    <w:rsid w:val="0037484C"/>
    <w:rsid w:val="00374ABB"/>
    <w:rsid w:val="00374BAF"/>
    <w:rsid w:val="00374D31"/>
    <w:rsid w:val="00374DE2"/>
    <w:rsid w:val="00374F88"/>
    <w:rsid w:val="00375175"/>
    <w:rsid w:val="00375217"/>
    <w:rsid w:val="0037550B"/>
    <w:rsid w:val="003757AC"/>
    <w:rsid w:val="00375B5A"/>
    <w:rsid w:val="00375B71"/>
    <w:rsid w:val="00375BD2"/>
    <w:rsid w:val="00375C08"/>
    <w:rsid w:val="0037615C"/>
    <w:rsid w:val="0037637F"/>
    <w:rsid w:val="003763FA"/>
    <w:rsid w:val="00376520"/>
    <w:rsid w:val="0037654A"/>
    <w:rsid w:val="00376703"/>
    <w:rsid w:val="003767A0"/>
    <w:rsid w:val="003769FC"/>
    <w:rsid w:val="00376AD4"/>
    <w:rsid w:val="00376FD7"/>
    <w:rsid w:val="003770CE"/>
    <w:rsid w:val="00377318"/>
    <w:rsid w:val="0037745E"/>
    <w:rsid w:val="00377511"/>
    <w:rsid w:val="003777CF"/>
    <w:rsid w:val="00377A20"/>
    <w:rsid w:val="00377A91"/>
    <w:rsid w:val="00377ACF"/>
    <w:rsid w:val="00377DBC"/>
    <w:rsid w:val="00380038"/>
    <w:rsid w:val="00380D69"/>
    <w:rsid w:val="00380FF3"/>
    <w:rsid w:val="003810B9"/>
    <w:rsid w:val="00381240"/>
    <w:rsid w:val="003813E3"/>
    <w:rsid w:val="0038143F"/>
    <w:rsid w:val="003815C7"/>
    <w:rsid w:val="00381639"/>
    <w:rsid w:val="003816A3"/>
    <w:rsid w:val="003819F6"/>
    <w:rsid w:val="00381DE4"/>
    <w:rsid w:val="003820A4"/>
    <w:rsid w:val="003820D6"/>
    <w:rsid w:val="0038218D"/>
    <w:rsid w:val="003822EB"/>
    <w:rsid w:val="00382380"/>
    <w:rsid w:val="00382537"/>
    <w:rsid w:val="0038278C"/>
    <w:rsid w:val="0038289C"/>
    <w:rsid w:val="003829C5"/>
    <w:rsid w:val="00382AF6"/>
    <w:rsid w:val="00382BEF"/>
    <w:rsid w:val="00382D78"/>
    <w:rsid w:val="00383077"/>
    <w:rsid w:val="003831B3"/>
    <w:rsid w:val="003831ED"/>
    <w:rsid w:val="003833E1"/>
    <w:rsid w:val="0038343F"/>
    <w:rsid w:val="00383B0C"/>
    <w:rsid w:val="00383D1C"/>
    <w:rsid w:val="0038439C"/>
    <w:rsid w:val="00384615"/>
    <w:rsid w:val="00384655"/>
    <w:rsid w:val="0038468B"/>
    <w:rsid w:val="00384F6C"/>
    <w:rsid w:val="003850AA"/>
    <w:rsid w:val="00385180"/>
    <w:rsid w:val="00385264"/>
    <w:rsid w:val="00385498"/>
    <w:rsid w:val="00385845"/>
    <w:rsid w:val="003858CE"/>
    <w:rsid w:val="00385B82"/>
    <w:rsid w:val="00385E9F"/>
    <w:rsid w:val="00385F34"/>
    <w:rsid w:val="0038615F"/>
    <w:rsid w:val="003861D1"/>
    <w:rsid w:val="00386334"/>
    <w:rsid w:val="00386A71"/>
    <w:rsid w:val="00386AC1"/>
    <w:rsid w:val="00386B0A"/>
    <w:rsid w:val="00386B6F"/>
    <w:rsid w:val="00386BCD"/>
    <w:rsid w:val="00386D3E"/>
    <w:rsid w:val="00386EDF"/>
    <w:rsid w:val="00386F8E"/>
    <w:rsid w:val="003872B3"/>
    <w:rsid w:val="003875D5"/>
    <w:rsid w:val="0038776D"/>
    <w:rsid w:val="003879EF"/>
    <w:rsid w:val="00387B03"/>
    <w:rsid w:val="00387C49"/>
    <w:rsid w:val="00390590"/>
    <w:rsid w:val="003905E2"/>
    <w:rsid w:val="00390716"/>
    <w:rsid w:val="00390A02"/>
    <w:rsid w:val="00390A2F"/>
    <w:rsid w:val="00390BF9"/>
    <w:rsid w:val="00390D12"/>
    <w:rsid w:val="00390F73"/>
    <w:rsid w:val="00390FD3"/>
    <w:rsid w:val="00391509"/>
    <w:rsid w:val="003915C5"/>
    <w:rsid w:val="003916CF"/>
    <w:rsid w:val="0039190F"/>
    <w:rsid w:val="00391B4E"/>
    <w:rsid w:val="00391B9F"/>
    <w:rsid w:val="00391FCD"/>
    <w:rsid w:val="00391FD2"/>
    <w:rsid w:val="0039257A"/>
    <w:rsid w:val="003925A2"/>
    <w:rsid w:val="003925F2"/>
    <w:rsid w:val="00392620"/>
    <w:rsid w:val="00392E35"/>
    <w:rsid w:val="00393002"/>
    <w:rsid w:val="00393027"/>
    <w:rsid w:val="0039305F"/>
    <w:rsid w:val="00393154"/>
    <w:rsid w:val="003932A2"/>
    <w:rsid w:val="003935A9"/>
    <w:rsid w:val="00393905"/>
    <w:rsid w:val="00393ADE"/>
    <w:rsid w:val="00393B7C"/>
    <w:rsid w:val="003940A5"/>
    <w:rsid w:val="003940AA"/>
    <w:rsid w:val="00394343"/>
    <w:rsid w:val="0039438B"/>
    <w:rsid w:val="003944D6"/>
    <w:rsid w:val="003944E4"/>
    <w:rsid w:val="0039452A"/>
    <w:rsid w:val="003945EA"/>
    <w:rsid w:val="00394776"/>
    <w:rsid w:val="00394A9F"/>
    <w:rsid w:val="00394B0A"/>
    <w:rsid w:val="00394F39"/>
    <w:rsid w:val="00394F6E"/>
    <w:rsid w:val="00394FBC"/>
    <w:rsid w:val="003950C3"/>
    <w:rsid w:val="00395151"/>
    <w:rsid w:val="0039515B"/>
    <w:rsid w:val="003954C8"/>
    <w:rsid w:val="0039555B"/>
    <w:rsid w:val="0039563F"/>
    <w:rsid w:val="0039566F"/>
    <w:rsid w:val="00395A10"/>
    <w:rsid w:val="00395CF2"/>
    <w:rsid w:val="00395EA2"/>
    <w:rsid w:val="00396092"/>
    <w:rsid w:val="003961EA"/>
    <w:rsid w:val="003961EC"/>
    <w:rsid w:val="00396329"/>
    <w:rsid w:val="00396575"/>
    <w:rsid w:val="0039661A"/>
    <w:rsid w:val="003967E0"/>
    <w:rsid w:val="003968F5"/>
    <w:rsid w:val="00396942"/>
    <w:rsid w:val="00396C41"/>
    <w:rsid w:val="00397170"/>
    <w:rsid w:val="003971C8"/>
    <w:rsid w:val="003978AB"/>
    <w:rsid w:val="00397C8F"/>
    <w:rsid w:val="00397D5A"/>
    <w:rsid w:val="00397DA1"/>
    <w:rsid w:val="00397DDF"/>
    <w:rsid w:val="00397E60"/>
    <w:rsid w:val="00397F8C"/>
    <w:rsid w:val="003A0111"/>
    <w:rsid w:val="003A016E"/>
    <w:rsid w:val="003A0202"/>
    <w:rsid w:val="003A0218"/>
    <w:rsid w:val="003A05A5"/>
    <w:rsid w:val="003A0647"/>
    <w:rsid w:val="003A077C"/>
    <w:rsid w:val="003A0892"/>
    <w:rsid w:val="003A0A44"/>
    <w:rsid w:val="003A0B5B"/>
    <w:rsid w:val="003A0F6B"/>
    <w:rsid w:val="003A114F"/>
    <w:rsid w:val="003A1474"/>
    <w:rsid w:val="003A15C1"/>
    <w:rsid w:val="003A1A92"/>
    <w:rsid w:val="003A1BE5"/>
    <w:rsid w:val="003A1C52"/>
    <w:rsid w:val="003A1D02"/>
    <w:rsid w:val="003A2304"/>
    <w:rsid w:val="003A25CF"/>
    <w:rsid w:val="003A263B"/>
    <w:rsid w:val="003A278E"/>
    <w:rsid w:val="003A29CC"/>
    <w:rsid w:val="003A2B07"/>
    <w:rsid w:val="003A2CBD"/>
    <w:rsid w:val="003A2E24"/>
    <w:rsid w:val="003A2E3C"/>
    <w:rsid w:val="003A3399"/>
    <w:rsid w:val="003A3489"/>
    <w:rsid w:val="003A380A"/>
    <w:rsid w:val="003A388B"/>
    <w:rsid w:val="003A38A9"/>
    <w:rsid w:val="003A38F9"/>
    <w:rsid w:val="003A39D8"/>
    <w:rsid w:val="003A39F0"/>
    <w:rsid w:val="003A3C40"/>
    <w:rsid w:val="003A3DE5"/>
    <w:rsid w:val="003A3E3E"/>
    <w:rsid w:val="003A4111"/>
    <w:rsid w:val="003A4117"/>
    <w:rsid w:val="003A4180"/>
    <w:rsid w:val="003A41B1"/>
    <w:rsid w:val="003A42B3"/>
    <w:rsid w:val="003A4388"/>
    <w:rsid w:val="003A45F2"/>
    <w:rsid w:val="003A464D"/>
    <w:rsid w:val="003A46B0"/>
    <w:rsid w:val="003A48E2"/>
    <w:rsid w:val="003A4AF0"/>
    <w:rsid w:val="003A4B89"/>
    <w:rsid w:val="003A4E0C"/>
    <w:rsid w:val="003A4ED6"/>
    <w:rsid w:val="003A4F06"/>
    <w:rsid w:val="003A5058"/>
    <w:rsid w:val="003A540D"/>
    <w:rsid w:val="003A5937"/>
    <w:rsid w:val="003A5943"/>
    <w:rsid w:val="003A5ABB"/>
    <w:rsid w:val="003A5B13"/>
    <w:rsid w:val="003A5B5F"/>
    <w:rsid w:val="003A5CD5"/>
    <w:rsid w:val="003A5E1B"/>
    <w:rsid w:val="003A5F28"/>
    <w:rsid w:val="003A621D"/>
    <w:rsid w:val="003A650D"/>
    <w:rsid w:val="003A652B"/>
    <w:rsid w:val="003A6538"/>
    <w:rsid w:val="003A6675"/>
    <w:rsid w:val="003A67DF"/>
    <w:rsid w:val="003A68F3"/>
    <w:rsid w:val="003A68F4"/>
    <w:rsid w:val="003A6C11"/>
    <w:rsid w:val="003A6C53"/>
    <w:rsid w:val="003A6C73"/>
    <w:rsid w:val="003A6D09"/>
    <w:rsid w:val="003A7248"/>
    <w:rsid w:val="003A7336"/>
    <w:rsid w:val="003A748E"/>
    <w:rsid w:val="003A749D"/>
    <w:rsid w:val="003A7584"/>
    <w:rsid w:val="003A76E0"/>
    <w:rsid w:val="003A7764"/>
    <w:rsid w:val="003A7815"/>
    <w:rsid w:val="003A7844"/>
    <w:rsid w:val="003A7B60"/>
    <w:rsid w:val="003A7B70"/>
    <w:rsid w:val="003A7D4A"/>
    <w:rsid w:val="003A7DEC"/>
    <w:rsid w:val="003A7FA9"/>
    <w:rsid w:val="003B0050"/>
    <w:rsid w:val="003B071D"/>
    <w:rsid w:val="003B072B"/>
    <w:rsid w:val="003B0922"/>
    <w:rsid w:val="003B0953"/>
    <w:rsid w:val="003B0ABE"/>
    <w:rsid w:val="003B0B92"/>
    <w:rsid w:val="003B0EE4"/>
    <w:rsid w:val="003B16E7"/>
    <w:rsid w:val="003B1A42"/>
    <w:rsid w:val="003B1AD8"/>
    <w:rsid w:val="003B1EC8"/>
    <w:rsid w:val="003B1F6D"/>
    <w:rsid w:val="003B23E9"/>
    <w:rsid w:val="003B2415"/>
    <w:rsid w:val="003B2559"/>
    <w:rsid w:val="003B262A"/>
    <w:rsid w:val="003B29E5"/>
    <w:rsid w:val="003B302C"/>
    <w:rsid w:val="003B3108"/>
    <w:rsid w:val="003B3145"/>
    <w:rsid w:val="003B32A9"/>
    <w:rsid w:val="003B3627"/>
    <w:rsid w:val="003B3693"/>
    <w:rsid w:val="003B3706"/>
    <w:rsid w:val="003B3A11"/>
    <w:rsid w:val="003B3D3F"/>
    <w:rsid w:val="003B3DDD"/>
    <w:rsid w:val="003B3E03"/>
    <w:rsid w:val="003B3F72"/>
    <w:rsid w:val="003B44A9"/>
    <w:rsid w:val="003B49D6"/>
    <w:rsid w:val="003B4A11"/>
    <w:rsid w:val="003B5365"/>
    <w:rsid w:val="003B5379"/>
    <w:rsid w:val="003B54CA"/>
    <w:rsid w:val="003B56FF"/>
    <w:rsid w:val="003B581C"/>
    <w:rsid w:val="003B5942"/>
    <w:rsid w:val="003B5955"/>
    <w:rsid w:val="003B5D88"/>
    <w:rsid w:val="003B5FDD"/>
    <w:rsid w:val="003B60CD"/>
    <w:rsid w:val="003B62C4"/>
    <w:rsid w:val="003B640D"/>
    <w:rsid w:val="003B644C"/>
    <w:rsid w:val="003B64CE"/>
    <w:rsid w:val="003B6503"/>
    <w:rsid w:val="003B6526"/>
    <w:rsid w:val="003B6574"/>
    <w:rsid w:val="003B662E"/>
    <w:rsid w:val="003B6700"/>
    <w:rsid w:val="003B68CF"/>
    <w:rsid w:val="003B6A08"/>
    <w:rsid w:val="003B6E56"/>
    <w:rsid w:val="003B7180"/>
    <w:rsid w:val="003B7499"/>
    <w:rsid w:val="003B76BB"/>
    <w:rsid w:val="003B77BF"/>
    <w:rsid w:val="003B7921"/>
    <w:rsid w:val="003B7B4A"/>
    <w:rsid w:val="003B7D69"/>
    <w:rsid w:val="003B7E37"/>
    <w:rsid w:val="003B7E53"/>
    <w:rsid w:val="003B7E7C"/>
    <w:rsid w:val="003C029F"/>
    <w:rsid w:val="003C0394"/>
    <w:rsid w:val="003C0437"/>
    <w:rsid w:val="003C05EE"/>
    <w:rsid w:val="003C077A"/>
    <w:rsid w:val="003C079B"/>
    <w:rsid w:val="003C0A4A"/>
    <w:rsid w:val="003C0A63"/>
    <w:rsid w:val="003C0DA2"/>
    <w:rsid w:val="003C0FC6"/>
    <w:rsid w:val="003C1098"/>
    <w:rsid w:val="003C1119"/>
    <w:rsid w:val="003C1124"/>
    <w:rsid w:val="003C123A"/>
    <w:rsid w:val="003C184A"/>
    <w:rsid w:val="003C1C5B"/>
    <w:rsid w:val="003C1DC6"/>
    <w:rsid w:val="003C1DE0"/>
    <w:rsid w:val="003C1ED2"/>
    <w:rsid w:val="003C2039"/>
    <w:rsid w:val="003C2132"/>
    <w:rsid w:val="003C2613"/>
    <w:rsid w:val="003C274A"/>
    <w:rsid w:val="003C2884"/>
    <w:rsid w:val="003C28BB"/>
    <w:rsid w:val="003C29F9"/>
    <w:rsid w:val="003C2B23"/>
    <w:rsid w:val="003C3049"/>
    <w:rsid w:val="003C30F3"/>
    <w:rsid w:val="003C338A"/>
    <w:rsid w:val="003C3853"/>
    <w:rsid w:val="003C38EE"/>
    <w:rsid w:val="003C39C5"/>
    <w:rsid w:val="003C3A19"/>
    <w:rsid w:val="003C3D01"/>
    <w:rsid w:val="003C3EAD"/>
    <w:rsid w:val="003C3FA3"/>
    <w:rsid w:val="003C41BB"/>
    <w:rsid w:val="003C43F2"/>
    <w:rsid w:val="003C4434"/>
    <w:rsid w:val="003C455C"/>
    <w:rsid w:val="003C45F4"/>
    <w:rsid w:val="003C47AD"/>
    <w:rsid w:val="003C4929"/>
    <w:rsid w:val="003C4DA9"/>
    <w:rsid w:val="003C51A1"/>
    <w:rsid w:val="003C574D"/>
    <w:rsid w:val="003C5868"/>
    <w:rsid w:val="003C59D3"/>
    <w:rsid w:val="003C5A15"/>
    <w:rsid w:val="003C5A8F"/>
    <w:rsid w:val="003C5BED"/>
    <w:rsid w:val="003C5C4E"/>
    <w:rsid w:val="003C5CDD"/>
    <w:rsid w:val="003C5CEC"/>
    <w:rsid w:val="003C5DA7"/>
    <w:rsid w:val="003C6230"/>
    <w:rsid w:val="003C6236"/>
    <w:rsid w:val="003C63F9"/>
    <w:rsid w:val="003C6478"/>
    <w:rsid w:val="003C658C"/>
    <w:rsid w:val="003C6B89"/>
    <w:rsid w:val="003C6BFC"/>
    <w:rsid w:val="003C6D6D"/>
    <w:rsid w:val="003C710E"/>
    <w:rsid w:val="003C751D"/>
    <w:rsid w:val="003C75C0"/>
    <w:rsid w:val="003C7761"/>
    <w:rsid w:val="003C7768"/>
    <w:rsid w:val="003C7819"/>
    <w:rsid w:val="003C794E"/>
    <w:rsid w:val="003C7A3E"/>
    <w:rsid w:val="003C7A90"/>
    <w:rsid w:val="003C7B3B"/>
    <w:rsid w:val="003C7C35"/>
    <w:rsid w:val="003C7C47"/>
    <w:rsid w:val="003D03DD"/>
    <w:rsid w:val="003D0501"/>
    <w:rsid w:val="003D0668"/>
    <w:rsid w:val="003D0BF9"/>
    <w:rsid w:val="003D0C1F"/>
    <w:rsid w:val="003D0C35"/>
    <w:rsid w:val="003D0D02"/>
    <w:rsid w:val="003D0D3E"/>
    <w:rsid w:val="003D0F7D"/>
    <w:rsid w:val="003D0FCE"/>
    <w:rsid w:val="003D1344"/>
    <w:rsid w:val="003D15F1"/>
    <w:rsid w:val="003D16A7"/>
    <w:rsid w:val="003D170A"/>
    <w:rsid w:val="003D1740"/>
    <w:rsid w:val="003D18CD"/>
    <w:rsid w:val="003D1966"/>
    <w:rsid w:val="003D1B58"/>
    <w:rsid w:val="003D1E0B"/>
    <w:rsid w:val="003D1E41"/>
    <w:rsid w:val="003D208C"/>
    <w:rsid w:val="003D2136"/>
    <w:rsid w:val="003D231E"/>
    <w:rsid w:val="003D24FD"/>
    <w:rsid w:val="003D252B"/>
    <w:rsid w:val="003D25E8"/>
    <w:rsid w:val="003D26BE"/>
    <w:rsid w:val="003D2716"/>
    <w:rsid w:val="003D2A47"/>
    <w:rsid w:val="003D2C0B"/>
    <w:rsid w:val="003D2EC6"/>
    <w:rsid w:val="003D2F06"/>
    <w:rsid w:val="003D2FF4"/>
    <w:rsid w:val="003D322B"/>
    <w:rsid w:val="003D3268"/>
    <w:rsid w:val="003D32BF"/>
    <w:rsid w:val="003D33A0"/>
    <w:rsid w:val="003D3473"/>
    <w:rsid w:val="003D348B"/>
    <w:rsid w:val="003D36FD"/>
    <w:rsid w:val="003D3710"/>
    <w:rsid w:val="003D389A"/>
    <w:rsid w:val="003D394C"/>
    <w:rsid w:val="003D3A73"/>
    <w:rsid w:val="003D3B75"/>
    <w:rsid w:val="003D3D8C"/>
    <w:rsid w:val="003D3DD3"/>
    <w:rsid w:val="003D3F4B"/>
    <w:rsid w:val="003D4111"/>
    <w:rsid w:val="003D4180"/>
    <w:rsid w:val="003D419B"/>
    <w:rsid w:val="003D436C"/>
    <w:rsid w:val="003D4740"/>
    <w:rsid w:val="003D47DE"/>
    <w:rsid w:val="003D483B"/>
    <w:rsid w:val="003D4AAC"/>
    <w:rsid w:val="003D4B91"/>
    <w:rsid w:val="003D4EB8"/>
    <w:rsid w:val="003D5312"/>
    <w:rsid w:val="003D54E4"/>
    <w:rsid w:val="003D5C33"/>
    <w:rsid w:val="003D5DA0"/>
    <w:rsid w:val="003D5FC1"/>
    <w:rsid w:val="003D620D"/>
    <w:rsid w:val="003D6679"/>
    <w:rsid w:val="003D6948"/>
    <w:rsid w:val="003D6A0B"/>
    <w:rsid w:val="003D6B2D"/>
    <w:rsid w:val="003D6D08"/>
    <w:rsid w:val="003D6D2F"/>
    <w:rsid w:val="003D6FF8"/>
    <w:rsid w:val="003D7170"/>
    <w:rsid w:val="003D7332"/>
    <w:rsid w:val="003D7426"/>
    <w:rsid w:val="003D745C"/>
    <w:rsid w:val="003D7469"/>
    <w:rsid w:val="003D7877"/>
    <w:rsid w:val="003D787E"/>
    <w:rsid w:val="003D7BD0"/>
    <w:rsid w:val="003D7C05"/>
    <w:rsid w:val="003D7DCC"/>
    <w:rsid w:val="003D7DD5"/>
    <w:rsid w:val="003E0705"/>
    <w:rsid w:val="003E0766"/>
    <w:rsid w:val="003E0780"/>
    <w:rsid w:val="003E141D"/>
    <w:rsid w:val="003E155F"/>
    <w:rsid w:val="003E1918"/>
    <w:rsid w:val="003E1C84"/>
    <w:rsid w:val="003E217C"/>
    <w:rsid w:val="003E2310"/>
    <w:rsid w:val="003E2393"/>
    <w:rsid w:val="003E25AD"/>
    <w:rsid w:val="003E260A"/>
    <w:rsid w:val="003E26DD"/>
    <w:rsid w:val="003E2710"/>
    <w:rsid w:val="003E285D"/>
    <w:rsid w:val="003E28A7"/>
    <w:rsid w:val="003E28BC"/>
    <w:rsid w:val="003E29CB"/>
    <w:rsid w:val="003E2A33"/>
    <w:rsid w:val="003E30CB"/>
    <w:rsid w:val="003E327F"/>
    <w:rsid w:val="003E3564"/>
    <w:rsid w:val="003E3627"/>
    <w:rsid w:val="003E37FF"/>
    <w:rsid w:val="003E3925"/>
    <w:rsid w:val="003E395D"/>
    <w:rsid w:val="003E399D"/>
    <w:rsid w:val="003E3AD4"/>
    <w:rsid w:val="003E3C02"/>
    <w:rsid w:val="003E3DBA"/>
    <w:rsid w:val="003E3F8A"/>
    <w:rsid w:val="003E3FD0"/>
    <w:rsid w:val="003E43A4"/>
    <w:rsid w:val="003E4493"/>
    <w:rsid w:val="003E4706"/>
    <w:rsid w:val="003E4720"/>
    <w:rsid w:val="003E4874"/>
    <w:rsid w:val="003E4A98"/>
    <w:rsid w:val="003E4BA2"/>
    <w:rsid w:val="003E4D60"/>
    <w:rsid w:val="003E4E5F"/>
    <w:rsid w:val="003E5135"/>
    <w:rsid w:val="003E5256"/>
    <w:rsid w:val="003E5336"/>
    <w:rsid w:val="003E55C4"/>
    <w:rsid w:val="003E5733"/>
    <w:rsid w:val="003E590F"/>
    <w:rsid w:val="003E5961"/>
    <w:rsid w:val="003E5B1F"/>
    <w:rsid w:val="003E600F"/>
    <w:rsid w:val="003E6040"/>
    <w:rsid w:val="003E6B20"/>
    <w:rsid w:val="003E6BAF"/>
    <w:rsid w:val="003E6E86"/>
    <w:rsid w:val="003E6EC4"/>
    <w:rsid w:val="003E6F5D"/>
    <w:rsid w:val="003E71E8"/>
    <w:rsid w:val="003E72D1"/>
    <w:rsid w:val="003E741A"/>
    <w:rsid w:val="003E74F2"/>
    <w:rsid w:val="003E7599"/>
    <w:rsid w:val="003E75A4"/>
    <w:rsid w:val="003E7739"/>
    <w:rsid w:val="003E773F"/>
    <w:rsid w:val="003E778C"/>
    <w:rsid w:val="003E7820"/>
    <w:rsid w:val="003E7BAF"/>
    <w:rsid w:val="003E7BEE"/>
    <w:rsid w:val="003E7C01"/>
    <w:rsid w:val="003E7EB7"/>
    <w:rsid w:val="003F0362"/>
    <w:rsid w:val="003F0502"/>
    <w:rsid w:val="003F09E5"/>
    <w:rsid w:val="003F0A2C"/>
    <w:rsid w:val="003F0A65"/>
    <w:rsid w:val="003F0F64"/>
    <w:rsid w:val="003F10A9"/>
    <w:rsid w:val="003F13AD"/>
    <w:rsid w:val="003F151A"/>
    <w:rsid w:val="003F153F"/>
    <w:rsid w:val="003F16A0"/>
    <w:rsid w:val="003F17C3"/>
    <w:rsid w:val="003F1BB4"/>
    <w:rsid w:val="003F1C76"/>
    <w:rsid w:val="003F1F34"/>
    <w:rsid w:val="003F22E0"/>
    <w:rsid w:val="003F23F6"/>
    <w:rsid w:val="003F28CD"/>
    <w:rsid w:val="003F291F"/>
    <w:rsid w:val="003F29D1"/>
    <w:rsid w:val="003F2CBD"/>
    <w:rsid w:val="003F31DE"/>
    <w:rsid w:val="003F320B"/>
    <w:rsid w:val="003F364B"/>
    <w:rsid w:val="003F365D"/>
    <w:rsid w:val="003F38C8"/>
    <w:rsid w:val="003F38D4"/>
    <w:rsid w:val="003F3C9E"/>
    <w:rsid w:val="003F3CEE"/>
    <w:rsid w:val="003F3D07"/>
    <w:rsid w:val="003F3D38"/>
    <w:rsid w:val="003F3F56"/>
    <w:rsid w:val="003F4270"/>
    <w:rsid w:val="003F44C5"/>
    <w:rsid w:val="003F457B"/>
    <w:rsid w:val="003F475D"/>
    <w:rsid w:val="003F493D"/>
    <w:rsid w:val="003F4AB4"/>
    <w:rsid w:val="003F4B45"/>
    <w:rsid w:val="003F4BB2"/>
    <w:rsid w:val="003F4CDB"/>
    <w:rsid w:val="003F4D50"/>
    <w:rsid w:val="003F4E36"/>
    <w:rsid w:val="003F5048"/>
    <w:rsid w:val="003F5155"/>
    <w:rsid w:val="003F518B"/>
    <w:rsid w:val="003F55E5"/>
    <w:rsid w:val="003F5691"/>
    <w:rsid w:val="003F585B"/>
    <w:rsid w:val="003F58A0"/>
    <w:rsid w:val="003F58F8"/>
    <w:rsid w:val="003F596A"/>
    <w:rsid w:val="003F599B"/>
    <w:rsid w:val="003F5AF6"/>
    <w:rsid w:val="003F5CB0"/>
    <w:rsid w:val="003F5CB5"/>
    <w:rsid w:val="003F5D00"/>
    <w:rsid w:val="003F620B"/>
    <w:rsid w:val="003F624B"/>
    <w:rsid w:val="003F6587"/>
    <w:rsid w:val="003F68F0"/>
    <w:rsid w:val="003F6945"/>
    <w:rsid w:val="003F6980"/>
    <w:rsid w:val="003F69C7"/>
    <w:rsid w:val="003F6EBD"/>
    <w:rsid w:val="003F706B"/>
    <w:rsid w:val="003F7096"/>
    <w:rsid w:val="003F7200"/>
    <w:rsid w:val="003F7284"/>
    <w:rsid w:val="003F72F8"/>
    <w:rsid w:val="003F73BB"/>
    <w:rsid w:val="003F7499"/>
    <w:rsid w:val="003F753E"/>
    <w:rsid w:val="003F7A68"/>
    <w:rsid w:val="003F7A72"/>
    <w:rsid w:val="003F7B1B"/>
    <w:rsid w:val="003F7E56"/>
    <w:rsid w:val="00400472"/>
    <w:rsid w:val="004004AB"/>
    <w:rsid w:val="004004DF"/>
    <w:rsid w:val="00400535"/>
    <w:rsid w:val="00400A2A"/>
    <w:rsid w:val="00400A2D"/>
    <w:rsid w:val="00400B09"/>
    <w:rsid w:val="004011FC"/>
    <w:rsid w:val="004012ED"/>
    <w:rsid w:val="00401400"/>
    <w:rsid w:val="0040154F"/>
    <w:rsid w:val="00401769"/>
    <w:rsid w:val="004018C0"/>
    <w:rsid w:val="00402284"/>
    <w:rsid w:val="004023DC"/>
    <w:rsid w:val="0040246A"/>
    <w:rsid w:val="004024BE"/>
    <w:rsid w:val="004024CE"/>
    <w:rsid w:val="0040283A"/>
    <w:rsid w:val="00402977"/>
    <w:rsid w:val="00402D5B"/>
    <w:rsid w:val="004030ED"/>
    <w:rsid w:val="0040329B"/>
    <w:rsid w:val="00403374"/>
    <w:rsid w:val="004034D2"/>
    <w:rsid w:val="00403703"/>
    <w:rsid w:val="00403706"/>
    <w:rsid w:val="004037C7"/>
    <w:rsid w:val="004038FA"/>
    <w:rsid w:val="0040399D"/>
    <w:rsid w:val="00403BD1"/>
    <w:rsid w:val="00403D81"/>
    <w:rsid w:val="00403EF0"/>
    <w:rsid w:val="00404185"/>
    <w:rsid w:val="00404191"/>
    <w:rsid w:val="004042B6"/>
    <w:rsid w:val="00404566"/>
    <w:rsid w:val="004048B4"/>
    <w:rsid w:val="004048D3"/>
    <w:rsid w:val="00404977"/>
    <w:rsid w:val="00404AB4"/>
    <w:rsid w:val="00404B5B"/>
    <w:rsid w:val="00404B86"/>
    <w:rsid w:val="00405129"/>
    <w:rsid w:val="00405431"/>
    <w:rsid w:val="00405473"/>
    <w:rsid w:val="00405501"/>
    <w:rsid w:val="0040554B"/>
    <w:rsid w:val="00405579"/>
    <w:rsid w:val="00405599"/>
    <w:rsid w:val="00405836"/>
    <w:rsid w:val="0040584A"/>
    <w:rsid w:val="00405991"/>
    <w:rsid w:val="00405B4B"/>
    <w:rsid w:val="00405C81"/>
    <w:rsid w:val="00405CB9"/>
    <w:rsid w:val="00405DD3"/>
    <w:rsid w:val="00405E37"/>
    <w:rsid w:val="00405E38"/>
    <w:rsid w:val="00405E88"/>
    <w:rsid w:val="00406370"/>
    <w:rsid w:val="00406741"/>
    <w:rsid w:val="0040680A"/>
    <w:rsid w:val="00406A83"/>
    <w:rsid w:val="00406B2C"/>
    <w:rsid w:val="00406C5B"/>
    <w:rsid w:val="00406CA7"/>
    <w:rsid w:val="004071EF"/>
    <w:rsid w:val="004072B3"/>
    <w:rsid w:val="004073A1"/>
    <w:rsid w:val="004073BD"/>
    <w:rsid w:val="0040748A"/>
    <w:rsid w:val="00407660"/>
    <w:rsid w:val="00407726"/>
    <w:rsid w:val="00407BCC"/>
    <w:rsid w:val="00407F80"/>
    <w:rsid w:val="004100B8"/>
    <w:rsid w:val="00410596"/>
    <w:rsid w:val="004108ED"/>
    <w:rsid w:val="00410BBA"/>
    <w:rsid w:val="00410C7D"/>
    <w:rsid w:val="00411108"/>
    <w:rsid w:val="00411364"/>
    <w:rsid w:val="0041164F"/>
    <w:rsid w:val="00411700"/>
    <w:rsid w:val="0041177A"/>
    <w:rsid w:val="00411808"/>
    <w:rsid w:val="00411DEF"/>
    <w:rsid w:val="00411F11"/>
    <w:rsid w:val="00411FC4"/>
    <w:rsid w:val="00412386"/>
    <w:rsid w:val="004125F1"/>
    <w:rsid w:val="00412677"/>
    <w:rsid w:val="00412A70"/>
    <w:rsid w:val="00412DDE"/>
    <w:rsid w:val="00412EB2"/>
    <w:rsid w:val="00412FB3"/>
    <w:rsid w:val="004133CC"/>
    <w:rsid w:val="00413505"/>
    <w:rsid w:val="00413689"/>
    <w:rsid w:val="0041393F"/>
    <w:rsid w:val="00413C02"/>
    <w:rsid w:val="00414038"/>
    <w:rsid w:val="00414556"/>
    <w:rsid w:val="00414577"/>
    <w:rsid w:val="004145F7"/>
    <w:rsid w:val="0041483C"/>
    <w:rsid w:val="00414872"/>
    <w:rsid w:val="0041490B"/>
    <w:rsid w:val="0041494D"/>
    <w:rsid w:val="00414A1C"/>
    <w:rsid w:val="00414E41"/>
    <w:rsid w:val="0041518F"/>
    <w:rsid w:val="00415369"/>
    <w:rsid w:val="004154FD"/>
    <w:rsid w:val="004155AF"/>
    <w:rsid w:val="0041564B"/>
    <w:rsid w:val="00415699"/>
    <w:rsid w:val="004156FB"/>
    <w:rsid w:val="00415767"/>
    <w:rsid w:val="00415994"/>
    <w:rsid w:val="00415EDE"/>
    <w:rsid w:val="00415F1F"/>
    <w:rsid w:val="00416269"/>
    <w:rsid w:val="004162F9"/>
    <w:rsid w:val="004163F9"/>
    <w:rsid w:val="004164EA"/>
    <w:rsid w:val="00416511"/>
    <w:rsid w:val="004166A7"/>
    <w:rsid w:val="00416846"/>
    <w:rsid w:val="00416C53"/>
    <w:rsid w:val="00416D91"/>
    <w:rsid w:val="00416DA4"/>
    <w:rsid w:val="00416E32"/>
    <w:rsid w:val="00416F4E"/>
    <w:rsid w:val="00417092"/>
    <w:rsid w:val="00417346"/>
    <w:rsid w:val="0041747C"/>
    <w:rsid w:val="0041759E"/>
    <w:rsid w:val="0041761D"/>
    <w:rsid w:val="0041766E"/>
    <w:rsid w:val="00417673"/>
    <w:rsid w:val="00417738"/>
    <w:rsid w:val="00417806"/>
    <w:rsid w:val="00417867"/>
    <w:rsid w:val="00417B7F"/>
    <w:rsid w:val="00417F91"/>
    <w:rsid w:val="004200EE"/>
    <w:rsid w:val="00420249"/>
    <w:rsid w:val="0042034B"/>
    <w:rsid w:val="004203A7"/>
    <w:rsid w:val="0042051B"/>
    <w:rsid w:val="0042062F"/>
    <w:rsid w:val="004209A8"/>
    <w:rsid w:val="00420BF5"/>
    <w:rsid w:val="00420CFB"/>
    <w:rsid w:val="00420DB9"/>
    <w:rsid w:val="00420DEA"/>
    <w:rsid w:val="00420F14"/>
    <w:rsid w:val="004213D4"/>
    <w:rsid w:val="00421400"/>
    <w:rsid w:val="0042145A"/>
    <w:rsid w:val="0042150A"/>
    <w:rsid w:val="00421612"/>
    <w:rsid w:val="004218B1"/>
    <w:rsid w:val="00421A19"/>
    <w:rsid w:val="00421B7D"/>
    <w:rsid w:val="00421CB3"/>
    <w:rsid w:val="00421D2C"/>
    <w:rsid w:val="00422025"/>
    <w:rsid w:val="0042210A"/>
    <w:rsid w:val="00422871"/>
    <w:rsid w:val="00422BE8"/>
    <w:rsid w:val="00422C22"/>
    <w:rsid w:val="00422C4C"/>
    <w:rsid w:val="00422FA2"/>
    <w:rsid w:val="00422FEB"/>
    <w:rsid w:val="004231AD"/>
    <w:rsid w:val="00423241"/>
    <w:rsid w:val="004232C2"/>
    <w:rsid w:val="00423AF5"/>
    <w:rsid w:val="00423CE5"/>
    <w:rsid w:val="00423D51"/>
    <w:rsid w:val="00423D66"/>
    <w:rsid w:val="00423F74"/>
    <w:rsid w:val="0042407E"/>
    <w:rsid w:val="00424168"/>
    <w:rsid w:val="00424414"/>
    <w:rsid w:val="004245B8"/>
    <w:rsid w:val="00424B9F"/>
    <w:rsid w:val="00424D47"/>
    <w:rsid w:val="004251B0"/>
    <w:rsid w:val="00425721"/>
    <w:rsid w:val="0042575F"/>
    <w:rsid w:val="00425809"/>
    <w:rsid w:val="004259AF"/>
    <w:rsid w:val="00425BD8"/>
    <w:rsid w:val="00425D28"/>
    <w:rsid w:val="00426559"/>
    <w:rsid w:val="004266A1"/>
    <w:rsid w:val="00426815"/>
    <w:rsid w:val="00426C99"/>
    <w:rsid w:val="00426D0D"/>
    <w:rsid w:val="00426FE2"/>
    <w:rsid w:val="004271CD"/>
    <w:rsid w:val="004271E8"/>
    <w:rsid w:val="0042721A"/>
    <w:rsid w:val="004272A1"/>
    <w:rsid w:val="0042755F"/>
    <w:rsid w:val="004276E0"/>
    <w:rsid w:val="00427808"/>
    <w:rsid w:val="00427960"/>
    <w:rsid w:val="00427AFD"/>
    <w:rsid w:val="00427BA6"/>
    <w:rsid w:val="00427E6B"/>
    <w:rsid w:val="00427E9F"/>
    <w:rsid w:val="00427EA3"/>
    <w:rsid w:val="00427EE8"/>
    <w:rsid w:val="00427F4C"/>
    <w:rsid w:val="004302A3"/>
    <w:rsid w:val="004302AB"/>
    <w:rsid w:val="004302AC"/>
    <w:rsid w:val="0043058B"/>
    <w:rsid w:val="0043076E"/>
    <w:rsid w:val="0043099A"/>
    <w:rsid w:val="00430C1C"/>
    <w:rsid w:val="00430C52"/>
    <w:rsid w:val="00430C66"/>
    <w:rsid w:val="00430D03"/>
    <w:rsid w:val="0043103D"/>
    <w:rsid w:val="00431146"/>
    <w:rsid w:val="00431191"/>
    <w:rsid w:val="00431372"/>
    <w:rsid w:val="004313BF"/>
    <w:rsid w:val="0043158A"/>
    <w:rsid w:val="00431595"/>
    <w:rsid w:val="00431990"/>
    <w:rsid w:val="004319AA"/>
    <w:rsid w:val="004319DA"/>
    <w:rsid w:val="00431A41"/>
    <w:rsid w:val="00431DF8"/>
    <w:rsid w:val="00431EEC"/>
    <w:rsid w:val="0043231B"/>
    <w:rsid w:val="00432513"/>
    <w:rsid w:val="00432532"/>
    <w:rsid w:val="004325DE"/>
    <w:rsid w:val="004325F9"/>
    <w:rsid w:val="00432665"/>
    <w:rsid w:val="004328C7"/>
    <w:rsid w:val="004329D9"/>
    <w:rsid w:val="004329DA"/>
    <w:rsid w:val="00432B10"/>
    <w:rsid w:val="00432BC2"/>
    <w:rsid w:val="00432D2B"/>
    <w:rsid w:val="00433019"/>
    <w:rsid w:val="00433063"/>
    <w:rsid w:val="00433066"/>
    <w:rsid w:val="0043309C"/>
    <w:rsid w:val="004331CD"/>
    <w:rsid w:val="00433219"/>
    <w:rsid w:val="004333AF"/>
    <w:rsid w:val="004335CE"/>
    <w:rsid w:val="004337A8"/>
    <w:rsid w:val="00433A88"/>
    <w:rsid w:val="00433AC8"/>
    <w:rsid w:val="00433B5D"/>
    <w:rsid w:val="00433CAE"/>
    <w:rsid w:val="00433D35"/>
    <w:rsid w:val="00434007"/>
    <w:rsid w:val="00434057"/>
    <w:rsid w:val="00434143"/>
    <w:rsid w:val="0043423E"/>
    <w:rsid w:val="004342ED"/>
    <w:rsid w:val="00434311"/>
    <w:rsid w:val="00434404"/>
    <w:rsid w:val="00434472"/>
    <w:rsid w:val="004344CE"/>
    <w:rsid w:val="004346C3"/>
    <w:rsid w:val="004348DC"/>
    <w:rsid w:val="004349A3"/>
    <w:rsid w:val="00434F06"/>
    <w:rsid w:val="004350F2"/>
    <w:rsid w:val="00435110"/>
    <w:rsid w:val="00435153"/>
    <w:rsid w:val="0043519E"/>
    <w:rsid w:val="0043564C"/>
    <w:rsid w:val="00435664"/>
    <w:rsid w:val="004357A8"/>
    <w:rsid w:val="0043597C"/>
    <w:rsid w:val="00435B01"/>
    <w:rsid w:val="00435B08"/>
    <w:rsid w:val="00435C56"/>
    <w:rsid w:val="00435C8D"/>
    <w:rsid w:val="00435E58"/>
    <w:rsid w:val="00436096"/>
    <w:rsid w:val="004360A4"/>
    <w:rsid w:val="00436322"/>
    <w:rsid w:val="00436390"/>
    <w:rsid w:val="004364E1"/>
    <w:rsid w:val="004365F5"/>
    <w:rsid w:val="004366A8"/>
    <w:rsid w:val="004366EC"/>
    <w:rsid w:val="0043673A"/>
    <w:rsid w:val="0043677E"/>
    <w:rsid w:val="0043686A"/>
    <w:rsid w:val="0043693A"/>
    <w:rsid w:val="00436990"/>
    <w:rsid w:val="00436A19"/>
    <w:rsid w:val="00436A77"/>
    <w:rsid w:val="00436A7B"/>
    <w:rsid w:val="00436D6A"/>
    <w:rsid w:val="0043709B"/>
    <w:rsid w:val="004370E8"/>
    <w:rsid w:val="00437117"/>
    <w:rsid w:val="004372E2"/>
    <w:rsid w:val="0043758F"/>
    <w:rsid w:val="004376C3"/>
    <w:rsid w:val="00437715"/>
    <w:rsid w:val="0043775F"/>
    <w:rsid w:val="00437761"/>
    <w:rsid w:val="00437A2A"/>
    <w:rsid w:val="00437BA5"/>
    <w:rsid w:val="00437E03"/>
    <w:rsid w:val="00437E16"/>
    <w:rsid w:val="00437E6A"/>
    <w:rsid w:val="00437F27"/>
    <w:rsid w:val="00437FBA"/>
    <w:rsid w:val="004400EB"/>
    <w:rsid w:val="0044020B"/>
    <w:rsid w:val="00440524"/>
    <w:rsid w:val="00440B11"/>
    <w:rsid w:val="00440CED"/>
    <w:rsid w:val="00440DC9"/>
    <w:rsid w:val="00440F6A"/>
    <w:rsid w:val="004413FA"/>
    <w:rsid w:val="004414A5"/>
    <w:rsid w:val="0044178D"/>
    <w:rsid w:val="004417EA"/>
    <w:rsid w:val="00441910"/>
    <w:rsid w:val="00441E33"/>
    <w:rsid w:val="004424AB"/>
    <w:rsid w:val="00442875"/>
    <w:rsid w:val="00442AE0"/>
    <w:rsid w:val="00442CB5"/>
    <w:rsid w:val="00442D85"/>
    <w:rsid w:val="004431F5"/>
    <w:rsid w:val="00443235"/>
    <w:rsid w:val="00443302"/>
    <w:rsid w:val="0044375B"/>
    <w:rsid w:val="004439DF"/>
    <w:rsid w:val="00443A64"/>
    <w:rsid w:val="00443AF9"/>
    <w:rsid w:val="00443E66"/>
    <w:rsid w:val="00443F9B"/>
    <w:rsid w:val="00443FF4"/>
    <w:rsid w:val="00444026"/>
    <w:rsid w:val="00444056"/>
    <w:rsid w:val="004441C1"/>
    <w:rsid w:val="0044422D"/>
    <w:rsid w:val="004442F7"/>
    <w:rsid w:val="00444844"/>
    <w:rsid w:val="00444CE2"/>
    <w:rsid w:val="00444D2A"/>
    <w:rsid w:val="00445618"/>
    <w:rsid w:val="0044574F"/>
    <w:rsid w:val="0044585C"/>
    <w:rsid w:val="00445AFF"/>
    <w:rsid w:val="00445CF1"/>
    <w:rsid w:val="00445E12"/>
    <w:rsid w:val="00445EBD"/>
    <w:rsid w:val="0044620D"/>
    <w:rsid w:val="00446222"/>
    <w:rsid w:val="00446640"/>
    <w:rsid w:val="0044671B"/>
    <w:rsid w:val="0044676C"/>
    <w:rsid w:val="004468BC"/>
    <w:rsid w:val="00446911"/>
    <w:rsid w:val="00446C50"/>
    <w:rsid w:val="00446CDA"/>
    <w:rsid w:val="00446DBF"/>
    <w:rsid w:val="00446F52"/>
    <w:rsid w:val="0044712C"/>
    <w:rsid w:val="004472A5"/>
    <w:rsid w:val="00447460"/>
    <w:rsid w:val="004475F2"/>
    <w:rsid w:val="004476DE"/>
    <w:rsid w:val="00447B40"/>
    <w:rsid w:val="00447D82"/>
    <w:rsid w:val="00447E76"/>
    <w:rsid w:val="00447F85"/>
    <w:rsid w:val="00450290"/>
    <w:rsid w:val="0045048C"/>
    <w:rsid w:val="00450704"/>
    <w:rsid w:val="0045071D"/>
    <w:rsid w:val="00450793"/>
    <w:rsid w:val="00450842"/>
    <w:rsid w:val="0045090B"/>
    <w:rsid w:val="00450A8D"/>
    <w:rsid w:val="00450C04"/>
    <w:rsid w:val="00450E7A"/>
    <w:rsid w:val="00450FB8"/>
    <w:rsid w:val="00450FC9"/>
    <w:rsid w:val="00451489"/>
    <w:rsid w:val="004514CD"/>
    <w:rsid w:val="004517F1"/>
    <w:rsid w:val="004518BC"/>
    <w:rsid w:val="004519AF"/>
    <w:rsid w:val="00451B02"/>
    <w:rsid w:val="00451B9F"/>
    <w:rsid w:val="00451DD2"/>
    <w:rsid w:val="0045253F"/>
    <w:rsid w:val="00452744"/>
    <w:rsid w:val="00452A80"/>
    <w:rsid w:val="00453023"/>
    <w:rsid w:val="00453071"/>
    <w:rsid w:val="004531B8"/>
    <w:rsid w:val="004533C1"/>
    <w:rsid w:val="004533E9"/>
    <w:rsid w:val="004535DC"/>
    <w:rsid w:val="004537BB"/>
    <w:rsid w:val="00453C5F"/>
    <w:rsid w:val="004540BF"/>
    <w:rsid w:val="004540E0"/>
    <w:rsid w:val="004541F5"/>
    <w:rsid w:val="00454237"/>
    <w:rsid w:val="004543B3"/>
    <w:rsid w:val="0045462E"/>
    <w:rsid w:val="004546AC"/>
    <w:rsid w:val="00454727"/>
    <w:rsid w:val="00454A71"/>
    <w:rsid w:val="00454A7A"/>
    <w:rsid w:val="00454B12"/>
    <w:rsid w:val="00454CA9"/>
    <w:rsid w:val="00454F44"/>
    <w:rsid w:val="00454FB3"/>
    <w:rsid w:val="00455178"/>
    <w:rsid w:val="004552B2"/>
    <w:rsid w:val="004553BC"/>
    <w:rsid w:val="004553BE"/>
    <w:rsid w:val="00455607"/>
    <w:rsid w:val="0045562D"/>
    <w:rsid w:val="004556ED"/>
    <w:rsid w:val="00455742"/>
    <w:rsid w:val="00455877"/>
    <w:rsid w:val="0045591D"/>
    <w:rsid w:val="00455942"/>
    <w:rsid w:val="00455957"/>
    <w:rsid w:val="00455BD4"/>
    <w:rsid w:val="004565C8"/>
    <w:rsid w:val="004565D7"/>
    <w:rsid w:val="00456620"/>
    <w:rsid w:val="004568B6"/>
    <w:rsid w:val="00456966"/>
    <w:rsid w:val="00456A6E"/>
    <w:rsid w:val="00456C43"/>
    <w:rsid w:val="00456E72"/>
    <w:rsid w:val="00457056"/>
    <w:rsid w:val="0045717C"/>
    <w:rsid w:val="004571EF"/>
    <w:rsid w:val="00457636"/>
    <w:rsid w:val="00457641"/>
    <w:rsid w:val="0045764C"/>
    <w:rsid w:val="0045777A"/>
    <w:rsid w:val="004577D9"/>
    <w:rsid w:val="00457A35"/>
    <w:rsid w:val="00457A3C"/>
    <w:rsid w:val="00457BA6"/>
    <w:rsid w:val="00457C01"/>
    <w:rsid w:val="0046013C"/>
    <w:rsid w:val="00460184"/>
    <w:rsid w:val="00460189"/>
    <w:rsid w:val="0046026A"/>
    <w:rsid w:val="00460349"/>
    <w:rsid w:val="00460448"/>
    <w:rsid w:val="004604B9"/>
    <w:rsid w:val="004609EB"/>
    <w:rsid w:val="00460AB4"/>
    <w:rsid w:val="00460F91"/>
    <w:rsid w:val="004610E5"/>
    <w:rsid w:val="0046156C"/>
    <w:rsid w:val="004616C1"/>
    <w:rsid w:val="00462066"/>
    <w:rsid w:val="00462288"/>
    <w:rsid w:val="00462290"/>
    <w:rsid w:val="0046247A"/>
    <w:rsid w:val="0046270F"/>
    <w:rsid w:val="00462781"/>
    <w:rsid w:val="0046299D"/>
    <w:rsid w:val="004629C5"/>
    <w:rsid w:val="00462AC3"/>
    <w:rsid w:val="00462C94"/>
    <w:rsid w:val="004631A7"/>
    <w:rsid w:val="0046376F"/>
    <w:rsid w:val="00463B53"/>
    <w:rsid w:val="00463E10"/>
    <w:rsid w:val="004640F5"/>
    <w:rsid w:val="00464491"/>
    <w:rsid w:val="004644CF"/>
    <w:rsid w:val="00464723"/>
    <w:rsid w:val="004647B2"/>
    <w:rsid w:val="004647D9"/>
    <w:rsid w:val="00464A33"/>
    <w:rsid w:val="00464A3B"/>
    <w:rsid w:val="00464C8F"/>
    <w:rsid w:val="00464EA8"/>
    <w:rsid w:val="00465101"/>
    <w:rsid w:val="004652C0"/>
    <w:rsid w:val="00465327"/>
    <w:rsid w:val="0046538C"/>
    <w:rsid w:val="0046584A"/>
    <w:rsid w:val="00465C1F"/>
    <w:rsid w:val="00465F97"/>
    <w:rsid w:val="00466087"/>
    <w:rsid w:val="00466227"/>
    <w:rsid w:val="0046663E"/>
    <w:rsid w:val="00466984"/>
    <w:rsid w:val="00466E82"/>
    <w:rsid w:val="00467023"/>
    <w:rsid w:val="004671D3"/>
    <w:rsid w:val="004674EF"/>
    <w:rsid w:val="00467713"/>
    <w:rsid w:val="00467936"/>
    <w:rsid w:val="00467B37"/>
    <w:rsid w:val="00467B42"/>
    <w:rsid w:val="00467C36"/>
    <w:rsid w:val="00467C93"/>
    <w:rsid w:val="00467D72"/>
    <w:rsid w:val="00467D7C"/>
    <w:rsid w:val="00470298"/>
    <w:rsid w:val="004702AD"/>
    <w:rsid w:val="0047043E"/>
    <w:rsid w:val="00470468"/>
    <w:rsid w:val="00470569"/>
    <w:rsid w:val="00470597"/>
    <w:rsid w:val="00470A28"/>
    <w:rsid w:val="00470A4B"/>
    <w:rsid w:val="00470EC5"/>
    <w:rsid w:val="00470FE9"/>
    <w:rsid w:val="0047100F"/>
    <w:rsid w:val="004711AD"/>
    <w:rsid w:val="00471359"/>
    <w:rsid w:val="0047187E"/>
    <w:rsid w:val="004718FD"/>
    <w:rsid w:val="0047192C"/>
    <w:rsid w:val="00471B50"/>
    <w:rsid w:val="00471CC1"/>
    <w:rsid w:val="00471F94"/>
    <w:rsid w:val="00472602"/>
    <w:rsid w:val="0047271A"/>
    <w:rsid w:val="004727B5"/>
    <w:rsid w:val="004728C2"/>
    <w:rsid w:val="004728E9"/>
    <w:rsid w:val="004728F7"/>
    <w:rsid w:val="00472A35"/>
    <w:rsid w:val="00472CF6"/>
    <w:rsid w:val="00472DAC"/>
    <w:rsid w:val="004732D6"/>
    <w:rsid w:val="0047333C"/>
    <w:rsid w:val="0047387E"/>
    <w:rsid w:val="00473B20"/>
    <w:rsid w:val="00473C8F"/>
    <w:rsid w:val="00473D45"/>
    <w:rsid w:val="00473DA0"/>
    <w:rsid w:val="00473DE0"/>
    <w:rsid w:val="00473F13"/>
    <w:rsid w:val="00473F2B"/>
    <w:rsid w:val="00473FA1"/>
    <w:rsid w:val="00474053"/>
    <w:rsid w:val="0047424D"/>
    <w:rsid w:val="00474423"/>
    <w:rsid w:val="00474448"/>
    <w:rsid w:val="00474787"/>
    <w:rsid w:val="00474B38"/>
    <w:rsid w:val="00474B5F"/>
    <w:rsid w:val="00474BC7"/>
    <w:rsid w:val="00474D45"/>
    <w:rsid w:val="00475168"/>
    <w:rsid w:val="00475495"/>
    <w:rsid w:val="004754D5"/>
    <w:rsid w:val="0047576C"/>
    <w:rsid w:val="00475799"/>
    <w:rsid w:val="004757A5"/>
    <w:rsid w:val="00475925"/>
    <w:rsid w:val="004759B9"/>
    <w:rsid w:val="00475A57"/>
    <w:rsid w:val="00475AE7"/>
    <w:rsid w:val="00475BCF"/>
    <w:rsid w:val="00475BD6"/>
    <w:rsid w:val="00475C58"/>
    <w:rsid w:val="00475C5A"/>
    <w:rsid w:val="00475EBF"/>
    <w:rsid w:val="00475F4E"/>
    <w:rsid w:val="00475FFA"/>
    <w:rsid w:val="0047610E"/>
    <w:rsid w:val="004761B0"/>
    <w:rsid w:val="004764D3"/>
    <w:rsid w:val="00476567"/>
    <w:rsid w:val="00476A50"/>
    <w:rsid w:val="00476B6C"/>
    <w:rsid w:val="00476C15"/>
    <w:rsid w:val="00476DCE"/>
    <w:rsid w:val="004770E1"/>
    <w:rsid w:val="004770FA"/>
    <w:rsid w:val="0047739F"/>
    <w:rsid w:val="004773AD"/>
    <w:rsid w:val="0047743C"/>
    <w:rsid w:val="00477486"/>
    <w:rsid w:val="004774B7"/>
    <w:rsid w:val="0047770F"/>
    <w:rsid w:val="00477B13"/>
    <w:rsid w:val="00480082"/>
    <w:rsid w:val="004800D0"/>
    <w:rsid w:val="00480668"/>
    <w:rsid w:val="00480690"/>
    <w:rsid w:val="0048080C"/>
    <w:rsid w:val="0048083A"/>
    <w:rsid w:val="00480B3F"/>
    <w:rsid w:val="00480B78"/>
    <w:rsid w:val="00481020"/>
    <w:rsid w:val="004810AC"/>
    <w:rsid w:val="004810EC"/>
    <w:rsid w:val="004811BF"/>
    <w:rsid w:val="004812BA"/>
    <w:rsid w:val="004814C2"/>
    <w:rsid w:val="00481876"/>
    <w:rsid w:val="00481931"/>
    <w:rsid w:val="00481A47"/>
    <w:rsid w:val="00481D7A"/>
    <w:rsid w:val="00481FA2"/>
    <w:rsid w:val="00481FA4"/>
    <w:rsid w:val="0048201F"/>
    <w:rsid w:val="004820C5"/>
    <w:rsid w:val="004821A5"/>
    <w:rsid w:val="00482396"/>
    <w:rsid w:val="00482446"/>
    <w:rsid w:val="00482481"/>
    <w:rsid w:val="00482502"/>
    <w:rsid w:val="0048257E"/>
    <w:rsid w:val="004826E6"/>
    <w:rsid w:val="0048283F"/>
    <w:rsid w:val="004829E9"/>
    <w:rsid w:val="00482B89"/>
    <w:rsid w:val="00482BB8"/>
    <w:rsid w:val="00482BF3"/>
    <w:rsid w:val="00482C69"/>
    <w:rsid w:val="00482D3D"/>
    <w:rsid w:val="00482EA9"/>
    <w:rsid w:val="0048330B"/>
    <w:rsid w:val="004833C5"/>
    <w:rsid w:val="004833F2"/>
    <w:rsid w:val="00483437"/>
    <w:rsid w:val="004836AD"/>
    <w:rsid w:val="00483841"/>
    <w:rsid w:val="00483BE5"/>
    <w:rsid w:val="00483D74"/>
    <w:rsid w:val="00483EAC"/>
    <w:rsid w:val="00483FD2"/>
    <w:rsid w:val="00484108"/>
    <w:rsid w:val="00484229"/>
    <w:rsid w:val="00484370"/>
    <w:rsid w:val="0048464A"/>
    <w:rsid w:val="004846E1"/>
    <w:rsid w:val="004846F5"/>
    <w:rsid w:val="0048477D"/>
    <w:rsid w:val="004847A4"/>
    <w:rsid w:val="00484825"/>
    <w:rsid w:val="004848F7"/>
    <w:rsid w:val="00484CCD"/>
    <w:rsid w:val="00484DC3"/>
    <w:rsid w:val="0048542F"/>
    <w:rsid w:val="00485568"/>
    <w:rsid w:val="004856D3"/>
    <w:rsid w:val="00485AA6"/>
    <w:rsid w:val="00485CEC"/>
    <w:rsid w:val="00485D94"/>
    <w:rsid w:val="00485E1F"/>
    <w:rsid w:val="00485FF0"/>
    <w:rsid w:val="00486349"/>
    <w:rsid w:val="004865CB"/>
    <w:rsid w:val="004865D7"/>
    <w:rsid w:val="0048683D"/>
    <w:rsid w:val="00486CFD"/>
    <w:rsid w:val="00486EBF"/>
    <w:rsid w:val="00486F5E"/>
    <w:rsid w:val="0048766A"/>
    <w:rsid w:val="0048771F"/>
    <w:rsid w:val="0048788D"/>
    <w:rsid w:val="00487A11"/>
    <w:rsid w:val="00487D32"/>
    <w:rsid w:val="00487DA2"/>
    <w:rsid w:val="00487DFD"/>
    <w:rsid w:val="00487E31"/>
    <w:rsid w:val="0049001F"/>
    <w:rsid w:val="00490136"/>
    <w:rsid w:val="004902CF"/>
    <w:rsid w:val="004903A9"/>
    <w:rsid w:val="004905BD"/>
    <w:rsid w:val="00490609"/>
    <w:rsid w:val="00490908"/>
    <w:rsid w:val="00490D4A"/>
    <w:rsid w:val="00490DF7"/>
    <w:rsid w:val="00490E9E"/>
    <w:rsid w:val="004911F3"/>
    <w:rsid w:val="004915DB"/>
    <w:rsid w:val="00491642"/>
    <w:rsid w:val="004916DA"/>
    <w:rsid w:val="004917B9"/>
    <w:rsid w:val="00491A20"/>
    <w:rsid w:val="00491A7A"/>
    <w:rsid w:val="00491C12"/>
    <w:rsid w:val="00491C81"/>
    <w:rsid w:val="00491C87"/>
    <w:rsid w:val="00491DB9"/>
    <w:rsid w:val="00491DEA"/>
    <w:rsid w:val="00491E5D"/>
    <w:rsid w:val="00491EA7"/>
    <w:rsid w:val="004920CE"/>
    <w:rsid w:val="004921A7"/>
    <w:rsid w:val="004922D9"/>
    <w:rsid w:val="00492353"/>
    <w:rsid w:val="00492384"/>
    <w:rsid w:val="0049243C"/>
    <w:rsid w:val="00492805"/>
    <w:rsid w:val="0049288D"/>
    <w:rsid w:val="00492C10"/>
    <w:rsid w:val="00492C46"/>
    <w:rsid w:val="00492D0B"/>
    <w:rsid w:val="00492D4C"/>
    <w:rsid w:val="00492F7A"/>
    <w:rsid w:val="00493033"/>
    <w:rsid w:val="00493146"/>
    <w:rsid w:val="00493298"/>
    <w:rsid w:val="00493829"/>
    <w:rsid w:val="00493A08"/>
    <w:rsid w:val="00493AB1"/>
    <w:rsid w:val="00493ACE"/>
    <w:rsid w:val="0049430C"/>
    <w:rsid w:val="0049438C"/>
    <w:rsid w:val="00494395"/>
    <w:rsid w:val="004943C4"/>
    <w:rsid w:val="0049443F"/>
    <w:rsid w:val="00494504"/>
    <w:rsid w:val="0049459A"/>
    <w:rsid w:val="004945FC"/>
    <w:rsid w:val="004947F1"/>
    <w:rsid w:val="00494A97"/>
    <w:rsid w:val="00494BCC"/>
    <w:rsid w:val="00494C31"/>
    <w:rsid w:val="004950B1"/>
    <w:rsid w:val="00495500"/>
    <w:rsid w:val="00495734"/>
    <w:rsid w:val="00495CF6"/>
    <w:rsid w:val="00495FEA"/>
    <w:rsid w:val="004960C0"/>
    <w:rsid w:val="00496991"/>
    <w:rsid w:val="00496A94"/>
    <w:rsid w:val="00496D16"/>
    <w:rsid w:val="00496E26"/>
    <w:rsid w:val="00496FB4"/>
    <w:rsid w:val="00497083"/>
    <w:rsid w:val="004970B7"/>
    <w:rsid w:val="0049750A"/>
    <w:rsid w:val="0049753D"/>
    <w:rsid w:val="00497624"/>
    <w:rsid w:val="004976F2"/>
    <w:rsid w:val="004977B4"/>
    <w:rsid w:val="004977BA"/>
    <w:rsid w:val="004977EE"/>
    <w:rsid w:val="004978D8"/>
    <w:rsid w:val="004978DC"/>
    <w:rsid w:val="00497C2A"/>
    <w:rsid w:val="00497CF9"/>
    <w:rsid w:val="00497DB6"/>
    <w:rsid w:val="004A00C0"/>
    <w:rsid w:val="004A00D5"/>
    <w:rsid w:val="004A04FE"/>
    <w:rsid w:val="004A053B"/>
    <w:rsid w:val="004A0DB7"/>
    <w:rsid w:val="004A0E64"/>
    <w:rsid w:val="004A103A"/>
    <w:rsid w:val="004A103F"/>
    <w:rsid w:val="004A1395"/>
    <w:rsid w:val="004A13BE"/>
    <w:rsid w:val="004A1550"/>
    <w:rsid w:val="004A192C"/>
    <w:rsid w:val="004A19CB"/>
    <w:rsid w:val="004A1D72"/>
    <w:rsid w:val="004A1D98"/>
    <w:rsid w:val="004A2042"/>
    <w:rsid w:val="004A20AD"/>
    <w:rsid w:val="004A213A"/>
    <w:rsid w:val="004A21A9"/>
    <w:rsid w:val="004A2348"/>
    <w:rsid w:val="004A23DF"/>
    <w:rsid w:val="004A25CD"/>
    <w:rsid w:val="004A2ACF"/>
    <w:rsid w:val="004A2B94"/>
    <w:rsid w:val="004A2C53"/>
    <w:rsid w:val="004A2EAB"/>
    <w:rsid w:val="004A3075"/>
    <w:rsid w:val="004A33F0"/>
    <w:rsid w:val="004A3572"/>
    <w:rsid w:val="004A367A"/>
    <w:rsid w:val="004A38E2"/>
    <w:rsid w:val="004A3B13"/>
    <w:rsid w:val="004A3F6C"/>
    <w:rsid w:val="004A403E"/>
    <w:rsid w:val="004A42FE"/>
    <w:rsid w:val="004A4325"/>
    <w:rsid w:val="004A444E"/>
    <w:rsid w:val="004A44EE"/>
    <w:rsid w:val="004A458B"/>
    <w:rsid w:val="004A4733"/>
    <w:rsid w:val="004A47A5"/>
    <w:rsid w:val="004A48F1"/>
    <w:rsid w:val="004A4A29"/>
    <w:rsid w:val="004A4CEE"/>
    <w:rsid w:val="004A4D10"/>
    <w:rsid w:val="004A5118"/>
    <w:rsid w:val="004A54E0"/>
    <w:rsid w:val="004A59E4"/>
    <w:rsid w:val="004A5BA0"/>
    <w:rsid w:val="004A5CC6"/>
    <w:rsid w:val="004A60F6"/>
    <w:rsid w:val="004A613C"/>
    <w:rsid w:val="004A617B"/>
    <w:rsid w:val="004A6326"/>
    <w:rsid w:val="004A6487"/>
    <w:rsid w:val="004A654C"/>
    <w:rsid w:val="004A6670"/>
    <w:rsid w:val="004A6BDD"/>
    <w:rsid w:val="004A6BFE"/>
    <w:rsid w:val="004A6D72"/>
    <w:rsid w:val="004A6D8C"/>
    <w:rsid w:val="004A6FB4"/>
    <w:rsid w:val="004A70A6"/>
    <w:rsid w:val="004A70B2"/>
    <w:rsid w:val="004A72A6"/>
    <w:rsid w:val="004A72A9"/>
    <w:rsid w:val="004A78A0"/>
    <w:rsid w:val="004A7E4F"/>
    <w:rsid w:val="004B00B8"/>
    <w:rsid w:val="004B039C"/>
    <w:rsid w:val="004B0901"/>
    <w:rsid w:val="004B096A"/>
    <w:rsid w:val="004B09A6"/>
    <w:rsid w:val="004B0B8F"/>
    <w:rsid w:val="004B0FF3"/>
    <w:rsid w:val="004B10BE"/>
    <w:rsid w:val="004B12C6"/>
    <w:rsid w:val="004B159D"/>
    <w:rsid w:val="004B16B6"/>
    <w:rsid w:val="004B17DC"/>
    <w:rsid w:val="004B1AA6"/>
    <w:rsid w:val="004B1B43"/>
    <w:rsid w:val="004B1BF3"/>
    <w:rsid w:val="004B21BC"/>
    <w:rsid w:val="004B224F"/>
    <w:rsid w:val="004B2263"/>
    <w:rsid w:val="004B22CA"/>
    <w:rsid w:val="004B2538"/>
    <w:rsid w:val="004B2603"/>
    <w:rsid w:val="004B2790"/>
    <w:rsid w:val="004B2B0F"/>
    <w:rsid w:val="004B2B49"/>
    <w:rsid w:val="004B2D99"/>
    <w:rsid w:val="004B3035"/>
    <w:rsid w:val="004B3066"/>
    <w:rsid w:val="004B3387"/>
    <w:rsid w:val="004B33DB"/>
    <w:rsid w:val="004B3746"/>
    <w:rsid w:val="004B3A94"/>
    <w:rsid w:val="004B3A96"/>
    <w:rsid w:val="004B3CAB"/>
    <w:rsid w:val="004B3FDF"/>
    <w:rsid w:val="004B4180"/>
    <w:rsid w:val="004B4547"/>
    <w:rsid w:val="004B45A6"/>
    <w:rsid w:val="004B45AE"/>
    <w:rsid w:val="004B4724"/>
    <w:rsid w:val="004B4A0A"/>
    <w:rsid w:val="004B4E13"/>
    <w:rsid w:val="004B4FB1"/>
    <w:rsid w:val="004B5035"/>
    <w:rsid w:val="004B5037"/>
    <w:rsid w:val="004B5517"/>
    <w:rsid w:val="004B572B"/>
    <w:rsid w:val="004B5736"/>
    <w:rsid w:val="004B5A2A"/>
    <w:rsid w:val="004B5D0B"/>
    <w:rsid w:val="004B5DB9"/>
    <w:rsid w:val="004B5FF2"/>
    <w:rsid w:val="004B66B3"/>
    <w:rsid w:val="004B67A5"/>
    <w:rsid w:val="004B694A"/>
    <w:rsid w:val="004B69CA"/>
    <w:rsid w:val="004B69E3"/>
    <w:rsid w:val="004B6BA3"/>
    <w:rsid w:val="004B6C96"/>
    <w:rsid w:val="004B6E4D"/>
    <w:rsid w:val="004B7077"/>
    <w:rsid w:val="004B7099"/>
    <w:rsid w:val="004B712F"/>
    <w:rsid w:val="004B724E"/>
    <w:rsid w:val="004B72ED"/>
    <w:rsid w:val="004B75D5"/>
    <w:rsid w:val="004B77D7"/>
    <w:rsid w:val="004B79F6"/>
    <w:rsid w:val="004B7C15"/>
    <w:rsid w:val="004B7C2A"/>
    <w:rsid w:val="004B7CBF"/>
    <w:rsid w:val="004B7E9D"/>
    <w:rsid w:val="004B7EC3"/>
    <w:rsid w:val="004B7F3C"/>
    <w:rsid w:val="004B7FB1"/>
    <w:rsid w:val="004C0129"/>
    <w:rsid w:val="004C068B"/>
    <w:rsid w:val="004C0700"/>
    <w:rsid w:val="004C0814"/>
    <w:rsid w:val="004C09E2"/>
    <w:rsid w:val="004C0A64"/>
    <w:rsid w:val="004C0E8D"/>
    <w:rsid w:val="004C0ED5"/>
    <w:rsid w:val="004C111C"/>
    <w:rsid w:val="004C1151"/>
    <w:rsid w:val="004C116D"/>
    <w:rsid w:val="004C1241"/>
    <w:rsid w:val="004C1330"/>
    <w:rsid w:val="004C144C"/>
    <w:rsid w:val="004C1674"/>
    <w:rsid w:val="004C1AC3"/>
    <w:rsid w:val="004C1C5E"/>
    <w:rsid w:val="004C1D1C"/>
    <w:rsid w:val="004C1D96"/>
    <w:rsid w:val="004C1E32"/>
    <w:rsid w:val="004C201B"/>
    <w:rsid w:val="004C2075"/>
    <w:rsid w:val="004C25A5"/>
    <w:rsid w:val="004C2D8C"/>
    <w:rsid w:val="004C2FDE"/>
    <w:rsid w:val="004C3123"/>
    <w:rsid w:val="004C3144"/>
    <w:rsid w:val="004C31DB"/>
    <w:rsid w:val="004C31ED"/>
    <w:rsid w:val="004C3217"/>
    <w:rsid w:val="004C331B"/>
    <w:rsid w:val="004C33B2"/>
    <w:rsid w:val="004C3489"/>
    <w:rsid w:val="004C3891"/>
    <w:rsid w:val="004C3902"/>
    <w:rsid w:val="004C3986"/>
    <w:rsid w:val="004C39ED"/>
    <w:rsid w:val="004C3A14"/>
    <w:rsid w:val="004C3A1B"/>
    <w:rsid w:val="004C3AD0"/>
    <w:rsid w:val="004C4113"/>
    <w:rsid w:val="004C461E"/>
    <w:rsid w:val="004C4FD9"/>
    <w:rsid w:val="004C514C"/>
    <w:rsid w:val="004C55F5"/>
    <w:rsid w:val="004C5619"/>
    <w:rsid w:val="004C580E"/>
    <w:rsid w:val="004C596F"/>
    <w:rsid w:val="004C59A0"/>
    <w:rsid w:val="004C5C7E"/>
    <w:rsid w:val="004C5CE7"/>
    <w:rsid w:val="004C602E"/>
    <w:rsid w:val="004C61A4"/>
    <w:rsid w:val="004C65B5"/>
    <w:rsid w:val="004C6899"/>
    <w:rsid w:val="004C68E9"/>
    <w:rsid w:val="004C6B66"/>
    <w:rsid w:val="004C6BEC"/>
    <w:rsid w:val="004C6C97"/>
    <w:rsid w:val="004C712C"/>
    <w:rsid w:val="004C725A"/>
    <w:rsid w:val="004C75AF"/>
    <w:rsid w:val="004C773A"/>
    <w:rsid w:val="004C784B"/>
    <w:rsid w:val="004C7992"/>
    <w:rsid w:val="004C7C65"/>
    <w:rsid w:val="004C7CB9"/>
    <w:rsid w:val="004C7E84"/>
    <w:rsid w:val="004D032B"/>
    <w:rsid w:val="004D03C1"/>
    <w:rsid w:val="004D053E"/>
    <w:rsid w:val="004D0829"/>
    <w:rsid w:val="004D0906"/>
    <w:rsid w:val="004D0ADC"/>
    <w:rsid w:val="004D0F74"/>
    <w:rsid w:val="004D108B"/>
    <w:rsid w:val="004D1125"/>
    <w:rsid w:val="004D1142"/>
    <w:rsid w:val="004D146B"/>
    <w:rsid w:val="004D1637"/>
    <w:rsid w:val="004D170E"/>
    <w:rsid w:val="004D18A1"/>
    <w:rsid w:val="004D19A7"/>
    <w:rsid w:val="004D1A95"/>
    <w:rsid w:val="004D1AAF"/>
    <w:rsid w:val="004D2057"/>
    <w:rsid w:val="004D232A"/>
    <w:rsid w:val="004D2354"/>
    <w:rsid w:val="004D2428"/>
    <w:rsid w:val="004D2498"/>
    <w:rsid w:val="004D2699"/>
    <w:rsid w:val="004D27CC"/>
    <w:rsid w:val="004D28FA"/>
    <w:rsid w:val="004D29B3"/>
    <w:rsid w:val="004D2A8A"/>
    <w:rsid w:val="004D2BB6"/>
    <w:rsid w:val="004D2BD0"/>
    <w:rsid w:val="004D2D7A"/>
    <w:rsid w:val="004D2F6B"/>
    <w:rsid w:val="004D2FDF"/>
    <w:rsid w:val="004D31DA"/>
    <w:rsid w:val="004D3413"/>
    <w:rsid w:val="004D38F4"/>
    <w:rsid w:val="004D3B3D"/>
    <w:rsid w:val="004D3BF6"/>
    <w:rsid w:val="004D3F78"/>
    <w:rsid w:val="004D4061"/>
    <w:rsid w:val="004D411A"/>
    <w:rsid w:val="004D4569"/>
    <w:rsid w:val="004D458B"/>
    <w:rsid w:val="004D475B"/>
    <w:rsid w:val="004D49C9"/>
    <w:rsid w:val="004D4D72"/>
    <w:rsid w:val="004D5147"/>
    <w:rsid w:val="004D52C8"/>
    <w:rsid w:val="004D52E6"/>
    <w:rsid w:val="004D56B3"/>
    <w:rsid w:val="004D58C3"/>
    <w:rsid w:val="004D5F50"/>
    <w:rsid w:val="004D611B"/>
    <w:rsid w:val="004D6135"/>
    <w:rsid w:val="004D6275"/>
    <w:rsid w:val="004D633C"/>
    <w:rsid w:val="004D645A"/>
    <w:rsid w:val="004D66CB"/>
    <w:rsid w:val="004D6702"/>
    <w:rsid w:val="004D7089"/>
    <w:rsid w:val="004D72F2"/>
    <w:rsid w:val="004D761B"/>
    <w:rsid w:val="004D775E"/>
    <w:rsid w:val="004D7787"/>
    <w:rsid w:val="004D79CA"/>
    <w:rsid w:val="004D7B3D"/>
    <w:rsid w:val="004D7B95"/>
    <w:rsid w:val="004D7E76"/>
    <w:rsid w:val="004D7FB0"/>
    <w:rsid w:val="004E00B7"/>
    <w:rsid w:val="004E0184"/>
    <w:rsid w:val="004E045A"/>
    <w:rsid w:val="004E0835"/>
    <w:rsid w:val="004E0AE1"/>
    <w:rsid w:val="004E0F46"/>
    <w:rsid w:val="004E10E6"/>
    <w:rsid w:val="004E123D"/>
    <w:rsid w:val="004E1244"/>
    <w:rsid w:val="004E1427"/>
    <w:rsid w:val="004E14AB"/>
    <w:rsid w:val="004E14CF"/>
    <w:rsid w:val="004E150E"/>
    <w:rsid w:val="004E16A4"/>
    <w:rsid w:val="004E184E"/>
    <w:rsid w:val="004E1870"/>
    <w:rsid w:val="004E1924"/>
    <w:rsid w:val="004E1BF0"/>
    <w:rsid w:val="004E1C0A"/>
    <w:rsid w:val="004E1C41"/>
    <w:rsid w:val="004E1F11"/>
    <w:rsid w:val="004E1FFF"/>
    <w:rsid w:val="004E2130"/>
    <w:rsid w:val="004E231B"/>
    <w:rsid w:val="004E23F1"/>
    <w:rsid w:val="004E2500"/>
    <w:rsid w:val="004E2577"/>
    <w:rsid w:val="004E2990"/>
    <w:rsid w:val="004E2BD0"/>
    <w:rsid w:val="004E2C54"/>
    <w:rsid w:val="004E2E90"/>
    <w:rsid w:val="004E2FC9"/>
    <w:rsid w:val="004E2FDF"/>
    <w:rsid w:val="004E3275"/>
    <w:rsid w:val="004E3395"/>
    <w:rsid w:val="004E342F"/>
    <w:rsid w:val="004E3490"/>
    <w:rsid w:val="004E3832"/>
    <w:rsid w:val="004E3A0D"/>
    <w:rsid w:val="004E426F"/>
    <w:rsid w:val="004E42C5"/>
    <w:rsid w:val="004E4370"/>
    <w:rsid w:val="004E4380"/>
    <w:rsid w:val="004E4391"/>
    <w:rsid w:val="004E46F9"/>
    <w:rsid w:val="004E489F"/>
    <w:rsid w:val="004E4906"/>
    <w:rsid w:val="004E4B77"/>
    <w:rsid w:val="004E4C07"/>
    <w:rsid w:val="004E4C59"/>
    <w:rsid w:val="004E4D29"/>
    <w:rsid w:val="004E513F"/>
    <w:rsid w:val="004E519A"/>
    <w:rsid w:val="004E5388"/>
    <w:rsid w:val="004E5414"/>
    <w:rsid w:val="004E5502"/>
    <w:rsid w:val="004E5700"/>
    <w:rsid w:val="004E5969"/>
    <w:rsid w:val="004E5B85"/>
    <w:rsid w:val="004E5BAF"/>
    <w:rsid w:val="004E5FA8"/>
    <w:rsid w:val="004E6161"/>
    <w:rsid w:val="004E617F"/>
    <w:rsid w:val="004E62BB"/>
    <w:rsid w:val="004E6333"/>
    <w:rsid w:val="004E68A4"/>
    <w:rsid w:val="004E68B4"/>
    <w:rsid w:val="004E6A52"/>
    <w:rsid w:val="004E71D5"/>
    <w:rsid w:val="004E7200"/>
    <w:rsid w:val="004E7421"/>
    <w:rsid w:val="004E7516"/>
    <w:rsid w:val="004E7A56"/>
    <w:rsid w:val="004E7ABC"/>
    <w:rsid w:val="004E7D7A"/>
    <w:rsid w:val="004E7E40"/>
    <w:rsid w:val="004F0019"/>
    <w:rsid w:val="004F0070"/>
    <w:rsid w:val="004F0165"/>
    <w:rsid w:val="004F056B"/>
    <w:rsid w:val="004F0624"/>
    <w:rsid w:val="004F0687"/>
    <w:rsid w:val="004F0799"/>
    <w:rsid w:val="004F086F"/>
    <w:rsid w:val="004F08EC"/>
    <w:rsid w:val="004F0B7D"/>
    <w:rsid w:val="004F0BF0"/>
    <w:rsid w:val="004F1516"/>
    <w:rsid w:val="004F151F"/>
    <w:rsid w:val="004F1571"/>
    <w:rsid w:val="004F175A"/>
    <w:rsid w:val="004F1AFA"/>
    <w:rsid w:val="004F1C4A"/>
    <w:rsid w:val="004F1CD5"/>
    <w:rsid w:val="004F1D13"/>
    <w:rsid w:val="004F1E4C"/>
    <w:rsid w:val="004F1E79"/>
    <w:rsid w:val="004F2050"/>
    <w:rsid w:val="004F213D"/>
    <w:rsid w:val="004F21CF"/>
    <w:rsid w:val="004F22EE"/>
    <w:rsid w:val="004F2525"/>
    <w:rsid w:val="004F2AF6"/>
    <w:rsid w:val="004F2B0B"/>
    <w:rsid w:val="004F2D76"/>
    <w:rsid w:val="004F317A"/>
    <w:rsid w:val="004F374A"/>
    <w:rsid w:val="004F389C"/>
    <w:rsid w:val="004F3A22"/>
    <w:rsid w:val="004F3AA0"/>
    <w:rsid w:val="004F3C2B"/>
    <w:rsid w:val="004F3C79"/>
    <w:rsid w:val="004F3CF6"/>
    <w:rsid w:val="004F4038"/>
    <w:rsid w:val="004F408A"/>
    <w:rsid w:val="004F4108"/>
    <w:rsid w:val="004F4153"/>
    <w:rsid w:val="004F41C0"/>
    <w:rsid w:val="004F4603"/>
    <w:rsid w:val="004F4621"/>
    <w:rsid w:val="004F4638"/>
    <w:rsid w:val="004F47A3"/>
    <w:rsid w:val="004F4818"/>
    <w:rsid w:val="004F48A0"/>
    <w:rsid w:val="004F496B"/>
    <w:rsid w:val="004F4A52"/>
    <w:rsid w:val="004F4B02"/>
    <w:rsid w:val="004F4C61"/>
    <w:rsid w:val="004F4C93"/>
    <w:rsid w:val="004F4D85"/>
    <w:rsid w:val="004F4DFA"/>
    <w:rsid w:val="004F4EB1"/>
    <w:rsid w:val="004F4F87"/>
    <w:rsid w:val="004F51C3"/>
    <w:rsid w:val="004F549C"/>
    <w:rsid w:val="004F5699"/>
    <w:rsid w:val="004F582B"/>
    <w:rsid w:val="004F5984"/>
    <w:rsid w:val="004F5AB0"/>
    <w:rsid w:val="004F5C69"/>
    <w:rsid w:val="004F5F1A"/>
    <w:rsid w:val="004F5F3A"/>
    <w:rsid w:val="004F6092"/>
    <w:rsid w:val="004F60C1"/>
    <w:rsid w:val="004F623E"/>
    <w:rsid w:val="004F6272"/>
    <w:rsid w:val="004F6C14"/>
    <w:rsid w:val="004F6CCE"/>
    <w:rsid w:val="004F6E68"/>
    <w:rsid w:val="004F6E7F"/>
    <w:rsid w:val="004F7482"/>
    <w:rsid w:val="004F74E1"/>
    <w:rsid w:val="004F7527"/>
    <w:rsid w:val="004F7685"/>
    <w:rsid w:val="004F76B0"/>
    <w:rsid w:val="004F7963"/>
    <w:rsid w:val="004F7AAF"/>
    <w:rsid w:val="004F7BAB"/>
    <w:rsid w:val="004F7CED"/>
    <w:rsid w:val="004F7EE4"/>
    <w:rsid w:val="005000B9"/>
    <w:rsid w:val="005000BC"/>
    <w:rsid w:val="005002E8"/>
    <w:rsid w:val="00500439"/>
    <w:rsid w:val="005007BC"/>
    <w:rsid w:val="00500AE8"/>
    <w:rsid w:val="00501220"/>
    <w:rsid w:val="005014D1"/>
    <w:rsid w:val="005015D8"/>
    <w:rsid w:val="005016DF"/>
    <w:rsid w:val="00501AAB"/>
    <w:rsid w:val="00501EAA"/>
    <w:rsid w:val="005020EF"/>
    <w:rsid w:val="00502192"/>
    <w:rsid w:val="00502281"/>
    <w:rsid w:val="005028E9"/>
    <w:rsid w:val="00502FAA"/>
    <w:rsid w:val="005030BC"/>
    <w:rsid w:val="00503120"/>
    <w:rsid w:val="005033A1"/>
    <w:rsid w:val="005033B1"/>
    <w:rsid w:val="00503478"/>
    <w:rsid w:val="0050383E"/>
    <w:rsid w:val="005039C7"/>
    <w:rsid w:val="00503B2F"/>
    <w:rsid w:val="00503C6F"/>
    <w:rsid w:val="00503F15"/>
    <w:rsid w:val="00503FD1"/>
    <w:rsid w:val="005043D3"/>
    <w:rsid w:val="0050448B"/>
    <w:rsid w:val="0050451C"/>
    <w:rsid w:val="00504676"/>
    <w:rsid w:val="005048BE"/>
    <w:rsid w:val="0050498C"/>
    <w:rsid w:val="005049E5"/>
    <w:rsid w:val="00504E22"/>
    <w:rsid w:val="005054FC"/>
    <w:rsid w:val="005058B4"/>
    <w:rsid w:val="00505934"/>
    <w:rsid w:val="00505BBD"/>
    <w:rsid w:val="00505BDC"/>
    <w:rsid w:val="0050604E"/>
    <w:rsid w:val="005060CD"/>
    <w:rsid w:val="005067C6"/>
    <w:rsid w:val="005069A2"/>
    <w:rsid w:val="00506A11"/>
    <w:rsid w:val="00506BD1"/>
    <w:rsid w:val="00506C92"/>
    <w:rsid w:val="00506FEB"/>
    <w:rsid w:val="005070D1"/>
    <w:rsid w:val="005070E3"/>
    <w:rsid w:val="005070E5"/>
    <w:rsid w:val="0050711E"/>
    <w:rsid w:val="005071EA"/>
    <w:rsid w:val="00507236"/>
    <w:rsid w:val="0050752B"/>
    <w:rsid w:val="005077C4"/>
    <w:rsid w:val="0050790B"/>
    <w:rsid w:val="00507D31"/>
    <w:rsid w:val="00507F0D"/>
    <w:rsid w:val="0051027D"/>
    <w:rsid w:val="00510568"/>
    <w:rsid w:val="005106D4"/>
    <w:rsid w:val="00510816"/>
    <w:rsid w:val="0051087E"/>
    <w:rsid w:val="0051092B"/>
    <w:rsid w:val="00510C42"/>
    <w:rsid w:val="00510CA3"/>
    <w:rsid w:val="00510CFD"/>
    <w:rsid w:val="00510D2F"/>
    <w:rsid w:val="00510E1B"/>
    <w:rsid w:val="00510F5E"/>
    <w:rsid w:val="00510FA6"/>
    <w:rsid w:val="005112CD"/>
    <w:rsid w:val="00511422"/>
    <w:rsid w:val="00511917"/>
    <w:rsid w:val="00511AAC"/>
    <w:rsid w:val="00511B5C"/>
    <w:rsid w:val="00511DDA"/>
    <w:rsid w:val="00511F1A"/>
    <w:rsid w:val="00511F71"/>
    <w:rsid w:val="0051209A"/>
    <w:rsid w:val="005120D7"/>
    <w:rsid w:val="005122A4"/>
    <w:rsid w:val="00512591"/>
    <w:rsid w:val="00512786"/>
    <w:rsid w:val="005128AE"/>
    <w:rsid w:val="00512AB2"/>
    <w:rsid w:val="00512CCF"/>
    <w:rsid w:val="00512CE8"/>
    <w:rsid w:val="00512FD2"/>
    <w:rsid w:val="005132C0"/>
    <w:rsid w:val="005132F2"/>
    <w:rsid w:val="00513555"/>
    <w:rsid w:val="0051358D"/>
    <w:rsid w:val="00513648"/>
    <w:rsid w:val="00513844"/>
    <w:rsid w:val="005138BC"/>
    <w:rsid w:val="005138E6"/>
    <w:rsid w:val="00513A41"/>
    <w:rsid w:val="00513A75"/>
    <w:rsid w:val="00513B11"/>
    <w:rsid w:val="00513BA0"/>
    <w:rsid w:val="00513CF8"/>
    <w:rsid w:val="00513DBF"/>
    <w:rsid w:val="00513EBC"/>
    <w:rsid w:val="00513EC2"/>
    <w:rsid w:val="005140A8"/>
    <w:rsid w:val="0051415F"/>
    <w:rsid w:val="00514197"/>
    <w:rsid w:val="005144C2"/>
    <w:rsid w:val="005144EF"/>
    <w:rsid w:val="005145B8"/>
    <w:rsid w:val="00514701"/>
    <w:rsid w:val="005147B6"/>
    <w:rsid w:val="005148B0"/>
    <w:rsid w:val="00514C0B"/>
    <w:rsid w:val="00514C9E"/>
    <w:rsid w:val="005152B9"/>
    <w:rsid w:val="00515494"/>
    <w:rsid w:val="0051554C"/>
    <w:rsid w:val="00515585"/>
    <w:rsid w:val="00515633"/>
    <w:rsid w:val="005158CB"/>
    <w:rsid w:val="00515A2D"/>
    <w:rsid w:val="00515B0D"/>
    <w:rsid w:val="00515C6E"/>
    <w:rsid w:val="0051642F"/>
    <w:rsid w:val="005165F9"/>
    <w:rsid w:val="00516612"/>
    <w:rsid w:val="00516A69"/>
    <w:rsid w:val="00516D72"/>
    <w:rsid w:val="0051711B"/>
    <w:rsid w:val="00517495"/>
    <w:rsid w:val="00517543"/>
    <w:rsid w:val="005175A5"/>
    <w:rsid w:val="00517656"/>
    <w:rsid w:val="00517677"/>
    <w:rsid w:val="005178F0"/>
    <w:rsid w:val="00517A45"/>
    <w:rsid w:val="00517B92"/>
    <w:rsid w:val="005200CD"/>
    <w:rsid w:val="005200F5"/>
    <w:rsid w:val="005200FD"/>
    <w:rsid w:val="0052040B"/>
    <w:rsid w:val="0052064E"/>
    <w:rsid w:val="00520679"/>
    <w:rsid w:val="00520890"/>
    <w:rsid w:val="00520A69"/>
    <w:rsid w:val="00520AE0"/>
    <w:rsid w:val="00520D80"/>
    <w:rsid w:val="0052114A"/>
    <w:rsid w:val="005211D1"/>
    <w:rsid w:val="0052129B"/>
    <w:rsid w:val="00521405"/>
    <w:rsid w:val="005214DB"/>
    <w:rsid w:val="005215F7"/>
    <w:rsid w:val="00521903"/>
    <w:rsid w:val="00521ABB"/>
    <w:rsid w:val="00521D09"/>
    <w:rsid w:val="00521DAB"/>
    <w:rsid w:val="0052232C"/>
    <w:rsid w:val="005228B1"/>
    <w:rsid w:val="00522A19"/>
    <w:rsid w:val="00522B26"/>
    <w:rsid w:val="00522BCB"/>
    <w:rsid w:val="00523263"/>
    <w:rsid w:val="0052336E"/>
    <w:rsid w:val="0052343B"/>
    <w:rsid w:val="00523443"/>
    <w:rsid w:val="0052362E"/>
    <w:rsid w:val="00523887"/>
    <w:rsid w:val="00523935"/>
    <w:rsid w:val="005239E6"/>
    <w:rsid w:val="005239F6"/>
    <w:rsid w:val="00523A15"/>
    <w:rsid w:val="00523AB2"/>
    <w:rsid w:val="00523AEF"/>
    <w:rsid w:val="00523BF2"/>
    <w:rsid w:val="00523CBE"/>
    <w:rsid w:val="00523E08"/>
    <w:rsid w:val="00523FBD"/>
    <w:rsid w:val="00524178"/>
    <w:rsid w:val="00524336"/>
    <w:rsid w:val="00524406"/>
    <w:rsid w:val="00524478"/>
    <w:rsid w:val="00524497"/>
    <w:rsid w:val="005245B6"/>
    <w:rsid w:val="00524601"/>
    <w:rsid w:val="00524A05"/>
    <w:rsid w:val="00524D9F"/>
    <w:rsid w:val="00524F05"/>
    <w:rsid w:val="0052501D"/>
    <w:rsid w:val="00525026"/>
    <w:rsid w:val="00525045"/>
    <w:rsid w:val="00525254"/>
    <w:rsid w:val="0052557E"/>
    <w:rsid w:val="005255FC"/>
    <w:rsid w:val="00525643"/>
    <w:rsid w:val="00525699"/>
    <w:rsid w:val="00525760"/>
    <w:rsid w:val="005257B7"/>
    <w:rsid w:val="00525917"/>
    <w:rsid w:val="00526095"/>
    <w:rsid w:val="00526213"/>
    <w:rsid w:val="005262CF"/>
    <w:rsid w:val="005263C2"/>
    <w:rsid w:val="005264B1"/>
    <w:rsid w:val="005264F9"/>
    <w:rsid w:val="005266FA"/>
    <w:rsid w:val="00526AB4"/>
    <w:rsid w:val="00526AC5"/>
    <w:rsid w:val="00526C30"/>
    <w:rsid w:val="00526DA3"/>
    <w:rsid w:val="00526EA9"/>
    <w:rsid w:val="0052710B"/>
    <w:rsid w:val="00527A37"/>
    <w:rsid w:val="00527C87"/>
    <w:rsid w:val="00527EEA"/>
    <w:rsid w:val="005301A6"/>
    <w:rsid w:val="00530210"/>
    <w:rsid w:val="005302BF"/>
    <w:rsid w:val="0053040F"/>
    <w:rsid w:val="005306F7"/>
    <w:rsid w:val="00530A0F"/>
    <w:rsid w:val="00530B2D"/>
    <w:rsid w:val="00530CE9"/>
    <w:rsid w:val="00530DDC"/>
    <w:rsid w:val="00530E23"/>
    <w:rsid w:val="00530F78"/>
    <w:rsid w:val="005311BD"/>
    <w:rsid w:val="00531298"/>
    <w:rsid w:val="005312AA"/>
    <w:rsid w:val="005312D2"/>
    <w:rsid w:val="005314D6"/>
    <w:rsid w:val="005315BB"/>
    <w:rsid w:val="00531CB1"/>
    <w:rsid w:val="00531E8C"/>
    <w:rsid w:val="00531ED3"/>
    <w:rsid w:val="00531FAF"/>
    <w:rsid w:val="00532080"/>
    <w:rsid w:val="0053224A"/>
    <w:rsid w:val="005324E8"/>
    <w:rsid w:val="00532726"/>
    <w:rsid w:val="0053279A"/>
    <w:rsid w:val="00532844"/>
    <w:rsid w:val="00532AF1"/>
    <w:rsid w:val="00532CCF"/>
    <w:rsid w:val="00532DA3"/>
    <w:rsid w:val="00532E5F"/>
    <w:rsid w:val="00533320"/>
    <w:rsid w:val="00533376"/>
    <w:rsid w:val="00533568"/>
    <w:rsid w:val="005335BC"/>
    <w:rsid w:val="00533686"/>
    <w:rsid w:val="0053395C"/>
    <w:rsid w:val="00533A36"/>
    <w:rsid w:val="00533C0F"/>
    <w:rsid w:val="00533C5B"/>
    <w:rsid w:val="00533D53"/>
    <w:rsid w:val="00533F80"/>
    <w:rsid w:val="005340A6"/>
    <w:rsid w:val="00534635"/>
    <w:rsid w:val="00534819"/>
    <w:rsid w:val="00534DD8"/>
    <w:rsid w:val="0053512E"/>
    <w:rsid w:val="00535198"/>
    <w:rsid w:val="00535218"/>
    <w:rsid w:val="00535253"/>
    <w:rsid w:val="00535318"/>
    <w:rsid w:val="005353C7"/>
    <w:rsid w:val="00535603"/>
    <w:rsid w:val="00535803"/>
    <w:rsid w:val="00535C63"/>
    <w:rsid w:val="00535E5D"/>
    <w:rsid w:val="00535FCF"/>
    <w:rsid w:val="0053607A"/>
    <w:rsid w:val="0053610B"/>
    <w:rsid w:val="0053621C"/>
    <w:rsid w:val="0053629B"/>
    <w:rsid w:val="00536482"/>
    <w:rsid w:val="00536824"/>
    <w:rsid w:val="00536A5D"/>
    <w:rsid w:val="00536AAF"/>
    <w:rsid w:val="00536F00"/>
    <w:rsid w:val="00537087"/>
    <w:rsid w:val="0053761A"/>
    <w:rsid w:val="00537702"/>
    <w:rsid w:val="0053779C"/>
    <w:rsid w:val="00537809"/>
    <w:rsid w:val="00537947"/>
    <w:rsid w:val="005379B2"/>
    <w:rsid w:val="00537D70"/>
    <w:rsid w:val="00537DAF"/>
    <w:rsid w:val="005400FB"/>
    <w:rsid w:val="00540167"/>
    <w:rsid w:val="005401BF"/>
    <w:rsid w:val="00540493"/>
    <w:rsid w:val="005405DA"/>
    <w:rsid w:val="005406D3"/>
    <w:rsid w:val="00540744"/>
    <w:rsid w:val="0054096B"/>
    <w:rsid w:val="00540B1E"/>
    <w:rsid w:val="00540B61"/>
    <w:rsid w:val="00540CEC"/>
    <w:rsid w:val="00540DDE"/>
    <w:rsid w:val="00540E31"/>
    <w:rsid w:val="00540F7B"/>
    <w:rsid w:val="005410F1"/>
    <w:rsid w:val="0054146C"/>
    <w:rsid w:val="005415AD"/>
    <w:rsid w:val="0054173B"/>
    <w:rsid w:val="005417B4"/>
    <w:rsid w:val="00541A20"/>
    <w:rsid w:val="00541D94"/>
    <w:rsid w:val="00541EF7"/>
    <w:rsid w:val="005421EE"/>
    <w:rsid w:val="00542290"/>
    <w:rsid w:val="005422C0"/>
    <w:rsid w:val="005424D8"/>
    <w:rsid w:val="0054274E"/>
    <w:rsid w:val="005427F9"/>
    <w:rsid w:val="00542921"/>
    <w:rsid w:val="00542A3F"/>
    <w:rsid w:val="00542DCC"/>
    <w:rsid w:val="00542E20"/>
    <w:rsid w:val="0054307B"/>
    <w:rsid w:val="005434D2"/>
    <w:rsid w:val="0054364D"/>
    <w:rsid w:val="00543724"/>
    <w:rsid w:val="0054381D"/>
    <w:rsid w:val="0054386F"/>
    <w:rsid w:val="00543881"/>
    <w:rsid w:val="00543885"/>
    <w:rsid w:val="00543963"/>
    <w:rsid w:val="005439C4"/>
    <w:rsid w:val="005439E5"/>
    <w:rsid w:val="00543A5C"/>
    <w:rsid w:val="00543A67"/>
    <w:rsid w:val="00543AF5"/>
    <w:rsid w:val="00543CB1"/>
    <w:rsid w:val="00543D2D"/>
    <w:rsid w:val="00544081"/>
    <w:rsid w:val="0054422D"/>
    <w:rsid w:val="005442F7"/>
    <w:rsid w:val="00544875"/>
    <w:rsid w:val="005449D3"/>
    <w:rsid w:val="00544A12"/>
    <w:rsid w:val="00544AEF"/>
    <w:rsid w:val="00544AF8"/>
    <w:rsid w:val="00544BEC"/>
    <w:rsid w:val="00544F3C"/>
    <w:rsid w:val="005452B3"/>
    <w:rsid w:val="00545375"/>
    <w:rsid w:val="0054550A"/>
    <w:rsid w:val="0054575C"/>
    <w:rsid w:val="005458AF"/>
    <w:rsid w:val="00545912"/>
    <w:rsid w:val="0054591A"/>
    <w:rsid w:val="00545AD7"/>
    <w:rsid w:val="00545BAA"/>
    <w:rsid w:val="00545C6A"/>
    <w:rsid w:val="00545CF3"/>
    <w:rsid w:val="00545E48"/>
    <w:rsid w:val="005460D9"/>
    <w:rsid w:val="0054612E"/>
    <w:rsid w:val="005461D3"/>
    <w:rsid w:val="0054625A"/>
    <w:rsid w:val="005463AE"/>
    <w:rsid w:val="00546796"/>
    <w:rsid w:val="005467DA"/>
    <w:rsid w:val="005469CB"/>
    <w:rsid w:val="00546A39"/>
    <w:rsid w:val="00546BD2"/>
    <w:rsid w:val="00546C1D"/>
    <w:rsid w:val="00546C2B"/>
    <w:rsid w:val="00546E0C"/>
    <w:rsid w:val="00547264"/>
    <w:rsid w:val="0054739A"/>
    <w:rsid w:val="005473CE"/>
    <w:rsid w:val="0054746D"/>
    <w:rsid w:val="0054762E"/>
    <w:rsid w:val="00547B11"/>
    <w:rsid w:val="00547E82"/>
    <w:rsid w:val="00550220"/>
    <w:rsid w:val="005507C8"/>
    <w:rsid w:val="0055082D"/>
    <w:rsid w:val="005508A0"/>
    <w:rsid w:val="005509FA"/>
    <w:rsid w:val="00550A48"/>
    <w:rsid w:val="00550A5F"/>
    <w:rsid w:val="00550AAA"/>
    <w:rsid w:val="00550AB6"/>
    <w:rsid w:val="00550AE3"/>
    <w:rsid w:val="0055105B"/>
    <w:rsid w:val="005511B9"/>
    <w:rsid w:val="00551591"/>
    <w:rsid w:val="00551869"/>
    <w:rsid w:val="005519BB"/>
    <w:rsid w:val="00551B1E"/>
    <w:rsid w:val="00551C5D"/>
    <w:rsid w:val="00551F29"/>
    <w:rsid w:val="00551F52"/>
    <w:rsid w:val="0055214F"/>
    <w:rsid w:val="00552307"/>
    <w:rsid w:val="00552743"/>
    <w:rsid w:val="00552E06"/>
    <w:rsid w:val="00552F54"/>
    <w:rsid w:val="0055304A"/>
    <w:rsid w:val="005531B5"/>
    <w:rsid w:val="00553242"/>
    <w:rsid w:val="005532F3"/>
    <w:rsid w:val="00553330"/>
    <w:rsid w:val="00553367"/>
    <w:rsid w:val="0055372E"/>
    <w:rsid w:val="0055379A"/>
    <w:rsid w:val="005539CC"/>
    <w:rsid w:val="00553A7C"/>
    <w:rsid w:val="00553A96"/>
    <w:rsid w:val="00553AFA"/>
    <w:rsid w:val="00553C2E"/>
    <w:rsid w:val="00553CD8"/>
    <w:rsid w:val="00553D16"/>
    <w:rsid w:val="00554003"/>
    <w:rsid w:val="005541BE"/>
    <w:rsid w:val="005542B4"/>
    <w:rsid w:val="0055455A"/>
    <w:rsid w:val="005548B4"/>
    <w:rsid w:val="005549B3"/>
    <w:rsid w:val="005549B9"/>
    <w:rsid w:val="00554E6C"/>
    <w:rsid w:val="00555202"/>
    <w:rsid w:val="005553DD"/>
    <w:rsid w:val="00555732"/>
    <w:rsid w:val="00555750"/>
    <w:rsid w:val="005558F7"/>
    <w:rsid w:val="00555A60"/>
    <w:rsid w:val="00555B3C"/>
    <w:rsid w:val="00555DD0"/>
    <w:rsid w:val="0055605B"/>
    <w:rsid w:val="00556102"/>
    <w:rsid w:val="005561A8"/>
    <w:rsid w:val="005562E5"/>
    <w:rsid w:val="0055630B"/>
    <w:rsid w:val="00556402"/>
    <w:rsid w:val="00556460"/>
    <w:rsid w:val="00556471"/>
    <w:rsid w:val="0055662D"/>
    <w:rsid w:val="0055674D"/>
    <w:rsid w:val="00556755"/>
    <w:rsid w:val="00556AA8"/>
    <w:rsid w:val="00556AFA"/>
    <w:rsid w:val="00556B06"/>
    <w:rsid w:val="00556B5A"/>
    <w:rsid w:val="00556C8C"/>
    <w:rsid w:val="00556CAA"/>
    <w:rsid w:val="00556CF0"/>
    <w:rsid w:val="00556D9D"/>
    <w:rsid w:val="00556E27"/>
    <w:rsid w:val="00557015"/>
    <w:rsid w:val="0055702D"/>
    <w:rsid w:val="005571AE"/>
    <w:rsid w:val="005571FA"/>
    <w:rsid w:val="005572F5"/>
    <w:rsid w:val="00557617"/>
    <w:rsid w:val="005577C7"/>
    <w:rsid w:val="00557838"/>
    <w:rsid w:val="00557888"/>
    <w:rsid w:val="00557961"/>
    <w:rsid w:val="00557BC9"/>
    <w:rsid w:val="00557BD4"/>
    <w:rsid w:val="00557CC4"/>
    <w:rsid w:val="00557F43"/>
    <w:rsid w:val="00557FD5"/>
    <w:rsid w:val="0056036D"/>
    <w:rsid w:val="0056068C"/>
    <w:rsid w:val="005607BF"/>
    <w:rsid w:val="00560E48"/>
    <w:rsid w:val="00560F50"/>
    <w:rsid w:val="00560FFE"/>
    <w:rsid w:val="005611B7"/>
    <w:rsid w:val="005613C9"/>
    <w:rsid w:val="005614A2"/>
    <w:rsid w:val="0056157D"/>
    <w:rsid w:val="005615BD"/>
    <w:rsid w:val="005617E8"/>
    <w:rsid w:val="005618A9"/>
    <w:rsid w:val="00561AAF"/>
    <w:rsid w:val="00561B33"/>
    <w:rsid w:val="00561B3D"/>
    <w:rsid w:val="00561C22"/>
    <w:rsid w:val="005622E8"/>
    <w:rsid w:val="005625FC"/>
    <w:rsid w:val="005626C5"/>
    <w:rsid w:val="00562794"/>
    <w:rsid w:val="00562A5B"/>
    <w:rsid w:val="00562D57"/>
    <w:rsid w:val="00562DC4"/>
    <w:rsid w:val="00562F3E"/>
    <w:rsid w:val="00562FE4"/>
    <w:rsid w:val="0056303F"/>
    <w:rsid w:val="00563047"/>
    <w:rsid w:val="00563088"/>
    <w:rsid w:val="0056313D"/>
    <w:rsid w:val="005638FF"/>
    <w:rsid w:val="00563940"/>
    <w:rsid w:val="0056398F"/>
    <w:rsid w:val="00563A21"/>
    <w:rsid w:val="00563A52"/>
    <w:rsid w:val="00563BD1"/>
    <w:rsid w:val="00563E97"/>
    <w:rsid w:val="005642E3"/>
    <w:rsid w:val="00564406"/>
    <w:rsid w:val="00564515"/>
    <w:rsid w:val="0056456D"/>
    <w:rsid w:val="005645F0"/>
    <w:rsid w:val="00564658"/>
    <w:rsid w:val="00564663"/>
    <w:rsid w:val="00564820"/>
    <w:rsid w:val="00564837"/>
    <w:rsid w:val="00564AD7"/>
    <w:rsid w:val="00564D93"/>
    <w:rsid w:val="00564E7C"/>
    <w:rsid w:val="00565329"/>
    <w:rsid w:val="005655EA"/>
    <w:rsid w:val="0056566F"/>
    <w:rsid w:val="0056579D"/>
    <w:rsid w:val="00565A37"/>
    <w:rsid w:val="00565C80"/>
    <w:rsid w:val="00565C92"/>
    <w:rsid w:val="00565EF2"/>
    <w:rsid w:val="00565F5A"/>
    <w:rsid w:val="0056674C"/>
    <w:rsid w:val="00566AB4"/>
    <w:rsid w:val="00566DB7"/>
    <w:rsid w:val="00567059"/>
    <w:rsid w:val="00567195"/>
    <w:rsid w:val="005671AB"/>
    <w:rsid w:val="005671FF"/>
    <w:rsid w:val="00567271"/>
    <w:rsid w:val="005673E9"/>
    <w:rsid w:val="00567886"/>
    <w:rsid w:val="005679D8"/>
    <w:rsid w:val="00567A55"/>
    <w:rsid w:val="00567E7D"/>
    <w:rsid w:val="00567F99"/>
    <w:rsid w:val="00570151"/>
    <w:rsid w:val="0057016E"/>
    <w:rsid w:val="00570666"/>
    <w:rsid w:val="005707A5"/>
    <w:rsid w:val="00570808"/>
    <w:rsid w:val="005709F8"/>
    <w:rsid w:val="00570B53"/>
    <w:rsid w:val="00570BA8"/>
    <w:rsid w:val="00570C98"/>
    <w:rsid w:val="00570DB0"/>
    <w:rsid w:val="005711FA"/>
    <w:rsid w:val="00571496"/>
    <w:rsid w:val="00571643"/>
    <w:rsid w:val="00571763"/>
    <w:rsid w:val="005717D7"/>
    <w:rsid w:val="0057195F"/>
    <w:rsid w:val="00571F37"/>
    <w:rsid w:val="005720AE"/>
    <w:rsid w:val="005721B6"/>
    <w:rsid w:val="005726D3"/>
    <w:rsid w:val="00572719"/>
    <w:rsid w:val="005729AB"/>
    <w:rsid w:val="005729CA"/>
    <w:rsid w:val="00572A84"/>
    <w:rsid w:val="00572C7F"/>
    <w:rsid w:val="00572D54"/>
    <w:rsid w:val="00572E27"/>
    <w:rsid w:val="00573000"/>
    <w:rsid w:val="005732DE"/>
    <w:rsid w:val="0057346F"/>
    <w:rsid w:val="005734DE"/>
    <w:rsid w:val="005735A6"/>
    <w:rsid w:val="0057366A"/>
    <w:rsid w:val="00573731"/>
    <w:rsid w:val="005737E9"/>
    <w:rsid w:val="00573807"/>
    <w:rsid w:val="00573872"/>
    <w:rsid w:val="005738DB"/>
    <w:rsid w:val="00573AED"/>
    <w:rsid w:val="00573B07"/>
    <w:rsid w:val="00573BA4"/>
    <w:rsid w:val="00573C39"/>
    <w:rsid w:val="00573D5B"/>
    <w:rsid w:val="00573F79"/>
    <w:rsid w:val="00574114"/>
    <w:rsid w:val="0057414E"/>
    <w:rsid w:val="00574B03"/>
    <w:rsid w:val="00574B33"/>
    <w:rsid w:val="00575219"/>
    <w:rsid w:val="005755AD"/>
    <w:rsid w:val="00575640"/>
    <w:rsid w:val="0057569D"/>
    <w:rsid w:val="005756AE"/>
    <w:rsid w:val="005758B2"/>
    <w:rsid w:val="0057595E"/>
    <w:rsid w:val="00575C2D"/>
    <w:rsid w:val="00575C40"/>
    <w:rsid w:val="00575C76"/>
    <w:rsid w:val="005760EE"/>
    <w:rsid w:val="00576555"/>
    <w:rsid w:val="0057681C"/>
    <w:rsid w:val="00576899"/>
    <w:rsid w:val="005769C0"/>
    <w:rsid w:val="00576BBD"/>
    <w:rsid w:val="00576CF8"/>
    <w:rsid w:val="00576D4E"/>
    <w:rsid w:val="00576D94"/>
    <w:rsid w:val="00577737"/>
    <w:rsid w:val="0057787A"/>
    <w:rsid w:val="00577CFD"/>
    <w:rsid w:val="00577D69"/>
    <w:rsid w:val="00577FBF"/>
    <w:rsid w:val="005802BF"/>
    <w:rsid w:val="005802D4"/>
    <w:rsid w:val="00580320"/>
    <w:rsid w:val="005803A8"/>
    <w:rsid w:val="00580744"/>
    <w:rsid w:val="00580803"/>
    <w:rsid w:val="00580874"/>
    <w:rsid w:val="00580B8D"/>
    <w:rsid w:val="00580D30"/>
    <w:rsid w:val="00580F77"/>
    <w:rsid w:val="00580FEB"/>
    <w:rsid w:val="0058125D"/>
    <w:rsid w:val="005812C1"/>
    <w:rsid w:val="00581329"/>
    <w:rsid w:val="005813D5"/>
    <w:rsid w:val="005813F4"/>
    <w:rsid w:val="00581580"/>
    <w:rsid w:val="0058171F"/>
    <w:rsid w:val="00581B22"/>
    <w:rsid w:val="00581C64"/>
    <w:rsid w:val="00581EC8"/>
    <w:rsid w:val="00582115"/>
    <w:rsid w:val="00582284"/>
    <w:rsid w:val="0058245B"/>
    <w:rsid w:val="005824D5"/>
    <w:rsid w:val="00582664"/>
    <w:rsid w:val="005829BC"/>
    <w:rsid w:val="005829BF"/>
    <w:rsid w:val="00582B1F"/>
    <w:rsid w:val="00582B54"/>
    <w:rsid w:val="00582C09"/>
    <w:rsid w:val="00582DFF"/>
    <w:rsid w:val="00582E71"/>
    <w:rsid w:val="0058302E"/>
    <w:rsid w:val="00583157"/>
    <w:rsid w:val="00583482"/>
    <w:rsid w:val="005835CF"/>
    <w:rsid w:val="00583641"/>
    <w:rsid w:val="005836E5"/>
    <w:rsid w:val="0058370E"/>
    <w:rsid w:val="00583FC3"/>
    <w:rsid w:val="00583FDC"/>
    <w:rsid w:val="0058418C"/>
    <w:rsid w:val="005841D3"/>
    <w:rsid w:val="005843DB"/>
    <w:rsid w:val="0058463A"/>
    <w:rsid w:val="005846F1"/>
    <w:rsid w:val="00584828"/>
    <w:rsid w:val="005848A3"/>
    <w:rsid w:val="00584972"/>
    <w:rsid w:val="00584BDC"/>
    <w:rsid w:val="00584F82"/>
    <w:rsid w:val="00584FBE"/>
    <w:rsid w:val="00584FF8"/>
    <w:rsid w:val="0058525A"/>
    <w:rsid w:val="005853D9"/>
    <w:rsid w:val="00585420"/>
    <w:rsid w:val="005854C4"/>
    <w:rsid w:val="005855E2"/>
    <w:rsid w:val="00585A9C"/>
    <w:rsid w:val="00585B07"/>
    <w:rsid w:val="00585C01"/>
    <w:rsid w:val="00585D21"/>
    <w:rsid w:val="00585D85"/>
    <w:rsid w:val="00585EEA"/>
    <w:rsid w:val="00585F32"/>
    <w:rsid w:val="00585FD3"/>
    <w:rsid w:val="0058604C"/>
    <w:rsid w:val="0058647D"/>
    <w:rsid w:val="005864C1"/>
    <w:rsid w:val="00586521"/>
    <w:rsid w:val="00586547"/>
    <w:rsid w:val="00586652"/>
    <w:rsid w:val="005866C7"/>
    <w:rsid w:val="005869D6"/>
    <w:rsid w:val="00586BEA"/>
    <w:rsid w:val="0058728C"/>
    <w:rsid w:val="005875AE"/>
    <w:rsid w:val="005876F5"/>
    <w:rsid w:val="0058783E"/>
    <w:rsid w:val="00587870"/>
    <w:rsid w:val="005878F7"/>
    <w:rsid w:val="0058793B"/>
    <w:rsid w:val="00587DE7"/>
    <w:rsid w:val="00587EBC"/>
    <w:rsid w:val="0059006F"/>
    <w:rsid w:val="005901D9"/>
    <w:rsid w:val="005903A3"/>
    <w:rsid w:val="005904E2"/>
    <w:rsid w:val="0059059B"/>
    <w:rsid w:val="005906C9"/>
    <w:rsid w:val="00590739"/>
    <w:rsid w:val="005907BF"/>
    <w:rsid w:val="00590802"/>
    <w:rsid w:val="00590A1F"/>
    <w:rsid w:val="00590A8E"/>
    <w:rsid w:val="00590BEB"/>
    <w:rsid w:val="00590C37"/>
    <w:rsid w:val="00590D69"/>
    <w:rsid w:val="00590DF7"/>
    <w:rsid w:val="00590E36"/>
    <w:rsid w:val="005910CF"/>
    <w:rsid w:val="00591652"/>
    <w:rsid w:val="00591878"/>
    <w:rsid w:val="005919D3"/>
    <w:rsid w:val="00591B75"/>
    <w:rsid w:val="00591BFE"/>
    <w:rsid w:val="00591D1A"/>
    <w:rsid w:val="00592144"/>
    <w:rsid w:val="00592162"/>
    <w:rsid w:val="00592635"/>
    <w:rsid w:val="005927F0"/>
    <w:rsid w:val="00592A2F"/>
    <w:rsid w:val="00592AAC"/>
    <w:rsid w:val="00592B1B"/>
    <w:rsid w:val="00592C7F"/>
    <w:rsid w:val="00592DC1"/>
    <w:rsid w:val="00593009"/>
    <w:rsid w:val="00593315"/>
    <w:rsid w:val="005935EC"/>
    <w:rsid w:val="0059368B"/>
    <w:rsid w:val="00593815"/>
    <w:rsid w:val="00593B52"/>
    <w:rsid w:val="00593C20"/>
    <w:rsid w:val="00593DD9"/>
    <w:rsid w:val="00593EF5"/>
    <w:rsid w:val="00593F4E"/>
    <w:rsid w:val="00593F93"/>
    <w:rsid w:val="00594117"/>
    <w:rsid w:val="0059491A"/>
    <w:rsid w:val="00594967"/>
    <w:rsid w:val="00594A88"/>
    <w:rsid w:val="00594B0B"/>
    <w:rsid w:val="00595223"/>
    <w:rsid w:val="00595264"/>
    <w:rsid w:val="005954A4"/>
    <w:rsid w:val="0059556A"/>
    <w:rsid w:val="00595675"/>
    <w:rsid w:val="00595774"/>
    <w:rsid w:val="00595B21"/>
    <w:rsid w:val="00595CE1"/>
    <w:rsid w:val="005960C1"/>
    <w:rsid w:val="0059621B"/>
    <w:rsid w:val="005968DC"/>
    <w:rsid w:val="00596E10"/>
    <w:rsid w:val="00596F11"/>
    <w:rsid w:val="00596F37"/>
    <w:rsid w:val="00596F8D"/>
    <w:rsid w:val="0059716A"/>
    <w:rsid w:val="005972D0"/>
    <w:rsid w:val="00597691"/>
    <w:rsid w:val="005976D9"/>
    <w:rsid w:val="00597965"/>
    <w:rsid w:val="00597AF3"/>
    <w:rsid w:val="00597BD4"/>
    <w:rsid w:val="00597C41"/>
    <w:rsid w:val="00597C54"/>
    <w:rsid w:val="005A01F4"/>
    <w:rsid w:val="005A0DF0"/>
    <w:rsid w:val="005A15BC"/>
    <w:rsid w:val="005A16BC"/>
    <w:rsid w:val="005A18A5"/>
    <w:rsid w:val="005A1A64"/>
    <w:rsid w:val="005A1ADC"/>
    <w:rsid w:val="005A1DAB"/>
    <w:rsid w:val="005A1F37"/>
    <w:rsid w:val="005A2013"/>
    <w:rsid w:val="005A259A"/>
    <w:rsid w:val="005A2695"/>
    <w:rsid w:val="005A26F9"/>
    <w:rsid w:val="005A283E"/>
    <w:rsid w:val="005A2962"/>
    <w:rsid w:val="005A29D9"/>
    <w:rsid w:val="005A2C9A"/>
    <w:rsid w:val="005A2D87"/>
    <w:rsid w:val="005A2FA7"/>
    <w:rsid w:val="005A348D"/>
    <w:rsid w:val="005A360C"/>
    <w:rsid w:val="005A3852"/>
    <w:rsid w:val="005A3A25"/>
    <w:rsid w:val="005A3B47"/>
    <w:rsid w:val="005A3D02"/>
    <w:rsid w:val="005A48C5"/>
    <w:rsid w:val="005A4988"/>
    <w:rsid w:val="005A49FA"/>
    <w:rsid w:val="005A4B2F"/>
    <w:rsid w:val="005A4C07"/>
    <w:rsid w:val="005A5486"/>
    <w:rsid w:val="005A55F0"/>
    <w:rsid w:val="005A5808"/>
    <w:rsid w:val="005A5827"/>
    <w:rsid w:val="005A5BC4"/>
    <w:rsid w:val="005A5BE4"/>
    <w:rsid w:val="005A5C5C"/>
    <w:rsid w:val="005A61AD"/>
    <w:rsid w:val="005A6361"/>
    <w:rsid w:val="005A67EF"/>
    <w:rsid w:val="005A6A21"/>
    <w:rsid w:val="005A6AAC"/>
    <w:rsid w:val="005A6B33"/>
    <w:rsid w:val="005A6D34"/>
    <w:rsid w:val="005A6F55"/>
    <w:rsid w:val="005A6FFE"/>
    <w:rsid w:val="005A7052"/>
    <w:rsid w:val="005A71EB"/>
    <w:rsid w:val="005A7311"/>
    <w:rsid w:val="005A7624"/>
    <w:rsid w:val="005A7683"/>
    <w:rsid w:val="005A7825"/>
    <w:rsid w:val="005A783B"/>
    <w:rsid w:val="005A786F"/>
    <w:rsid w:val="005A78E2"/>
    <w:rsid w:val="005A78E4"/>
    <w:rsid w:val="005A7A2C"/>
    <w:rsid w:val="005A7ACE"/>
    <w:rsid w:val="005A7B5C"/>
    <w:rsid w:val="005A7D57"/>
    <w:rsid w:val="005A7D74"/>
    <w:rsid w:val="005B03F4"/>
    <w:rsid w:val="005B054E"/>
    <w:rsid w:val="005B0747"/>
    <w:rsid w:val="005B08A4"/>
    <w:rsid w:val="005B094A"/>
    <w:rsid w:val="005B09DB"/>
    <w:rsid w:val="005B0A1C"/>
    <w:rsid w:val="005B0B90"/>
    <w:rsid w:val="005B0E8B"/>
    <w:rsid w:val="005B0FC7"/>
    <w:rsid w:val="005B17FE"/>
    <w:rsid w:val="005B1814"/>
    <w:rsid w:val="005B18D7"/>
    <w:rsid w:val="005B1AB6"/>
    <w:rsid w:val="005B1C73"/>
    <w:rsid w:val="005B1C77"/>
    <w:rsid w:val="005B210D"/>
    <w:rsid w:val="005B215A"/>
    <w:rsid w:val="005B2250"/>
    <w:rsid w:val="005B2484"/>
    <w:rsid w:val="005B256A"/>
    <w:rsid w:val="005B2587"/>
    <w:rsid w:val="005B26BC"/>
    <w:rsid w:val="005B274D"/>
    <w:rsid w:val="005B2839"/>
    <w:rsid w:val="005B29D3"/>
    <w:rsid w:val="005B2A17"/>
    <w:rsid w:val="005B2AB9"/>
    <w:rsid w:val="005B2ACC"/>
    <w:rsid w:val="005B2ADC"/>
    <w:rsid w:val="005B2D89"/>
    <w:rsid w:val="005B3043"/>
    <w:rsid w:val="005B3048"/>
    <w:rsid w:val="005B3168"/>
    <w:rsid w:val="005B35A9"/>
    <w:rsid w:val="005B36C5"/>
    <w:rsid w:val="005B38AC"/>
    <w:rsid w:val="005B3913"/>
    <w:rsid w:val="005B3A89"/>
    <w:rsid w:val="005B3B04"/>
    <w:rsid w:val="005B3C6C"/>
    <w:rsid w:val="005B3D1E"/>
    <w:rsid w:val="005B3DB3"/>
    <w:rsid w:val="005B4287"/>
    <w:rsid w:val="005B42ED"/>
    <w:rsid w:val="005B4359"/>
    <w:rsid w:val="005B46CC"/>
    <w:rsid w:val="005B4B61"/>
    <w:rsid w:val="005B4B81"/>
    <w:rsid w:val="005B4D03"/>
    <w:rsid w:val="005B4E49"/>
    <w:rsid w:val="005B4E7E"/>
    <w:rsid w:val="005B545F"/>
    <w:rsid w:val="005B59FE"/>
    <w:rsid w:val="005B5DC9"/>
    <w:rsid w:val="005B6771"/>
    <w:rsid w:val="005B681C"/>
    <w:rsid w:val="005B6B0C"/>
    <w:rsid w:val="005B6E37"/>
    <w:rsid w:val="005B6FAB"/>
    <w:rsid w:val="005B771A"/>
    <w:rsid w:val="005B786E"/>
    <w:rsid w:val="005B795A"/>
    <w:rsid w:val="005B7992"/>
    <w:rsid w:val="005B79A7"/>
    <w:rsid w:val="005B7BC0"/>
    <w:rsid w:val="005B7C1B"/>
    <w:rsid w:val="005C00E2"/>
    <w:rsid w:val="005C04FB"/>
    <w:rsid w:val="005C0587"/>
    <w:rsid w:val="005C05F1"/>
    <w:rsid w:val="005C0927"/>
    <w:rsid w:val="005C0D42"/>
    <w:rsid w:val="005C11A3"/>
    <w:rsid w:val="005C1283"/>
    <w:rsid w:val="005C12E3"/>
    <w:rsid w:val="005C1791"/>
    <w:rsid w:val="005C17E7"/>
    <w:rsid w:val="005C1C3C"/>
    <w:rsid w:val="005C1D57"/>
    <w:rsid w:val="005C1F73"/>
    <w:rsid w:val="005C20AE"/>
    <w:rsid w:val="005C21CB"/>
    <w:rsid w:val="005C225A"/>
    <w:rsid w:val="005C24DA"/>
    <w:rsid w:val="005C2572"/>
    <w:rsid w:val="005C27BD"/>
    <w:rsid w:val="005C28EE"/>
    <w:rsid w:val="005C2AD9"/>
    <w:rsid w:val="005C2B3B"/>
    <w:rsid w:val="005C2DFF"/>
    <w:rsid w:val="005C2E16"/>
    <w:rsid w:val="005C2F8C"/>
    <w:rsid w:val="005C3078"/>
    <w:rsid w:val="005C3098"/>
    <w:rsid w:val="005C3239"/>
    <w:rsid w:val="005C3563"/>
    <w:rsid w:val="005C3781"/>
    <w:rsid w:val="005C3918"/>
    <w:rsid w:val="005C3F2A"/>
    <w:rsid w:val="005C4092"/>
    <w:rsid w:val="005C41FF"/>
    <w:rsid w:val="005C4492"/>
    <w:rsid w:val="005C45A3"/>
    <w:rsid w:val="005C468B"/>
    <w:rsid w:val="005C48EF"/>
    <w:rsid w:val="005C48F1"/>
    <w:rsid w:val="005C4AE9"/>
    <w:rsid w:val="005C4BB2"/>
    <w:rsid w:val="005C4D28"/>
    <w:rsid w:val="005C4D82"/>
    <w:rsid w:val="005C4E95"/>
    <w:rsid w:val="005C50F4"/>
    <w:rsid w:val="005C542B"/>
    <w:rsid w:val="005C5567"/>
    <w:rsid w:val="005C5623"/>
    <w:rsid w:val="005C576C"/>
    <w:rsid w:val="005C5A71"/>
    <w:rsid w:val="005C609C"/>
    <w:rsid w:val="005C61DF"/>
    <w:rsid w:val="005C633E"/>
    <w:rsid w:val="005C65C5"/>
    <w:rsid w:val="005C6E24"/>
    <w:rsid w:val="005C7018"/>
    <w:rsid w:val="005C71A9"/>
    <w:rsid w:val="005C7A61"/>
    <w:rsid w:val="005C7CCE"/>
    <w:rsid w:val="005D027D"/>
    <w:rsid w:val="005D0320"/>
    <w:rsid w:val="005D055B"/>
    <w:rsid w:val="005D0635"/>
    <w:rsid w:val="005D0A19"/>
    <w:rsid w:val="005D0ACC"/>
    <w:rsid w:val="005D0B88"/>
    <w:rsid w:val="005D0F21"/>
    <w:rsid w:val="005D0F43"/>
    <w:rsid w:val="005D1124"/>
    <w:rsid w:val="005D135E"/>
    <w:rsid w:val="005D17A1"/>
    <w:rsid w:val="005D17C0"/>
    <w:rsid w:val="005D1843"/>
    <w:rsid w:val="005D1B49"/>
    <w:rsid w:val="005D1C1D"/>
    <w:rsid w:val="005D1E04"/>
    <w:rsid w:val="005D1F79"/>
    <w:rsid w:val="005D21D4"/>
    <w:rsid w:val="005D233E"/>
    <w:rsid w:val="005D250A"/>
    <w:rsid w:val="005D26D4"/>
    <w:rsid w:val="005D26EB"/>
    <w:rsid w:val="005D2837"/>
    <w:rsid w:val="005D293C"/>
    <w:rsid w:val="005D2A88"/>
    <w:rsid w:val="005D2E96"/>
    <w:rsid w:val="005D3356"/>
    <w:rsid w:val="005D34BE"/>
    <w:rsid w:val="005D371D"/>
    <w:rsid w:val="005D397A"/>
    <w:rsid w:val="005D3AC1"/>
    <w:rsid w:val="005D3B6B"/>
    <w:rsid w:val="005D3C8F"/>
    <w:rsid w:val="005D3C9E"/>
    <w:rsid w:val="005D3D03"/>
    <w:rsid w:val="005D4310"/>
    <w:rsid w:val="005D439C"/>
    <w:rsid w:val="005D43D2"/>
    <w:rsid w:val="005D4462"/>
    <w:rsid w:val="005D452B"/>
    <w:rsid w:val="005D46A9"/>
    <w:rsid w:val="005D4BBB"/>
    <w:rsid w:val="005D4C26"/>
    <w:rsid w:val="005D4C58"/>
    <w:rsid w:val="005D4D93"/>
    <w:rsid w:val="005D511E"/>
    <w:rsid w:val="005D51D0"/>
    <w:rsid w:val="005D520F"/>
    <w:rsid w:val="005D58C2"/>
    <w:rsid w:val="005D5978"/>
    <w:rsid w:val="005D5D4D"/>
    <w:rsid w:val="005D5F3E"/>
    <w:rsid w:val="005D6070"/>
    <w:rsid w:val="005D61FB"/>
    <w:rsid w:val="005D6439"/>
    <w:rsid w:val="005D64AC"/>
    <w:rsid w:val="005D656A"/>
    <w:rsid w:val="005D65EE"/>
    <w:rsid w:val="005D6635"/>
    <w:rsid w:val="005D66DF"/>
    <w:rsid w:val="005D6773"/>
    <w:rsid w:val="005D6FCA"/>
    <w:rsid w:val="005D73E4"/>
    <w:rsid w:val="005D750C"/>
    <w:rsid w:val="005D75A5"/>
    <w:rsid w:val="005D75E0"/>
    <w:rsid w:val="005D7658"/>
    <w:rsid w:val="005D7676"/>
    <w:rsid w:val="005D7746"/>
    <w:rsid w:val="005D79C4"/>
    <w:rsid w:val="005D7C1B"/>
    <w:rsid w:val="005D7E9D"/>
    <w:rsid w:val="005D7F5C"/>
    <w:rsid w:val="005D7FC1"/>
    <w:rsid w:val="005E0162"/>
    <w:rsid w:val="005E024A"/>
    <w:rsid w:val="005E02F5"/>
    <w:rsid w:val="005E06C5"/>
    <w:rsid w:val="005E081D"/>
    <w:rsid w:val="005E08BB"/>
    <w:rsid w:val="005E0B2C"/>
    <w:rsid w:val="005E0FD3"/>
    <w:rsid w:val="005E100D"/>
    <w:rsid w:val="005E10B5"/>
    <w:rsid w:val="005E10C4"/>
    <w:rsid w:val="005E130B"/>
    <w:rsid w:val="005E1754"/>
    <w:rsid w:val="005E1988"/>
    <w:rsid w:val="005E1A40"/>
    <w:rsid w:val="005E1E54"/>
    <w:rsid w:val="005E1FBB"/>
    <w:rsid w:val="005E2218"/>
    <w:rsid w:val="005E22DF"/>
    <w:rsid w:val="005E256E"/>
    <w:rsid w:val="005E2597"/>
    <w:rsid w:val="005E25E6"/>
    <w:rsid w:val="005E266F"/>
    <w:rsid w:val="005E2692"/>
    <w:rsid w:val="005E2C04"/>
    <w:rsid w:val="005E2E5C"/>
    <w:rsid w:val="005E2F72"/>
    <w:rsid w:val="005E30FA"/>
    <w:rsid w:val="005E3771"/>
    <w:rsid w:val="005E37B1"/>
    <w:rsid w:val="005E392A"/>
    <w:rsid w:val="005E3B34"/>
    <w:rsid w:val="005E3D41"/>
    <w:rsid w:val="005E3E85"/>
    <w:rsid w:val="005E3F90"/>
    <w:rsid w:val="005E4117"/>
    <w:rsid w:val="005E419D"/>
    <w:rsid w:val="005E4250"/>
    <w:rsid w:val="005E42ED"/>
    <w:rsid w:val="005E43B0"/>
    <w:rsid w:val="005E464A"/>
    <w:rsid w:val="005E4812"/>
    <w:rsid w:val="005E483D"/>
    <w:rsid w:val="005E4910"/>
    <w:rsid w:val="005E49F8"/>
    <w:rsid w:val="005E4C68"/>
    <w:rsid w:val="005E4CC5"/>
    <w:rsid w:val="005E4F97"/>
    <w:rsid w:val="005E5070"/>
    <w:rsid w:val="005E51F1"/>
    <w:rsid w:val="005E5238"/>
    <w:rsid w:val="005E52D2"/>
    <w:rsid w:val="005E54C8"/>
    <w:rsid w:val="005E56CD"/>
    <w:rsid w:val="005E5A65"/>
    <w:rsid w:val="005E5DC5"/>
    <w:rsid w:val="005E5F58"/>
    <w:rsid w:val="005E5FDD"/>
    <w:rsid w:val="005E61FD"/>
    <w:rsid w:val="005E62C5"/>
    <w:rsid w:val="005E62DC"/>
    <w:rsid w:val="005E634E"/>
    <w:rsid w:val="005E636D"/>
    <w:rsid w:val="005E6547"/>
    <w:rsid w:val="005E6617"/>
    <w:rsid w:val="005E67AB"/>
    <w:rsid w:val="005E68D8"/>
    <w:rsid w:val="005E6B37"/>
    <w:rsid w:val="005E6CC2"/>
    <w:rsid w:val="005E6DD3"/>
    <w:rsid w:val="005E7122"/>
    <w:rsid w:val="005E73C3"/>
    <w:rsid w:val="005E75C5"/>
    <w:rsid w:val="005E7A07"/>
    <w:rsid w:val="005E7AD7"/>
    <w:rsid w:val="005E7B19"/>
    <w:rsid w:val="005E7B54"/>
    <w:rsid w:val="005E7E57"/>
    <w:rsid w:val="005F0277"/>
    <w:rsid w:val="005F02FD"/>
    <w:rsid w:val="005F0359"/>
    <w:rsid w:val="005F03DB"/>
    <w:rsid w:val="005F088A"/>
    <w:rsid w:val="005F0C29"/>
    <w:rsid w:val="005F0CD5"/>
    <w:rsid w:val="005F0F3C"/>
    <w:rsid w:val="005F0FC9"/>
    <w:rsid w:val="005F1087"/>
    <w:rsid w:val="005F1343"/>
    <w:rsid w:val="005F1469"/>
    <w:rsid w:val="005F1509"/>
    <w:rsid w:val="005F15A1"/>
    <w:rsid w:val="005F177F"/>
    <w:rsid w:val="005F18A4"/>
    <w:rsid w:val="005F1B1C"/>
    <w:rsid w:val="005F1C90"/>
    <w:rsid w:val="005F1D92"/>
    <w:rsid w:val="005F1DAA"/>
    <w:rsid w:val="005F1E26"/>
    <w:rsid w:val="005F1F68"/>
    <w:rsid w:val="005F2554"/>
    <w:rsid w:val="005F256F"/>
    <w:rsid w:val="005F2726"/>
    <w:rsid w:val="005F2750"/>
    <w:rsid w:val="005F28B0"/>
    <w:rsid w:val="005F2B23"/>
    <w:rsid w:val="005F2D85"/>
    <w:rsid w:val="005F2DD1"/>
    <w:rsid w:val="005F2E45"/>
    <w:rsid w:val="005F30AF"/>
    <w:rsid w:val="005F352E"/>
    <w:rsid w:val="005F3600"/>
    <w:rsid w:val="005F3619"/>
    <w:rsid w:val="005F3771"/>
    <w:rsid w:val="005F3773"/>
    <w:rsid w:val="005F38E5"/>
    <w:rsid w:val="005F3D27"/>
    <w:rsid w:val="005F3D4A"/>
    <w:rsid w:val="005F3E20"/>
    <w:rsid w:val="005F3EB2"/>
    <w:rsid w:val="005F40CD"/>
    <w:rsid w:val="005F41FE"/>
    <w:rsid w:val="005F4317"/>
    <w:rsid w:val="005F43D4"/>
    <w:rsid w:val="005F44E9"/>
    <w:rsid w:val="005F469E"/>
    <w:rsid w:val="005F47F8"/>
    <w:rsid w:val="005F4A8B"/>
    <w:rsid w:val="005F4AD4"/>
    <w:rsid w:val="005F4C2F"/>
    <w:rsid w:val="005F501A"/>
    <w:rsid w:val="005F50C5"/>
    <w:rsid w:val="005F51F4"/>
    <w:rsid w:val="005F529E"/>
    <w:rsid w:val="005F5334"/>
    <w:rsid w:val="005F5388"/>
    <w:rsid w:val="005F5457"/>
    <w:rsid w:val="005F549B"/>
    <w:rsid w:val="005F54A9"/>
    <w:rsid w:val="005F561A"/>
    <w:rsid w:val="005F56EA"/>
    <w:rsid w:val="005F577C"/>
    <w:rsid w:val="005F58A8"/>
    <w:rsid w:val="005F5B47"/>
    <w:rsid w:val="005F5B6A"/>
    <w:rsid w:val="005F5C50"/>
    <w:rsid w:val="005F5C86"/>
    <w:rsid w:val="005F5CC4"/>
    <w:rsid w:val="005F5D86"/>
    <w:rsid w:val="005F5F83"/>
    <w:rsid w:val="005F659F"/>
    <w:rsid w:val="005F6609"/>
    <w:rsid w:val="005F660E"/>
    <w:rsid w:val="005F665C"/>
    <w:rsid w:val="005F67B5"/>
    <w:rsid w:val="005F683A"/>
    <w:rsid w:val="005F6987"/>
    <w:rsid w:val="005F6AAD"/>
    <w:rsid w:val="005F6B40"/>
    <w:rsid w:val="005F6D33"/>
    <w:rsid w:val="005F6E73"/>
    <w:rsid w:val="005F6F62"/>
    <w:rsid w:val="005F6F7C"/>
    <w:rsid w:val="005F7274"/>
    <w:rsid w:val="005F7344"/>
    <w:rsid w:val="005F74EC"/>
    <w:rsid w:val="005F7623"/>
    <w:rsid w:val="005F78B1"/>
    <w:rsid w:val="005F7907"/>
    <w:rsid w:val="005F795B"/>
    <w:rsid w:val="005F7C7A"/>
    <w:rsid w:val="005F7D54"/>
    <w:rsid w:val="005F7DAB"/>
    <w:rsid w:val="006000FB"/>
    <w:rsid w:val="006004F0"/>
    <w:rsid w:val="00600631"/>
    <w:rsid w:val="0060068D"/>
    <w:rsid w:val="00600E72"/>
    <w:rsid w:val="00600FBA"/>
    <w:rsid w:val="00601156"/>
    <w:rsid w:val="006013BA"/>
    <w:rsid w:val="0060141E"/>
    <w:rsid w:val="00601447"/>
    <w:rsid w:val="00601916"/>
    <w:rsid w:val="0060209A"/>
    <w:rsid w:val="00602216"/>
    <w:rsid w:val="0060228B"/>
    <w:rsid w:val="0060232D"/>
    <w:rsid w:val="006024B6"/>
    <w:rsid w:val="006026B4"/>
    <w:rsid w:val="0060289B"/>
    <w:rsid w:val="00602A7B"/>
    <w:rsid w:val="00602E34"/>
    <w:rsid w:val="00602E56"/>
    <w:rsid w:val="00602EEF"/>
    <w:rsid w:val="00602F0C"/>
    <w:rsid w:val="00603101"/>
    <w:rsid w:val="00603103"/>
    <w:rsid w:val="00603200"/>
    <w:rsid w:val="006035AB"/>
    <w:rsid w:val="00603834"/>
    <w:rsid w:val="0060392F"/>
    <w:rsid w:val="00603B6A"/>
    <w:rsid w:val="00603BBF"/>
    <w:rsid w:val="00603BEC"/>
    <w:rsid w:val="00603C51"/>
    <w:rsid w:val="00603EE7"/>
    <w:rsid w:val="00603F39"/>
    <w:rsid w:val="0060409F"/>
    <w:rsid w:val="00604320"/>
    <w:rsid w:val="0060446E"/>
    <w:rsid w:val="0060459B"/>
    <w:rsid w:val="00604606"/>
    <w:rsid w:val="00604643"/>
    <w:rsid w:val="00604AE1"/>
    <w:rsid w:val="00604D7F"/>
    <w:rsid w:val="00604E88"/>
    <w:rsid w:val="006051DB"/>
    <w:rsid w:val="00605288"/>
    <w:rsid w:val="0060542D"/>
    <w:rsid w:val="00605443"/>
    <w:rsid w:val="00605470"/>
    <w:rsid w:val="006057A7"/>
    <w:rsid w:val="006059D0"/>
    <w:rsid w:val="00605A0F"/>
    <w:rsid w:val="00605B74"/>
    <w:rsid w:val="00605CD3"/>
    <w:rsid w:val="00605D10"/>
    <w:rsid w:val="00605E82"/>
    <w:rsid w:val="00605EE0"/>
    <w:rsid w:val="00605EF5"/>
    <w:rsid w:val="00605F61"/>
    <w:rsid w:val="00606262"/>
    <w:rsid w:val="00606369"/>
    <w:rsid w:val="00606427"/>
    <w:rsid w:val="00606714"/>
    <w:rsid w:val="0060683A"/>
    <w:rsid w:val="006068CD"/>
    <w:rsid w:val="00606F59"/>
    <w:rsid w:val="006070A1"/>
    <w:rsid w:val="00607365"/>
    <w:rsid w:val="0060751B"/>
    <w:rsid w:val="00607722"/>
    <w:rsid w:val="00607747"/>
    <w:rsid w:val="0060797E"/>
    <w:rsid w:val="006079B3"/>
    <w:rsid w:val="00607E2E"/>
    <w:rsid w:val="00607E4A"/>
    <w:rsid w:val="00607FDA"/>
    <w:rsid w:val="00610004"/>
    <w:rsid w:val="0061013F"/>
    <w:rsid w:val="00610303"/>
    <w:rsid w:val="006103A6"/>
    <w:rsid w:val="00610516"/>
    <w:rsid w:val="0061098F"/>
    <w:rsid w:val="006109A4"/>
    <w:rsid w:val="006109FC"/>
    <w:rsid w:val="00610A04"/>
    <w:rsid w:val="00610E7E"/>
    <w:rsid w:val="00610FB3"/>
    <w:rsid w:val="006110F0"/>
    <w:rsid w:val="006113CD"/>
    <w:rsid w:val="006116D1"/>
    <w:rsid w:val="006119CE"/>
    <w:rsid w:val="00611A60"/>
    <w:rsid w:val="00611C9A"/>
    <w:rsid w:val="0061201D"/>
    <w:rsid w:val="006125B2"/>
    <w:rsid w:val="006127F1"/>
    <w:rsid w:val="00612DDD"/>
    <w:rsid w:val="00613337"/>
    <w:rsid w:val="00613349"/>
    <w:rsid w:val="0061350F"/>
    <w:rsid w:val="00613566"/>
    <w:rsid w:val="006138F1"/>
    <w:rsid w:val="00614289"/>
    <w:rsid w:val="006142DD"/>
    <w:rsid w:val="00614536"/>
    <w:rsid w:val="00614559"/>
    <w:rsid w:val="00614AC3"/>
    <w:rsid w:val="00614C16"/>
    <w:rsid w:val="00615113"/>
    <w:rsid w:val="0061524E"/>
    <w:rsid w:val="0061525C"/>
    <w:rsid w:val="00615517"/>
    <w:rsid w:val="006155F1"/>
    <w:rsid w:val="00615AC6"/>
    <w:rsid w:val="00616035"/>
    <w:rsid w:val="006161A6"/>
    <w:rsid w:val="00616432"/>
    <w:rsid w:val="006164C9"/>
    <w:rsid w:val="0061666D"/>
    <w:rsid w:val="00616C2D"/>
    <w:rsid w:val="00616D05"/>
    <w:rsid w:val="006171CA"/>
    <w:rsid w:val="006171DE"/>
    <w:rsid w:val="00617354"/>
    <w:rsid w:val="00617545"/>
    <w:rsid w:val="006176B9"/>
    <w:rsid w:val="006177D0"/>
    <w:rsid w:val="0061782A"/>
    <w:rsid w:val="00617DE8"/>
    <w:rsid w:val="00617E5D"/>
    <w:rsid w:val="00617E6A"/>
    <w:rsid w:val="00617FAE"/>
    <w:rsid w:val="006201C5"/>
    <w:rsid w:val="0062021A"/>
    <w:rsid w:val="0062027D"/>
    <w:rsid w:val="0062044A"/>
    <w:rsid w:val="0062079D"/>
    <w:rsid w:val="006207FB"/>
    <w:rsid w:val="00620851"/>
    <w:rsid w:val="00620889"/>
    <w:rsid w:val="0062096F"/>
    <w:rsid w:val="0062099F"/>
    <w:rsid w:val="00620AB8"/>
    <w:rsid w:val="00620BE7"/>
    <w:rsid w:val="00620C97"/>
    <w:rsid w:val="00620F47"/>
    <w:rsid w:val="006212CB"/>
    <w:rsid w:val="00621499"/>
    <w:rsid w:val="006215A8"/>
    <w:rsid w:val="00621B18"/>
    <w:rsid w:val="00621BF3"/>
    <w:rsid w:val="00621CAD"/>
    <w:rsid w:val="006222C8"/>
    <w:rsid w:val="00622464"/>
    <w:rsid w:val="006226BE"/>
    <w:rsid w:val="0062297F"/>
    <w:rsid w:val="00622A6D"/>
    <w:rsid w:val="00622AC3"/>
    <w:rsid w:val="00622D9B"/>
    <w:rsid w:val="006230B8"/>
    <w:rsid w:val="0062320C"/>
    <w:rsid w:val="006234BB"/>
    <w:rsid w:val="0062365E"/>
    <w:rsid w:val="00623A48"/>
    <w:rsid w:val="00623B2F"/>
    <w:rsid w:val="00623BC7"/>
    <w:rsid w:val="00623C78"/>
    <w:rsid w:val="00623D4A"/>
    <w:rsid w:val="006242F8"/>
    <w:rsid w:val="006242FE"/>
    <w:rsid w:val="0062437B"/>
    <w:rsid w:val="0062440F"/>
    <w:rsid w:val="00624968"/>
    <w:rsid w:val="0062497B"/>
    <w:rsid w:val="00624A77"/>
    <w:rsid w:val="00624D33"/>
    <w:rsid w:val="00624D7C"/>
    <w:rsid w:val="00624F1F"/>
    <w:rsid w:val="006251FD"/>
    <w:rsid w:val="00625207"/>
    <w:rsid w:val="00625345"/>
    <w:rsid w:val="00625431"/>
    <w:rsid w:val="00625471"/>
    <w:rsid w:val="006254A2"/>
    <w:rsid w:val="00625599"/>
    <w:rsid w:val="006255B1"/>
    <w:rsid w:val="00625697"/>
    <w:rsid w:val="00625717"/>
    <w:rsid w:val="0062584D"/>
    <w:rsid w:val="00625860"/>
    <w:rsid w:val="006258D7"/>
    <w:rsid w:val="006258DB"/>
    <w:rsid w:val="00625936"/>
    <w:rsid w:val="00625C3C"/>
    <w:rsid w:val="00625C3F"/>
    <w:rsid w:val="00625D07"/>
    <w:rsid w:val="00625D2D"/>
    <w:rsid w:val="006262A1"/>
    <w:rsid w:val="00626359"/>
    <w:rsid w:val="00626434"/>
    <w:rsid w:val="006264D1"/>
    <w:rsid w:val="006264DF"/>
    <w:rsid w:val="006264F4"/>
    <w:rsid w:val="00626771"/>
    <w:rsid w:val="006270BD"/>
    <w:rsid w:val="006276B7"/>
    <w:rsid w:val="00627977"/>
    <w:rsid w:val="00627B7D"/>
    <w:rsid w:val="00627D03"/>
    <w:rsid w:val="00627F5C"/>
    <w:rsid w:val="006300B8"/>
    <w:rsid w:val="00630228"/>
    <w:rsid w:val="00630278"/>
    <w:rsid w:val="00630289"/>
    <w:rsid w:val="006303A3"/>
    <w:rsid w:val="0063040C"/>
    <w:rsid w:val="006306E9"/>
    <w:rsid w:val="006307E1"/>
    <w:rsid w:val="00630B23"/>
    <w:rsid w:val="00630E32"/>
    <w:rsid w:val="00631027"/>
    <w:rsid w:val="00631373"/>
    <w:rsid w:val="00631556"/>
    <w:rsid w:val="0063156F"/>
    <w:rsid w:val="006317AB"/>
    <w:rsid w:val="00631BF2"/>
    <w:rsid w:val="00631FAB"/>
    <w:rsid w:val="006321A8"/>
    <w:rsid w:val="006321C9"/>
    <w:rsid w:val="006324E5"/>
    <w:rsid w:val="006328C5"/>
    <w:rsid w:val="00632B23"/>
    <w:rsid w:val="00632BEC"/>
    <w:rsid w:val="00632C07"/>
    <w:rsid w:val="00632C19"/>
    <w:rsid w:val="00632C92"/>
    <w:rsid w:val="00632EA6"/>
    <w:rsid w:val="00632FC8"/>
    <w:rsid w:val="0063324A"/>
    <w:rsid w:val="0063325C"/>
    <w:rsid w:val="0063339F"/>
    <w:rsid w:val="00633556"/>
    <w:rsid w:val="0063370D"/>
    <w:rsid w:val="00633A2D"/>
    <w:rsid w:val="00633AD2"/>
    <w:rsid w:val="00633B0D"/>
    <w:rsid w:val="00633C9D"/>
    <w:rsid w:val="00633CBA"/>
    <w:rsid w:val="00633E08"/>
    <w:rsid w:val="00633E1C"/>
    <w:rsid w:val="00633E4F"/>
    <w:rsid w:val="00633E6E"/>
    <w:rsid w:val="00633EC4"/>
    <w:rsid w:val="00633ED7"/>
    <w:rsid w:val="00633F9D"/>
    <w:rsid w:val="0063412F"/>
    <w:rsid w:val="00634274"/>
    <w:rsid w:val="006342F2"/>
    <w:rsid w:val="006343A6"/>
    <w:rsid w:val="006346B1"/>
    <w:rsid w:val="006347B4"/>
    <w:rsid w:val="006347DA"/>
    <w:rsid w:val="00634A49"/>
    <w:rsid w:val="00634A71"/>
    <w:rsid w:val="00634AD3"/>
    <w:rsid w:val="00634BB6"/>
    <w:rsid w:val="006353C3"/>
    <w:rsid w:val="006353DD"/>
    <w:rsid w:val="00635470"/>
    <w:rsid w:val="00635741"/>
    <w:rsid w:val="00635781"/>
    <w:rsid w:val="006357EF"/>
    <w:rsid w:val="00635A32"/>
    <w:rsid w:val="00635B48"/>
    <w:rsid w:val="00635F1F"/>
    <w:rsid w:val="0063602D"/>
    <w:rsid w:val="00636172"/>
    <w:rsid w:val="006361A7"/>
    <w:rsid w:val="006361BE"/>
    <w:rsid w:val="006361FA"/>
    <w:rsid w:val="0063622A"/>
    <w:rsid w:val="0063624E"/>
    <w:rsid w:val="00636362"/>
    <w:rsid w:val="00636485"/>
    <w:rsid w:val="006364A8"/>
    <w:rsid w:val="00636627"/>
    <w:rsid w:val="00636642"/>
    <w:rsid w:val="00636835"/>
    <w:rsid w:val="00636BF0"/>
    <w:rsid w:val="00636D22"/>
    <w:rsid w:val="00636F1B"/>
    <w:rsid w:val="00636FB6"/>
    <w:rsid w:val="00637142"/>
    <w:rsid w:val="00637158"/>
    <w:rsid w:val="006371EB"/>
    <w:rsid w:val="006373B7"/>
    <w:rsid w:val="00637440"/>
    <w:rsid w:val="006374B2"/>
    <w:rsid w:val="006374D9"/>
    <w:rsid w:val="006376EC"/>
    <w:rsid w:val="0063786E"/>
    <w:rsid w:val="0063789B"/>
    <w:rsid w:val="006378DB"/>
    <w:rsid w:val="006378FB"/>
    <w:rsid w:val="00640008"/>
    <w:rsid w:val="0064005C"/>
    <w:rsid w:val="006403C3"/>
    <w:rsid w:val="006409A5"/>
    <w:rsid w:val="006409C3"/>
    <w:rsid w:val="00640B33"/>
    <w:rsid w:val="00641260"/>
    <w:rsid w:val="006413DE"/>
    <w:rsid w:val="0064159D"/>
    <w:rsid w:val="00641921"/>
    <w:rsid w:val="00641971"/>
    <w:rsid w:val="00641A96"/>
    <w:rsid w:val="00641B73"/>
    <w:rsid w:val="00641C7E"/>
    <w:rsid w:val="00642070"/>
    <w:rsid w:val="0064209E"/>
    <w:rsid w:val="006421CC"/>
    <w:rsid w:val="006423F7"/>
    <w:rsid w:val="0064245C"/>
    <w:rsid w:val="00642723"/>
    <w:rsid w:val="0064276A"/>
    <w:rsid w:val="006427FC"/>
    <w:rsid w:val="00642C3E"/>
    <w:rsid w:val="00642D06"/>
    <w:rsid w:val="00642E1F"/>
    <w:rsid w:val="00642E37"/>
    <w:rsid w:val="00642E68"/>
    <w:rsid w:val="006431CC"/>
    <w:rsid w:val="00643529"/>
    <w:rsid w:val="006436D1"/>
    <w:rsid w:val="00643737"/>
    <w:rsid w:val="00643A1C"/>
    <w:rsid w:val="00643B33"/>
    <w:rsid w:val="00643B86"/>
    <w:rsid w:val="00643D21"/>
    <w:rsid w:val="00643DAB"/>
    <w:rsid w:val="006442E7"/>
    <w:rsid w:val="0064449A"/>
    <w:rsid w:val="006444B4"/>
    <w:rsid w:val="006449A5"/>
    <w:rsid w:val="00644A2F"/>
    <w:rsid w:val="00644C9A"/>
    <w:rsid w:val="0064524E"/>
    <w:rsid w:val="006452A2"/>
    <w:rsid w:val="00645429"/>
    <w:rsid w:val="0064548D"/>
    <w:rsid w:val="00645599"/>
    <w:rsid w:val="006458A1"/>
    <w:rsid w:val="006458AD"/>
    <w:rsid w:val="00645AB3"/>
    <w:rsid w:val="00645C4F"/>
    <w:rsid w:val="00645D28"/>
    <w:rsid w:val="00645D87"/>
    <w:rsid w:val="00645EE5"/>
    <w:rsid w:val="00645F64"/>
    <w:rsid w:val="0064616E"/>
    <w:rsid w:val="0064622F"/>
    <w:rsid w:val="00646444"/>
    <w:rsid w:val="006464EA"/>
    <w:rsid w:val="006466A2"/>
    <w:rsid w:val="00646A18"/>
    <w:rsid w:val="00646C5F"/>
    <w:rsid w:val="00646D46"/>
    <w:rsid w:val="00646F89"/>
    <w:rsid w:val="00646FE8"/>
    <w:rsid w:val="00647077"/>
    <w:rsid w:val="0064709D"/>
    <w:rsid w:val="006471ED"/>
    <w:rsid w:val="00647273"/>
    <w:rsid w:val="0064734B"/>
    <w:rsid w:val="00647374"/>
    <w:rsid w:val="006473C4"/>
    <w:rsid w:val="00647436"/>
    <w:rsid w:val="006475CF"/>
    <w:rsid w:val="00647718"/>
    <w:rsid w:val="00647742"/>
    <w:rsid w:val="0064778C"/>
    <w:rsid w:val="0064794C"/>
    <w:rsid w:val="00647D07"/>
    <w:rsid w:val="00647DDE"/>
    <w:rsid w:val="00650220"/>
    <w:rsid w:val="00650247"/>
    <w:rsid w:val="00650453"/>
    <w:rsid w:val="0065050F"/>
    <w:rsid w:val="00650513"/>
    <w:rsid w:val="00650535"/>
    <w:rsid w:val="006505A8"/>
    <w:rsid w:val="0065083F"/>
    <w:rsid w:val="00650957"/>
    <w:rsid w:val="00650AD0"/>
    <w:rsid w:val="00650BF4"/>
    <w:rsid w:val="00650D64"/>
    <w:rsid w:val="00650DA3"/>
    <w:rsid w:val="00650DD3"/>
    <w:rsid w:val="00650EB6"/>
    <w:rsid w:val="00650EF0"/>
    <w:rsid w:val="00650F59"/>
    <w:rsid w:val="0065151F"/>
    <w:rsid w:val="00651615"/>
    <w:rsid w:val="0065164A"/>
    <w:rsid w:val="00651714"/>
    <w:rsid w:val="006519A7"/>
    <w:rsid w:val="006519DA"/>
    <w:rsid w:val="00651C09"/>
    <w:rsid w:val="006520D2"/>
    <w:rsid w:val="00652A36"/>
    <w:rsid w:val="00652E7E"/>
    <w:rsid w:val="00653256"/>
    <w:rsid w:val="0065356C"/>
    <w:rsid w:val="006535AC"/>
    <w:rsid w:val="006536F1"/>
    <w:rsid w:val="00653A79"/>
    <w:rsid w:val="00653B13"/>
    <w:rsid w:val="00653B4A"/>
    <w:rsid w:val="00653CEF"/>
    <w:rsid w:val="00653E6D"/>
    <w:rsid w:val="00653EBC"/>
    <w:rsid w:val="00653F1F"/>
    <w:rsid w:val="00653F63"/>
    <w:rsid w:val="00654262"/>
    <w:rsid w:val="00654276"/>
    <w:rsid w:val="0065469C"/>
    <w:rsid w:val="006546D0"/>
    <w:rsid w:val="0065499B"/>
    <w:rsid w:val="00654A8D"/>
    <w:rsid w:val="00654DB9"/>
    <w:rsid w:val="00655370"/>
    <w:rsid w:val="00655A71"/>
    <w:rsid w:val="00655A8D"/>
    <w:rsid w:val="00655E8A"/>
    <w:rsid w:val="00655F77"/>
    <w:rsid w:val="00655F96"/>
    <w:rsid w:val="00655FD8"/>
    <w:rsid w:val="00656188"/>
    <w:rsid w:val="0065654A"/>
    <w:rsid w:val="006568BA"/>
    <w:rsid w:val="006568D4"/>
    <w:rsid w:val="00656935"/>
    <w:rsid w:val="00656C75"/>
    <w:rsid w:val="00656F0C"/>
    <w:rsid w:val="00656FC1"/>
    <w:rsid w:val="006571DA"/>
    <w:rsid w:val="006571E6"/>
    <w:rsid w:val="00657239"/>
    <w:rsid w:val="006572F2"/>
    <w:rsid w:val="006573D1"/>
    <w:rsid w:val="006578F9"/>
    <w:rsid w:val="00657B80"/>
    <w:rsid w:val="00657B9D"/>
    <w:rsid w:val="006603D1"/>
    <w:rsid w:val="0066060B"/>
    <w:rsid w:val="006606F5"/>
    <w:rsid w:val="00660C29"/>
    <w:rsid w:val="00660C57"/>
    <w:rsid w:val="00660D78"/>
    <w:rsid w:val="00660EE0"/>
    <w:rsid w:val="0066148B"/>
    <w:rsid w:val="00661613"/>
    <w:rsid w:val="006618D7"/>
    <w:rsid w:val="00661A90"/>
    <w:rsid w:val="00661B4D"/>
    <w:rsid w:val="00661E0E"/>
    <w:rsid w:val="00662234"/>
    <w:rsid w:val="006622D5"/>
    <w:rsid w:val="006627D0"/>
    <w:rsid w:val="00662990"/>
    <w:rsid w:val="00662A0A"/>
    <w:rsid w:val="00662C8F"/>
    <w:rsid w:val="00662CF6"/>
    <w:rsid w:val="00662D55"/>
    <w:rsid w:val="00662E07"/>
    <w:rsid w:val="00662E2A"/>
    <w:rsid w:val="00663256"/>
    <w:rsid w:val="00663516"/>
    <w:rsid w:val="0066363F"/>
    <w:rsid w:val="006638BB"/>
    <w:rsid w:val="0066399A"/>
    <w:rsid w:val="00663B85"/>
    <w:rsid w:val="00663C7B"/>
    <w:rsid w:val="00664012"/>
    <w:rsid w:val="00664290"/>
    <w:rsid w:val="006644C7"/>
    <w:rsid w:val="0066457C"/>
    <w:rsid w:val="0066471E"/>
    <w:rsid w:val="0066474B"/>
    <w:rsid w:val="00664934"/>
    <w:rsid w:val="00664E96"/>
    <w:rsid w:val="00664F61"/>
    <w:rsid w:val="00665028"/>
    <w:rsid w:val="00665138"/>
    <w:rsid w:val="00665213"/>
    <w:rsid w:val="006653F9"/>
    <w:rsid w:val="006656FB"/>
    <w:rsid w:val="0066582D"/>
    <w:rsid w:val="00665D1E"/>
    <w:rsid w:val="00665FDB"/>
    <w:rsid w:val="00665FEA"/>
    <w:rsid w:val="00666020"/>
    <w:rsid w:val="00666033"/>
    <w:rsid w:val="00666089"/>
    <w:rsid w:val="006661F8"/>
    <w:rsid w:val="00666251"/>
    <w:rsid w:val="0066640F"/>
    <w:rsid w:val="00666842"/>
    <w:rsid w:val="00666B6A"/>
    <w:rsid w:val="00666BA6"/>
    <w:rsid w:val="00666BE7"/>
    <w:rsid w:val="00666C8E"/>
    <w:rsid w:val="00666FDE"/>
    <w:rsid w:val="00667174"/>
    <w:rsid w:val="006671F9"/>
    <w:rsid w:val="006672F9"/>
    <w:rsid w:val="006674B5"/>
    <w:rsid w:val="006676A6"/>
    <w:rsid w:val="006677D3"/>
    <w:rsid w:val="00667804"/>
    <w:rsid w:val="00667876"/>
    <w:rsid w:val="00667A5D"/>
    <w:rsid w:val="00667B47"/>
    <w:rsid w:val="00667E62"/>
    <w:rsid w:val="00670039"/>
    <w:rsid w:val="0067014F"/>
    <w:rsid w:val="006702E4"/>
    <w:rsid w:val="00670358"/>
    <w:rsid w:val="00670871"/>
    <w:rsid w:val="00670A64"/>
    <w:rsid w:val="00670CD3"/>
    <w:rsid w:val="0067105D"/>
    <w:rsid w:val="006711DF"/>
    <w:rsid w:val="0067172C"/>
    <w:rsid w:val="00671991"/>
    <w:rsid w:val="00671E70"/>
    <w:rsid w:val="0067204F"/>
    <w:rsid w:val="0067262F"/>
    <w:rsid w:val="00672631"/>
    <w:rsid w:val="0067271B"/>
    <w:rsid w:val="00672824"/>
    <w:rsid w:val="00672869"/>
    <w:rsid w:val="00672902"/>
    <w:rsid w:val="00672B28"/>
    <w:rsid w:val="00672C0A"/>
    <w:rsid w:val="00672E76"/>
    <w:rsid w:val="006730D1"/>
    <w:rsid w:val="00673128"/>
    <w:rsid w:val="00673270"/>
    <w:rsid w:val="006732D3"/>
    <w:rsid w:val="0067340B"/>
    <w:rsid w:val="00673729"/>
    <w:rsid w:val="00673811"/>
    <w:rsid w:val="006738F5"/>
    <w:rsid w:val="00673BEC"/>
    <w:rsid w:val="006741B6"/>
    <w:rsid w:val="0067438F"/>
    <w:rsid w:val="00674412"/>
    <w:rsid w:val="006744CC"/>
    <w:rsid w:val="006745BB"/>
    <w:rsid w:val="00674707"/>
    <w:rsid w:val="0067509B"/>
    <w:rsid w:val="00675563"/>
    <w:rsid w:val="0067556E"/>
    <w:rsid w:val="006755CD"/>
    <w:rsid w:val="00675651"/>
    <w:rsid w:val="0067581C"/>
    <w:rsid w:val="006758E7"/>
    <w:rsid w:val="0067593D"/>
    <w:rsid w:val="00675B9F"/>
    <w:rsid w:val="00675BEB"/>
    <w:rsid w:val="00675CBC"/>
    <w:rsid w:val="00675CFD"/>
    <w:rsid w:val="00676262"/>
    <w:rsid w:val="006766F5"/>
    <w:rsid w:val="0067674E"/>
    <w:rsid w:val="00676955"/>
    <w:rsid w:val="00676DFC"/>
    <w:rsid w:val="00676FA0"/>
    <w:rsid w:val="0067705A"/>
    <w:rsid w:val="006770D1"/>
    <w:rsid w:val="00677293"/>
    <w:rsid w:val="0067732B"/>
    <w:rsid w:val="00677370"/>
    <w:rsid w:val="006773A9"/>
    <w:rsid w:val="00677436"/>
    <w:rsid w:val="006774DF"/>
    <w:rsid w:val="0067759F"/>
    <w:rsid w:val="006775E0"/>
    <w:rsid w:val="006775E8"/>
    <w:rsid w:val="006776DB"/>
    <w:rsid w:val="00677810"/>
    <w:rsid w:val="0067787F"/>
    <w:rsid w:val="006778C7"/>
    <w:rsid w:val="00677D4F"/>
    <w:rsid w:val="00677D67"/>
    <w:rsid w:val="00677DCA"/>
    <w:rsid w:val="00677F46"/>
    <w:rsid w:val="00680063"/>
    <w:rsid w:val="00680E44"/>
    <w:rsid w:val="00680EB6"/>
    <w:rsid w:val="00680EF1"/>
    <w:rsid w:val="00681149"/>
    <w:rsid w:val="0068133E"/>
    <w:rsid w:val="00681595"/>
    <w:rsid w:val="00681663"/>
    <w:rsid w:val="006817BE"/>
    <w:rsid w:val="00681866"/>
    <w:rsid w:val="00681C9D"/>
    <w:rsid w:val="00681F35"/>
    <w:rsid w:val="00682269"/>
    <w:rsid w:val="006825AE"/>
    <w:rsid w:val="006827AA"/>
    <w:rsid w:val="00682828"/>
    <w:rsid w:val="0068288E"/>
    <w:rsid w:val="0068297B"/>
    <w:rsid w:val="00682B09"/>
    <w:rsid w:val="00682E07"/>
    <w:rsid w:val="00682E31"/>
    <w:rsid w:val="00683054"/>
    <w:rsid w:val="00683398"/>
    <w:rsid w:val="00683495"/>
    <w:rsid w:val="00683563"/>
    <w:rsid w:val="006836BD"/>
    <w:rsid w:val="00683936"/>
    <w:rsid w:val="00683D52"/>
    <w:rsid w:val="00683D97"/>
    <w:rsid w:val="00684024"/>
    <w:rsid w:val="006840C8"/>
    <w:rsid w:val="00684226"/>
    <w:rsid w:val="00684271"/>
    <w:rsid w:val="00684428"/>
    <w:rsid w:val="0068492C"/>
    <w:rsid w:val="00684A1A"/>
    <w:rsid w:val="006851D7"/>
    <w:rsid w:val="006852D1"/>
    <w:rsid w:val="0068559E"/>
    <w:rsid w:val="006855C3"/>
    <w:rsid w:val="00685939"/>
    <w:rsid w:val="00685AEC"/>
    <w:rsid w:val="00685C50"/>
    <w:rsid w:val="00685E3D"/>
    <w:rsid w:val="00685E99"/>
    <w:rsid w:val="006860DD"/>
    <w:rsid w:val="00686147"/>
    <w:rsid w:val="006863C5"/>
    <w:rsid w:val="006863E2"/>
    <w:rsid w:val="0068676F"/>
    <w:rsid w:val="0068680A"/>
    <w:rsid w:val="00686F7C"/>
    <w:rsid w:val="00686FDE"/>
    <w:rsid w:val="00687104"/>
    <w:rsid w:val="006871E2"/>
    <w:rsid w:val="0068733C"/>
    <w:rsid w:val="006873ED"/>
    <w:rsid w:val="00687604"/>
    <w:rsid w:val="006877AA"/>
    <w:rsid w:val="00687820"/>
    <w:rsid w:val="00687FDF"/>
    <w:rsid w:val="006900B0"/>
    <w:rsid w:val="006906FF"/>
    <w:rsid w:val="0069099D"/>
    <w:rsid w:val="006909C0"/>
    <w:rsid w:val="006909CF"/>
    <w:rsid w:val="00690B01"/>
    <w:rsid w:val="00690CB9"/>
    <w:rsid w:val="00690DE3"/>
    <w:rsid w:val="00690F72"/>
    <w:rsid w:val="006912A2"/>
    <w:rsid w:val="00691343"/>
    <w:rsid w:val="00691368"/>
    <w:rsid w:val="00691460"/>
    <w:rsid w:val="006915B3"/>
    <w:rsid w:val="00691AF8"/>
    <w:rsid w:val="00691B4B"/>
    <w:rsid w:val="00691BB2"/>
    <w:rsid w:val="00691F2F"/>
    <w:rsid w:val="0069213F"/>
    <w:rsid w:val="00692432"/>
    <w:rsid w:val="00692592"/>
    <w:rsid w:val="0069271E"/>
    <w:rsid w:val="006927ED"/>
    <w:rsid w:val="00692900"/>
    <w:rsid w:val="006930C1"/>
    <w:rsid w:val="00693380"/>
    <w:rsid w:val="006933DE"/>
    <w:rsid w:val="00693574"/>
    <w:rsid w:val="006936DE"/>
    <w:rsid w:val="006938E3"/>
    <w:rsid w:val="00693F03"/>
    <w:rsid w:val="006940B4"/>
    <w:rsid w:val="006941C0"/>
    <w:rsid w:val="0069437A"/>
    <w:rsid w:val="0069439F"/>
    <w:rsid w:val="006943D4"/>
    <w:rsid w:val="006945F5"/>
    <w:rsid w:val="00694C8E"/>
    <w:rsid w:val="00694EE8"/>
    <w:rsid w:val="00694F1B"/>
    <w:rsid w:val="00694F92"/>
    <w:rsid w:val="0069503F"/>
    <w:rsid w:val="0069519A"/>
    <w:rsid w:val="0069534E"/>
    <w:rsid w:val="0069536F"/>
    <w:rsid w:val="0069540F"/>
    <w:rsid w:val="00695524"/>
    <w:rsid w:val="0069567C"/>
    <w:rsid w:val="006958C6"/>
    <w:rsid w:val="00695B8D"/>
    <w:rsid w:val="00695E8A"/>
    <w:rsid w:val="00695EA3"/>
    <w:rsid w:val="00695EF7"/>
    <w:rsid w:val="0069604F"/>
    <w:rsid w:val="00696072"/>
    <w:rsid w:val="00696145"/>
    <w:rsid w:val="006963BC"/>
    <w:rsid w:val="006963C5"/>
    <w:rsid w:val="00696A99"/>
    <w:rsid w:val="00696AA4"/>
    <w:rsid w:val="00696BA7"/>
    <w:rsid w:val="00696EED"/>
    <w:rsid w:val="00697077"/>
    <w:rsid w:val="00697083"/>
    <w:rsid w:val="00697154"/>
    <w:rsid w:val="006972D5"/>
    <w:rsid w:val="00697627"/>
    <w:rsid w:val="0069779B"/>
    <w:rsid w:val="0069789F"/>
    <w:rsid w:val="006979E6"/>
    <w:rsid w:val="00697AC2"/>
    <w:rsid w:val="00697B3B"/>
    <w:rsid w:val="00697BDE"/>
    <w:rsid w:val="00697DD1"/>
    <w:rsid w:val="00697E04"/>
    <w:rsid w:val="00697F59"/>
    <w:rsid w:val="006A0024"/>
    <w:rsid w:val="006A0448"/>
    <w:rsid w:val="006A0646"/>
    <w:rsid w:val="006A0AD6"/>
    <w:rsid w:val="006A0C84"/>
    <w:rsid w:val="006A0DB8"/>
    <w:rsid w:val="006A10F0"/>
    <w:rsid w:val="006A1190"/>
    <w:rsid w:val="006A140F"/>
    <w:rsid w:val="006A1733"/>
    <w:rsid w:val="006A195C"/>
    <w:rsid w:val="006A1B53"/>
    <w:rsid w:val="006A1FA4"/>
    <w:rsid w:val="006A20B0"/>
    <w:rsid w:val="006A2349"/>
    <w:rsid w:val="006A2460"/>
    <w:rsid w:val="006A26E0"/>
    <w:rsid w:val="006A274E"/>
    <w:rsid w:val="006A2774"/>
    <w:rsid w:val="006A27DE"/>
    <w:rsid w:val="006A2AD5"/>
    <w:rsid w:val="006A2B05"/>
    <w:rsid w:val="006A2B6A"/>
    <w:rsid w:val="006A2C14"/>
    <w:rsid w:val="006A2E0A"/>
    <w:rsid w:val="006A2FFB"/>
    <w:rsid w:val="006A306F"/>
    <w:rsid w:val="006A319E"/>
    <w:rsid w:val="006A3467"/>
    <w:rsid w:val="006A3484"/>
    <w:rsid w:val="006A3507"/>
    <w:rsid w:val="006A38BD"/>
    <w:rsid w:val="006A38E0"/>
    <w:rsid w:val="006A39E4"/>
    <w:rsid w:val="006A3B25"/>
    <w:rsid w:val="006A3BE8"/>
    <w:rsid w:val="006A3D7E"/>
    <w:rsid w:val="006A3FC9"/>
    <w:rsid w:val="006A4030"/>
    <w:rsid w:val="006A4045"/>
    <w:rsid w:val="006A40B8"/>
    <w:rsid w:val="006A4357"/>
    <w:rsid w:val="006A46E2"/>
    <w:rsid w:val="006A46F4"/>
    <w:rsid w:val="006A4715"/>
    <w:rsid w:val="006A4762"/>
    <w:rsid w:val="006A4783"/>
    <w:rsid w:val="006A4A22"/>
    <w:rsid w:val="006A4CB7"/>
    <w:rsid w:val="006A4E93"/>
    <w:rsid w:val="006A4E9B"/>
    <w:rsid w:val="006A4F15"/>
    <w:rsid w:val="006A4FA6"/>
    <w:rsid w:val="006A5324"/>
    <w:rsid w:val="006A5723"/>
    <w:rsid w:val="006A59AA"/>
    <w:rsid w:val="006A5B05"/>
    <w:rsid w:val="006A5CCB"/>
    <w:rsid w:val="006A5D34"/>
    <w:rsid w:val="006A5DF8"/>
    <w:rsid w:val="006A6190"/>
    <w:rsid w:val="006A6235"/>
    <w:rsid w:val="006A6295"/>
    <w:rsid w:val="006A62B7"/>
    <w:rsid w:val="006A64D4"/>
    <w:rsid w:val="006A6580"/>
    <w:rsid w:val="006A659D"/>
    <w:rsid w:val="006A68C2"/>
    <w:rsid w:val="006A6A97"/>
    <w:rsid w:val="006A6BA9"/>
    <w:rsid w:val="006A6CC0"/>
    <w:rsid w:val="006A6E2B"/>
    <w:rsid w:val="006A6FFD"/>
    <w:rsid w:val="006A7805"/>
    <w:rsid w:val="006A785A"/>
    <w:rsid w:val="006A7A65"/>
    <w:rsid w:val="006A7ABC"/>
    <w:rsid w:val="006B01E9"/>
    <w:rsid w:val="006B021E"/>
    <w:rsid w:val="006B02EA"/>
    <w:rsid w:val="006B0333"/>
    <w:rsid w:val="006B0567"/>
    <w:rsid w:val="006B094B"/>
    <w:rsid w:val="006B0983"/>
    <w:rsid w:val="006B0B91"/>
    <w:rsid w:val="006B0C61"/>
    <w:rsid w:val="006B0E6C"/>
    <w:rsid w:val="006B0F47"/>
    <w:rsid w:val="006B102A"/>
    <w:rsid w:val="006B12E9"/>
    <w:rsid w:val="006B12F4"/>
    <w:rsid w:val="006B150A"/>
    <w:rsid w:val="006B194E"/>
    <w:rsid w:val="006B23E6"/>
    <w:rsid w:val="006B2444"/>
    <w:rsid w:val="006B25B0"/>
    <w:rsid w:val="006B2986"/>
    <w:rsid w:val="006B2A45"/>
    <w:rsid w:val="006B2D40"/>
    <w:rsid w:val="006B2FDE"/>
    <w:rsid w:val="006B31BB"/>
    <w:rsid w:val="006B31EF"/>
    <w:rsid w:val="006B3219"/>
    <w:rsid w:val="006B34B6"/>
    <w:rsid w:val="006B37C8"/>
    <w:rsid w:val="006B3F01"/>
    <w:rsid w:val="006B4132"/>
    <w:rsid w:val="006B4177"/>
    <w:rsid w:val="006B43CE"/>
    <w:rsid w:val="006B4515"/>
    <w:rsid w:val="006B45B8"/>
    <w:rsid w:val="006B4708"/>
    <w:rsid w:val="006B4A80"/>
    <w:rsid w:val="006B4ACC"/>
    <w:rsid w:val="006B4B56"/>
    <w:rsid w:val="006B4B6B"/>
    <w:rsid w:val="006B4B8A"/>
    <w:rsid w:val="006B4E0E"/>
    <w:rsid w:val="006B4EBF"/>
    <w:rsid w:val="006B4F88"/>
    <w:rsid w:val="006B5942"/>
    <w:rsid w:val="006B5A03"/>
    <w:rsid w:val="006B5B7D"/>
    <w:rsid w:val="006B5BAC"/>
    <w:rsid w:val="006B5F48"/>
    <w:rsid w:val="006B5F66"/>
    <w:rsid w:val="006B6001"/>
    <w:rsid w:val="006B614B"/>
    <w:rsid w:val="006B65CE"/>
    <w:rsid w:val="006B6667"/>
    <w:rsid w:val="006B6868"/>
    <w:rsid w:val="006B6D24"/>
    <w:rsid w:val="006B703A"/>
    <w:rsid w:val="006B715E"/>
    <w:rsid w:val="006B7233"/>
    <w:rsid w:val="006B7251"/>
    <w:rsid w:val="006B7878"/>
    <w:rsid w:val="006B7967"/>
    <w:rsid w:val="006B7977"/>
    <w:rsid w:val="006B79CD"/>
    <w:rsid w:val="006B79D9"/>
    <w:rsid w:val="006B7AEF"/>
    <w:rsid w:val="006B7E74"/>
    <w:rsid w:val="006C00F3"/>
    <w:rsid w:val="006C031A"/>
    <w:rsid w:val="006C0609"/>
    <w:rsid w:val="006C0720"/>
    <w:rsid w:val="006C08E3"/>
    <w:rsid w:val="006C0A15"/>
    <w:rsid w:val="006C0A23"/>
    <w:rsid w:val="006C0C55"/>
    <w:rsid w:val="006C0EB9"/>
    <w:rsid w:val="006C0F5B"/>
    <w:rsid w:val="006C100A"/>
    <w:rsid w:val="006C1148"/>
    <w:rsid w:val="006C11CF"/>
    <w:rsid w:val="006C1227"/>
    <w:rsid w:val="006C12D3"/>
    <w:rsid w:val="006C1438"/>
    <w:rsid w:val="006C1442"/>
    <w:rsid w:val="006C199A"/>
    <w:rsid w:val="006C1C0E"/>
    <w:rsid w:val="006C1F3B"/>
    <w:rsid w:val="006C1F63"/>
    <w:rsid w:val="006C2263"/>
    <w:rsid w:val="006C2313"/>
    <w:rsid w:val="006C234D"/>
    <w:rsid w:val="006C2633"/>
    <w:rsid w:val="006C28E0"/>
    <w:rsid w:val="006C2A15"/>
    <w:rsid w:val="006C2A31"/>
    <w:rsid w:val="006C2BAC"/>
    <w:rsid w:val="006C2C4C"/>
    <w:rsid w:val="006C2DF5"/>
    <w:rsid w:val="006C2E5C"/>
    <w:rsid w:val="006C2F27"/>
    <w:rsid w:val="006C3010"/>
    <w:rsid w:val="006C3541"/>
    <w:rsid w:val="006C39E1"/>
    <w:rsid w:val="006C3CC0"/>
    <w:rsid w:val="006C3D08"/>
    <w:rsid w:val="006C3DF0"/>
    <w:rsid w:val="006C3E36"/>
    <w:rsid w:val="006C3E42"/>
    <w:rsid w:val="006C3F14"/>
    <w:rsid w:val="006C3FD9"/>
    <w:rsid w:val="006C40EF"/>
    <w:rsid w:val="006C43CA"/>
    <w:rsid w:val="006C4503"/>
    <w:rsid w:val="006C45F7"/>
    <w:rsid w:val="006C485E"/>
    <w:rsid w:val="006C4B94"/>
    <w:rsid w:val="006C4CE4"/>
    <w:rsid w:val="006C4D11"/>
    <w:rsid w:val="006C4E79"/>
    <w:rsid w:val="006C4E83"/>
    <w:rsid w:val="006C4EAA"/>
    <w:rsid w:val="006C4ECB"/>
    <w:rsid w:val="006C4F60"/>
    <w:rsid w:val="006C50D0"/>
    <w:rsid w:val="006C5177"/>
    <w:rsid w:val="006C5214"/>
    <w:rsid w:val="006C59E5"/>
    <w:rsid w:val="006C5B09"/>
    <w:rsid w:val="006C5E14"/>
    <w:rsid w:val="006C64E0"/>
    <w:rsid w:val="006C6E70"/>
    <w:rsid w:val="006C6EA9"/>
    <w:rsid w:val="006C724E"/>
    <w:rsid w:val="006C735F"/>
    <w:rsid w:val="006C748A"/>
    <w:rsid w:val="006C74C8"/>
    <w:rsid w:val="006C7D45"/>
    <w:rsid w:val="006C7D99"/>
    <w:rsid w:val="006C7E7C"/>
    <w:rsid w:val="006C7EEA"/>
    <w:rsid w:val="006D0129"/>
    <w:rsid w:val="006D01DB"/>
    <w:rsid w:val="006D0242"/>
    <w:rsid w:val="006D0277"/>
    <w:rsid w:val="006D0487"/>
    <w:rsid w:val="006D0530"/>
    <w:rsid w:val="006D074C"/>
    <w:rsid w:val="006D07B9"/>
    <w:rsid w:val="006D0A05"/>
    <w:rsid w:val="006D0A19"/>
    <w:rsid w:val="006D0B42"/>
    <w:rsid w:val="006D0C34"/>
    <w:rsid w:val="006D0C74"/>
    <w:rsid w:val="006D1021"/>
    <w:rsid w:val="006D1410"/>
    <w:rsid w:val="006D1A65"/>
    <w:rsid w:val="006D1A99"/>
    <w:rsid w:val="006D1DC7"/>
    <w:rsid w:val="006D20F8"/>
    <w:rsid w:val="006D2163"/>
    <w:rsid w:val="006D240D"/>
    <w:rsid w:val="006D257D"/>
    <w:rsid w:val="006D2F1E"/>
    <w:rsid w:val="006D31FB"/>
    <w:rsid w:val="006D3789"/>
    <w:rsid w:val="006D37B2"/>
    <w:rsid w:val="006D386A"/>
    <w:rsid w:val="006D3B40"/>
    <w:rsid w:val="006D3E49"/>
    <w:rsid w:val="006D3F6B"/>
    <w:rsid w:val="006D3FE2"/>
    <w:rsid w:val="006D414F"/>
    <w:rsid w:val="006D463A"/>
    <w:rsid w:val="006D4683"/>
    <w:rsid w:val="006D47F5"/>
    <w:rsid w:val="006D4960"/>
    <w:rsid w:val="006D49C9"/>
    <w:rsid w:val="006D4AA1"/>
    <w:rsid w:val="006D4FE2"/>
    <w:rsid w:val="006D500D"/>
    <w:rsid w:val="006D527F"/>
    <w:rsid w:val="006D5393"/>
    <w:rsid w:val="006D553C"/>
    <w:rsid w:val="006D5651"/>
    <w:rsid w:val="006D5805"/>
    <w:rsid w:val="006D59C0"/>
    <w:rsid w:val="006D5B4E"/>
    <w:rsid w:val="006D5C24"/>
    <w:rsid w:val="006D5DE3"/>
    <w:rsid w:val="006D5E84"/>
    <w:rsid w:val="006D5F80"/>
    <w:rsid w:val="006D6218"/>
    <w:rsid w:val="006D622E"/>
    <w:rsid w:val="006D6538"/>
    <w:rsid w:val="006D656D"/>
    <w:rsid w:val="006D67C7"/>
    <w:rsid w:val="006D6865"/>
    <w:rsid w:val="006D6A54"/>
    <w:rsid w:val="006D6B39"/>
    <w:rsid w:val="006D6E1A"/>
    <w:rsid w:val="006D6F03"/>
    <w:rsid w:val="006D6F13"/>
    <w:rsid w:val="006D6FE1"/>
    <w:rsid w:val="006D72CA"/>
    <w:rsid w:val="006D73D3"/>
    <w:rsid w:val="006D742B"/>
    <w:rsid w:val="006D77AB"/>
    <w:rsid w:val="006D7879"/>
    <w:rsid w:val="006D79E8"/>
    <w:rsid w:val="006D7B24"/>
    <w:rsid w:val="006D7F69"/>
    <w:rsid w:val="006E03B8"/>
    <w:rsid w:val="006E045B"/>
    <w:rsid w:val="006E04CD"/>
    <w:rsid w:val="006E0594"/>
    <w:rsid w:val="006E05AD"/>
    <w:rsid w:val="006E074B"/>
    <w:rsid w:val="006E100D"/>
    <w:rsid w:val="006E115E"/>
    <w:rsid w:val="006E1258"/>
    <w:rsid w:val="006E131B"/>
    <w:rsid w:val="006E1360"/>
    <w:rsid w:val="006E1534"/>
    <w:rsid w:val="006E160E"/>
    <w:rsid w:val="006E16B5"/>
    <w:rsid w:val="006E1730"/>
    <w:rsid w:val="006E18C9"/>
    <w:rsid w:val="006E1905"/>
    <w:rsid w:val="006E19B7"/>
    <w:rsid w:val="006E19DB"/>
    <w:rsid w:val="006E1B45"/>
    <w:rsid w:val="006E1B88"/>
    <w:rsid w:val="006E1CD9"/>
    <w:rsid w:val="006E1FB0"/>
    <w:rsid w:val="006E2566"/>
    <w:rsid w:val="006E25F5"/>
    <w:rsid w:val="006E2729"/>
    <w:rsid w:val="006E289F"/>
    <w:rsid w:val="006E28D7"/>
    <w:rsid w:val="006E2973"/>
    <w:rsid w:val="006E2A24"/>
    <w:rsid w:val="006E2D13"/>
    <w:rsid w:val="006E3276"/>
    <w:rsid w:val="006E32D8"/>
    <w:rsid w:val="006E32E9"/>
    <w:rsid w:val="006E337B"/>
    <w:rsid w:val="006E33FD"/>
    <w:rsid w:val="006E3492"/>
    <w:rsid w:val="006E3509"/>
    <w:rsid w:val="006E39CA"/>
    <w:rsid w:val="006E3B85"/>
    <w:rsid w:val="006E3C00"/>
    <w:rsid w:val="006E4366"/>
    <w:rsid w:val="006E450A"/>
    <w:rsid w:val="006E472C"/>
    <w:rsid w:val="006E4B12"/>
    <w:rsid w:val="006E4B8B"/>
    <w:rsid w:val="006E4EAC"/>
    <w:rsid w:val="006E4F4B"/>
    <w:rsid w:val="006E4F4E"/>
    <w:rsid w:val="006E4FC9"/>
    <w:rsid w:val="006E5018"/>
    <w:rsid w:val="006E50B1"/>
    <w:rsid w:val="006E520F"/>
    <w:rsid w:val="006E5405"/>
    <w:rsid w:val="006E5447"/>
    <w:rsid w:val="006E547C"/>
    <w:rsid w:val="006E57CE"/>
    <w:rsid w:val="006E5973"/>
    <w:rsid w:val="006E5D62"/>
    <w:rsid w:val="006E5F95"/>
    <w:rsid w:val="006E6025"/>
    <w:rsid w:val="006E60C3"/>
    <w:rsid w:val="006E619D"/>
    <w:rsid w:val="006E652E"/>
    <w:rsid w:val="006E6651"/>
    <w:rsid w:val="006E6A3B"/>
    <w:rsid w:val="006E6A98"/>
    <w:rsid w:val="006E6BCA"/>
    <w:rsid w:val="006E6C0B"/>
    <w:rsid w:val="006E6C5A"/>
    <w:rsid w:val="006E6C6D"/>
    <w:rsid w:val="006E6CC8"/>
    <w:rsid w:val="006E6D06"/>
    <w:rsid w:val="006E70F4"/>
    <w:rsid w:val="006E71EE"/>
    <w:rsid w:val="006E72CD"/>
    <w:rsid w:val="006E72D8"/>
    <w:rsid w:val="006E74A7"/>
    <w:rsid w:val="006E75A1"/>
    <w:rsid w:val="006E76EC"/>
    <w:rsid w:val="006E7707"/>
    <w:rsid w:val="006E774A"/>
    <w:rsid w:val="006E79D2"/>
    <w:rsid w:val="006E7CDA"/>
    <w:rsid w:val="006E7F85"/>
    <w:rsid w:val="006F01F3"/>
    <w:rsid w:val="006F0277"/>
    <w:rsid w:val="006F043F"/>
    <w:rsid w:val="006F04FD"/>
    <w:rsid w:val="006F05D0"/>
    <w:rsid w:val="006F06AD"/>
    <w:rsid w:val="006F0735"/>
    <w:rsid w:val="006F0846"/>
    <w:rsid w:val="006F0894"/>
    <w:rsid w:val="006F0B6A"/>
    <w:rsid w:val="006F0E01"/>
    <w:rsid w:val="006F0FDF"/>
    <w:rsid w:val="006F10AB"/>
    <w:rsid w:val="006F10E4"/>
    <w:rsid w:val="006F114F"/>
    <w:rsid w:val="006F146A"/>
    <w:rsid w:val="006F171D"/>
    <w:rsid w:val="006F1856"/>
    <w:rsid w:val="006F1B49"/>
    <w:rsid w:val="006F1C3A"/>
    <w:rsid w:val="006F1EDC"/>
    <w:rsid w:val="006F2128"/>
    <w:rsid w:val="006F24AD"/>
    <w:rsid w:val="006F2543"/>
    <w:rsid w:val="006F28ED"/>
    <w:rsid w:val="006F29B4"/>
    <w:rsid w:val="006F2B0E"/>
    <w:rsid w:val="006F30A5"/>
    <w:rsid w:val="006F34C7"/>
    <w:rsid w:val="006F35E9"/>
    <w:rsid w:val="006F3681"/>
    <w:rsid w:val="006F36C0"/>
    <w:rsid w:val="006F37E2"/>
    <w:rsid w:val="006F384F"/>
    <w:rsid w:val="006F38C2"/>
    <w:rsid w:val="006F3BF5"/>
    <w:rsid w:val="006F3D56"/>
    <w:rsid w:val="006F3DFC"/>
    <w:rsid w:val="006F4421"/>
    <w:rsid w:val="006F44D8"/>
    <w:rsid w:val="006F4717"/>
    <w:rsid w:val="006F474D"/>
    <w:rsid w:val="006F475B"/>
    <w:rsid w:val="006F495E"/>
    <w:rsid w:val="006F4962"/>
    <w:rsid w:val="006F4994"/>
    <w:rsid w:val="006F4A94"/>
    <w:rsid w:val="006F4B67"/>
    <w:rsid w:val="006F4BCE"/>
    <w:rsid w:val="006F4F21"/>
    <w:rsid w:val="006F52B4"/>
    <w:rsid w:val="006F53DE"/>
    <w:rsid w:val="006F5746"/>
    <w:rsid w:val="006F5797"/>
    <w:rsid w:val="006F57AA"/>
    <w:rsid w:val="006F5FC2"/>
    <w:rsid w:val="006F6009"/>
    <w:rsid w:val="006F6052"/>
    <w:rsid w:val="006F6250"/>
    <w:rsid w:val="006F646E"/>
    <w:rsid w:val="006F699D"/>
    <w:rsid w:val="006F6A1A"/>
    <w:rsid w:val="006F6A23"/>
    <w:rsid w:val="006F6DF4"/>
    <w:rsid w:val="006F710D"/>
    <w:rsid w:val="006F712B"/>
    <w:rsid w:val="006F7162"/>
    <w:rsid w:val="006F729D"/>
    <w:rsid w:val="006F7617"/>
    <w:rsid w:val="006F7618"/>
    <w:rsid w:val="006F78F2"/>
    <w:rsid w:val="006F7C0C"/>
    <w:rsid w:val="00700056"/>
    <w:rsid w:val="007000AB"/>
    <w:rsid w:val="0070010A"/>
    <w:rsid w:val="00700299"/>
    <w:rsid w:val="00700769"/>
    <w:rsid w:val="00700773"/>
    <w:rsid w:val="007007B8"/>
    <w:rsid w:val="007008BA"/>
    <w:rsid w:val="00700A3D"/>
    <w:rsid w:val="00700B58"/>
    <w:rsid w:val="00700BAB"/>
    <w:rsid w:val="00700BCB"/>
    <w:rsid w:val="00700F48"/>
    <w:rsid w:val="00700FB5"/>
    <w:rsid w:val="00701225"/>
    <w:rsid w:val="007014DE"/>
    <w:rsid w:val="0070163D"/>
    <w:rsid w:val="007018BB"/>
    <w:rsid w:val="00701913"/>
    <w:rsid w:val="00701930"/>
    <w:rsid w:val="00701A0D"/>
    <w:rsid w:val="00701A81"/>
    <w:rsid w:val="00701AC1"/>
    <w:rsid w:val="00701DA4"/>
    <w:rsid w:val="00701EDF"/>
    <w:rsid w:val="00702361"/>
    <w:rsid w:val="0070263F"/>
    <w:rsid w:val="00702644"/>
    <w:rsid w:val="00702819"/>
    <w:rsid w:val="0070289F"/>
    <w:rsid w:val="00702975"/>
    <w:rsid w:val="00702AE2"/>
    <w:rsid w:val="00702B64"/>
    <w:rsid w:val="00702BD2"/>
    <w:rsid w:val="00702BEF"/>
    <w:rsid w:val="00702EE8"/>
    <w:rsid w:val="00702F03"/>
    <w:rsid w:val="0070315D"/>
    <w:rsid w:val="0070319E"/>
    <w:rsid w:val="007031DD"/>
    <w:rsid w:val="00703245"/>
    <w:rsid w:val="00703544"/>
    <w:rsid w:val="00703583"/>
    <w:rsid w:val="007039F2"/>
    <w:rsid w:val="00703B58"/>
    <w:rsid w:val="00703EA6"/>
    <w:rsid w:val="0070415E"/>
    <w:rsid w:val="00704569"/>
    <w:rsid w:val="00704735"/>
    <w:rsid w:val="007049ED"/>
    <w:rsid w:val="007049F6"/>
    <w:rsid w:val="00704D07"/>
    <w:rsid w:val="00704DDE"/>
    <w:rsid w:val="0070556F"/>
    <w:rsid w:val="00705B09"/>
    <w:rsid w:val="00705D81"/>
    <w:rsid w:val="00705E1D"/>
    <w:rsid w:val="00705E42"/>
    <w:rsid w:val="00706035"/>
    <w:rsid w:val="00706112"/>
    <w:rsid w:val="00706154"/>
    <w:rsid w:val="00706268"/>
    <w:rsid w:val="0070644F"/>
    <w:rsid w:val="00706659"/>
    <w:rsid w:val="00706AC1"/>
    <w:rsid w:val="00706B90"/>
    <w:rsid w:val="00706BF7"/>
    <w:rsid w:val="00706C04"/>
    <w:rsid w:val="00706CC7"/>
    <w:rsid w:val="00706E3A"/>
    <w:rsid w:val="007070F3"/>
    <w:rsid w:val="0070742C"/>
    <w:rsid w:val="007076C3"/>
    <w:rsid w:val="00707847"/>
    <w:rsid w:val="007078EA"/>
    <w:rsid w:val="0070794C"/>
    <w:rsid w:val="00707A91"/>
    <w:rsid w:val="00707CE0"/>
    <w:rsid w:val="00707D59"/>
    <w:rsid w:val="0071020A"/>
    <w:rsid w:val="00710455"/>
    <w:rsid w:val="00710463"/>
    <w:rsid w:val="007105D2"/>
    <w:rsid w:val="0071064B"/>
    <w:rsid w:val="007106FD"/>
    <w:rsid w:val="0071082B"/>
    <w:rsid w:val="0071094D"/>
    <w:rsid w:val="00710AE6"/>
    <w:rsid w:val="00710B8E"/>
    <w:rsid w:val="00710C56"/>
    <w:rsid w:val="00710D32"/>
    <w:rsid w:val="00710DDF"/>
    <w:rsid w:val="00710E5B"/>
    <w:rsid w:val="007111BB"/>
    <w:rsid w:val="00711231"/>
    <w:rsid w:val="007113B4"/>
    <w:rsid w:val="007114B3"/>
    <w:rsid w:val="007114BD"/>
    <w:rsid w:val="00711985"/>
    <w:rsid w:val="007119A9"/>
    <w:rsid w:val="00711ADF"/>
    <w:rsid w:val="00711AF4"/>
    <w:rsid w:val="00711F8F"/>
    <w:rsid w:val="00712107"/>
    <w:rsid w:val="00712269"/>
    <w:rsid w:val="007123B8"/>
    <w:rsid w:val="00712417"/>
    <w:rsid w:val="00712579"/>
    <w:rsid w:val="0071297F"/>
    <w:rsid w:val="00712C99"/>
    <w:rsid w:val="00713023"/>
    <w:rsid w:val="0071307A"/>
    <w:rsid w:val="0071318C"/>
    <w:rsid w:val="007131F1"/>
    <w:rsid w:val="00713226"/>
    <w:rsid w:val="00713351"/>
    <w:rsid w:val="0071340E"/>
    <w:rsid w:val="0071359E"/>
    <w:rsid w:val="0071360D"/>
    <w:rsid w:val="007136CC"/>
    <w:rsid w:val="0071376D"/>
    <w:rsid w:val="00713843"/>
    <w:rsid w:val="00713912"/>
    <w:rsid w:val="007139C8"/>
    <w:rsid w:val="00713A9C"/>
    <w:rsid w:val="00714208"/>
    <w:rsid w:val="007143F2"/>
    <w:rsid w:val="007148D9"/>
    <w:rsid w:val="00714A43"/>
    <w:rsid w:val="00714AA7"/>
    <w:rsid w:val="00714C8C"/>
    <w:rsid w:val="00714CD9"/>
    <w:rsid w:val="00714EAC"/>
    <w:rsid w:val="00715085"/>
    <w:rsid w:val="00715338"/>
    <w:rsid w:val="007154B9"/>
    <w:rsid w:val="007155F8"/>
    <w:rsid w:val="0071560F"/>
    <w:rsid w:val="00715B5C"/>
    <w:rsid w:val="00715C61"/>
    <w:rsid w:val="00715CD6"/>
    <w:rsid w:val="00715FCB"/>
    <w:rsid w:val="0071610B"/>
    <w:rsid w:val="0071615B"/>
    <w:rsid w:val="0071670C"/>
    <w:rsid w:val="007168EE"/>
    <w:rsid w:val="00716983"/>
    <w:rsid w:val="00716F5E"/>
    <w:rsid w:val="00716F70"/>
    <w:rsid w:val="007173C2"/>
    <w:rsid w:val="007174B9"/>
    <w:rsid w:val="0071750C"/>
    <w:rsid w:val="00717622"/>
    <w:rsid w:val="0071767E"/>
    <w:rsid w:val="00717985"/>
    <w:rsid w:val="007179D3"/>
    <w:rsid w:val="00717B3C"/>
    <w:rsid w:val="00717C15"/>
    <w:rsid w:val="00717DAF"/>
    <w:rsid w:val="00720025"/>
    <w:rsid w:val="007200BD"/>
    <w:rsid w:val="007203A1"/>
    <w:rsid w:val="00720439"/>
    <w:rsid w:val="00720474"/>
    <w:rsid w:val="007207A6"/>
    <w:rsid w:val="00720AC1"/>
    <w:rsid w:val="00720BA8"/>
    <w:rsid w:val="00720BFF"/>
    <w:rsid w:val="00720D9E"/>
    <w:rsid w:val="00721556"/>
    <w:rsid w:val="00721666"/>
    <w:rsid w:val="00721833"/>
    <w:rsid w:val="00721881"/>
    <w:rsid w:val="007219AB"/>
    <w:rsid w:val="00721A5A"/>
    <w:rsid w:val="00721F81"/>
    <w:rsid w:val="00722006"/>
    <w:rsid w:val="007222C8"/>
    <w:rsid w:val="007222F7"/>
    <w:rsid w:val="0072251C"/>
    <w:rsid w:val="007227FF"/>
    <w:rsid w:val="00722B0E"/>
    <w:rsid w:val="0072318F"/>
    <w:rsid w:val="00723475"/>
    <w:rsid w:val="0072347F"/>
    <w:rsid w:val="007234DE"/>
    <w:rsid w:val="00723B48"/>
    <w:rsid w:val="00723E1B"/>
    <w:rsid w:val="00723F7C"/>
    <w:rsid w:val="00723F96"/>
    <w:rsid w:val="00724078"/>
    <w:rsid w:val="007240C1"/>
    <w:rsid w:val="00724433"/>
    <w:rsid w:val="0072443E"/>
    <w:rsid w:val="0072448C"/>
    <w:rsid w:val="007244C5"/>
    <w:rsid w:val="00724524"/>
    <w:rsid w:val="007246B9"/>
    <w:rsid w:val="00724724"/>
    <w:rsid w:val="00724AB6"/>
    <w:rsid w:val="00724E46"/>
    <w:rsid w:val="00724FCB"/>
    <w:rsid w:val="0072500F"/>
    <w:rsid w:val="00725084"/>
    <w:rsid w:val="00725088"/>
    <w:rsid w:val="00725364"/>
    <w:rsid w:val="00725580"/>
    <w:rsid w:val="0072575C"/>
    <w:rsid w:val="0072577E"/>
    <w:rsid w:val="007258AA"/>
    <w:rsid w:val="00725A6F"/>
    <w:rsid w:val="00725B46"/>
    <w:rsid w:val="00725D84"/>
    <w:rsid w:val="00725E5C"/>
    <w:rsid w:val="0072621B"/>
    <w:rsid w:val="007262BD"/>
    <w:rsid w:val="00726432"/>
    <w:rsid w:val="00726455"/>
    <w:rsid w:val="00726582"/>
    <w:rsid w:val="0072665B"/>
    <w:rsid w:val="0072674E"/>
    <w:rsid w:val="0072698D"/>
    <w:rsid w:val="00726CB8"/>
    <w:rsid w:val="007271CC"/>
    <w:rsid w:val="00727511"/>
    <w:rsid w:val="00727851"/>
    <w:rsid w:val="007278B0"/>
    <w:rsid w:val="00727B37"/>
    <w:rsid w:val="00727CB9"/>
    <w:rsid w:val="00727CE3"/>
    <w:rsid w:val="00727D28"/>
    <w:rsid w:val="00727FFE"/>
    <w:rsid w:val="007301A5"/>
    <w:rsid w:val="00730492"/>
    <w:rsid w:val="0073064B"/>
    <w:rsid w:val="007306B9"/>
    <w:rsid w:val="0073089E"/>
    <w:rsid w:val="00730C97"/>
    <w:rsid w:val="00731000"/>
    <w:rsid w:val="007310B9"/>
    <w:rsid w:val="0073112F"/>
    <w:rsid w:val="00731316"/>
    <w:rsid w:val="00731593"/>
    <w:rsid w:val="00731775"/>
    <w:rsid w:val="007317AB"/>
    <w:rsid w:val="0073192A"/>
    <w:rsid w:val="00731A30"/>
    <w:rsid w:val="00731AC9"/>
    <w:rsid w:val="00731BFC"/>
    <w:rsid w:val="00731CCF"/>
    <w:rsid w:val="007321F1"/>
    <w:rsid w:val="007325A5"/>
    <w:rsid w:val="007325D5"/>
    <w:rsid w:val="00732697"/>
    <w:rsid w:val="00732A46"/>
    <w:rsid w:val="00732B62"/>
    <w:rsid w:val="00732BA5"/>
    <w:rsid w:val="00732C86"/>
    <w:rsid w:val="00732D1E"/>
    <w:rsid w:val="00733120"/>
    <w:rsid w:val="0073320F"/>
    <w:rsid w:val="007332D3"/>
    <w:rsid w:val="00733304"/>
    <w:rsid w:val="00733450"/>
    <w:rsid w:val="00733461"/>
    <w:rsid w:val="00733615"/>
    <w:rsid w:val="00733617"/>
    <w:rsid w:val="00734111"/>
    <w:rsid w:val="0073420E"/>
    <w:rsid w:val="00734215"/>
    <w:rsid w:val="007343C9"/>
    <w:rsid w:val="00734732"/>
    <w:rsid w:val="007347D8"/>
    <w:rsid w:val="00734854"/>
    <w:rsid w:val="00734937"/>
    <w:rsid w:val="00734B28"/>
    <w:rsid w:val="00734B69"/>
    <w:rsid w:val="00734CFF"/>
    <w:rsid w:val="00734D9F"/>
    <w:rsid w:val="00734E30"/>
    <w:rsid w:val="00734E59"/>
    <w:rsid w:val="00734FBA"/>
    <w:rsid w:val="0073514D"/>
    <w:rsid w:val="00735285"/>
    <w:rsid w:val="00735419"/>
    <w:rsid w:val="007355A0"/>
    <w:rsid w:val="007357BB"/>
    <w:rsid w:val="007358F2"/>
    <w:rsid w:val="00735A02"/>
    <w:rsid w:val="00735E25"/>
    <w:rsid w:val="00735E94"/>
    <w:rsid w:val="00736055"/>
    <w:rsid w:val="00736290"/>
    <w:rsid w:val="00736357"/>
    <w:rsid w:val="0073644B"/>
    <w:rsid w:val="007366A4"/>
    <w:rsid w:val="007367CA"/>
    <w:rsid w:val="00736830"/>
    <w:rsid w:val="00736C3D"/>
    <w:rsid w:val="00736D4F"/>
    <w:rsid w:val="00736F77"/>
    <w:rsid w:val="00736FE4"/>
    <w:rsid w:val="007371E0"/>
    <w:rsid w:val="00737444"/>
    <w:rsid w:val="00737696"/>
    <w:rsid w:val="0073793C"/>
    <w:rsid w:val="00737A77"/>
    <w:rsid w:val="00737EA7"/>
    <w:rsid w:val="00737FA8"/>
    <w:rsid w:val="00737FFD"/>
    <w:rsid w:val="00740075"/>
    <w:rsid w:val="0074041C"/>
    <w:rsid w:val="00740450"/>
    <w:rsid w:val="007405C0"/>
    <w:rsid w:val="0074077E"/>
    <w:rsid w:val="00740AD5"/>
    <w:rsid w:val="00740BE6"/>
    <w:rsid w:val="00740C75"/>
    <w:rsid w:val="00740C93"/>
    <w:rsid w:val="00740F1C"/>
    <w:rsid w:val="00740FC6"/>
    <w:rsid w:val="00740FDD"/>
    <w:rsid w:val="007410EE"/>
    <w:rsid w:val="00741295"/>
    <w:rsid w:val="007413E7"/>
    <w:rsid w:val="00741493"/>
    <w:rsid w:val="007414C2"/>
    <w:rsid w:val="007415BB"/>
    <w:rsid w:val="00741818"/>
    <w:rsid w:val="00741853"/>
    <w:rsid w:val="00741AB4"/>
    <w:rsid w:val="00741AB9"/>
    <w:rsid w:val="00741B3C"/>
    <w:rsid w:val="00741B7E"/>
    <w:rsid w:val="00741DB6"/>
    <w:rsid w:val="00741DE1"/>
    <w:rsid w:val="00741EBE"/>
    <w:rsid w:val="00741EFE"/>
    <w:rsid w:val="007420EB"/>
    <w:rsid w:val="0074221D"/>
    <w:rsid w:val="0074222C"/>
    <w:rsid w:val="007422DD"/>
    <w:rsid w:val="00742375"/>
    <w:rsid w:val="007426FD"/>
    <w:rsid w:val="00742700"/>
    <w:rsid w:val="007429C7"/>
    <w:rsid w:val="00742B99"/>
    <w:rsid w:val="00742BD0"/>
    <w:rsid w:val="00742DF8"/>
    <w:rsid w:val="00742E60"/>
    <w:rsid w:val="00743255"/>
    <w:rsid w:val="00743275"/>
    <w:rsid w:val="00743353"/>
    <w:rsid w:val="00743526"/>
    <w:rsid w:val="0074367A"/>
    <w:rsid w:val="00743A5F"/>
    <w:rsid w:val="00743B6A"/>
    <w:rsid w:val="00743C7E"/>
    <w:rsid w:val="00743EBF"/>
    <w:rsid w:val="00743F19"/>
    <w:rsid w:val="00743F1A"/>
    <w:rsid w:val="00743F44"/>
    <w:rsid w:val="00743F56"/>
    <w:rsid w:val="00744140"/>
    <w:rsid w:val="00744486"/>
    <w:rsid w:val="00744524"/>
    <w:rsid w:val="007445BC"/>
    <w:rsid w:val="007445CE"/>
    <w:rsid w:val="0074476E"/>
    <w:rsid w:val="007449B3"/>
    <w:rsid w:val="00744C7C"/>
    <w:rsid w:val="00744E3E"/>
    <w:rsid w:val="00744F8A"/>
    <w:rsid w:val="007450FC"/>
    <w:rsid w:val="00745156"/>
    <w:rsid w:val="0074517F"/>
    <w:rsid w:val="0074558D"/>
    <w:rsid w:val="00745681"/>
    <w:rsid w:val="007456AD"/>
    <w:rsid w:val="007456F3"/>
    <w:rsid w:val="007457F1"/>
    <w:rsid w:val="00745896"/>
    <w:rsid w:val="00745A08"/>
    <w:rsid w:val="00745CB5"/>
    <w:rsid w:val="00745CB7"/>
    <w:rsid w:val="00745EA8"/>
    <w:rsid w:val="00746146"/>
    <w:rsid w:val="00746227"/>
    <w:rsid w:val="0074623A"/>
    <w:rsid w:val="0074636D"/>
    <w:rsid w:val="007464F4"/>
    <w:rsid w:val="007466C3"/>
    <w:rsid w:val="00746992"/>
    <w:rsid w:val="00746D30"/>
    <w:rsid w:val="00746E5E"/>
    <w:rsid w:val="00747438"/>
    <w:rsid w:val="0074747B"/>
    <w:rsid w:val="00747881"/>
    <w:rsid w:val="007478F0"/>
    <w:rsid w:val="00747AD0"/>
    <w:rsid w:val="00747B8D"/>
    <w:rsid w:val="00747F71"/>
    <w:rsid w:val="00750188"/>
    <w:rsid w:val="00750361"/>
    <w:rsid w:val="00750532"/>
    <w:rsid w:val="0075053F"/>
    <w:rsid w:val="007506CE"/>
    <w:rsid w:val="00750B9A"/>
    <w:rsid w:val="00750BEA"/>
    <w:rsid w:val="00750C94"/>
    <w:rsid w:val="00750ECD"/>
    <w:rsid w:val="00750EF0"/>
    <w:rsid w:val="007512AF"/>
    <w:rsid w:val="0075152E"/>
    <w:rsid w:val="007515A6"/>
    <w:rsid w:val="007517DE"/>
    <w:rsid w:val="00751948"/>
    <w:rsid w:val="00751D36"/>
    <w:rsid w:val="00751DAA"/>
    <w:rsid w:val="00751EBD"/>
    <w:rsid w:val="00751FF9"/>
    <w:rsid w:val="007520E7"/>
    <w:rsid w:val="00752487"/>
    <w:rsid w:val="00752553"/>
    <w:rsid w:val="0075256A"/>
    <w:rsid w:val="00752602"/>
    <w:rsid w:val="0075263E"/>
    <w:rsid w:val="007527BF"/>
    <w:rsid w:val="007528D2"/>
    <w:rsid w:val="00752910"/>
    <w:rsid w:val="00752BB5"/>
    <w:rsid w:val="00752E1E"/>
    <w:rsid w:val="00753133"/>
    <w:rsid w:val="0075317A"/>
    <w:rsid w:val="007532BC"/>
    <w:rsid w:val="00753369"/>
    <w:rsid w:val="0075353A"/>
    <w:rsid w:val="007539FF"/>
    <w:rsid w:val="00753D12"/>
    <w:rsid w:val="00753E0F"/>
    <w:rsid w:val="00753EBD"/>
    <w:rsid w:val="00753ECE"/>
    <w:rsid w:val="00754278"/>
    <w:rsid w:val="00754515"/>
    <w:rsid w:val="00754720"/>
    <w:rsid w:val="007547B1"/>
    <w:rsid w:val="00754CDC"/>
    <w:rsid w:val="00754E32"/>
    <w:rsid w:val="00754EB2"/>
    <w:rsid w:val="0075528E"/>
    <w:rsid w:val="007553C2"/>
    <w:rsid w:val="00755666"/>
    <w:rsid w:val="0075579E"/>
    <w:rsid w:val="007558C8"/>
    <w:rsid w:val="00755902"/>
    <w:rsid w:val="00755C61"/>
    <w:rsid w:val="0075620D"/>
    <w:rsid w:val="0075630A"/>
    <w:rsid w:val="007565AB"/>
    <w:rsid w:val="0075676F"/>
    <w:rsid w:val="007569C4"/>
    <w:rsid w:val="00756B94"/>
    <w:rsid w:val="00756DEA"/>
    <w:rsid w:val="00757560"/>
    <w:rsid w:val="00757586"/>
    <w:rsid w:val="0075767C"/>
    <w:rsid w:val="007578D4"/>
    <w:rsid w:val="007578D8"/>
    <w:rsid w:val="0075798C"/>
    <w:rsid w:val="007579C5"/>
    <w:rsid w:val="00757A95"/>
    <w:rsid w:val="00757B15"/>
    <w:rsid w:val="00757C1B"/>
    <w:rsid w:val="00757EE3"/>
    <w:rsid w:val="00757F7E"/>
    <w:rsid w:val="0076021F"/>
    <w:rsid w:val="0076043F"/>
    <w:rsid w:val="007607D9"/>
    <w:rsid w:val="00760C49"/>
    <w:rsid w:val="00760D04"/>
    <w:rsid w:val="00761004"/>
    <w:rsid w:val="00761457"/>
    <w:rsid w:val="00761469"/>
    <w:rsid w:val="007618E5"/>
    <w:rsid w:val="00761A22"/>
    <w:rsid w:val="00761AEA"/>
    <w:rsid w:val="00761CDC"/>
    <w:rsid w:val="00762024"/>
    <w:rsid w:val="007620D6"/>
    <w:rsid w:val="007620FA"/>
    <w:rsid w:val="0076210D"/>
    <w:rsid w:val="007621DE"/>
    <w:rsid w:val="00762394"/>
    <w:rsid w:val="007623D6"/>
    <w:rsid w:val="0076246B"/>
    <w:rsid w:val="0076246E"/>
    <w:rsid w:val="00762485"/>
    <w:rsid w:val="0076271B"/>
    <w:rsid w:val="00762872"/>
    <w:rsid w:val="0076287A"/>
    <w:rsid w:val="00762A65"/>
    <w:rsid w:val="00762ADC"/>
    <w:rsid w:val="00762B0B"/>
    <w:rsid w:val="00762E3E"/>
    <w:rsid w:val="0076307E"/>
    <w:rsid w:val="00763196"/>
    <w:rsid w:val="00763378"/>
    <w:rsid w:val="00763420"/>
    <w:rsid w:val="007634A8"/>
    <w:rsid w:val="0076386A"/>
    <w:rsid w:val="00763A64"/>
    <w:rsid w:val="00763AB6"/>
    <w:rsid w:val="00763B06"/>
    <w:rsid w:val="00763D35"/>
    <w:rsid w:val="00763D82"/>
    <w:rsid w:val="00763F13"/>
    <w:rsid w:val="007640AA"/>
    <w:rsid w:val="00764608"/>
    <w:rsid w:val="00765117"/>
    <w:rsid w:val="007651DC"/>
    <w:rsid w:val="007652B3"/>
    <w:rsid w:val="0076553F"/>
    <w:rsid w:val="0076583C"/>
    <w:rsid w:val="007659D1"/>
    <w:rsid w:val="00765CC7"/>
    <w:rsid w:val="00765DB8"/>
    <w:rsid w:val="00765EB2"/>
    <w:rsid w:val="00765F3B"/>
    <w:rsid w:val="00765FB4"/>
    <w:rsid w:val="00766009"/>
    <w:rsid w:val="0076646F"/>
    <w:rsid w:val="00766562"/>
    <w:rsid w:val="00766606"/>
    <w:rsid w:val="00766624"/>
    <w:rsid w:val="0076696D"/>
    <w:rsid w:val="00766A2A"/>
    <w:rsid w:val="00766B55"/>
    <w:rsid w:val="0076701C"/>
    <w:rsid w:val="00767355"/>
    <w:rsid w:val="00767776"/>
    <w:rsid w:val="00767794"/>
    <w:rsid w:val="0076787D"/>
    <w:rsid w:val="00767C30"/>
    <w:rsid w:val="00767D27"/>
    <w:rsid w:val="00770269"/>
    <w:rsid w:val="00770368"/>
    <w:rsid w:val="00770804"/>
    <w:rsid w:val="007709E6"/>
    <w:rsid w:val="00770B2E"/>
    <w:rsid w:val="00770E64"/>
    <w:rsid w:val="0077166B"/>
    <w:rsid w:val="00771809"/>
    <w:rsid w:val="00771A13"/>
    <w:rsid w:val="00771A53"/>
    <w:rsid w:val="00771DE8"/>
    <w:rsid w:val="00771E0A"/>
    <w:rsid w:val="007724C0"/>
    <w:rsid w:val="007726A5"/>
    <w:rsid w:val="007727FE"/>
    <w:rsid w:val="00772AC4"/>
    <w:rsid w:val="00772DC8"/>
    <w:rsid w:val="00773300"/>
    <w:rsid w:val="007734AD"/>
    <w:rsid w:val="00773720"/>
    <w:rsid w:val="007737A1"/>
    <w:rsid w:val="007739AE"/>
    <w:rsid w:val="00773B46"/>
    <w:rsid w:val="00773B5B"/>
    <w:rsid w:val="00773BD3"/>
    <w:rsid w:val="00773E28"/>
    <w:rsid w:val="007740FA"/>
    <w:rsid w:val="00774113"/>
    <w:rsid w:val="0077427B"/>
    <w:rsid w:val="00774290"/>
    <w:rsid w:val="007745F9"/>
    <w:rsid w:val="007746FD"/>
    <w:rsid w:val="00774760"/>
    <w:rsid w:val="00774C99"/>
    <w:rsid w:val="00774D24"/>
    <w:rsid w:val="00774F3C"/>
    <w:rsid w:val="007752D7"/>
    <w:rsid w:val="007754C6"/>
    <w:rsid w:val="007757A8"/>
    <w:rsid w:val="00775AD8"/>
    <w:rsid w:val="00775BD4"/>
    <w:rsid w:val="00775C23"/>
    <w:rsid w:val="00775CE2"/>
    <w:rsid w:val="00775CFD"/>
    <w:rsid w:val="0077606D"/>
    <w:rsid w:val="0077608E"/>
    <w:rsid w:val="0077626C"/>
    <w:rsid w:val="007763AE"/>
    <w:rsid w:val="007764BE"/>
    <w:rsid w:val="00776698"/>
    <w:rsid w:val="0077698E"/>
    <w:rsid w:val="00776A19"/>
    <w:rsid w:val="00776D41"/>
    <w:rsid w:val="00776E67"/>
    <w:rsid w:val="00776EB5"/>
    <w:rsid w:val="00777014"/>
    <w:rsid w:val="00777066"/>
    <w:rsid w:val="007772AC"/>
    <w:rsid w:val="00777336"/>
    <w:rsid w:val="007773D0"/>
    <w:rsid w:val="00777604"/>
    <w:rsid w:val="00777607"/>
    <w:rsid w:val="0077774A"/>
    <w:rsid w:val="00777B0E"/>
    <w:rsid w:val="00777C09"/>
    <w:rsid w:val="00777F28"/>
    <w:rsid w:val="00780160"/>
    <w:rsid w:val="0078024A"/>
    <w:rsid w:val="007802DC"/>
    <w:rsid w:val="007802F7"/>
    <w:rsid w:val="00780372"/>
    <w:rsid w:val="007805C3"/>
    <w:rsid w:val="0078071D"/>
    <w:rsid w:val="0078083F"/>
    <w:rsid w:val="007808D1"/>
    <w:rsid w:val="007809B1"/>
    <w:rsid w:val="00780C72"/>
    <w:rsid w:val="00780C90"/>
    <w:rsid w:val="00780CDE"/>
    <w:rsid w:val="00780DFF"/>
    <w:rsid w:val="00780E69"/>
    <w:rsid w:val="00780EA1"/>
    <w:rsid w:val="007811D3"/>
    <w:rsid w:val="0078126F"/>
    <w:rsid w:val="00781459"/>
    <w:rsid w:val="007815DF"/>
    <w:rsid w:val="00781616"/>
    <w:rsid w:val="007818F0"/>
    <w:rsid w:val="00781ACF"/>
    <w:rsid w:val="00781E10"/>
    <w:rsid w:val="00781FED"/>
    <w:rsid w:val="0078238E"/>
    <w:rsid w:val="0078246F"/>
    <w:rsid w:val="0078247E"/>
    <w:rsid w:val="007824EA"/>
    <w:rsid w:val="0078277E"/>
    <w:rsid w:val="007827F9"/>
    <w:rsid w:val="00783117"/>
    <w:rsid w:val="00783307"/>
    <w:rsid w:val="007834A6"/>
    <w:rsid w:val="00783961"/>
    <w:rsid w:val="007841F7"/>
    <w:rsid w:val="007843C1"/>
    <w:rsid w:val="00784451"/>
    <w:rsid w:val="007846EB"/>
    <w:rsid w:val="007847C1"/>
    <w:rsid w:val="00784903"/>
    <w:rsid w:val="00784A7C"/>
    <w:rsid w:val="00784ABD"/>
    <w:rsid w:val="00784CFB"/>
    <w:rsid w:val="00784E10"/>
    <w:rsid w:val="00785119"/>
    <w:rsid w:val="0078529D"/>
    <w:rsid w:val="00785382"/>
    <w:rsid w:val="00785B6E"/>
    <w:rsid w:val="00785EDE"/>
    <w:rsid w:val="00785F02"/>
    <w:rsid w:val="007863B1"/>
    <w:rsid w:val="0078648B"/>
    <w:rsid w:val="007866BF"/>
    <w:rsid w:val="00786955"/>
    <w:rsid w:val="00786AAD"/>
    <w:rsid w:val="00786C37"/>
    <w:rsid w:val="00786CFC"/>
    <w:rsid w:val="00786D4B"/>
    <w:rsid w:val="00786D81"/>
    <w:rsid w:val="0078701D"/>
    <w:rsid w:val="0078709B"/>
    <w:rsid w:val="00787374"/>
    <w:rsid w:val="00787589"/>
    <w:rsid w:val="00787661"/>
    <w:rsid w:val="007878C1"/>
    <w:rsid w:val="00787A96"/>
    <w:rsid w:val="00787C9F"/>
    <w:rsid w:val="00787DD6"/>
    <w:rsid w:val="00787E5B"/>
    <w:rsid w:val="007900F2"/>
    <w:rsid w:val="007901CD"/>
    <w:rsid w:val="007902E6"/>
    <w:rsid w:val="007902F6"/>
    <w:rsid w:val="0079044D"/>
    <w:rsid w:val="0079066B"/>
    <w:rsid w:val="00790690"/>
    <w:rsid w:val="0079072E"/>
    <w:rsid w:val="00790A27"/>
    <w:rsid w:val="00790C2D"/>
    <w:rsid w:val="00790CF8"/>
    <w:rsid w:val="00790E70"/>
    <w:rsid w:val="00791034"/>
    <w:rsid w:val="00791136"/>
    <w:rsid w:val="0079127E"/>
    <w:rsid w:val="00791656"/>
    <w:rsid w:val="007916BE"/>
    <w:rsid w:val="00791721"/>
    <w:rsid w:val="007918B4"/>
    <w:rsid w:val="00791A18"/>
    <w:rsid w:val="00791B14"/>
    <w:rsid w:val="00791C5B"/>
    <w:rsid w:val="00791CBF"/>
    <w:rsid w:val="00791D82"/>
    <w:rsid w:val="00791DB7"/>
    <w:rsid w:val="00791F46"/>
    <w:rsid w:val="00791F55"/>
    <w:rsid w:val="00791FFD"/>
    <w:rsid w:val="00792300"/>
    <w:rsid w:val="0079277E"/>
    <w:rsid w:val="00792CAF"/>
    <w:rsid w:val="00792D17"/>
    <w:rsid w:val="00792DBD"/>
    <w:rsid w:val="00792E15"/>
    <w:rsid w:val="00793216"/>
    <w:rsid w:val="007933A4"/>
    <w:rsid w:val="007934F2"/>
    <w:rsid w:val="0079354F"/>
    <w:rsid w:val="0079370B"/>
    <w:rsid w:val="00793952"/>
    <w:rsid w:val="00793AD4"/>
    <w:rsid w:val="00793AFB"/>
    <w:rsid w:val="00793BD5"/>
    <w:rsid w:val="00793E5D"/>
    <w:rsid w:val="00793F9E"/>
    <w:rsid w:val="007940B3"/>
    <w:rsid w:val="00794168"/>
    <w:rsid w:val="00794527"/>
    <w:rsid w:val="0079470B"/>
    <w:rsid w:val="0079481A"/>
    <w:rsid w:val="007948B0"/>
    <w:rsid w:val="00794C62"/>
    <w:rsid w:val="00794D0C"/>
    <w:rsid w:val="00794D29"/>
    <w:rsid w:val="00794EF4"/>
    <w:rsid w:val="00794F1F"/>
    <w:rsid w:val="00794FC4"/>
    <w:rsid w:val="00795BD5"/>
    <w:rsid w:val="00795EC5"/>
    <w:rsid w:val="00795F04"/>
    <w:rsid w:val="00795FE4"/>
    <w:rsid w:val="007961C9"/>
    <w:rsid w:val="00796497"/>
    <w:rsid w:val="00796515"/>
    <w:rsid w:val="00796598"/>
    <w:rsid w:val="007965B1"/>
    <w:rsid w:val="007966AD"/>
    <w:rsid w:val="007967D9"/>
    <w:rsid w:val="00796831"/>
    <w:rsid w:val="00796AEC"/>
    <w:rsid w:val="00796D78"/>
    <w:rsid w:val="00796F25"/>
    <w:rsid w:val="00796FD3"/>
    <w:rsid w:val="0079721B"/>
    <w:rsid w:val="007973F6"/>
    <w:rsid w:val="00797815"/>
    <w:rsid w:val="0079785F"/>
    <w:rsid w:val="007978EA"/>
    <w:rsid w:val="00797B86"/>
    <w:rsid w:val="00797BA2"/>
    <w:rsid w:val="00797CF2"/>
    <w:rsid w:val="00797EFF"/>
    <w:rsid w:val="007A019A"/>
    <w:rsid w:val="007A0203"/>
    <w:rsid w:val="007A0300"/>
    <w:rsid w:val="007A0311"/>
    <w:rsid w:val="007A0482"/>
    <w:rsid w:val="007A0559"/>
    <w:rsid w:val="007A05B7"/>
    <w:rsid w:val="007A05E8"/>
    <w:rsid w:val="007A0661"/>
    <w:rsid w:val="007A068F"/>
    <w:rsid w:val="007A0804"/>
    <w:rsid w:val="007A082B"/>
    <w:rsid w:val="007A0960"/>
    <w:rsid w:val="007A0B21"/>
    <w:rsid w:val="007A0BC2"/>
    <w:rsid w:val="007A0E3A"/>
    <w:rsid w:val="007A0E45"/>
    <w:rsid w:val="007A10BA"/>
    <w:rsid w:val="007A1436"/>
    <w:rsid w:val="007A145B"/>
    <w:rsid w:val="007A1735"/>
    <w:rsid w:val="007A199D"/>
    <w:rsid w:val="007A1B33"/>
    <w:rsid w:val="007A1B7D"/>
    <w:rsid w:val="007A1C9F"/>
    <w:rsid w:val="007A1D22"/>
    <w:rsid w:val="007A217C"/>
    <w:rsid w:val="007A246B"/>
    <w:rsid w:val="007A26AA"/>
    <w:rsid w:val="007A27A5"/>
    <w:rsid w:val="007A27A7"/>
    <w:rsid w:val="007A2B17"/>
    <w:rsid w:val="007A2B6C"/>
    <w:rsid w:val="007A2B97"/>
    <w:rsid w:val="007A2EC8"/>
    <w:rsid w:val="007A304D"/>
    <w:rsid w:val="007A308D"/>
    <w:rsid w:val="007A30C4"/>
    <w:rsid w:val="007A3397"/>
    <w:rsid w:val="007A3467"/>
    <w:rsid w:val="007A35F1"/>
    <w:rsid w:val="007A3844"/>
    <w:rsid w:val="007A38C0"/>
    <w:rsid w:val="007A394C"/>
    <w:rsid w:val="007A3A8F"/>
    <w:rsid w:val="007A3E7E"/>
    <w:rsid w:val="007A3ED1"/>
    <w:rsid w:val="007A403C"/>
    <w:rsid w:val="007A4052"/>
    <w:rsid w:val="007A4092"/>
    <w:rsid w:val="007A4698"/>
    <w:rsid w:val="007A49AE"/>
    <w:rsid w:val="007A4A65"/>
    <w:rsid w:val="007A4B7A"/>
    <w:rsid w:val="007A4E3D"/>
    <w:rsid w:val="007A504C"/>
    <w:rsid w:val="007A5278"/>
    <w:rsid w:val="007A534B"/>
    <w:rsid w:val="007A53FA"/>
    <w:rsid w:val="007A5500"/>
    <w:rsid w:val="007A5659"/>
    <w:rsid w:val="007A5757"/>
    <w:rsid w:val="007A58C1"/>
    <w:rsid w:val="007A59BF"/>
    <w:rsid w:val="007A59D5"/>
    <w:rsid w:val="007A5A08"/>
    <w:rsid w:val="007A5C3A"/>
    <w:rsid w:val="007A5DC1"/>
    <w:rsid w:val="007A5FF3"/>
    <w:rsid w:val="007A61D3"/>
    <w:rsid w:val="007A62CD"/>
    <w:rsid w:val="007A6542"/>
    <w:rsid w:val="007A65B4"/>
    <w:rsid w:val="007A6890"/>
    <w:rsid w:val="007A68C9"/>
    <w:rsid w:val="007A6ACF"/>
    <w:rsid w:val="007A6D9D"/>
    <w:rsid w:val="007A6E7B"/>
    <w:rsid w:val="007A6FFE"/>
    <w:rsid w:val="007A74E8"/>
    <w:rsid w:val="007A7545"/>
    <w:rsid w:val="007A7558"/>
    <w:rsid w:val="007A77B2"/>
    <w:rsid w:val="007A78E7"/>
    <w:rsid w:val="007A7947"/>
    <w:rsid w:val="007A7F54"/>
    <w:rsid w:val="007B0046"/>
    <w:rsid w:val="007B0209"/>
    <w:rsid w:val="007B052D"/>
    <w:rsid w:val="007B0661"/>
    <w:rsid w:val="007B0696"/>
    <w:rsid w:val="007B0729"/>
    <w:rsid w:val="007B0730"/>
    <w:rsid w:val="007B0A60"/>
    <w:rsid w:val="007B0F3C"/>
    <w:rsid w:val="007B10CB"/>
    <w:rsid w:val="007B1736"/>
    <w:rsid w:val="007B17CA"/>
    <w:rsid w:val="007B1A03"/>
    <w:rsid w:val="007B1A5A"/>
    <w:rsid w:val="007B1AA0"/>
    <w:rsid w:val="007B1DB5"/>
    <w:rsid w:val="007B20BF"/>
    <w:rsid w:val="007B215A"/>
    <w:rsid w:val="007B21BA"/>
    <w:rsid w:val="007B22F9"/>
    <w:rsid w:val="007B24BC"/>
    <w:rsid w:val="007B25BD"/>
    <w:rsid w:val="007B2901"/>
    <w:rsid w:val="007B29B0"/>
    <w:rsid w:val="007B2B41"/>
    <w:rsid w:val="007B2DD9"/>
    <w:rsid w:val="007B2EEC"/>
    <w:rsid w:val="007B2F0A"/>
    <w:rsid w:val="007B2F7C"/>
    <w:rsid w:val="007B308B"/>
    <w:rsid w:val="007B3143"/>
    <w:rsid w:val="007B338F"/>
    <w:rsid w:val="007B3650"/>
    <w:rsid w:val="007B36AB"/>
    <w:rsid w:val="007B3784"/>
    <w:rsid w:val="007B38AE"/>
    <w:rsid w:val="007B39D4"/>
    <w:rsid w:val="007B3A74"/>
    <w:rsid w:val="007B3C24"/>
    <w:rsid w:val="007B3E70"/>
    <w:rsid w:val="007B438A"/>
    <w:rsid w:val="007B4439"/>
    <w:rsid w:val="007B4469"/>
    <w:rsid w:val="007B457B"/>
    <w:rsid w:val="007B45ED"/>
    <w:rsid w:val="007B467D"/>
    <w:rsid w:val="007B46F1"/>
    <w:rsid w:val="007B46FB"/>
    <w:rsid w:val="007B49D4"/>
    <w:rsid w:val="007B4DDD"/>
    <w:rsid w:val="007B4EE7"/>
    <w:rsid w:val="007B4FD9"/>
    <w:rsid w:val="007B5135"/>
    <w:rsid w:val="007B54FD"/>
    <w:rsid w:val="007B5720"/>
    <w:rsid w:val="007B5A0A"/>
    <w:rsid w:val="007B5C5B"/>
    <w:rsid w:val="007B5FB5"/>
    <w:rsid w:val="007B5FF5"/>
    <w:rsid w:val="007B60AB"/>
    <w:rsid w:val="007B62D1"/>
    <w:rsid w:val="007B64C9"/>
    <w:rsid w:val="007B658B"/>
    <w:rsid w:val="007B65A8"/>
    <w:rsid w:val="007B6F1D"/>
    <w:rsid w:val="007B7121"/>
    <w:rsid w:val="007B7267"/>
    <w:rsid w:val="007B740D"/>
    <w:rsid w:val="007B74FB"/>
    <w:rsid w:val="007B750E"/>
    <w:rsid w:val="007B757C"/>
    <w:rsid w:val="007B7702"/>
    <w:rsid w:val="007C034B"/>
    <w:rsid w:val="007C0718"/>
    <w:rsid w:val="007C08E7"/>
    <w:rsid w:val="007C08EF"/>
    <w:rsid w:val="007C0BCA"/>
    <w:rsid w:val="007C0BE7"/>
    <w:rsid w:val="007C0D69"/>
    <w:rsid w:val="007C0F11"/>
    <w:rsid w:val="007C1074"/>
    <w:rsid w:val="007C1089"/>
    <w:rsid w:val="007C131E"/>
    <w:rsid w:val="007C1667"/>
    <w:rsid w:val="007C1853"/>
    <w:rsid w:val="007C18ED"/>
    <w:rsid w:val="007C1A49"/>
    <w:rsid w:val="007C1AE7"/>
    <w:rsid w:val="007C1EF1"/>
    <w:rsid w:val="007C1F0D"/>
    <w:rsid w:val="007C1F79"/>
    <w:rsid w:val="007C20A8"/>
    <w:rsid w:val="007C23DF"/>
    <w:rsid w:val="007C25F7"/>
    <w:rsid w:val="007C2640"/>
    <w:rsid w:val="007C26FB"/>
    <w:rsid w:val="007C2711"/>
    <w:rsid w:val="007C2794"/>
    <w:rsid w:val="007C29AD"/>
    <w:rsid w:val="007C2AA6"/>
    <w:rsid w:val="007C2AE8"/>
    <w:rsid w:val="007C2CA9"/>
    <w:rsid w:val="007C2F30"/>
    <w:rsid w:val="007C2F79"/>
    <w:rsid w:val="007C3043"/>
    <w:rsid w:val="007C30B3"/>
    <w:rsid w:val="007C3473"/>
    <w:rsid w:val="007C34CE"/>
    <w:rsid w:val="007C34F2"/>
    <w:rsid w:val="007C3B13"/>
    <w:rsid w:val="007C3CCE"/>
    <w:rsid w:val="007C3EA7"/>
    <w:rsid w:val="007C405E"/>
    <w:rsid w:val="007C4061"/>
    <w:rsid w:val="007C4383"/>
    <w:rsid w:val="007C4471"/>
    <w:rsid w:val="007C4C53"/>
    <w:rsid w:val="007C4C64"/>
    <w:rsid w:val="007C4CDD"/>
    <w:rsid w:val="007C4F1E"/>
    <w:rsid w:val="007C5118"/>
    <w:rsid w:val="007C5362"/>
    <w:rsid w:val="007C5543"/>
    <w:rsid w:val="007C5585"/>
    <w:rsid w:val="007C55FB"/>
    <w:rsid w:val="007C5670"/>
    <w:rsid w:val="007C569B"/>
    <w:rsid w:val="007C58AE"/>
    <w:rsid w:val="007C5F0C"/>
    <w:rsid w:val="007C6145"/>
    <w:rsid w:val="007C62E7"/>
    <w:rsid w:val="007C659F"/>
    <w:rsid w:val="007C69F8"/>
    <w:rsid w:val="007C6B25"/>
    <w:rsid w:val="007C6F40"/>
    <w:rsid w:val="007C6FD6"/>
    <w:rsid w:val="007C708E"/>
    <w:rsid w:val="007C7195"/>
    <w:rsid w:val="007C71F1"/>
    <w:rsid w:val="007C721B"/>
    <w:rsid w:val="007C740B"/>
    <w:rsid w:val="007C769B"/>
    <w:rsid w:val="007C77C6"/>
    <w:rsid w:val="007C782A"/>
    <w:rsid w:val="007C798E"/>
    <w:rsid w:val="007C7B54"/>
    <w:rsid w:val="007C7D07"/>
    <w:rsid w:val="007C7E0B"/>
    <w:rsid w:val="007C7E8F"/>
    <w:rsid w:val="007D00E1"/>
    <w:rsid w:val="007D01C6"/>
    <w:rsid w:val="007D0212"/>
    <w:rsid w:val="007D0447"/>
    <w:rsid w:val="007D04A5"/>
    <w:rsid w:val="007D067D"/>
    <w:rsid w:val="007D06D9"/>
    <w:rsid w:val="007D0736"/>
    <w:rsid w:val="007D091B"/>
    <w:rsid w:val="007D0944"/>
    <w:rsid w:val="007D0A7C"/>
    <w:rsid w:val="007D0D5C"/>
    <w:rsid w:val="007D0FE1"/>
    <w:rsid w:val="007D1277"/>
    <w:rsid w:val="007D13CC"/>
    <w:rsid w:val="007D1513"/>
    <w:rsid w:val="007D186B"/>
    <w:rsid w:val="007D187E"/>
    <w:rsid w:val="007D19A6"/>
    <w:rsid w:val="007D19DB"/>
    <w:rsid w:val="007D1CAF"/>
    <w:rsid w:val="007D1E99"/>
    <w:rsid w:val="007D2083"/>
    <w:rsid w:val="007D21A8"/>
    <w:rsid w:val="007D224B"/>
    <w:rsid w:val="007D252F"/>
    <w:rsid w:val="007D26F6"/>
    <w:rsid w:val="007D2B58"/>
    <w:rsid w:val="007D2E91"/>
    <w:rsid w:val="007D2F73"/>
    <w:rsid w:val="007D3099"/>
    <w:rsid w:val="007D3185"/>
    <w:rsid w:val="007D33FB"/>
    <w:rsid w:val="007D360F"/>
    <w:rsid w:val="007D3BCB"/>
    <w:rsid w:val="007D3D34"/>
    <w:rsid w:val="007D3F8A"/>
    <w:rsid w:val="007D4424"/>
    <w:rsid w:val="007D4583"/>
    <w:rsid w:val="007D468E"/>
    <w:rsid w:val="007D4846"/>
    <w:rsid w:val="007D4B55"/>
    <w:rsid w:val="007D4CCB"/>
    <w:rsid w:val="007D4E60"/>
    <w:rsid w:val="007D4E79"/>
    <w:rsid w:val="007D4F08"/>
    <w:rsid w:val="007D5060"/>
    <w:rsid w:val="007D509D"/>
    <w:rsid w:val="007D5335"/>
    <w:rsid w:val="007D5770"/>
    <w:rsid w:val="007D59F8"/>
    <w:rsid w:val="007D5AA2"/>
    <w:rsid w:val="007D5B37"/>
    <w:rsid w:val="007D5C53"/>
    <w:rsid w:val="007D5C7A"/>
    <w:rsid w:val="007D5DCF"/>
    <w:rsid w:val="007D5EFB"/>
    <w:rsid w:val="007D6098"/>
    <w:rsid w:val="007D6486"/>
    <w:rsid w:val="007D65CD"/>
    <w:rsid w:val="007D6718"/>
    <w:rsid w:val="007D694B"/>
    <w:rsid w:val="007D6B20"/>
    <w:rsid w:val="007D6BA5"/>
    <w:rsid w:val="007D6C8F"/>
    <w:rsid w:val="007D6F2D"/>
    <w:rsid w:val="007D7234"/>
    <w:rsid w:val="007D7B6F"/>
    <w:rsid w:val="007D7D16"/>
    <w:rsid w:val="007D7D60"/>
    <w:rsid w:val="007D7D8C"/>
    <w:rsid w:val="007D7FA1"/>
    <w:rsid w:val="007DBCAA"/>
    <w:rsid w:val="007E01A5"/>
    <w:rsid w:val="007E0276"/>
    <w:rsid w:val="007E03C3"/>
    <w:rsid w:val="007E054D"/>
    <w:rsid w:val="007E0778"/>
    <w:rsid w:val="007E07A2"/>
    <w:rsid w:val="007E086F"/>
    <w:rsid w:val="007E09BE"/>
    <w:rsid w:val="007E0B86"/>
    <w:rsid w:val="007E0F94"/>
    <w:rsid w:val="007E1411"/>
    <w:rsid w:val="007E17C5"/>
    <w:rsid w:val="007E180D"/>
    <w:rsid w:val="007E1B30"/>
    <w:rsid w:val="007E1BCF"/>
    <w:rsid w:val="007E1D3D"/>
    <w:rsid w:val="007E1D76"/>
    <w:rsid w:val="007E1EE4"/>
    <w:rsid w:val="007E23B6"/>
    <w:rsid w:val="007E23C4"/>
    <w:rsid w:val="007E25E2"/>
    <w:rsid w:val="007E28E9"/>
    <w:rsid w:val="007E2901"/>
    <w:rsid w:val="007E2A6E"/>
    <w:rsid w:val="007E2B63"/>
    <w:rsid w:val="007E2D41"/>
    <w:rsid w:val="007E2D9A"/>
    <w:rsid w:val="007E2F01"/>
    <w:rsid w:val="007E335B"/>
    <w:rsid w:val="007E3464"/>
    <w:rsid w:val="007E3FA7"/>
    <w:rsid w:val="007E4520"/>
    <w:rsid w:val="007E479B"/>
    <w:rsid w:val="007E48A1"/>
    <w:rsid w:val="007E496E"/>
    <w:rsid w:val="007E4AEA"/>
    <w:rsid w:val="007E4C58"/>
    <w:rsid w:val="007E4F81"/>
    <w:rsid w:val="007E5143"/>
    <w:rsid w:val="007E5167"/>
    <w:rsid w:val="007E51AD"/>
    <w:rsid w:val="007E525F"/>
    <w:rsid w:val="007E52E1"/>
    <w:rsid w:val="007E52E2"/>
    <w:rsid w:val="007E549F"/>
    <w:rsid w:val="007E5501"/>
    <w:rsid w:val="007E56C9"/>
    <w:rsid w:val="007E5D70"/>
    <w:rsid w:val="007E5D9C"/>
    <w:rsid w:val="007E5FCE"/>
    <w:rsid w:val="007E5FD8"/>
    <w:rsid w:val="007E6065"/>
    <w:rsid w:val="007E616A"/>
    <w:rsid w:val="007E6325"/>
    <w:rsid w:val="007E6335"/>
    <w:rsid w:val="007E64F6"/>
    <w:rsid w:val="007E6854"/>
    <w:rsid w:val="007E6953"/>
    <w:rsid w:val="007E6AFB"/>
    <w:rsid w:val="007E6BCD"/>
    <w:rsid w:val="007E6CE1"/>
    <w:rsid w:val="007E6E2F"/>
    <w:rsid w:val="007E6F47"/>
    <w:rsid w:val="007E6F70"/>
    <w:rsid w:val="007E7047"/>
    <w:rsid w:val="007E705C"/>
    <w:rsid w:val="007E709F"/>
    <w:rsid w:val="007E7264"/>
    <w:rsid w:val="007E7373"/>
    <w:rsid w:val="007E7461"/>
    <w:rsid w:val="007E77D4"/>
    <w:rsid w:val="007E796B"/>
    <w:rsid w:val="007E7998"/>
    <w:rsid w:val="007E7C17"/>
    <w:rsid w:val="007E7CD0"/>
    <w:rsid w:val="007E7EAD"/>
    <w:rsid w:val="007F0077"/>
    <w:rsid w:val="007F032D"/>
    <w:rsid w:val="007F05F8"/>
    <w:rsid w:val="007F0826"/>
    <w:rsid w:val="007F0C73"/>
    <w:rsid w:val="007F0D17"/>
    <w:rsid w:val="007F1196"/>
    <w:rsid w:val="007F14D6"/>
    <w:rsid w:val="007F1515"/>
    <w:rsid w:val="007F16D6"/>
    <w:rsid w:val="007F1883"/>
    <w:rsid w:val="007F18D4"/>
    <w:rsid w:val="007F190D"/>
    <w:rsid w:val="007F1946"/>
    <w:rsid w:val="007F1D19"/>
    <w:rsid w:val="007F1D1A"/>
    <w:rsid w:val="007F1DCB"/>
    <w:rsid w:val="007F1ED2"/>
    <w:rsid w:val="007F1F02"/>
    <w:rsid w:val="007F1F56"/>
    <w:rsid w:val="007F1FD0"/>
    <w:rsid w:val="007F216D"/>
    <w:rsid w:val="007F24CD"/>
    <w:rsid w:val="007F29B9"/>
    <w:rsid w:val="007F2AB9"/>
    <w:rsid w:val="007F2AD3"/>
    <w:rsid w:val="007F2B3E"/>
    <w:rsid w:val="007F2B50"/>
    <w:rsid w:val="007F2F1F"/>
    <w:rsid w:val="007F2FBE"/>
    <w:rsid w:val="007F331A"/>
    <w:rsid w:val="007F341B"/>
    <w:rsid w:val="007F34CF"/>
    <w:rsid w:val="007F374B"/>
    <w:rsid w:val="007F37FD"/>
    <w:rsid w:val="007F39F9"/>
    <w:rsid w:val="007F3A9A"/>
    <w:rsid w:val="007F3AC7"/>
    <w:rsid w:val="007F3D1A"/>
    <w:rsid w:val="007F3D3C"/>
    <w:rsid w:val="007F3EC6"/>
    <w:rsid w:val="007F4734"/>
    <w:rsid w:val="007F4915"/>
    <w:rsid w:val="007F499B"/>
    <w:rsid w:val="007F4A8D"/>
    <w:rsid w:val="007F4D22"/>
    <w:rsid w:val="007F4F81"/>
    <w:rsid w:val="007F51C2"/>
    <w:rsid w:val="007F5395"/>
    <w:rsid w:val="007F57CE"/>
    <w:rsid w:val="007F58F0"/>
    <w:rsid w:val="007F5B7C"/>
    <w:rsid w:val="007F5BA0"/>
    <w:rsid w:val="007F5BBF"/>
    <w:rsid w:val="007F5CC8"/>
    <w:rsid w:val="007F600D"/>
    <w:rsid w:val="007F6547"/>
    <w:rsid w:val="007F6B29"/>
    <w:rsid w:val="007F6DB9"/>
    <w:rsid w:val="007F6DC5"/>
    <w:rsid w:val="007F6E7B"/>
    <w:rsid w:val="007F7314"/>
    <w:rsid w:val="007F73B5"/>
    <w:rsid w:val="007F743E"/>
    <w:rsid w:val="007F74F2"/>
    <w:rsid w:val="007F7976"/>
    <w:rsid w:val="007F7ABE"/>
    <w:rsid w:val="007F7B6E"/>
    <w:rsid w:val="007F7F77"/>
    <w:rsid w:val="007F7FC5"/>
    <w:rsid w:val="00800033"/>
    <w:rsid w:val="008003C5"/>
    <w:rsid w:val="00800440"/>
    <w:rsid w:val="00800755"/>
    <w:rsid w:val="008009FF"/>
    <w:rsid w:val="00800D22"/>
    <w:rsid w:val="00800F24"/>
    <w:rsid w:val="008010B5"/>
    <w:rsid w:val="008010C7"/>
    <w:rsid w:val="008012D2"/>
    <w:rsid w:val="008012E4"/>
    <w:rsid w:val="00801333"/>
    <w:rsid w:val="008017B1"/>
    <w:rsid w:val="008019D2"/>
    <w:rsid w:val="00801A9B"/>
    <w:rsid w:val="00801F82"/>
    <w:rsid w:val="00801F84"/>
    <w:rsid w:val="00801F8C"/>
    <w:rsid w:val="00802277"/>
    <w:rsid w:val="0080234B"/>
    <w:rsid w:val="00802478"/>
    <w:rsid w:val="008024D8"/>
    <w:rsid w:val="008025DE"/>
    <w:rsid w:val="0080261D"/>
    <w:rsid w:val="00802638"/>
    <w:rsid w:val="00802655"/>
    <w:rsid w:val="00802735"/>
    <w:rsid w:val="008027F6"/>
    <w:rsid w:val="0080281D"/>
    <w:rsid w:val="00802A11"/>
    <w:rsid w:val="00802DDC"/>
    <w:rsid w:val="00803017"/>
    <w:rsid w:val="0080302F"/>
    <w:rsid w:val="00803272"/>
    <w:rsid w:val="0080334B"/>
    <w:rsid w:val="00803377"/>
    <w:rsid w:val="00803406"/>
    <w:rsid w:val="008035C4"/>
    <w:rsid w:val="00803863"/>
    <w:rsid w:val="008039AA"/>
    <w:rsid w:val="008039D0"/>
    <w:rsid w:val="00803B85"/>
    <w:rsid w:val="00803C44"/>
    <w:rsid w:val="00803CC4"/>
    <w:rsid w:val="00803CDB"/>
    <w:rsid w:val="00803F94"/>
    <w:rsid w:val="008040A2"/>
    <w:rsid w:val="008041C2"/>
    <w:rsid w:val="008042BC"/>
    <w:rsid w:val="008042F8"/>
    <w:rsid w:val="00804331"/>
    <w:rsid w:val="00804744"/>
    <w:rsid w:val="00804A16"/>
    <w:rsid w:val="00804AD6"/>
    <w:rsid w:val="00804BC5"/>
    <w:rsid w:val="00804C61"/>
    <w:rsid w:val="00804D82"/>
    <w:rsid w:val="0080503A"/>
    <w:rsid w:val="00805697"/>
    <w:rsid w:val="00805B56"/>
    <w:rsid w:val="00805E4B"/>
    <w:rsid w:val="00806056"/>
    <w:rsid w:val="00806281"/>
    <w:rsid w:val="00806418"/>
    <w:rsid w:val="0080643E"/>
    <w:rsid w:val="008065C2"/>
    <w:rsid w:val="00806A55"/>
    <w:rsid w:val="00806A92"/>
    <w:rsid w:val="00806B10"/>
    <w:rsid w:val="00806C7C"/>
    <w:rsid w:val="00807160"/>
    <w:rsid w:val="0080719B"/>
    <w:rsid w:val="00807212"/>
    <w:rsid w:val="0080725B"/>
    <w:rsid w:val="008072A7"/>
    <w:rsid w:val="008072B1"/>
    <w:rsid w:val="00807611"/>
    <w:rsid w:val="008078DF"/>
    <w:rsid w:val="00807A9A"/>
    <w:rsid w:val="00807AE2"/>
    <w:rsid w:val="00807D18"/>
    <w:rsid w:val="00807D49"/>
    <w:rsid w:val="00807D91"/>
    <w:rsid w:val="00810007"/>
    <w:rsid w:val="00810515"/>
    <w:rsid w:val="00810B40"/>
    <w:rsid w:val="00810B6A"/>
    <w:rsid w:val="00810F09"/>
    <w:rsid w:val="0081103E"/>
    <w:rsid w:val="008110D7"/>
    <w:rsid w:val="008111D5"/>
    <w:rsid w:val="0081138F"/>
    <w:rsid w:val="0081159F"/>
    <w:rsid w:val="0081166C"/>
    <w:rsid w:val="008116D3"/>
    <w:rsid w:val="008119C4"/>
    <w:rsid w:val="00811A8E"/>
    <w:rsid w:val="00811D07"/>
    <w:rsid w:val="00811F4D"/>
    <w:rsid w:val="00811FC9"/>
    <w:rsid w:val="0081233A"/>
    <w:rsid w:val="0081237F"/>
    <w:rsid w:val="0081241D"/>
    <w:rsid w:val="0081266F"/>
    <w:rsid w:val="008128BD"/>
    <w:rsid w:val="008129E3"/>
    <w:rsid w:val="00812D78"/>
    <w:rsid w:val="00812E87"/>
    <w:rsid w:val="00812FD3"/>
    <w:rsid w:val="00813009"/>
    <w:rsid w:val="0081310D"/>
    <w:rsid w:val="0081317A"/>
    <w:rsid w:val="00813619"/>
    <w:rsid w:val="00813734"/>
    <w:rsid w:val="00813BD2"/>
    <w:rsid w:val="00813CBC"/>
    <w:rsid w:val="00813FE9"/>
    <w:rsid w:val="00814268"/>
    <w:rsid w:val="0081432B"/>
    <w:rsid w:val="008145CA"/>
    <w:rsid w:val="00814626"/>
    <w:rsid w:val="008146B4"/>
    <w:rsid w:val="008147BA"/>
    <w:rsid w:val="0081484C"/>
    <w:rsid w:val="00814EBC"/>
    <w:rsid w:val="00815131"/>
    <w:rsid w:val="008152A1"/>
    <w:rsid w:val="0081545B"/>
    <w:rsid w:val="0081554F"/>
    <w:rsid w:val="0081562B"/>
    <w:rsid w:val="0081565D"/>
    <w:rsid w:val="00815BB1"/>
    <w:rsid w:val="00815C28"/>
    <w:rsid w:val="00815E1A"/>
    <w:rsid w:val="008161D7"/>
    <w:rsid w:val="0081634F"/>
    <w:rsid w:val="008163E3"/>
    <w:rsid w:val="00816526"/>
    <w:rsid w:val="0081659B"/>
    <w:rsid w:val="00816A59"/>
    <w:rsid w:val="00816D9E"/>
    <w:rsid w:val="00816E32"/>
    <w:rsid w:val="00816FA7"/>
    <w:rsid w:val="00816FD2"/>
    <w:rsid w:val="00817377"/>
    <w:rsid w:val="0081755E"/>
    <w:rsid w:val="00817773"/>
    <w:rsid w:val="008177A8"/>
    <w:rsid w:val="00817803"/>
    <w:rsid w:val="00817A43"/>
    <w:rsid w:val="00817C6A"/>
    <w:rsid w:val="00817C9B"/>
    <w:rsid w:val="00817D86"/>
    <w:rsid w:val="0082005E"/>
    <w:rsid w:val="008200C2"/>
    <w:rsid w:val="008203CB"/>
    <w:rsid w:val="00820441"/>
    <w:rsid w:val="008204D8"/>
    <w:rsid w:val="0082053E"/>
    <w:rsid w:val="00820572"/>
    <w:rsid w:val="00820A17"/>
    <w:rsid w:val="00820A36"/>
    <w:rsid w:val="00820B49"/>
    <w:rsid w:val="00821398"/>
    <w:rsid w:val="00821840"/>
    <w:rsid w:val="00821871"/>
    <w:rsid w:val="008218F9"/>
    <w:rsid w:val="0082198F"/>
    <w:rsid w:val="008219B2"/>
    <w:rsid w:val="00821B93"/>
    <w:rsid w:val="00821D41"/>
    <w:rsid w:val="00821DD2"/>
    <w:rsid w:val="00821F69"/>
    <w:rsid w:val="0082206B"/>
    <w:rsid w:val="0082236A"/>
    <w:rsid w:val="008224FF"/>
    <w:rsid w:val="0082250C"/>
    <w:rsid w:val="0082254D"/>
    <w:rsid w:val="00822564"/>
    <w:rsid w:val="00822620"/>
    <w:rsid w:val="00822863"/>
    <w:rsid w:val="008229D1"/>
    <w:rsid w:val="00822A16"/>
    <w:rsid w:val="00822A67"/>
    <w:rsid w:val="00822B4B"/>
    <w:rsid w:val="00822CCD"/>
    <w:rsid w:val="00822CF6"/>
    <w:rsid w:val="00822D96"/>
    <w:rsid w:val="00822EB6"/>
    <w:rsid w:val="00822F09"/>
    <w:rsid w:val="008230F7"/>
    <w:rsid w:val="0082326C"/>
    <w:rsid w:val="008233C4"/>
    <w:rsid w:val="008237E8"/>
    <w:rsid w:val="008239BB"/>
    <w:rsid w:val="00823A2F"/>
    <w:rsid w:val="00823C7A"/>
    <w:rsid w:val="00823E0B"/>
    <w:rsid w:val="00824052"/>
    <w:rsid w:val="0082456F"/>
    <w:rsid w:val="00824624"/>
    <w:rsid w:val="008247DB"/>
    <w:rsid w:val="00824846"/>
    <w:rsid w:val="008248D2"/>
    <w:rsid w:val="00824A2D"/>
    <w:rsid w:val="00824AEF"/>
    <w:rsid w:val="00824AF5"/>
    <w:rsid w:val="008250AE"/>
    <w:rsid w:val="00825159"/>
    <w:rsid w:val="008251D9"/>
    <w:rsid w:val="00825200"/>
    <w:rsid w:val="008254E4"/>
    <w:rsid w:val="00825762"/>
    <w:rsid w:val="00825AB3"/>
    <w:rsid w:val="00825E08"/>
    <w:rsid w:val="008262C2"/>
    <w:rsid w:val="008265C6"/>
    <w:rsid w:val="008266EB"/>
    <w:rsid w:val="00826880"/>
    <w:rsid w:val="00826AC3"/>
    <w:rsid w:val="00826B0C"/>
    <w:rsid w:val="00826B7B"/>
    <w:rsid w:val="00826C90"/>
    <w:rsid w:val="00826CA0"/>
    <w:rsid w:val="00826CDB"/>
    <w:rsid w:val="00826D1C"/>
    <w:rsid w:val="00826F84"/>
    <w:rsid w:val="00827097"/>
    <w:rsid w:val="00827257"/>
    <w:rsid w:val="0082730A"/>
    <w:rsid w:val="008273BA"/>
    <w:rsid w:val="008274AB"/>
    <w:rsid w:val="00827762"/>
    <w:rsid w:val="008277E8"/>
    <w:rsid w:val="00830096"/>
    <w:rsid w:val="008301F2"/>
    <w:rsid w:val="008302C1"/>
    <w:rsid w:val="0083052D"/>
    <w:rsid w:val="00830681"/>
    <w:rsid w:val="00830C6B"/>
    <w:rsid w:val="00830DA5"/>
    <w:rsid w:val="0083124B"/>
    <w:rsid w:val="008312C4"/>
    <w:rsid w:val="00831759"/>
    <w:rsid w:val="008317D0"/>
    <w:rsid w:val="00831ABD"/>
    <w:rsid w:val="00831C84"/>
    <w:rsid w:val="00831CD7"/>
    <w:rsid w:val="00831CDD"/>
    <w:rsid w:val="00832136"/>
    <w:rsid w:val="0083235B"/>
    <w:rsid w:val="008323AC"/>
    <w:rsid w:val="008324DE"/>
    <w:rsid w:val="00832693"/>
    <w:rsid w:val="008326E3"/>
    <w:rsid w:val="00832986"/>
    <w:rsid w:val="00832BDC"/>
    <w:rsid w:val="00832D5E"/>
    <w:rsid w:val="00832E52"/>
    <w:rsid w:val="00832EC4"/>
    <w:rsid w:val="00832F47"/>
    <w:rsid w:val="00832FA1"/>
    <w:rsid w:val="0083376D"/>
    <w:rsid w:val="00833888"/>
    <w:rsid w:val="00833CBD"/>
    <w:rsid w:val="00833DB2"/>
    <w:rsid w:val="00833E28"/>
    <w:rsid w:val="00833E31"/>
    <w:rsid w:val="00834014"/>
    <w:rsid w:val="00834366"/>
    <w:rsid w:val="00834602"/>
    <w:rsid w:val="00834710"/>
    <w:rsid w:val="00834788"/>
    <w:rsid w:val="00834940"/>
    <w:rsid w:val="00834995"/>
    <w:rsid w:val="00834D4E"/>
    <w:rsid w:val="0083503A"/>
    <w:rsid w:val="0083512B"/>
    <w:rsid w:val="008351AF"/>
    <w:rsid w:val="008351CB"/>
    <w:rsid w:val="008353FB"/>
    <w:rsid w:val="00835760"/>
    <w:rsid w:val="00835903"/>
    <w:rsid w:val="00835AF2"/>
    <w:rsid w:val="00835B24"/>
    <w:rsid w:val="00835C61"/>
    <w:rsid w:val="00835C66"/>
    <w:rsid w:val="00835E57"/>
    <w:rsid w:val="00835F74"/>
    <w:rsid w:val="0083605B"/>
    <w:rsid w:val="00836277"/>
    <w:rsid w:val="00836413"/>
    <w:rsid w:val="008364BB"/>
    <w:rsid w:val="0083652F"/>
    <w:rsid w:val="00836669"/>
    <w:rsid w:val="00836734"/>
    <w:rsid w:val="008367C7"/>
    <w:rsid w:val="008367D5"/>
    <w:rsid w:val="00836829"/>
    <w:rsid w:val="008368AC"/>
    <w:rsid w:val="00836A33"/>
    <w:rsid w:val="00836B54"/>
    <w:rsid w:val="00836BD0"/>
    <w:rsid w:val="00836F35"/>
    <w:rsid w:val="00837011"/>
    <w:rsid w:val="008370A6"/>
    <w:rsid w:val="008373E9"/>
    <w:rsid w:val="00837503"/>
    <w:rsid w:val="00837653"/>
    <w:rsid w:val="00837A96"/>
    <w:rsid w:val="008403C0"/>
    <w:rsid w:val="00840531"/>
    <w:rsid w:val="00840539"/>
    <w:rsid w:val="0084065A"/>
    <w:rsid w:val="00840751"/>
    <w:rsid w:val="008407C9"/>
    <w:rsid w:val="00840995"/>
    <w:rsid w:val="00840AA7"/>
    <w:rsid w:val="00840D84"/>
    <w:rsid w:val="00840F0E"/>
    <w:rsid w:val="00840F63"/>
    <w:rsid w:val="0084128C"/>
    <w:rsid w:val="008412B7"/>
    <w:rsid w:val="00841826"/>
    <w:rsid w:val="008418E1"/>
    <w:rsid w:val="0084203C"/>
    <w:rsid w:val="0084210E"/>
    <w:rsid w:val="008422D6"/>
    <w:rsid w:val="0084253A"/>
    <w:rsid w:val="008425A5"/>
    <w:rsid w:val="008427D0"/>
    <w:rsid w:val="00842A3D"/>
    <w:rsid w:val="00842AC7"/>
    <w:rsid w:val="00842AFA"/>
    <w:rsid w:val="00842CD6"/>
    <w:rsid w:val="00842DF9"/>
    <w:rsid w:val="00842E1E"/>
    <w:rsid w:val="008431A2"/>
    <w:rsid w:val="00843320"/>
    <w:rsid w:val="008433DD"/>
    <w:rsid w:val="008436A2"/>
    <w:rsid w:val="00843726"/>
    <w:rsid w:val="00843966"/>
    <w:rsid w:val="00843E17"/>
    <w:rsid w:val="0084404C"/>
    <w:rsid w:val="00844448"/>
    <w:rsid w:val="00844617"/>
    <w:rsid w:val="00844651"/>
    <w:rsid w:val="0084470E"/>
    <w:rsid w:val="00844786"/>
    <w:rsid w:val="008448D5"/>
    <w:rsid w:val="008449E5"/>
    <w:rsid w:val="00844BC2"/>
    <w:rsid w:val="00844C4B"/>
    <w:rsid w:val="00844CD7"/>
    <w:rsid w:val="00844D7F"/>
    <w:rsid w:val="00845045"/>
    <w:rsid w:val="00845161"/>
    <w:rsid w:val="00845450"/>
    <w:rsid w:val="008454DD"/>
    <w:rsid w:val="00845644"/>
    <w:rsid w:val="00845CF2"/>
    <w:rsid w:val="00845D91"/>
    <w:rsid w:val="00845E53"/>
    <w:rsid w:val="00845EC8"/>
    <w:rsid w:val="00846091"/>
    <w:rsid w:val="008462C9"/>
    <w:rsid w:val="00846323"/>
    <w:rsid w:val="00846342"/>
    <w:rsid w:val="008465EE"/>
    <w:rsid w:val="00846676"/>
    <w:rsid w:val="00846890"/>
    <w:rsid w:val="00846ADE"/>
    <w:rsid w:val="00846BB4"/>
    <w:rsid w:val="00846CCA"/>
    <w:rsid w:val="00846DBF"/>
    <w:rsid w:val="00847017"/>
    <w:rsid w:val="008470C2"/>
    <w:rsid w:val="0084714F"/>
    <w:rsid w:val="00847413"/>
    <w:rsid w:val="008474B2"/>
    <w:rsid w:val="00847573"/>
    <w:rsid w:val="008475E0"/>
    <w:rsid w:val="0084770A"/>
    <w:rsid w:val="00847AF2"/>
    <w:rsid w:val="00847C51"/>
    <w:rsid w:val="0085006E"/>
    <w:rsid w:val="00850209"/>
    <w:rsid w:val="008503EE"/>
    <w:rsid w:val="0085053E"/>
    <w:rsid w:val="0085059E"/>
    <w:rsid w:val="00850860"/>
    <w:rsid w:val="00850B7A"/>
    <w:rsid w:val="00851375"/>
    <w:rsid w:val="0085156E"/>
    <w:rsid w:val="00851840"/>
    <w:rsid w:val="00851854"/>
    <w:rsid w:val="008518F5"/>
    <w:rsid w:val="00851947"/>
    <w:rsid w:val="00851A90"/>
    <w:rsid w:val="00851BB8"/>
    <w:rsid w:val="00851F0F"/>
    <w:rsid w:val="00851F20"/>
    <w:rsid w:val="00851FBB"/>
    <w:rsid w:val="00851FF8"/>
    <w:rsid w:val="0085215B"/>
    <w:rsid w:val="0085218D"/>
    <w:rsid w:val="0085225D"/>
    <w:rsid w:val="00852327"/>
    <w:rsid w:val="00852550"/>
    <w:rsid w:val="0085274C"/>
    <w:rsid w:val="0085279F"/>
    <w:rsid w:val="00852956"/>
    <w:rsid w:val="00852A63"/>
    <w:rsid w:val="00852A89"/>
    <w:rsid w:val="00852B9C"/>
    <w:rsid w:val="00852CB7"/>
    <w:rsid w:val="00852CD0"/>
    <w:rsid w:val="00852D3B"/>
    <w:rsid w:val="00852DC0"/>
    <w:rsid w:val="00852DEC"/>
    <w:rsid w:val="00852F05"/>
    <w:rsid w:val="00852F28"/>
    <w:rsid w:val="00852FC3"/>
    <w:rsid w:val="0085301C"/>
    <w:rsid w:val="0085319A"/>
    <w:rsid w:val="00853629"/>
    <w:rsid w:val="008536E8"/>
    <w:rsid w:val="0085399E"/>
    <w:rsid w:val="008539D2"/>
    <w:rsid w:val="00853CC3"/>
    <w:rsid w:val="00853D28"/>
    <w:rsid w:val="00853DD9"/>
    <w:rsid w:val="00853FCA"/>
    <w:rsid w:val="00853FD3"/>
    <w:rsid w:val="0085438B"/>
    <w:rsid w:val="00854402"/>
    <w:rsid w:val="00854564"/>
    <w:rsid w:val="008546FD"/>
    <w:rsid w:val="008548AB"/>
    <w:rsid w:val="008548EC"/>
    <w:rsid w:val="00854CC5"/>
    <w:rsid w:val="00854E58"/>
    <w:rsid w:val="008555C0"/>
    <w:rsid w:val="00855695"/>
    <w:rsid w:val="008556BC"/>
    <w:rsid w:val="008556BD"/>
    <w:rsid w:val="008556C8"/>
    <w:rsid w:val="00855A57"/>
    <w:rsid w:val="00855AB0"/>
    <w:rsid w:val="00855AF1"/>
    <w:rsid w:val="00855F06"/>
    <w:rsid w:val="00855F0C"/>
    <w:rsid w:val="00855F17"/>
    <w:rsid w:val="0085661C"/>
    <w:rsid w:val="008566B5"/>
    <w:rsid w:val="0085675C"/>
    <w:rsid w:val="008569CA"/>
    <w:rsid w:val="00856D7A"/>
    <w:rsid w:val="00856EB3"/>
    <w:rsid w:val="00856F16"/>
    <w:rsid w:val="00856F68"/>
    <w:rsid w:val="00856F71"/>
    <w:rsid w:val="008570AC"/>
    <w:rsid w:val="008572C8"/>
    <w:rsid w:val="00857311"/>
    <w:rsid w:val="00857354"/>
    <w:rsid w:val="008575CD"/>
    <w:rsid w:val="00857712"/>
    <w:rsid w:val="00857795"/>
    <w:rsid w:val="00857825"/>
    <w:rsid w:val="0085787F"/>
    <w:rsid w:val="0086051C"/>
    <w:rsid w:val="00860592"/>
    <w:rsid w:val="008605BF"/>
    <w:rsid w:val="0086086D"/>
    <w:rsid w:val="00860945"/>
    <w:rsid w:val="00860C1E"/>
    <w:rsid w:val="0086124A"/>
    <w:rsid w:val="00861268"/>
    <w:rsid w:val="00861273"/>
    <w:rsid w:val="008612F3"/>
    <w:rsid w:val="008614EB"/>
    <w:rsid w:val="008614F2"/>
    <w:rsid w:val="008615EA"/>
    <w:rsid w:val="00861743"/>
    <w:rsid w:val="008617BB"/>
    <w:rsid w:val="008619FB"/>
    <w:rsid w:val="00861A3A"/>
    <w:rsid w:val="00861B0F"/>
    <w:rsid w:val="00861C17"/>
    <w:rsid w:val="00861C41"/>
    <w:rsid w:val="00861D3A"/>
    <w:rsid w:val="00861EE0"/>
    <w:rsid w:val="0086205A"/>
    <w:rsid w:val="00862182"/>
    <w:rsid w:val="00862349"/>
    <w:rsid w:val="008626F4"/>
    <w:rsid w:val="008629E7"/>
    <w:rsid w:val="008629F5"/>
    <w:rsid w:val="00863069"/>
    <w:rsid w:val="0086320D"/>
    <w:rsid w:val="008632D6"/>
    <w:rsid w:val="0086330E"/>
    <w:rsid w:val="00863316"/>
    <w:rsid w:val="00863831"/>
    <w:rsid w:val="00863B7D"/>
    <w:rsid w:val="00863C99"/>
    <w:rsid w:val="00863D34"/>
    <w:rsid w:val="00863D67"/>
    <w:rsid w:val="00863DC9"/>
    <w:rsid w:val="00864064"/>
    <w:rsid w:val="008643BA"/>
    <w:rsid w:val="0086455B"/>
    <w:rsid w:val="008645F6"/>
    <w:rsid w:val="00864602"/>
    <w:rsid w:val="008646D4"/>
    <w:rsid w:val="0086489D"/>
    <w:rsid w:val="008648E8"/>
    <w:rsid w:val="00864A30"/>
    <w:rsid w:val="00864C2D"/>
    <w:rsid w:val="00864FEC"/>
    <w:rsid w:val="0086503D"/>
    <w:rsid w:val="0086509F"/>
    <w:rsid w:val="00865330"/>
    <w:rsid w:val="00865888"/>
    <w:rsid w:val="00865AB5"/>
    <w:rsid w:val="00865BD4"/>
    <w:rsid w:val="00865C78"/>
    <w:rsid w:val="00865D85"/>
    <w:rsid w:val="00865F96"/>
    <w:rsid w:val="00866042"/>
    <w:rsid w:val="00866170"/>
    <w:rsid w:val="008662C5"/>
    <w:rsid w:val="00866367"/>
    <w:rsid w:val="0086636B"/>
    <w:rsid w:val="00866527"/>
    <w:rsid w:val="00866643"/>
    <w:rsid w:val="0086690D"/>
    <w:rsid w:val="00866B76"/>
    <w:rsid w:val="00866D16"/>
    <w:rsid w:val="00867198"/>
    <w:rsid w:val="0086747A"/>
    <w:rsid w:val="008674A1"/>
    <w:rsid w:val="008674EA"/>
    <w:rsid w:val="00867529"/>
    <w:rsid w:val="008675E4"/>
    <w:rsid w:val="008676FC"/>
    <w:rsid w:val="00867707"/>
    <w:rsid w:val="008677F9"/>
    <w:rsid w:val="0086783F"/>
    <w:rsid w:val="00867883"/>
    <w:rsid w:val="00867B55"/>
    <w:rsid w:val="00867C9E"/>
    <w:rsid w:val="00867CD2"/>
    <w:rsid w:val="00867E1F"/>
    <w:rsid w:val="00870008"/>
    <w:rsid w:val="0087000A"/>
    <w:rsid w:val="008701CC"/>
    <w:rsid w:val="00870228"/>
    <w:rsid w:val="0087067B"/>
    <w:rsid w:val="008707F1"/>
    <w:rsid w:val="00870C59"/>
    <w:rsid w:val="00870DEE"/>
    <w:rsid w:val="008711F0"/>
    <w:rsid w:val="008713D3"/>
    <w:rsid w:val="0087156B"/>
    <w:rsid w:val="0087160F"/>
    <w:rsid w:val="008718B4"/>
    <w:rsid w:val="00871921"/>
    <w:rsid w:val="00871A31"/>
    <w:rsid w:val="00871B69"/>
    <w:rsid w:val="00871C53"/>
    <w:rsid w:val="00871F2D"/>
    <w:rsid w:val="00871F43"/>
    <w:rsid w:val="008720B4"/>
    <w:rsid w:val="00872151"/>
    <w:rsid w:val="008721A0"/>
    <w:rsid w:val="00872495"/>
    <w:rsid w:val="008724B3"/>
    <w:rsid w:val="00872798"/>
    <w:rsid w:val="0087287E"/>
    <w:rsid w:val="00872971"/>
    <w:rsid w:val="00872B3E"/>
    <w:rsid w:val="00872E5D"/>
    <w:rsid w:val="00872E94"/>
    <w:rsid w:val="00872FBF"/>
    <w:rsid w:val="008738FD"/>
    <w:rsid w:val="00873A5B"/>
    <w:rsid w:val="00873B1D"/>
    <w:rsid w:val="00873B33"/>
    <w:rsid w:val="00873BDD"/>
    <w:rsid w:val="00873C3E"/>
    <w:rsid w:val="00873D7F"/>
    <w:rsid w:val="00873DDB"/>
    <w:rsid w:val="00873F1C"/>
    <w:rsid w:val="0087405E"/>
    <w:rsid w:val="008740C3"/>
    <w:rsid w:val="00874221"/>
    <w:rsid w:val="008743C4"/>
    <w:rsid w:val="008743E1"/>
    <w:rsid w:val="0087446C"/>
    <w:rsid w:val="00874E53"/>
    <w:rsid w:val="00874E89"/>
    <w:rsid w:val="00875036"/>
    <w:rsid w:val="00875129"/>
    <w:rsid w:val="00875163"/>
    <w:rsid w:val="0087516B"/>
    <w:rsid w:val="0087522C"/>
    <w:rsid w:val="008754F1"/>
    <w:rsid w:val="00875794"/>
    <w:rsid w:val="00875B87"/>
    <w:rsid w:val="00875BC2"/>
    <w:rsid w:val="00875C1B"/>
    <w:rsid w:val="00875E19"/>
    <w:rsid w:val="00875EAC"/>
    <w:rsid w:val="008761BE"/>
    <w:rsid w:val="008762F3"/>
    <w:rsid w:val="00876353"/>
    <w:rsid w:val="00876A6A"/>
    <w:rsid w:val="00876B78"/>
    <w:rsid w:val="00876BFE"/>
    <w:rsid w:val="00876E7F"/>
    <w:rsid w:val="00876EF2"/>
    <w:rsid w:val="00876FB6"/>
    <w:rsid w:val="0087704C"/>
    <w:rsid w:val="00877289"/>
    <w:rsid w:val="00877363"/>
    <w:rsid w:val="00877488"/>
    <w:rsid w:val="00877598"/>
    <w:rsid w:val="008775F5"/>
    <w:rsid w:val="0087762D"/>
    <w:rsid w:val="008776BC"/>
    <w:rsid w:val="00877A8B"/>
    <w:rsid w:val="00877B6E"/>
    <w:rsid w:val="00877B9A"/>
    <w:rsid w:val="00877C20"/>
    <w:rsid w:val="00877D0D"/>
    <w:rsid w:val="00877D8B"/>
    <w:rsid w:val="00880008"/>
    <w:rsid w:val="008804AC"/>
    <w:rsid w:val="008804CB"/>
    <w:rsid w:val="00880532"/>
    <w:rsid w:val="008806B5"/>
    <w:rsid w:val="00880792"/>
    <w:rsid w:val="00880A7C"/>
    <w:rsid w:val="00880BB3"/>
    <w:rsid w:val="00880E97"/>
    <w:rsid w:val="008810E1"/>
    <w:rsid w:val="00881200"/>
    <w:rsid w:val="00881517"/>
    <w:rsid w:val="00881897"/>
    <w:rsid w:val="00881907"/>
    <w:rsid w:val="00881A19"/>
    <w:rsid w:val="00881D2E"/>
    <w:rsid w:val="00881D9E"/>
    <w:rsid w:val="00881E1D"/>
    <w:rsid w:val="00881F1A"/>
    <w:rsid w:val="00882027"/>
    <w:rsid w:val="0088211A"/>
    <w:rsid w:val="00882150"/>
    <w:rsid w:val="00882282"/>
    <w:rsid w:val="00882413"/>
    <w:rsid w:val="0088241A"/>
    <w:rsid w:val="00882448"/>
    <w:rsid w:val="0088249B"/>
    <w:rsid w:val="00882959"/>
    <w:rsid w:val="00882AAF"/>
    <w:rsid w:val="00882B01"/>
    <w:rsid w:val="00882E6E"/>
    <w:rsid w:val="00882E9C"/>
    <w:rsid w:val="00882F23"/>
    <w:rsid w:val="00883054"/>
    <w:rsid w:val="008831F0"/>
    <w:rsid w:val="00883213"/>
    <w:rsid w:val="0088328E"/>
    <w:rsid w:val="008834BE"/>
    <w:rsid w:val="008835DF"/>
    <w:rsid w:val="008836C4"/>
    <w:rsid w:val="0088374A"/>
    <w:rsid w:val="00883814"/>
    <w:rsid w:val="00883895"/>
    <w:rsid w:val="008838EA"/>
    <w:rsid w:val="008838F9"/>
    <w:rsid w:val="00883C43"/>
    <w:rsid w:val="00883D36"/>
    <w:rsid w:val="00883D37"/>
    <w:rsid w:val="00883F42"/>
    <w:rsid w:val="00884495"/>
    <w:rsid w:val="00884723"/>
    <w:rsid w:val="00884917"/>
    <w:rsid w:val="0088497D"/>
    <w:rsid w:val="00884989"/>
    <w:rsid w:val="00884A2D"/>
    <w:rsid w:val="00884C97"/>
    <w:rsid w:val="008851B1"/>
    <w:rsid w:val="0088574A"/>
    <w:rsid w:val="00885802"/>
    <w:rsid w:val="0088582E"/>
    <w:rsid w:val="0088592F"/>
    <w:rsid w:val="00885DE3"/>
    <w:rsid w:val="00885E64"/>
    <w:rsid w:val="00885F78"/>
    <w:rsid w:val="0088610B"/>
    <w:rsid w:val="00886415"/>
    <w:rsid w:val="0088650C"/>
    <w:rsid w:val="00886A71"/>
    <w:rsid w:val="00886A86"/>
    <w:rsid w:val="00886B66"/>
    <w:rsid w:val="00886C9B"/>
    <w:rsid w:val="00886CEC"/>
    <w:rsid w:val="00886D64"/>
    <w:rsid w:val="00887075"/>
    <w:rsid w:val="008872D1"/>
    <w:rsid w:val="008873B2"/>
    <w:rsid w:val="008877CE"/>
    <w:rsid w:val="0088796D"/>
    <w:rsid w:val="008879C0"/>
    <w:rsid w:val="00887C50"/>
    <w:rsid w:val="00887DFA"/>
    <w:rsid w:val="00887F21"/>
    <w:rsid w:val="008900A6"/>
    <w:rsid w:val="00890333"/>
    <w:rsid w:val="008903CB"/>
    <w:rsid w:val="00890437"/>
    <w:rsid w:val="00890611"/>
    <w:rsid w:val="00890726"/>
    <w:rsid w:val="008909A2"/>
    <w:rsid w:val="00890A66"/>
    <w:rsid w:val="00890F99"/>
    <w:rsid w:val="00890FF8"/>
    <w:rsid w:val="00891005"/>
    <w:rsid w:val="00891065"/>
    <w:rsid w:val="0089118F"/>
    <w:rsid w:val="0089144B"/>
    <w:rsid w:val="00891534"/>
    <w:rsid w:val="0089164B"/>
    <w:rsid w:val="00891987"/>
    <w:rsid w:val="00891A2C"/>
    <w:rsid w:val="00891B2B"/>
    <w:rsid w:val="00891B67"/>
    <w:rsid w:val="00891D25"/>
    <w:rsid w:val="008920E3"/>
    <w:rsid w:val="00892413"/>
    <w:rsid w:val="0089257F"/>
    <w:rsid w:val="00892610"/>
    <w:rsid w:val="00892938"/>
    <w:rsid w:val="00892993"/>
    <w:rsid w:val="00892DAB"/>
    <w:rsid w:val="00892DCA"/>
    <w:rsid w:val="00892E7E"/>
    <w:rsid w:val="00893380"/>
    <w:rsid w:val="008933F0"/>
    <w:rsid w:val="00893557"/>
    <w:rsid w:val="0089361B"/>
    <w:rsid w:val="0089366A"/>
    <w:rsid w:val="0089366D"/>
    <w:rsid w:val="0089368D"/>
    <w:rsid w:val="008936A9"/>
    <w:rsid w:val="00893738"/>
    <w:rsid w:val="00893A6D"/>
    <w:rsid w:val="00893D27"/>
    <w:rsid w:val="00893EC5"/>
    <w:rsid w:val="00893F6D"/>
    <w:rsid w:val="00893FD0"/>
    <w:rsid w:val="00894139"/>
    <w:rsid w:val="008942B3"/>
    <w:rsid w:val="008943D2"/>
    <w:rsid w:val="00894803"/>
    <w:rsid w:val="00894808"/>
    <w:rsid w:val="008949F3"/>
    <w:rsid w:val="00894A8C"/>
    <w:rsid w:val="00894AD6"/>
    <w:rsid w:val="00894DAC"/>
    <w:rsid w:val="00894E9D"/>
    <w:rsid w:val="008950DF"/>
    <w:rsid w:val="008952E6"/>
    <w:rsid w:val="00895549"/>
    <w:rsid w:val="00895706"/>
    <w:rsid w:val="00895926"/>
    <w:rsid w:val="00895BCC"/>
    <w:rsid w:val="00895BE5"/>
    <w:rsid w:val="00895ECB"/>
    <w:rsid w:val="00895EEB"/>
    <w:rsid w:val="00895F91"/>
    <w:rsid w:val="00896041"/>
    <w:rsid w:val="0089614C"/>
    <w:rsid w:val="0089637C"/>
    <w:rsid w:val="0089640C"/>
    <w:rsid w:val="008964A8"/>
    <w:rsid w:val="0089651F"/>
    <w:rsid w:val="00896548"/>
    <w:rsid w:val="008965E9"/>
    <w:rsid w:val="00896731"/>
    <w:rsid w:val="00896860"/>
    <w:rsid w:val="00896DD3"/>
    <w:rsid w:val="00897254"/>
    <w:rsid w:val="008973E6"/>
    <w:rsid w:val="00897759"/>
    <w:rsid w:val="0089784C"/>
    <w:rsid w:val="0089784F"/>
    <w:rsid w:val="00897AC5"/>
    <w:rsid w:val="00897D84"/>
    <w:rsid w:val="00897EE6"/>
    <w:rsid w:val="00897F1A"/>
    <w:rsid w:val="00897F50"/>
    <w:rsid w:val="00897F6F"/>
    <w:rsid w:val="00897F7F"/>
    <w:rsid w:val="008A0212"/>
    <w:rsid w:val="008A0217"/>
    <w:rsid w:val="008A0357"/>
    <w:rsid w:val="008A05B0"/>
    <w:rsid w:val="008A0862"/>
    <w:rsid w:val="008A0CE0"/>
    <w:rsid w:val="008A0EAF"/>
    <w:rsid w:val="008A0F80"/>
    <w:rsid w:val="008A125E"/>
    <w:rsid w:val="008A1565"/>
    <w:rsid w:val="008A15C9"/>
    <w:rsid w:val="008A1692"/>
    <w:rsid w:val="008A177D"/>
    <w:rsid w:val="008A17B1"/>
    <w:rsid w:val="008A191A"/>
    <w:rsid w:val="008A1C48"/>
    <w:rsid w:val="008A1CC6"/>
    <w:rsid w:val="008A1CEA"/>
    <w:rsid w:val="008A1FA0"/>
    <w:rsid w:val="008A1FAE"/>
    <w:rsid w:val="008A200F"/>
    <w:rsid w:val="008A20D2"/>
    <w:rsid w:val="008A20F6"/>
    <w:rsid w:val="008A21CF"/>
    <w:rsid w:val="008A22BF"/>
    <w:rsid w:val="008A22EC"/>
    <w:rsid w:val="008A2696"/>
    <w:rsid w:val="008A2B72"/>
    <w:rsid w:val="008A2C4A"/>
    <w:rsid w:val="008A2CA7"/>
    <w:rsid w:val="008A2D48"/>
    <w:rsid w:val="008A3243"/>
    <w:rsid w:val="008A32E2"/>
    <w:rsid w:val="008A343B"/>
    <w:rsid w:val="008A371E"/>
    <w:rsid w:val="008A3753"/>
    <w:rsid w:val="008A37DF"/>
    <w:rsid w:val="008A3A6C"/>
    <w:rsid w:val="008A3C3F"/>
    <w:rsid w:val="008A3D85"/>
    <w:rsid w:val="008A3DE8"/>
    <w:rsid w:val="008A4245"/>
    <w:rsid w:val="008A4257"/>
    <w:rsid w:val="008A430E"/>
    <w:rsid w:val="008A4422"/>
    <w:rsid w:val="008A44D1"/>
    <w:rsid w:val="008A47ED"/>
    <w:rsid w:val="008A4BA4"/>
    <w:rsid w:val="008A4BFA"/>
    <w:rsid w:val="008A4C30"/>
    <w:rsid w:val="008A4E1D"/>
    <w:rsid w:val="008A4FBE"/>
    <w:rsid w:val="008A51E4"/>
    <w:rsid w:val="008A52C6"/>
    <w:rsid w:val="008A550B"/>
    <w:rsid w:val="008A5826"/>
    <w:rsid w:val="008A5BDF"/>
    <w:rsid w:val="008A6326"/>
    <w:rsid w:val="008A675B"/>
    <w:rsid w:val="008A6786"/>
    <w:rsid w:val="008A67EA"/>
    <w:rsid w:val="008A6B98"/>
    <w:rsid w:val="008A6DBB"/>
    <w:rsid w:val="008A6E53"/>
    <w:rsid w:val="008A70EF"/>
    <w:rsid w:val="008A757E"/>
    <w:rsid w:val="008A7AAB"/>
    <w:rsid w:val="008A7B2B"/>
    <w:rsid w:val="008A7BF2"/>
    <w:rsid w:val="008A7E17"/>
    <w:rsid w:val="008A7EF7"/>
    <w:rsid w:val="008B001E"/>
    <w:rsid w:val="008B01D9"/>
    <w:rsid w:val="008B03E0"/>
    <w:rsid w:val="008B0489"/>
    <w:rsid w:val="008B0840"/>
    <w:rsid w:val="008B0994"/>
    <w:rsid w:val="008B0C31"/>
    <w:rsid w:val="008B0C67"/>
    <w:rsid w:val="008B0D35"/>
    <w:rsid w:val="008B0D3C"/>
    <w:rsid w:val="008B0F8E"/>
    <w:rsid w:val="008B0FAC"/>
    <w:rsid w:val="008B143A"/>
    <w:rsid w:val="008B16D2"/>
    <w:rsid w:val="008B1A48"/>
    <w:rsid w:val="008B1A7F"/>
    <w:rsid w:val="008B1ACA"/>
    <w:rsid w:val="008B1AEA"/>
    <w:rsid w:val="008B21C0"/>
    <w:rsid w:val="008B2272"/>
    <w:rsid w:val="008B227F"/>
    <w:rsid w:val="008B2324"/>
    <w:rsid w:val="008B2351"/>
    <w:rsid w:val="008B28B6"/>
    <w:rsid w:val="008B28B7"/>
    <w:rsid w:val="008B28F2"/>
    <w:rsid w:val="008B2977"/>
    <w:rsid w:val="008B29FC"/>
    <w:rsid w:val="008B2E56"/>
    <w:rsid w:val="008B2FF6"/>
    <w:rsid w:val="008B310A"/>
    <w:rsid w:val="008B3190"/>
    <w:rsid w:val="008B3232"/>
    <w:rsid w:val="008B3358"/>
    <w:rsid w:val="008B346F"/>
    <w:rsid w:val="008B366D"/>
    <w:rsid w:val="008B3765"/>
    <w:rsid w:val="008B3800"/>
    <w:rsid w:val="008B3954"/>
    <w:rsid w:val="008B3DEF"/>
    <w:rsid w:val="008B4182"/>
    <w:rsid w:val="008B430D"/>
    <w:rsid w:val="008B441C"/>
    <w:rsid w:val="008B444E"/>
    <w:rsid w:val="008B4451"/>
    <w:rsid w:val="008B4504"/>
    <w:rsid w:val="008B4748"/>
    <w:rsid w:val="008B484A"/>
    <w:rsid w:val="008B49E5"/>
    <w:rsid w:val="008B4A0B"/>
    <w:rsid w:val="008B4A85"/>
    <w:rsid w:val="008B4E08"/>
    <w:rsid w:val="008B4EF9"/>
    <w:rsid w:val="008B5111"/>
    <w:rsid w:val="008B529B"/>
    <w:rsid w:val="008B5366"/>
    <w:rsid w:val="008B548E"/>
    <w:rsid w:val="008B5587"/>
    <w:rsid w:val="008B577D"/>
    <w:rsid w:val="008B57FD"/>
    <w:rsid w:val="008B587F"/>
    <w:rsid w:val="008B5A94"/>
    <w:rsid w:val="008B5AB9"/>
    <w:rsid w:val="008B5FE3"/>
    <w:rsid w:val="008B5FEF"/>
    <w:rsid w:val="008B6117"/>
    <w:rsid w:val="008B651F"/>
    <w:rsid w:val="008B6772"/>
    <w:rsid w:val="008B67D4"/>
    <w:rsid w:val="008B6A24"/>
    <w:rsid w:val="008B6D2C"/>
    <w:rsid w:val="008B6F65"/>
    <w:rsid w:val="008B70D2"/>
    <w:rsid w:val="008B719E"/>
    <w:rsid w:val="008B7321"/>
    <w:rsid w:val="008B74F1"/>
    <w:rsid w:val="008B753F"/>
    <w:rsid w:val="008B76DB"/>
    <w:rsid w:val="008B784D"/>
    <w:rsid w:val="008B7C35"/>
    <w:rsid w:val="008B7D72"/>
    <w:rsid w:val="008B7E2B"/>
    <w:rsid w:val="008B7F3A"/>
    <w:rsid w:val="008B7F4E"/>
    <w:rsid w:val="008C00C7"/>
    <w:rsid w:val="008C0213"/>
    <w:rsid w:val="008C02B0"/>
    <w:rsid w:val="008C03E7"/>
    <w:rsid w:val="008C066B"/>
    <w:rsid w:val="008C0676"/>
    <w:rsid w:val="008C07C3"/>
    <w:rsid w:val="008C0C7C"/>
    <w:rsid w:val="008C0EA4"/>
    <w:rsid w:val="008C1005"/>
    <w:rsid w:val="008C10E2"/>
    <w:rsid w:val="008C177E"/>
    <w:rsid w:val="008C1871"/>
    <w:rsid w:val="008C1A57"/>
    <w:rsid w:val="008C212D"/>
    <w:rsid w:val="008C2167"/>
    <w:rsid w:val="008C2A98"/>
    <w:rsid w:val="008C2C2A"/>
    <w:rsid w:val="008C2D78"/>
    <w:rsid w:val="008C2DA3"/>
    <w:rsid w:val="008C32EA"/>
    <w:rsid w:val="008C3505"/>
    <w:rsid w:val="008C35FB"/>
    <w:rsid w:val="008C3CA7"/>
    <w:rsid w:val="008C4020"/>
    <w:rsid w:val="008C43C4"/>
    <w:rsid w:val="008C43EC"/>
    <w:rsid w:val="008C44BA"/>
    <w:rsid w:val="008C4557"/>
    <w:rsid w:val="008C47CB"/>
    <w:rsid w:val="008C48D2"/>
    <w:rsid w:val="008C4BBD"/>
    <w:rsid w:val="008C4BEB"/>
    <w:rsid w:val="008C4F5C"/>
    <w:rsid w:val="008C5069"/>
    <w:rsid w:val="008C510B"/>
    <w:rsid w:val="008C512C"/>
    <w:rsid w:val="008C5316"/>
    <w:rsid w:val="008C53EB"/>
    <w:rsid w:val="008C5770"/>
    <w:rsid w:val="008C578F"/>
    <w:rsid w:val="008C5823"/>
    <w:rsid w:val="008C59B6"/>
    <w:rsid w:val="008C59F5"/>
    <w:rsid w:val="008C5CD5"/>
    <w:rsid w:val="008C5E6C"/>
    <w:rsid w:val="008C624B"/>
    <w:rsid w:val="008C6272"/>
    <w:rsid w:val="008C697A"/>
    <w:rsid w:val="008C70F5"/>
    <w:rsid w:val="008C7682"/>
    <w:rsid w:val="008C7795"/>
    <w:rsid w:val="008C790A"/>
    <w:rsid w:val="008C79EF"/>
    <w:rsid w:val="008C7A19"/>
    <w:rsid w:val="008C7E72"/>
    <w:rsid w:val="008D0053"/>
    <w:rsid w:val="008D0239"/>
    <w:rsid w:val="008D024D"/>
    <w:rsid w:val="008D0587"/>
    <w:rsid w:val="008D0695"/>
    <w:rsid w:val="008D071E"/>
    <w:rsid w:val="008D0B16"/>
    <w:rsid w:val="008D0B64"/>
    <w:rsid w:val="008D0B74"/>
    <w:rsid w:val="008D0C2C"/>
    <w:rsid w:val="008D12C4"/>
    <w:rsid w:val="008D14C1"/>
    <w:rsid w:val="008D1A0E"/>
    <w:rsid w:val="008D1BFD"/>
    <w:rsid w:val="008D1FBC"/>
    <w:rsid w:val="008D1FD1"/>
    <w:rsid w:val="008D20B4"/>
    <w:rsid w:val="008D2104"/>
    <w:rsid w:val="008D2238"/>
    <w:rsid w:val="008D239F"/>
    <w:rsid w:val="008D25F3"/>
    <w:rsid w:val="008D2A1E"/>
    <w:rsid w:val="008D2AEC"/>
    <w:rsid w:val="008D2B67"/>
    <w:rsid w:val="008D2C0D"/>
    <w:rsid w:val="008D2DEF"/>
    <w:rsid w:val="008D2EB0"/>
    <w:rsid w:val="008D2F17"/>
    <w:rsid w:val="008D375D"/>
    <w:rsid w:val="008D38F2"/>
    <w:rsid w:val="008D3973"/>
    <w:rsid w:val="008D3A57"/>
    <w:rsid w:val="008D3AE0"/>
    <w:rsid w:val="008D3BB8"/>
    <w:rsid w:val="008D3D84"/>
    <w:rsid w:val="008D3E52"/>
    <w:rsid w:val="008D3EE5"/>
    <w:rsid w:val="008D3F31"/>
    <w:rsid w:val="008D3F8F"/>
    <w:rsid w:val="008D43C2"/>
    <w:rsid w:val="008D44DD"/>
    <w:rsid w:val="008D4675"/>
    <w:rsid w:val="008D4743"/>
    <w:rsid w:val="008D48DA"/>
    <w:rsid w:val="008D4987"/>
    <w:rsid w:val="008D4A5B"/>
    <w:rsid w:val="008D4B32"/>
    <w:rsid w:val="008D4DD4"/>
    <w:rsid w:val="008D4EA5"/>
    <w:rsid w:val="008D530E"/>
    <w:rsid w:val="008D54C3"/>
    <w:rsid w:val="008D572F"/>
    <w:rsid w:val="008D594D"/>
    <w:rsid w:val="008D59F8"/>
    <w:rsid w:val="008D5A97"/>
    <w:rsid w:val="008D5B0F"/>
    <w:rsid w:val="008D5B26"/>
    <w:rsid w:val="008D5BFF"/>
    <w:rsid w:val="008D5C87"/>
    <w:rsid w:val="008D5CF8"/>
    <w:rsid w:val="008D5DE4"/>
    <w:rsid w:val="008D6285"/>
    <w:rsid w:val="008D6384"/>
    <w:rsid w:val="008D63EF"/>
    <w:rsid w:val="008D6683"/>
    <w:rsid w:val="008D68AA"/>
    <w:rsid w:val="008D6C4C"/>
    <w:rsid w:val="008D6C54"/>
    <w:rsid w:val="008D70D2"/>
    <w:rsid w:val="008D76BE"/>
    <w:rsid w:val="008D78C9"/>
    <w:rsid w:val="008D7D76"/>
    <w:rsid w:val="008D7F0A"/>
    <w:rsid w:val="008D7F49"/>
    <w:rsid w:val="008D7FE9"/>
    <w:rsid w:val="008E00E7"/>
    <w:rsid w:val="008E0478"/>
    <w:rsid w:val="008E04AA"/>
    <w:rsid w:val="008E05BA"/>
    <w:rsid w:val="008E077B"/>
    <w:rsid w:val="008E09DF"/>
    <w:rsid w:val="008E0A44"/>
    <w:rsid w:val="008E0AB1"/>
    <w:rsid w:val="008E0C31"/>
    <w:rsid w:val="008E0C60"/>
    <w:rsid w:val="008E0CDD"/>
    <w:rsid w:val="008E0F60"/>
    <w:rsid w:val="008E11CA"/>
    <w:rsid w:val="008E12AA"/>
    <w:rsid w:val="008E15A6"/>
    <w:rsid w:val="008E175A"/>
    <w:rsid w:val="008E1767"/>
    <w:rsid w:val="008E1891"/>
    <w:rsid w:val="008E1BCD"/>
    <w:rsid w:val="008E1C36"/>
    <w:rsid w:val="008E1F24"/>
    <w:rsid w:val="008E2036"/>
    <w:rsid w:val="008E2475"/>
    <w:rsid w:val="008E263C"/>
    <w:rsid w:val="008E2726"/>
    <w:rsid w:val="008E296E"/>
    <w:rsid w:val="008E2E67"/>
    <w:rsid w:val="008E2F9E"/>
    <w:rsid w:val="008E2FF8"/>
    <w:rsid w:val="008E30FE"/>
    <w:rsid w:val="008E336D"/>
    <w:rsid w:val="008E34E1"/>
    <w:rsid w:val="008E354B"/>
    <w:rsid w:val="008E376C"/>
    <w:rsid w:val="008E3A8C"/>
    <w:rsid w:val="008E3BA7"/>
    <w:rsid w:val="008E3E0C"/>
    <w:rsid w:val="008E3E5E"/>
    <w:rsid w:val="008E41E0"/>
    <w:rsid w:val="008E4361"/>
    <w:rsid w:val="008E4382"/>
    <w:rsid w:val="008E44C7"/>
    <w:rsid w:val="008E4544"/>
    <w:rsid w:val="008E464D"/>
    <w:rsid w:val="008E46CF"/>
    <w:rsid w:val="008E492F"/>
    <w:rsid w:val="008E4A09"/>
    <w:rsid w:val="008E521F"/>
    <w:rsid w:val="008E538D"/>
    <w:rsid w:val="008E54FB"/>
    <w:rsid w:val="008E560D"/>
    <w:rsid w:val="008E5635"/>
    <w:rsid w:val="008E57C4"/>
    <w:rsid w:val="008E5CB9"/>
    <w:rsid w:val="008E5D5D"/>
    <w:rsid w:val="008E5FC1"/>
    <w:rsid w:val="008E66EE"/>
    <w:rsid w:val="008E689C"/>
    <w:rsid w:val="008E6A5A"/>
    <w:rsid w:val="008E6BBD"/>
    <w:rsid w:val="008E6C01"/>
    <w:rsid w:val="008E6EA8"/>
    <w:rsid w:val="008E6F6D"/>
    <w:rsid w:val="008E6FE7"/>
    <w:rsid w:val="008E704E"/>
    <w:rsid w:val="008E7353"/>
    <w:rsid w:val="008E75C0"/>
    <w:rsid w:val="008E760B"/>
    <w:rsid w:val="008E764A"/>
    <w:rsid w:val="008E7B34"/>
    <w:rsid w:val="008E7CF5"/>
    <w:rsid w:val="008E7EEB"/>
    <w:rsid w:val="008F0004"/>
    <w:rsid w:val="008F0042"/>
    <w:rsid w:val="008F00EA"/>
    <w:rsid w:val="008F0273"/>
    <w:rsid w:val="008F027A"/>
    <w:rsid w:val="008F030C"/>
    <w:rsid w:val="008F038A"/>
    <w:rsid w:val="008F0479"/>
    <w:rsid w:val="008F07B5"/>
    <w:rsid w:val="008F07C5"/>
    <w:rsid w:val="008F08BC"/>
    <w:rsid w:val="008F08CD"/>
    <w:rsid w:val="008F09DE"/>
    <w:rsid w:val="008F0B07"/>
    <w:rsid w:val="008F0B64"/>
    <w:rsid w:val="008F0C3C"/>
    <w:rsid w:val="008F0DE1"/>
    <w:rsid w:val="008F1154"/>
    <w:rsid w:val="008F11D2"/>
    <w:rsid w:val="008F12C2"/>
    <w:rsid w:val="008F1308"/>
    <w:rsid w:val="008F16FA"/>
    <w:rsid w:val="008F1728"/>
    <w:rsid w:val="008F1760"/>
    <w:rsid w:val="008F17CB"/>
    <w:rsid w:val="008F18E3"/>
    <w:rsid w:val="008F1936"/>
    <w:rsid w:val="008F1993"/>
    <w:rsid w:val="008F19E3"/>
    <w:rsid w:val="008F1A50"/>
    <w:rsid w:val="008F1B49"/>
    <w:rsid w:val="008F1B92"/>
    <w:rsid w:val="008F1E20"/>
    <w:rsid w:val="008F1E27"/>
    <w:rsid w:val="008F1EB4"/>
    <w:rsid w:val="008F1ED9"/>
    <w:rsid w:val="008F2065"/>
    <w:rsid w:val="008F2174"/>
    <w:rsid w:val="008F21ED"/>
    <w:rsid w:val="008F23A9"/>
    <w:rsid w:val="008F24D8"/>
    <w:rsid w:val="008F2869"/>
    <w:rsid w:val="008F28CD"/>
    <w:rsid w:val="008F2984"/>
    <w:rsid w:val="008F2A03"/>
    <w:rsid w:val="008F2BA6"/>
    <w:rsid w:val="008F2BE3"/>
    <w:rsid w:val="008F2E56"/>
    <w:rsid w:val="008F3134"/>
    <w:rsid w:val="008F3265"/>
    <w:rsid w:val="008F335C"/>
    <w:rsid w:val="008F3511"/>
    <w:rsid w:val="008F3801"/>
    <w:rsid w:val="008F39D3"/>
    <w:rsid w:val="008F39D8"/>
    <w:rsid w:val="008F3AB0"/>
    <w:rsid w:val="008F3B01"/>
    <w:rsid w:val="008F3C23"/>
    <w:rsid w:val="008F3CDC"/>
    <w:rsid w:val="008F3E1A"/>
    <w:rsid w:val="008F3F43"/>
    <w:rsid w:val="008F45DB"/>
    <w:rsid w:val="008F4881"/>
    <w:rsid w:val="008F4A00"/>
    <w:rsid w:val="008F4A25"/>
    <w:rsid w:val="008F4F01"/>
    <w:rsid w:val="008F51A9"/>
    <w:rsid w:val="008F5683"/>
    <w:rsid w:val="008F5768"/>
    <w:rsid w:val="008F57E7"/>
    <w:rsid w:val="008F6079"/>
    <w:rsid w:val="008F6374"/>
    <w:rsid w:val="008F6497"/>
    <w:rsid w:val="008F6526"/>
    <w:rsid w:val="008F6596"/>
    <w:rsid w:val="008F67E8"/>
    <w:rsid w:val="008F691A"/>
    <w:rsid w:val="008F6B6D"/>
    <w:rsid w:val="008F6B8D"/>
    <w:rsid w:val="008F6BB8"/>
    <w:rsid w:val="008F6C4C"/>
    <w:rsid w:val="008F7035"/>
    <w:rsid w:val="008F7198"/>
    <w:rsid w:val="008F7241"/>
    <w:rsid w:val="008F7285"/>
    <w:rsid w:val="008F7315"/>
    <w:rsid w:val="008F773E"/>
    <w:rsid w:val="008F7A7C"/>
    <w:rsid w:val="008F7D17"/>
    <w:rsid w:val="00900148"/>
    <w:rsid w:val="00900398"/>
    <w:rsid w:val="009003DB"/>
    <w:rsid w:val="00900564"/>
    <w:rsid w:val="0090074B"/>
    <w:rsid w:val="00900A77"/>
    <w:rsid w:val="00900B62"/>
    <w:rsid w:val="00900C10"/>
    <w:rsid w:val="00901031"/>
    <w:rsid w:val="00901092"/>
    <w:rsid w:val="009010CC"/>
    <w:rsid w:val="009012C0"/>
    <w:rsid w:val="00901334"/>
    <w:rsid w:val="00901A52"/>
    <w:rsid w:val="00901AD9"/>
    <w:rsid w:val="00901B9A"/>
    <w:rsid w:val="00901CF2"/>
    <w:rsid w:val="00901D43"/>
    <w:rsid w:val="00901DD4"/>
    <w:rsid w:val="0090240F"/>
    <w:rsid w:val="0090257F"/>
    <w:rsid w:val="009027A3"/>
    <w:rsid w:val="009027BC"/>
    <w:rsid w:val="00902A1F"/>
    <w:rsid w:val="00902A67"/>
    <w:rsid w:val="00902B8E"/>
    <w:rsid w:val="00902BA1"/>
    <w:rsid w:val="00902D0F"/>
    <w:rsid w:val="00902DD5"/>
    <w:rsid w:val="00902E76"/>
    <w:rsid w:val="00902F9F"/>
    <w:rsid w:val="00903148"/>
    <w:rsid w:val="009031B3"/>
    <w:rsid w:val="009032C1"/>
    <w:rsid w:val="009034A9"/>
    <w:rsid w:val="009037F8"/>
    <w:rsid w:val="00903804"/>
    <w:rsid w:val="009039C7"/>
    <w:rsid w:val="00903EA4"/>
    <w:rsid w:val="00903F28"/>
    <w:rsid w:val="00903F45"/>
    <w:rsid w:val="00904067"/>
    <w:rsid w:val="00904284"/>
    <w:rsid w:val="009043FD"/>
    <w:rsid w:val="009044F8"/>
    <w:rsid w:val="00904B42"/>
    <w:rsid w:val="00904EF5"/>
    <w:rsid w:val="00905012"/>
    <w:rsid w:val="009050A9"/>
    <w:rsid w:val="009050B9"/>
    <w:rsid w:val="009050F3"/>
    <w:rsid w:val="00905191"/>
    <w:rsid w:val="0090519D"/>
    <w:rsid w:val="0090528B"/>
    <w:rsid w:val="009052BE"/>
    <w:rsid w:val="00905303"/>
    <w:rsid w:val="0090539E"/>
    <w:rsid w:val="00905BCD"/>
    <w:rsid w:val="00905C42"/>
    <w:rsid w:val="00905CC8"/>
    <w:rsid w:val="00905E4A"/>
    <w:rsid w:val="00905EA4"/>
    <w:rsid w:val="00905F2B"/>
    <w:rsid w:val="00905FDD"/>
    <w:rsid w:val="009064A9"/>
    <w:rsid w:val="009064FA"/>
    <w:rsid w:val="0090666A"/>
    <w:rsid w:val="009067C9"/>
    <w:rsid w:val="00906821"/>
    <w:rsid w:val="00906BD2"/>
    <w:rsid w:val="00906E88"/>
    <w:rsid w:val="0090725F"/>
    <w:rsid w:val="009072B0"/>
    <w:rsid w:val="0090758A"/>
    <w:rsid w:val="009075CD"/>
    <w:rsid w:val="00907674"/>
    <w:rsid w:val="0090783B"/>
    <w:rsid w:val="00907E03"/>
    <w:rsid w:val="0091000D"/>
    <w:rsid w:val="00910086"/>
    <w:rsid w:val="0091016E"/>
    <w:rsid w:val="009105F5"/>
    <w:rsid w:val="0091065F"/>
    <w:rsid w:val="009107F5"/>
    <w:rsid w:val="0091089C"/>
    <w:rsid w:val="00910A3A"/>
    <w:rsid w:val="00910A56"/>
    <w:rsid w:val="00910B4E"/>
    <w:rsid w:val="00910BC3"/>
    <w:rsid w:val="00910BEA"/>
    <w:rsid w:val="00910C2D"/>
    <w:rsid w:val="009112E9"/>
    <w:rsid w:val="0091157E"/>
    <w:rsid w:val="0091175C"/>
    <w:rsid w:val="009118C7"/>
    <w:rsid w:val="009119B4"/>
    <w:rsid w:val="00911C6D"/>
    <w:rsid w:val="00911CB2"/>
    <w:rsid w:val="00911E43"/>
    <w:rsid w:val="00912057"/>
    <w:rsid w:val="00912087"/>
    <w:rsid w:val="00912278"/>
    <w:rsid w:val="009122BD"/>
    <w:rsid w:val="00912366"/>
    <w:rsid w:val="009124F6"/>
    <w:rsid w:val="00912580"/>
    <w:rsid w:val="009125CF"/>
    <w:rsid w:val="009127EE"/>
    <w:rsid w:val="00912855"/>
    <w:rsid w:val="0091287B"/>
    <w:rsid w:val="009128C6"/>
    <w:rsid w:val="009128E7"/>
    <w:rsid w:val="009128F5"/>
    <w:rsid w:val="009128FE"/>
    <w:rsid w:val="0091295F"/>
    <w:rsid w:val="00912986"/>
    <w:rsid w:val="009129C3"/>
    <w:rsid w:val="00912A3F"/>
    <w:rsid w:val="00912DAB"/>
    <w:rsid w:val="00912E63"/>
    <w:rsid w:val="00912F36"/>
    <w:rsid w:val="00913055"/>
    <w:rsid w:val="00913282"/>
    <w:rsid w:val="00913A90"/>
    <w:rsid w:val="00913A96"/>
    <w:rsid w:val="00913B6D"/>
    <w:rsid w:val="00913B89"/>
    <w:rsid w:val="00913CBF"/>
    <w:rsid w:val="00913CF8"/>
    <w:rsid w:val="00913D9A"/>
    <w:rsid w:val="00914427"/>
    <w:rsid w:val="0091443A"/>
    <w:rsid w:val="00914442"/>
    <w:rsid w:val="0091472A"/>
    <w:rsid w:val="00914B48"/>
    <w:rsid w:val="00914B87"/>
    <w:rsid w:val="00914D4F"/>
    <w:rsid w:val="00914D80"/>
    <w:rsid w:val="0091500E"/>
    <w:rsid w:val="00915090"/>
    <w:rsid w:val="00915252"/>
    <w:rsid w:val="009153BF"/>
    <w:rsid w:val="00915535"/>
    <w:rsid w:val="00915673"/>
    <w:rsid w:val="00915B4C"/>
    <w:rsid w:val="00915F29"/>
    <w:rsid w:val="00916049"/>
    <w:rsid w:val="00916223"/>
    <w:rsid w:val="00916815"/>
    <w:rsid w:val="00916ACB"/>
    <w:rsid w:val="00916D07"/>
    <w:rsid w:val="009170FA"/>
    <w:rsid w:val="00917103"/>
    <w:rsid w:val="009176A6"/>
    <w:rsid w:val="0091791B"/>
    <w:rsid w:val="00917BC8"/>
    <w:rsid w:val="00917BE8"/>
    <w:rsid w:val="00917C74"/>
    <w:rsid w:val="00917F20"/>
    <w:rsid w:val="00917FCC"/>
    <w:rsid w:val="00920150"/>
    <w:rsid w:val="00920278"/>
    <w:rsid w:val="00920477"/>
    <w:rsid w:val="00920679"/>
    <w:rsid w:val="009207CE"/>
    <w:rsid w:val="00920A6C"/>
    <w:rsid w:val="00920F26"/>
    <w:rsid w:val="0092106A"/>
    <w:rsid w:val="0092144C"/>
    <w:rsid w:val="00921669"/>
    <w:rsid w:val="0092185A"/>
    <w:rsid w:val="00921926"/>
    <w:rsid w:val="0092192D"/>
    <w:rsid w:val="00921EA3"/>
    <w:rsid w:val="00922082"/>
    <w:rsid w:val="009222A9"/>
    <w:rsid w:val="009223EE"/>
    <w:rsid w:val="00922573"/>
    <w:rsid w:val="00922A6C"/>
    <w:rsid w:val="00922C25"/>
    <w:rsid w:val="00922D2A"/>
    <w:rsid w:val="00922EFA"/>
    <w:rsid w:val="0092329D"/>
    <w:rsid w:val="009236A3"/>
    <w:rsid w:val="0092392F"/>
    <w:rsid w:val="00923A20"/>
    <w:rsid w:val="00923BC4"/>
    <w:rsid w:val="00923E73"/>
    <w:rsid w:val="00924235"/>
    <w:rsid w:val="0092479A"/>
    <w:rsid w:val="009248BC"/>
    <w:rsid w:val="00924935"/>
    <w:rsid w:val="00924A4B"/>
    <w:rsid w:val="00924A80"/>
    <w:rsid w:val="00924D9D"/>
    <w:rsid w:val="009251A8"/>
    <w:rsid w:val="009252AF"/>
    <w:rsid w:val="00925369"/>
    <w:rsid w:val="0092545B"/>
    <w:rsid w:val="00925715"/>
    <w:rsid w:val="0092573A"/>
    <w:rsid w:val="009257A8"/>
    <w:rsid w:val="00925943"/>
    <w:rsid w:val="00925967"/>
    <w:rsid w:val="00925A1F"/>
    <w:rsid w:val="00925DA6"/>
    <w:rsid w:val="00925E05"/>
    <w:rsid w:val="00925F67"/>
    <w:rsid w:val="00925FDB"/>
    <w:rsid w:val="00925FE0"/>
    <w:rsid w:val="009260EE"/>
    <w:rsid w:val="00926126"/>
    <w:rsid w:val="00926152"/>
    <w:rsid w:val="00926233"/>
    <w:rsid w:val="009262EB"/>
    <w:rsid w:val="0092647B"/>
    <w:rsid w:val="009265B4"/>
    <w:rsid w:val="009266F8"/>
    <w:rsid w:val="00926A0D"/>
    <w:rsid w:val="00926B9B"/>
    <w:rsid w:val="00926C44"/>
    <w:rsid w:val="00926E16"/>
    <w:rsid w:val="009270BB"/>
    <w:rsid w:val="0092717F"/>
    <w:rsid w:val="00927456"/>
    <w:rsid w:val="0092753B"/>
    <w:rsid w:val="00927934"/>
    <w:rsid w:val="00927AEF"/>
    <w:rsid w:val="009300CC"/>
    <w:rsid w:val="009301BD"/>
    <w:rsid w:val="009304DE"/>
    <w:rsid w:val="009305D2"/>
    <w:rsid w:val="0093071D"/>
    <w:rsid w:val="00930CA0"/>
    <w:rsid w:val="00930F33"/>
    <w:rsid w:val="00930F85"/>
    <w:rsid w:val="0093106C"/>
    <w:rsid w:val="009312F5"/>
    <w:rsid w:val="009314A6"/>
    <w:rsid w:val="00931768"/>
    <w:rsid w:val="00931931"/>
    <w:rsid w:val="00931B16"/>
    <w:rsid w:val="00931BB1"/>
    <w:rsid w:val="00931CED"/>
    <w:rsid w:val="00931FC3"/>
    <w:rsid w:val="00932468"/>
    <w:rsid w:val="00932585"/>
    <w:rsid w:val="0093287A"/>
    <w:rsid w:val="00932966"/>
    <w:rsid w:val="009329BF"/>
    <w:rsid w:val="00932BF9"/>
    <w:rsid w:val="00932D6E"/>
    <w:rsid w:val="0093358F"/>
    <w:rsid w:val="009336B8"/>
    <w:rsid w:val="00933744"/>
    <w:rsid w:val="009339AD"/>
    <w:rsid w:val="00933A86"/>
    <w:rsid w:val="00933B46"/>
    <w:rsid w:val="00933B94"/>
    <w:rsid w:val="00933F0B"/>
    <w:rsid w:val="00933FB3"/>
    <w:rsid w:val="009341D3"/>
    <w:rsid w:val="00934736"/>
    <w:rsid w:val="009348BA"/>
    <w:rsid w:val="00934D1B"/>
    <w:rsid w:val="00934F88"/>
    <w:rsid w:val="00935346"/>
    <w:rsid w:val="0093577E"/>
    <w:rsid w:val="00935802"/>
    <w:rsid w:val="0093594F"/>
    <w:rsid w:val="009359E5"/>
    <w:rsid w:val="00935D32"/>
    <w:rsid w:val="00935D4F"/>
    <w:rsid w:val="00935EC0"/>
    <w:rsid w:val="00935FDD"/>
    <w:rsid w:val="0093614B"/>
    <w:rsid w:val="009361D9"/>
    <w:rsid w:val="00936253"/>
    <w:rsid w:val="009362E0"/>
    <w:rsid w:val="009362E6"/>
    <w:rsid w:val="00936520"/>
    <w:rsid w:val="00936593"/>
    <w:rsid w:val="00936846"/>
    <w:rsid w:val="00936BF6"/>
    <w:rsid w:val="00936CBD"/>
    <w:rsid w:val="00936CE1"/>
    <w:rsid w:val="00936D31"/>
    <w:rsid w:val="00936D76"/>
    <w:rsid w:val="00936D96"/>
    <w:rsid w:val="00936E7B"/>
    <w:rsid w:val="00936F0B"/>
    <w:rsid w:val="00937101"/>
    <w:rsid w:val="00937115"/>
    <w:rsid w:val="009371BE"/>
    <w:rsid w:val="00937448"/>
    <w:rsid w:val="00937603"/>
    <w:rsid w:val="00937C4E"/>
    <w:rsid w:val="00937F6E"/>
    <w:rsid w:val="00940154"/>
    <w:rsid w:val="00940172"/>
    <w:rsid w:val="0094029F"/>
    <w:rsid w:val="009406E6"/>
    <w:rsid w:val="0094085F"/>
    <w:rsid w:val="00940A1C"/>
    <w:rsid w:val="00940B02"/>
    <w:rsid w:val="00940CAE"/>
    <w:rsid w:val="00940CF0"/>
    <w:rsid w:val="00941026"/>
    <w:rsid w:val="00941138"/>
    <w:rsid w:val="0094124F"/>
    <w:rsid w:val="0094166F"/>
    <w:rsid w:val="0094167E"/>
    <w:rsid w:val="00941C09"/>
    <w:rsid w:val="00941D93"/>
    <w:rsid w:val="00941FFB"/>
    <w:rsid w:val="00942189"/>
    <w:rsid w:val="00942233"/>
    <w:rsid w:val="00942421"/>
    <w:rsid w:val="009426AF"/>
    <w:rsid w:val="009427F1"/>
    <w:rsid w:val="00942865"/>
    <w:rsid w:val="00942A0B"/>
    <w:rsid w:val="00942EFB"/>
    <w:rsid w:val="0094306F"/>
    <w:rsid w:val="00943217"/>
    <w:rsid w:val="009434EE"/>
    <w:rsid w:val="00943623"/>
    <w:rsid w:val="00943B56"/>
    <w:rsid w:val="00943B79"/>
    <w:rsid w:val="00943C97"/>
    <w:rsid w:val="00944165"/>
    <w:rsid w:val="0094420F"/>
    <w:rsid w:val="0094425C"/>
    <w:rsid w:val="009446B7"/>
    <w:rsid w:val="009446BD"/>
    <w:rsid w:val="0094481E"/>
    <w:rsid w:val="00944BC0"/>
    <w:rsid w:val="00944CA7"/>
    <w:rsid w:val="00944EA1"/>
    <w:rsid w:val="0094514B"/>
    <w:rsid w:val="00945157"/>
    <w:rsid w:val="0094571D"/>
    <w:rsid w:val="00945963"/>
    <w:rsid w:val="00945A05"/>
    <w:rsid w:val="00945DC1"/>
    <w:rsid w:val="00945F38"/>
    <w:rsid w:val="00946010"/>
    <w:rsid w:val="0094663B"/>
    <w:rsid w:val="00946A27"/>
    <w:rsid w:val="00946E50"/>
    <w:rsid w:val="00946F59"/>
    <w:rsid w:val="00946F65"/>
    <w:rsid w:val="00946FD9"/>
    <w:rsid w:val="0094711D"/>
    <w:rsid w:val="00947135"/>
    <w:rsid w:val="009473BC"/>
    <w:rsid w:val="00947739"/>
    <w:rsid w:val="00947847"/>
    <w:rsid w:val="009478C3"/>
    <w:rsid w:val="00947ACA"/>
    <w:rsid w:val="00947DA5"/>
    <w:rsid w:val="00947F8E"/>
    <w:rsid w:val="009500BF"/>
    <w:rsid w:val="0095029B"/>
    <w:rsid w:val="00950455"/>
    <w:rsid w:val="00950620"/>
    <w:rsid w:val="0095067A"/>
    <w:rsid w:val="0095070E"/>
    <w:rsid w:val="0095092A"/>
    <w:rsid w:val="00950B8D"/>
    <w:rsid w:val="00950E76"/>
    <w:rsid w:val="00950FF8"/>
    <w:rsid w:val="009511D7"/>
    <w:rsid w:val="00951233"/>
    <w:rsid w:val="00951252"/>
    <w:rsid w:val="009512CC"/>
    <w:rsid w:val="00951461"/>
    <w:rsid w:val="0095166E"/>
    <w:rsid w:val="00951A88"/>
    <w:rsid w:val="00951CD7"/>
    <w:rsid w:val="00951FF6"/>
    <w:rsid w:val="00952150"/>
    <w:rsid w:val="0095254B"/>
    <w:rsid w:val="0095269C"/>
    <w:rsid w:val="0095295B"/>
    <w:rsid w:val="0095299C"/>
    <w:rsid w:val="00952AC6"/>
    <w:rsid w:val="00952F73"/>
    <w:rsid w:val="0095328D"/>
    <w:rsid w:val="00953376"/>
    <w:rsid w:val="009535C8"/>
    <w:rsid w:val="00953613"/>
    <w:rsid w:val="00953AE2"/>
    <w:rsid w:val="00953D5A"/>
    <w:rsid w:val="00954136"/>
    <w:rsid w:val="00954139"/>
    <w:rsid w:val="0095420A"/>
    <w:rsid w:val="009543FA"/>
    <w:rsid w:val="00954490"/>
    <w:rsid w:val="00954596"/>
    <w:rsid w:val="009549D0"/>
    <w:rsid w:val="00954B45"/>
    <w:rsid w:val="00954BEC"/>
    <w:rsid w:val="00954F06"/>
    <w:rsid w:val="009550B8"/>
    <w:rsid w:val="00955288"/>
    <w:rsid w:val="009553C4"/>
    <w:rsid w:val="00955439"/>
    <w:rsid w:val="00955624"/>
    <w:rsid w:val="0095565C"/>
    <w:rsid w:val="009556A7"/>
    <w:rsid w:val="009557A9"/>
    <w:rsid w:val="009557FB"/>
    <w:rsid w:val="00955928"/>
    <w:rsid w:val="00955944"/>
    <w:rsid w:val="00955A2A"/>
    <w:rsid w:val="00955AF0"/>
    <w:rsid w:val="00955B91"/>
    <w:rsid w:val="00955C2C"/>
    <w:rsid w:val="00955F04"/>
    <w:rsid w:val="00956502"/>
    <w:rsid w:val="009568C0"/>
    <w:rsid w:val="009568C9"/>
    <w:rsid w:val="00956BAE"/>
    <w:rsid w:val="00956DE6"/>
    <w:rsid w:val="00956F79"/>
    <w:rsid w:val="00956FFC"/>
    <w:rsid w:val="009573AB"/>
    <w:rsid w:val="00957471"/>
    <w:rsid w:val="009577F2"/>
    <w:rsid w:val="00957833"/>
    <w:rsid w:val="00957865"/>
    <w:rsid w:val="0096014D"/>
    <w:rsid w:val="0096015F"/>
    <w:rsid w:val="009603D1"/>
    <w:rsid w:val="009603DB"/>
    <w:rsid w:val="009603F3"/>
    <w:rsid w:val="0096041D"/>
    <w:rsid w:val="009608E0"/>
    <w:rsid w:val="00960A93"/>
    <w:rsid w:val="00960BE0"/>
    <w:rsid w:val="00960BFB"/>
    <w:rsid w:val="00960E45"/>
    <w:rsid w:val="00961071"/>
    <w:rsid w:val="009610CF"/>
    <w:rsid w:val="00961234"/>
    <w:rsid w:val="009613B4"/>
    <w:rsid w:val="009616B3"/>
    <w:rsid w:val="00961753"/>
    <w:rsid w:val="00961B65"/>
    <w:rsid w:val="00961C55"/>
    <w:rsid w:val="00961D09"/>
    <w:rsid w:val="00961F65"/>
    <w:rsid w:val="00961F8B"/>
    <w:rsid w:val="0096210C"/>
    <w:rsid w:val="00962131"/>
    <w:rsid w:val="009621FD"/>
    <w:rsid w:val="0096238D"/>
    <w:rsid w:val="009623D6"/>
    <w:rsid w:val="0096267A"/>
    <w:rsid w:val="00962971"/>
    <w:rsid w:val="009629A5"/>
    <w:rsid w:val="009629DB"/>
    <w:rsid w:val="00962AB9"/>
    <w:rsid w:val="00962B02"/>
    <w:rsid w:val="00962F1E"/>
    <w:rsid w:val="00963132"/>
    <w:rsid w:val="00963373"/>
    <w:rsid w:val="009635EC"/>
    <w:rsid w:val="0096367A"/>
    <w:rsid w:val="00963700"/>
    <w:rsid w:val="0096370E"/>
    <w:rsid w:val="009637F7"/>
    <w:rsid w:val="009638BA"/>
    <w:rsid w:val="009639B9"/>
    <w:rsid w:val="00963A3C"/>
    <w:rsid w:val="00963DC8"/>
    <w:rsid w:val="00963DCC"/>
    <w:rsid w:val="009640A0"/>
    <w:rsid w:val="009640BB"/>
    <w:rsid w:val="009640E4"/>
    <w:rsid w:val="009644AE"/>
    <w:rsid w:val="00964764"/>
    <w:rsid w:val="00964AD7"/>
    <w:rsid w:val="00964D32"/>
    <w:rsid w:val="00964E7F"/>
    <w:rsid w:val="00964F93"/>
    <w:rsid w:val="0096545F"/>
    <w:rsid w:val="009658B6"/>
    <w:rsid w:val="00965969"/>
    <w:rsid w:val="00965B9A"/>
    <w:rsid w:val="00965CFA"/>
    <w:rsid w:val="00965D16"/>
    <w:rsid w:val="00965FCF"/>
    <w:rsid w:val="009660FE"/>
    <w:rsid w:val="009662F3"/>
    <w:rsid w:val="009665E9"/>
    <w:rsid w:val="00966920"/>
    <w:rsid w:val="00966C14"/>
    <w:rsid w:val="00966F3F"/>
    <w:rsid w:val="00966F82"/>
    <w:rsid w:val="00967078"/>
    <w:rsid w:val="00967131"/>
    <w:rsid w:val="00967172"/>
    <w:rsid w:val="009672F3"/>
    <w:rsid w:val="00967394"/>
    <w:rsid w:val="0096746A"/>
    <w:rsid w:val="009674DF"/>
    <w:rsid w:val="00967521"/>
    <w:rsid w:val="0096756B"/>
    <w:rsid w:val="00967DE5"/>
    <w:rsid w:val="00967F30"/>
    <w:rsid w:val="009703D0"/>
    <w:rsid w:val="00970574"/>
    <w:rsid w:val="00970782"/>
    <w:rsid w:val="00970821"/>
    <w:rsid w:val="00970BBE"/>
    <w:rsid w:val="00970C8D"/>
    <w:rsid w:val="00970D3A"/>
    <w:rsid w:val="00970FAA"/>
    <w:rsid w:val="00970FB9"/>
    <w:rsid w:val="00971113"/>
    <w:rsid w:val="009711C2"/>
    <w:rsid w:val="0097129F"/>
    <w:rsid w:val="0097142F"/>
    <w:rsid w:val="00971441"/>
    <w:rsid w:val="00971572"/>
    <w:rsid w:val="00971670"/>
    <w:rsid w:val="00971B59"/>
    <w:rsid w:val="00971BC4"/>
    <w:rsid w:val="00971C5D"/>
    <w:rsid w:val="00971DDD"/>
    <w:rsid w:val="009725AE"/>
    <w:rsid w:val="009725DC"/>
    <w:rsid w:val="009725FF"/>
    <w:rsid w:val="00972649"/>
    <w:rsid w:val="009726F5"/>
    <w:rsid w:val="00972789"/>
    <w:rsid w:val="009727B0"/>
    <w:rsid w:val="00972B47"/>
    <w:rsid w:val="00972C02"/>
    <w:rsid w:val="00972F1D"/>
    <w:rsid w:val="00973024"/>
    <w:rsid w:val="00973049"/>
    <w:rsid w:val="009731E4"/>
    <w:rsid w:val="0097335C"/>
    <w:rsid w:val="009733D8"/>
    <w:rsid w:val="00973546"/>
    <w:rsid w:val="009736CE"/>
    <w:rsid w:val="00973C24"/>
    <w:rsid w:val="00973C53"/>
    <w:rsid w:val="00973D1A"/>
    <w:rsid w:val="00973E1E"/>
    <w:rsid w:val="0097431F"/>
    <w:rsid w:val="00974431"/>
    <w:rsid w:val="0097460E"/>
    <w:rsid w:val="009746AE"/>
    <w:rsid w:val="00974859"/>
    <w:rsid w:val="00974B31"/>
    <w:rsid w:val="00974BA1"/>
    <w:rsid w:val="00974BA7"/>
    <w:rsid w:val="00974D05"/>
    <w:rsid w:val="00974D2F"/>
    <w:rsid w:val="00975224"/>
    <w:rsid w:val="009756CF"/>
    <w:rsid w:val="009757CD"/>
    <w:rsid w:val="00975D2D"/>
    <w:rsid w:val="00975D5A"/>
    <w:rsid w:val="00975E7F"/>
    <w:rsid w:val="00975EB4"/>
    <w:rsid w:val="00975F3E"/>
    <w:rsid w:val="00976754"/>
    <w:rsid w:val="00976986"/>
    <w:rsid w:val="00976AB9"/>
    <w:rsid w:val="00976D89"/>
    <w:rsid w:val="00976DF7"/>
    <w:rsid w:val="00976E29"/>
    <w:rsid w:val="009771AE"/>
    <w:rsid w:val="0097723E"/>
    <w:rsid w:val="009775C9"/>
    <w:rsid w:val="00977664"/>
    <w:rsid w:val="00977716"/>
    <w:rsid w:val="00977BBE"/>
    <w:rsid w:val="00977D4D"/>
    <w:rsid w:val="00977F1B"/>
    <w:rsid w:val="009801DF"/>
    <w:rsid w:val="00980345"/>
    <w:rsid w:val="00980408"/>
    <w:rsid w:val="00980472"/>
    <w:rsid w:val="00980597"/>
    <w:rsid w:val="00980958"/>
    <w:rsid w:val="009809A2"/>
    <w:rsid w:val="00980A2B"/>
    <w:rsid w:val="00980B80"/>
    <w:rsid w:val="00980C26"/>
    <w:rsid w:val="00980C84"/>
    <w:rsid w:val="00980DD8"/>
    <w:rsid w:val="0098135F"/>
    <w:rsid w:val="009814DC"/>
    <w:rsid w:val="009815C0"/>
    <w:rsid w:val="00981613"/>
    <w:rsid w:val="0098187C"/>
    <w:rsid w:val="00982057"/>
    <w:rsid w:val="009821FA"/>
    <w:rsid w:val="00982564"/>
    <w:rsid w:val="009826BA"/>
    <w:rsid w:val="00982A57"/>
    <w:rsid w:val="00982B71"/>
    <w:rsid w:val="00982CC8"/>
    <w:rsid w:val="00983293"/>
    <w:rsid w:val="00983458"/>
    <w:rsid w:val="00983496"/>
    <w:rsid w:val="009835BB"/>
    <w:rsid w:val="009836EF"/>
    <w:rsid w:val="00983A47"/>
    <w:rsid w:val="00983B11"/>
    <w:rsid w:val="00983ED4"/>
    <w:rsid w:val="009840AB"/>
    <w:rsid w:val="00984256"/>
    <w:rsid w:val="009842D4"/>
    <w:rsid w:val="009844A9"/>
    <w:rsid w:val="0098467D"/>
    <w:rsid w:val="00984692"/>
    <w:rsid w:val="0098472E"/>
    <w:rsid w:val="009848AD"/>
    <w:rsid w:val="00984E19"/>
    <w:rsid w:val="00984FDC"/>
    <w:rsid w:val="009854CD"/>
    <w:rsid w:val="00985628"/>
    <w:rsid w:val="00985857"/>
    <w:rsid w:val="009858D3"/>
    <w:rsid w:val="00985ABA"/>
    <w:rsid w:val="00985BEB"/>
    <w:rsid w:val="00985E14"/>
    <w:rsid w:val="00985E82"/>
    <w:rsid w:val="00985F74"/>
    <w:rsid w:val="00986164"/>
    <w:rsid w:val="00986218"/>
    <w:rsid w:val="0098644A"/>
    <w:rsid w:val="009866C7"/>
    <w:rsid w:val="00986820"/>
    <w:rsid w:val="00986CDC"/>
    <w:rsid w:val="009870A5"/>
    <w:rsid w:val="009870FB"/>
    <w:rsid w:val="00987153"/>
    <w:rsid w:val="0098740B"/>
    <w:rsid w:val="009876B2"/>
    <w:rsid w:val="0098795F"/>
    <w:rsid w:val="00987C04"/>
    <w:rsid w:val="00987C68"/>
    <w:rsid w:val="00987E8E"/>
    <w:rsid w:val="0099009D"/>
    <w:rsid w:val="009900B1"/>
    <w:rsid w:val="00990295"/>
    <w:rsid w:val="009902C8"/>
    <w:rsid w:val="009903D3"/>
    <w:rsid w:val="009907BB"/>
    <w:rsid w:val="00990888"/>
    <w:rsid w:val="009908D4"/>
    <w:rsid w:val="00990A05"/>
    <w:rsid w:val="00990A5F"/>
    <w:rsid w:val="00990CA0"/>
    <w:rsid w:val="00990EE5"/>
    <w:rsid w:val="00990F73"/>
    <w:rsid w:val="00991157"/>
    <w:rsid w:val="009914C0"/>
    <w:rsid w:val="009914EA"/>
    <w:rsid w:val="009916A3"/>
    <w:rsid w:val="009916D9"/>
    <w:rsid w:val="00991891"/>
    <w:rsid w:val="00991C30"/>
    <w:rsid w:val="00991D2A"/>
    <w:rsid w:val="00991DB4"/>
    <w:rsid w:val="0099214D"/>
    <w:rsid w:val="00992367"/>
    <w:rsid w:val="009923DB"/>
    <w:rsid w:val="00992433"/>
    <w:rsid w:val="0099247C"/>
    <w:rsid w:val="00992686"/>
    <w:rsid w:val="009926A0"/>
    <w:rsid w:val="00992848"/>
    <w:rsid w:val="0099286A"/>
    <w:rsid w:val="00992A33"/>
    <w:rsid w:val="00992AA8"/>
    <w:rsid w:val="00992E27"/>
    <w:rsid w:val="00992F93"/>
    <w:rsid w:val="009932D9"/>
    <w:rsid w:val="00993321"/>
    <w:rsid w:val="00993593"/>
    <w:rsid w:val="009936A9"/>
    <w:rsid w:val="009936EE"/>
    <w:rsid w:val="009937C0"/>
    <w:rsid w:val="00993A6D"/>
    <w:rsid w:val="00993BB0"/>
    <w:rsid w:val="00993C28"/>
    <w:rsid w:val="009943EC"/>
    <w:rsid w:val="00994852"/>
    <w:rsid w:val="00994942"/>
    <w:rsid w:val="00994BAB"/>
    <w:rsid w:val="00994D52"/>
    <w:rsid w:val="00994D5B"/>
    <w:rsid w:val="009951FA"/>
    <w:rsid w:val="009954EA"/>
    <w:rsid w:val="0099560C"/>
    <w:rsid w:val="00995671"/>
    <w:rsid w:val="00995CBE"/>
    <w:rsid w:val="00995D3E"/>
    <w:rsid w:val="00995E72"/>
    <w:rsid w:val="00995FA0"/>
    <w:rsid w:val="00995FE7"/>
    <w:rsid w:val="009960A3"/>
    <w:rsid w:val="009960E4"/>
    <w:rsid w:val="0099618C"/>
    <w:rsid w:val="009961B1"/>
    <w:rsid w:val="009961B8"/>
    <w:rsid w:val="00996307"/>
    <w:rsid w:val="00996435"/>
    <w:rsid w:val="00996773"/>
    <w:rsid w:val="009967CE"/>
    <w:rsid w:val="00996871"/>
    <w:rsid w:val="009968E3"/>
    <w:rsid w:val="00996B8D"/>
    <w:rsid w:val="00996D4E"/>
    <w:rsid w:val="00996FC6"/>
    <w:rsid w:val="0099709E"/>
    <w:rsid w:val="00997308"/>
    <w:rsid w:val="0099738E"/>
    <w:rsid w:val="0099742E"/>
    <w:rsid w:val="0099776D"/>
    <w:rsid w:val="00997847"/>
    <w:rsid w:val="00997ABB"/>
    <w:rsid w:val="00997B33"/>
    <w:rsid w:val="00997CD4"/>
    <w:rsid w:val="00997E7A"/>
    <w:rsid w:val="00997ED1"/>
    <w:rsid w:val="009A01F8"/>
    <w:rsid w:val="009A03BE"/>
    <w:rsid w:val="009A03CD"/>
    <w:rsid w:val="009A05AC"/>
    <w:rsid w:val="009A0734"/>
    <w:rsid w:val="009A088B"/>
    <w:rsid w:val="009A099E"/>
    <w:rsid w:val="009A0DA5"/>
    <w:rsid w:val="009A0F50"/>
    <w:rsid w:val="009A0F61"/>
    <w:rsid w:val="009A0FF1"/>
    <w:rsid w:val="009A1037"/>
    <w:rsid w:val="009A1096"/>
    <w:rsid w:val="009A1208"/>
    <w:rsid w:val="009A129B"/>
    <w:rsid w:val="009A12AA"/>
    <w:rsid w:val="009A1331"/>
    <w:rsid w:val="009A13D5"/>
    <w:rsid w:val="009A16E1"/>
    <w:rsid w:val="009A1730"/>
    <w:rsid w:val="009A17D7"/>
    <w:rsid w:val="009A1CFE"/>
    <w:rsid w:val="009A1D9C"/>
    <w:rsid w:val="009A20E0"/>
    <w:rsid w:val="009A226E"/>
    <w:rsid w:val="009A2383"/>
    <w:rsid w:val="009A24DF"/>
    <w:rsid w:val="009A272E"/>
    <w:rsid w:val="009A2A71"/>
    <w:rsid w:val="009A2ACE"/>
    <w:rsid w:val="009A2B73"/>
    <w:rsid w:val="009A2DC9"/>
    <w:rsid w:val="009A2DDF"/>
    <w:rsid w:val="009A2E3A"/>
    <w:rsid w:val="009A325C"/>
    <w:rsid w:val="009A358E"/>
    <w:rsid w:val="009A35B7"/>
    <w:rsid w:val="009A3750"/>
    <w:rsid w:val="009A3782"/>
    <w:rsid w:val="009A3829"/>
    <w:rsid w:val="009A39A6"/>
    <w:rsid w:val="009A4066"/>
    <w:rsid w:val="009A406E"/>
    <w:rsid w:val="009A4114"/>
    <w:rsid w:val="009A44C1"/>
    <w:rsid w:val="009A46E8"/>
    <w:rsid w:val="009A48C7"/>
    <w:rsid w:val="009A4D6F"/>
    <w:rsid w:val="009A4DB3"/>
    <w:rsid w:val="009A4E59"/>
    <w:rsid w:val="009A527A"/>
    <w:rsid w:val="009A5287"/>
    <w:rsid w:val="009A55EA"/>
    <w:rsid w:val="009A5615"/>
    <w:rsid w:val="009A5715"/>
    <w:rsid w:val="009A583D"/>
    <w:rsid w:val="009A58F3"/>
    <w:rsid w:val="009A5B2A"/>
    <w:rsid w:val="009A6308"/>
    <w:rsid w:val="009A63A0"/>
    <w:rsid w:val="009A650F"/>
    <w:rsid w:val="009A66E5"/>
    <w:rsid w:val="009A68FC"/>
    <w:rsid w:val="009A6A6F"/>
    <w:rsid w:val="009A6F0B"/>
    <w:rsid w:val="009A6FC8"/>
    <w:rsid w:val="009A7155"/>
    <w:rsid w:val="009A71E2"/>
    <w:rsid w:val="009A7238"/>
    <w:rsid w:val="009A738F"/>
    <w:rsid w:val="009A7392"/>
    <w:rsid w:val="009A7BB0"/>
    <w:rsid w:val="009A7C32"/>
    <w:rsid w:val="009A7D83"/>
    <w:rsid w:val="009B0215"/>
    <w:rsid w:val="009B0363"/>
    <w:rsid w:val="009B03FA"/>
    <w:rsid w:val="009B04B6"/>
    <w:rsid w:val="009B0771"/>
    <w:rsid w:val="009B087F"/>
    <w:rsid w:val="009B0962"/>
    <w:rsid w:val="009B098D"/>
    <w:rsid w:val="009B0B52"/>
    <w:rsid w:val="009B0CB7"/>
    <w:rsid w:val="009B0DB2"/>
    <w:rsid w:val="009B0EB2"/>
    <w:rsid w:val="009B0FB3"/>
    <w:rsid w:val="009B117B"/>
    <w:rsid w:val="009B1345"/>
    <w:rsid w:val="009B1372"/>
    <w:rsid w:val="009B1447"/>
    <w:rsid w:val="009B16F8"/>
    <w:rsid w:val="009B1802"/>
    <w:rsid w:val="009B183A"/>
    <w:rsid w:val="009B190D"/>
    <w:rsid w:val="009B1F21"/>
    <w:rsid w:val="009B1FCA"/>
    <w:rsid w:val="009B205B"/>
    <w:rsid w:val="009B2736"/>
    <w:rsid w:val="009B29AE"/>
    <w:rsid w:val="009B2A36"/>
    <w:rsid w:val="009B2B4C"/>
    <w:rsid w:val="009B2C28"/>
    <w:rsid w:val="009B2D63"/>
    <w:rsid w:val="009B2DBE"/>
    <w:rsid w:val="009B3088"/>
    <w:rsid w:val="009B31D1"/>
    <w:rsid w:val="009B368F"/>
    <w:rsid w:val="009B3690"/>
    <w:rsid w:val="009B39AD"/>
    <w:rsid w:val="009B3BEA"/>
    <w:rsid w:val="009B3C9E"/>
    <w:rsid w:val="009B3D33"/>
    <w:rsid w:val="009B4200"/>
    <w:rsid w:val="009B439E"/>
    <w:rsid w:val="009B4504"/>
    <w:rsid w:val="009B462B"/>
    <w:rsid w:val="009B46AC"/>
    <w:rsid w:val="009B4910"/>
    <w:rsid w:val="009B49BB"/>
    <w:rsid w:val="009B4AC7"/>
    <w:rsid w:val="009B4B95"/>
    <w:rsid w:val="009B4CCE"/>
    <w:rsid w:val="009B50F5"/>
    <w:rsid w:val="009B5100"/>
    <w:rsid w:val="009B541B"/>
    <w:rsid w:val="009B571C"/>
    <w:rsid w:val="009B5722"/>
    <w:rsid w:val="009B587F"/>
    <w:rsid w:val="009B5A81"/>
    <w:rsid w:val="009B5C9E"/>
    <w:rsid w:val="009B5EBD"/>
    <w:rsid w:val="009B5F27"/>
    <w:rsid w:val="009B5F75"/>
    <w:rsid w:val="009B5FB8"/>
    <w:rsid w:val="009B63AA"/>
    <w:rsid w:val="009B662D"/>
    <w:rsid w:val="009B664A"/>
    <w:rsid w:val="009B6772"/>
    <w:rsid w:val="009B67F3"/>
    <w:rsid w:val="009B6AFE"/>
    <w:rsid w:val="009B6C87"/>
    <w:rsid w:val="009B6C89"/>
    <w:rsid w:val="009B6DCB"/>
    <w:rsid w:val="009B6E49"/>
    <w:rsid w:val="009B6FE1"/>
    <w:rsid w:val="009B70B3"/>
    <w:rsid w:val="009B7330"/>
    <w:rsid w:val="009B7505"/>
    <w:rsid w:val="009B75BD"/>
    <w:rsid w:val="009B7890"/>
    <w:rsid w:val="009B7C11"/>
    <w:rsid w:val="009B7D5D"/>
    <w:rsid w:val="009C077F"/>
    <w:rsid w:val="009C08AA"/>
    <w:rsid w:val="009C08C2"/>
    <w:rsid w:val="009C0A38"/>
    <w:rsid w:val="009C0B4B"/>
    <w:rsid w:val="009C0C34"/>
    <w:rsid w:val="009C0DDB"/>
    <w:rsid w:val="009C0E3F"/>
    <w:rsid w:val="009C0FBF"/>
    <w:rsid w:val="009C0FD8"/>
    <w:rsid w:val="009C109E"/>
    <w:rsid w:val="009C1442"/>
    <w:rsid w:val="009C166B"/>
    <w:rsid w:val="009C1801"/>
    <w:rsid w:val="009C18C8"/>
    <w:rsid w:val="009C1966"/>
    <w:rsid w:val="009C1C04"/>
    <w:rsid w:val="009C1CE2"/>
    <w:rsid w:val="009C1D89"/>
    <w:rsid w:val="009C1E66"/>
    <w:rsid w:val="009C1EB3"/>
    <w:rsid w:val="009C1F2C"/>
    <w:rsid w:val="009C23F3"/>
    <w:rsid w:val="009C240C"/>
    <w:rsid w:val="009C2479"/>
    <w:rsid w:val="009C24F9"/>
    <w:rsid w:val="009C2560"/>
    <w:rsid w:val="009C260B"/>
    <w:rsid w:val="009C2806"/>
    <w:rsid w:val="009C2992"/>
    <w:rsid w:val="009C2A40"/>
    <w:rsid w:val="009C2A4F"/>
    <w:rsid w:val="009C2A84"/>
    <w:rsid w:val="009C2C14"/>
    <w:rsid w:val="009C300E"/>
    <w:rsid w:val="009C3027"/>
    <w:rsid w:val="009C31EC"/>
    <w:rsid w:val="009C325B"/>
    <w:rsid w:val="009C37D9"/>
    <w:rsid w:val="009C3D38"/>
    <w:rsid w:val="009C3D44"/>
    <w:rsid w:val="009C3DA0"/>
    <w:rsid w:val="009C4234"/>
    <w:rsid w:val="009C4345"/>
    <w:rsid w:val="009C493D"/>
    <w:rsid w:val="009C4B3B"/>
    <w:rsid w:val="009C4C8B"/>
    <w:rsid w:val="009C4D41"/>
    <w:rsid w:val="009C4EFB"/>
    <w:rsid w:val="009C4FB3"/>
    <w:rsid w:val="009C50C0"/>
    <w:rsid w:val="009C524C"/>
    <w:rsid w:val="009C5259"/>
    <w:rsid w:val="009C5462"/>
    <w:rsid w:val="009C55C8"/>
    <w:rsid w:val="009C5666"/>
    <w:rsid w:val="009C57F3"/>
    <w:rsid w:val="009C5960"/>
    <w:rsid w:val="009C5C72"/>
    <w:rsid w:val="009C5CB9"/>
    <w:rsid w:val="009C5D5A"/>
    <w:rsid w:val="009C5E17"/>
    <w:rsid w:val="009C6132"/>
    <w:rsid w:val="009C668B"/>
    <w:rsid w:val="009C66EF"/>
    <w:rsid w:val="009C6756"/>
    <w:rsid w:val="009C68AF"/>
    <w:rsid w:val="009C68F0"/>
    <w:rsid w:val="009C6AF0"/>
    <w:rsid w:val="009C6BC1"/>
    <w:rsid w:val="009C6CA8"/>
    <w:rsid w:val="009C6DEA"/>
    <w:rsid w:val="009C71A7"/>
    <w:rsid w:val="009C74E0"/>
    <w:rsid w:val="009C7573"/>
    <w:rsid w:val="009C75CB"/>
    <w:rsid w:val="009C7631"/>
    <w:rsid w:val="009C7B35"/>
    <w:rsid w:val="009C7B90"/>
    <w:rsid w:val="009C7CA0"/>
    <w:rsid w:val="009D01F4"/>
    <w:rsid w:val="009D02E0"/>
    <w:rsid w:val="009D0306"/>
    <w:rsid w:val="009D03B7"/>
    <w:rsid w:val="009D0829"/>
    <w:rsid w:val="009D0C73"/>
    <w:rsid w:val="009D0CBA"/>
    <w:rsid w:val="009D0E05"/>
    <w:rsid w:val="009D0E0F"/>
    <w:rsid w:val="009D0F01"/>
    <w:rsid w:val="009D10A9"/>
    <w:rsid w:val="009D15F6"/>
    <w:rsid w:val="009D1B01"/>
    <w:rsid w:val="009D1CB6"/>
    <w:rsid w:val="009D1EBB"/>
    <w:rsid w:val="009D1F11"/>
    <w:rsid w:val="009D2282"/>
    <w:rsid w:val="009D2514"/>
    <w:rsid w:val="009D2779"/>
    <w:rsid w:val="009D2D49"/>
    <w:rsid w:val="009D2D55"/>
    <w:rsid w:val="009D2F03"/>
    <w:rsid w:val="009D2FB2"/>
    <w:rsid w:val="009D3042"/>
    <w:rsid w:val="009D31C2"/>
    <w:rsid w:val="009D31CC"/>
    <w:rsid w:val="009D33C4"/>
    <w:rsid w:val="009D344C"/>
    <w:rsid w:val="009D3512"/>
    <w:rsid w:val="009D37CF"/>
    <w:rsid w:val="009D3EE1"/>
    <w:rsid w:val="009D4020"/>
    <w:rsid w:val="009D4028"/>
    <w:rsid w:val="009D4152"/>
    <w:rsid w:val="009D423F"/>
    <w:rsid w:val="009D45BE"/>
    <w:rsid w:val="009D4827"/>
    <w:rsid w:val="009D4878"/>
    <w:rsid w:val="009D49AB"/>
    <w:rsid w:val="009D4ABB"/>
    <w:rsid w:val="009D4ACB"/>
    <w:rsid w:val="009D4B61"/>
    <w:rsid w:val="009D4BA4"/>
    <w:rsid w:val="009D4C7E"/>
    <w:rsid w:val="009D578E"/>
    <w:rsid w:val="009D5B3D"/>
    <w:rsid w:val="009D5DFC"/>
    <w:rsid w:val="009D5F98"/>
    <w:rsid w:val="009D622A"/>
    <w:rsid w:val="009D6340"/>
    <w:rsid w:val="009D653A"/>
    <w:rsid w:val="009D6BE9"/>
    <w:rsid w:val="009D6E72"/>
    <w:rsid w:val="009D6ED0"/>
    <w:rsid w:val="009D6F91"/>
    <w:rsid w:val="009D71A0"/>
    <w:rsid w:val="009D733A"/>
    <w:rsid w:val="009D7472"/>
    <w:rsid w:val="009D7530"/>
    <w:rsid w:val="009D7691"/>
    <w:rsid w:val="009D76EA"/>
    <w:rsid w:val="009D76F8"/>
    <w:rsid w:val="009D78F9"/>
    <w:rsid w:val="009D7B56"/>
    <w:rsid w:val="009D7BA4"/>
    <w:rsid w:val="009D7BCD"/>
    <w:rsid w:val="009D7D40"/>
    <w:rsid w:val="009D7DBD"/>
    <w:rsid w:val="009D7E45"/>
    <w:rsid w:val="009D7EB5"/>
    <w:rsid w:val="009E00BF"/>
    <w:rsid w:val="009E00C8"/>
    <w:rsid w:val="009E010F"/>
    <w:rsid w:val="009E05B1"/>
    <w:rsid w:val="009E0865"/>
    <w:rsid w:val="009E0921"/>
    <w:rsid w:val="009E09EC"/>
    <w:rsid w:val="009E0AE9"/>
    <w:rsid w:val="009E0D67"/>
    <w:rsid w:val="009E10F2"/>
    <w:rsid w:val="009E1823"/>
    <w:rsid w:val="009E19E6"/>
    <w:rsid w:val="009E1CFF"/>
    <w:rsid w:val="009E1DDB"/>
    <w:rsid w:val="009E1DEF"/>
    <w:rsid w:val="009E1F83"/>
    <w:rsid w:val="009E1FB2"/>
    <w:rsid w:val="009E21CB"/>
    <w:rsid w:val="009E24E3"/>
    <w:rsid w:val="009E253C"/>
    <w:rsid w:val="009E26CB"/>
    <w:rsid w:val="009E2BFC"/>
    <w:rsid w:val="009E2E69"/>
    <w:rsid w:val="009E2F55"/>
    <w:rsid w:val="009E2FC5"/>
    <w:rsid w:val="009E3033"/>
    <w:rsid w:val="009E31D9"/>
    <w:rsid w:val="009E3492"/>
    <w:rsid w:val="009E37AE"/>
    <w:rsid w:val="009E3AF5"/>
    <w:rsid w:val="009E3DFA"/>
    <w:rsid w:val="009E3F34"/>
    <w:rsid w:val="009E4053"/>
    <w:rsid w:val="009E40CB"/>
    <w:rsid w:val="009E47D1"/>
    <w:rsid w:val="009E4814"/>
    <w:rsid w:val="009E49DD"/>
    <w:rsid w:val="009E4B03"/>
    <w:rsid w:val="009E4B72"/>
    <w:rsid w:val="009E4BCA"/>
    <w:rsid w:val="009E4C8F"/>
    <w:rsid w:val="009E4FA2"/>
    <w:rsid w:val="009E4FA7"/>
    <w:rsid w:val="009E4FD8"/>
    <w:rsid w:val="009E52E2"/>
    <w:rsid w:val="009E541D"/>
    <w:rsid w:val="009E54E2"/>
    <w:rsid w:val="009E5516"/>
    <w:rsid w:val="009E5608"/>
    <w:rsid w:val="009E5821"/>
    <w:rsid w:val="009E5BC0"/>
    <w:rsid w:val="009E5D59"/>
    <w:rsid w:val="009E5E7E"/>
    <w:rsid w:val="009E5EDB"/>
    <w:rsid w:val="009E66B2"/>
    <w:rsid w:val="009E66C5"/>
    <w:rsid w:val="009E68B8"/>
    <w:rsid w:val="009E6C39"/>
    <w:rsid w:val="009E70CC"/>
    <w:rsid w:val="009E7147"/>
    <w:rsid w:val="009E722C"/>
    <w:rsid w:val="009E7440"/>
    <w:rsid w:val="009E764C"/>
    <w:rsid w:val="009E791F"/>
    <w:rsid w:val="009E7CC8"/>
    <w:rsid w:val="009E7EEF"/>
    <w:rsid w:val="009E7F8A"/>
    <w:rsid w:val="009E7FBC"/>
    <w:rsid w:val="009E7FE0"/>
    <w:rsid w:val="009F0006"/>
    <w:rsid w:val="009F003F"/>
    <w:rsid w:val="009F023B"/>
    <w:rsid w:val="009F0B43"/>
    <w:rsid w:val="009F0CD5"/>
    <w:rsid w:val="009F0E62"/>
    <w:rsid w:val="009F0E98"/>
    <w:rsid w:val="009F11FD"/>
    <w:rsid w:val="009F12EB"/>
    <w:rsid w:val="009F158C"/>
    <w:rsid w:val="009F1606"/>
    <w:rsid w:val="009F2010"/>
    <w:rsid w:val="009F238C"/>
    <w:rsid w:val="009F24B9"/>
    <w:rsid w:val="009F2519"/>
    <w:rsid w:val="009F252C"/>
    <w:rsid w:val="009F29C1"/>
    <w:rsid w:val="009F2A3B"/>
    <w:rsid w:val="009F2BFD"/>
    <w:rsid w:val="009F2F09"/>
    <w:rsid w:val="009F3264"/>
    <w:rsid w:val="009F397B"/>
    <w:rsid w:val="009F3F5F"/>
    <w:rsid w:val="009F3F86"/>
    <w:rsid w:val="009F3FCD"/>
    <w:rsid w:val="009F4038"/>
    <w:rsid w:val="009F4A26"/>
    <w:rsid w:val="009F4AFC"/>
    <w:rsid w:val="009F4C16"/>
    <w:rsid w:val="009F4DB3"/>
    <w:rsid w:val="009F4F6D"/>
    <w:rsid w:val="009F50BF"/>
    <w:rsid w:val="009F51B7"/>
    <w:rsid w:val="009F524D"/>
    <w:rsid w:val="009F5295"/>
    <w:rsid w:val="009F5479"/>
    <w:rsid w:val="009F555D"/>
    <w:rsid w:val="009F55B2"/>
    <w:rsid w:val="009F59EB"/>
    <w:rsid w:val="009F5A83"/>
    <w:rsid w:val="009F5BD9"/>
    <w:rsid w:val="009F5C26"/>
    <w:rsid w:val="009F5E5D"/>
    <w:rsid w:val="009F5F35"/>
    <w:rsid w:val="009F605C"/>
    <w:rsid w:val="009F6108"/>
    <w:rsid w:val="009F6246"/>
    <w:rsid w:val="009F6283"/>
    <w:rsid w:val="009F635E"/>
    <w:rsid w:val="009F6783"/>
    <w:rsid w:val="009F6C5E"/>
    <w:rsid w:val="009F7095"/>
    <w:rsid w:val="009F7277"/>
    <w:rsid w:val="009F78BC"/>
    <w:rsid w:val="009F7D4B"/>
    <w:rsid w:val="009F7F6F"/>
    <w:rsid w:val="00A00118"/>
    <w:rsid w:val="00A00380"/>
    <w:rsid w:val="00A003D0"/>
    <w:rsid w:val="00A004DC"/>
    <w:rsid w:val="00A00588"/>
    <w:rsid w:val="00A006E9"/>
    <w:rsid w:val="00A0098D"/>
    <w:rsid w:val="00A00A11"/>
    <w:rsid w:val="00A00A77"/>
    <w:rsid w:val="00A00B5A"/>
    <w:rsid w:val="00A00DA6"/>
    <w:rsid w:val="00A0103B"/>
    <w:rsid w:val="00A01455"/>
    <w:rsid w:val="00A014BE"/>
    <w:rsid w:val="00A01519"/>
    <w:rsid w:val="00A01537"/>
    <w:rsid w:val="00A01654"/>
    <w:rsid w:val="00A01668"/>
    <w:rsid w:val="00A01AE9"/>
    <w:rsid w:val="00A01C0D"/>
    <w:rsid w:val="00A01EEA"/>
    <w:rsid w:val="00A0207A"/>
    <w:rsid w:val="00A02507"/>
    <w:rsid w:val="00A027ED"/>
    <w:rsid w:val="00A02840"/>
    <w:rsid w:val="00A02C78"/>
    <w:rsid w:val="00A02F5E"/>
    <w:rsid w:val="00A03124"/>
    <w:rsid w:val="00A036A6"/>
    <w:rsid w:val="00A0383C"/>
    <w:rsid w:val="00A0397B"/>
    <w:rsid w:val="00A039E3"/>
    <w:rsid w:val="00A03A0C"/>
    <w:rsid w:val="00A03A92"/>
    <w:rsid w:val="00A03DA6"/>
    <w:rsid w:val="00A03EAE"/>
    <w:rsid w:val="00A03F68"/>
    <w:rsid w:val="00A04033"/>
    <w:rsid w:val="00A0407F"/>
    <w:rsid w:val="00A04170"/>
    <w:rsid w:val="00A051CB"/>
    <w:rsid w:val="00A05347"/>
    <w:rsid w:val="00A0543F"/>
    <w:rsid w:val="00A05463"/>
    <w:rsid w:val="00A05879"/>
    <w:rsid w:val="00A05892"/>
    <w:rsid w:val="00A05EBF"/>
    <w:rsid w:val="00A06038"/>
    <w:rsid w:val="00A0637C"/>
    <w:rsid w:val="00A063DB"/>
    <w:rsid w:val="00A064A2"/>
    <w:rsid w:val="00A068B5"/>
    <w:rsid w:val="00A0699C"/>
    <w:rsid w:val="00A06A56"/>
    <w:rsid w:val="00A06EEC"/>
    <w:rsid w:val="00A070C0"/>
    <w:rsid w:val="00A071D7"/>
    <w:rsid w:val="00A07459"/>
    <w:rsid w:val="00A07550"/>
    <w:rsid w:val="00A07654"/>
    <w:rsid w:val="00A07695"/>
    <w:rsid w:val="00A07CD9"/>
    <w:rsid w:val="00A07DA9"/>
    <w:rsid w:val="00A07FE7"/>
    <w:rsid w:val="00A10089"/>
    <w:rsid w:val="00A101C7"/>
    <w:rsid w:val="00A10217"/>
    <w:rsid w:val="00A10626"/>
    <w:rsid w:val="00A10857"/>
    <w:rsid w:val="00A10C1C"/>
    <w:rsid w:val="00A10C2F"/>
    <w:rsid w:val="00A10DBB"/>
    <w:rsid w:val="00A11247"/>
    <w:rsid w:val="00A1143D"/>
    <w:rsid w:val="00A1148F"/>
    <w:rsid w:val="00A117AE"/>
    <w:rsid w:val="00A11E00"/>
    <w:rsid w:val="00A121A6"/>
    <w:rsid w:val="00A1230C"/>
    <w:rsid w:val="00A12537"/>
    <w:rsid w:val="00A125BC"/>
    <w:rsid w:val="00A125DE"/>
    <w:rsid w:val="00A125E4"/>
    <w:rsid w:val="00A126C6"/>
    <w:rsid w:val="00A129BE"/>
    <w:rsid w:val="00A12AD2"/>
    <w:rsid w:val="00A12BB4"/>
    <w:rsid w:val="00A13164"/>
    <w:rsid w:val="00A131A4"/>
    <w:rsid w:val="00A13406"/>
    <w:rsid w:val="00A13471"/>
    <w:rsid w:val="00A137BB"/>
    <w:rsid w:val="00A137CC"/>
    <w:rsid w:val="00A14166"/>
    <w:rsid w:val="00A14176"/>
    <w:rsid w:val="00A147CA"/>
    <w:rsid w:val="00A14987"/>
    <w:rsid w:val="00A14A9E"/>
    <w:rsid w:val="00A14AD8"/>
    <w:rsid w:val="00A14B32"/>
    <w:rsid w:val="00A14D41"/>
    <w:rsid w:val="00A14DEE"/>
    <w:rsid w:val="00A14FD7"/>
    <w:rsid w:val="00A1510F"/>
    <w:rsid w:val="00A15394"/>
    <w:rsid w:val="00A154A6"/>
    <w:rsid w:val="00A154CD"/>
    <w:rsid w:val="00A15781"/>
    <w:rsid w:val="00A15793"/>
    <w:rsid w:val="00A15A05"/>
    <w:rsid w:val="00A15B81"/>
    <w:rsid w:val="00A15DB6"/>
    <w:rsid w:val="00A15E1E"/>
    <w:rsid w:val="00A1612E"/>
    <w:rsid w:val="00A1627C"/>
    <w:rsid w:val="00A163A2"/>
    <w:rsid w:val="00A164C8"/>
    <w:rsid w:val="00A1653A"/>
    <w:rsid w:val="00A165C4"/>
    <w:rsid w:val="00A16616"/>
    <w:rsid w:val="00A1664A"/>
    <w:rsid w:val="00A16666"/>
    <w:rsid w:val="00A168FB"/>
    <w:rsid w:val="00A16A09"/>
    <w:rsid w:val="00A16A11"/>
    <w:rsid w:val="00A16A15"/>
    <w:rsid w:val="00A16B8D"/>
    <w:rsid w:val="00A16D60"/>
    <w:rsid w:val="00A16E58"/>
    <w:rsid w:val="00A1721F"/>
    <w:rsid w:val="00A17405"/>
    <w:rsid w:val="00A17865"/>
    <w:rsid w:val="00A1787B"/>
    <w:rsid w:val="00A178CD"/>
    <w:rsid w:val="00A1797C"/>
    <w:rsid w:val="00A17B35"/>
    <w:rsid w:val="00A2036F"/>
    <w:rsid w:val="00A203B6"/>
    <w:rsid w:val="00A2048D"/>
    <w:rsid w:val="00A20DB9"/>
    <w:rsid w:val="00A20DF8"/>
    <w:rsid w:val="00A20FFF"/>
    <w:rsid w:val="00A211E4"/>
    <w:rsid w:val="00A21236"/>
    <w:rsid w:val="00A212C3"/>
    <w:rsid w:val="00A212D3"/>
    <w:rsid w:val="00A21331"/>
    <w:rsid w:val="00A213E0"/>
    <w:rsid w:val="00A21403"/>
    <w:rsid w:val="00A21438"/>
    <w:rsid w:val="00A21463"/>
    <w:rsid w:val="00A2149D"/>
    <w:rsid w:val="00A2176D"/>
    <w:rsid w:val="00A219A2"/>
    <w:rsid w:val="00A219AF"/>
    <w:rsid w:val="00A21DED"/>
    <w:rsid w:val="00A21FED"/>
    <w:rsid w:val="00A22111"/>
    <w:rsid w:val="00A22214"/>
    <w:rsid w:val="00A22284"/>
    <w:rsid w:val="00A22385"/>
    <w:rsid w:val="00A226CB"/>
    <w:rsid w:val="00A2284C"/>
    <w:rsid w:val="00A22D77"/>
    <w:rsid w:val="00A22E2D"/>
    <w:rsid w:val="00A22FD0"/>
    <w:rsid w:val="00A231E3"/>
    <w:rsid w:val="00A232E9"/>
    <w:rsid w:val="00A23382"/>
    <w:rsid w:val="00A23871"/>
    <w:rsid w:val="00A239AC"/>
    <w:rsid w:val="00A23D83"/>
    <w:rsid w:val="00A23E49"/>
    <w:rsid w:val="00A2402D"/>
    <w:rsid w:val="00A24385"/>
    <w:rsid w:val="00A246B3"/>
    <w:rsid w:val="00A24971"/>
    <w:rsid w:val="00A24AAF"/>
    <w:rsid w:val="00A24B58"/>
    <w:rsid w:val="00A2505B"/>
    <w:rsid w:val="00A25098"/>
    <w:rsid w:val="00A252F3"/>
    <w:rsid w:val="00A255C8"/>
    <w:rsid w:val="00A2571B"/>
    <w:rsid w:val="00A25775"/>
    <w:rsid w:val="00A25783"/>
    <w:rsid w:val="00A25847"/>
    <w:rsid w:val="00A258C7"/>
    <w:rsid w:val="00A25A33"/>
    <w:rsid w:val="00A25C2D"/>
    <w:rsid w:val="00A25F6C"/>
    <w:rsid w:val="00A26022"/>
    <w:rsid w:val="00A26037"/>
    <w:rsid w:val="00A26081"/>
    <w:rsid w:val="00A260EE"/>
    <w:rsid w:val="00A26446"/>
    <w:rsid w:val="00A26497"/>
    <w:rsid w:val="00A26A35"/>
    <w:rsid w:val="00A26B2C"/>
    <w:rsid w:val="00A26E78"/>
    <w:rsid w:val="00A26F7E"/>
    <w:rsid w:val="00A27226"/>
    <w:rsid w:val="00A2730D"/>
    <w:rsid w:val="00A27A94"/>
    <w:rsid w:val="00A27C09"/>
    <w:rsid w:val="00A27D57"/>
    <w:rsid w:val="00A300E4"/>
    <w:rsid w:val="00A300F8"/>
    <w:rsid w:val="00A30246"/>
    <w:rsid w:val="00A3026D"/>
    <w:rsid w:val="00A303F8"/>
    <w:rsid w:val="00A3046A"/>
    <w:rsid w:val="00A305C4"/>
    <w:rsid w:val="00A30685"/>
    <w:rsid w:val="00A306D1"/>
    <w:rsid w:val="00A30808"/>
    <w:rsid w:val="00A30AF2"/>
    <w:rsid w:val="00A30CC7"/>
    <w:rsid w:val="00A30E15"/>
    <w:rsid w:val="00A30F15"/>
    <w:rsid w:val="00A31093"/>
    <w:rsid w:val="00A31122"/>
    <w:rsid w:val="00A311C1"/>
    <w:rsid w:val="00A3126D"/>
    <w:rsid w:val="00A3129E"/>
    <w:rsid w:val="00A313C3"/>
    <w:rsid w:val="00A31797"/>
    <w:rsid w:val="00A31A14"/>
    <w:rsid w:val="00A31DB4"/>
    <w:rsid w:val="00A320D9"/>
    <w:rsid w:val="00A32234"/>
    <w:rsid w:val="00A3278A"/>
    <w:rsid w:val="00A32AD2"/>
    <w:rsid w:val="00A32F7B"/>
    <w:rsid w:val="00A332B4"/>
    <w:rsid w:val="00A3340F"/>
    <w:rsid w:val="00A3341D"/>
    <w:rsid w:val="00A339E9"/>
    <w:rsid w:val="00A33A34"/>
    <w:rsid w:val="00A33D45"/>
    <w:rsid w:val="00A33E18"/>
    <w:rsid w:val="00A33FC4"/>
    <w:rsid w:val="00A34060"/>
    <w:rsid w:val="00A34286"/>
    <w:rsid w:val="00A34828"/>
    <w:rsid w:val="00A34930"/>
    <w:rsid w:val="00A34C4A"/>
    <w:rsid w:val="00A35194"/>
    <w:rsid w:val="00A35319"/>
    <w:rsid w:val="00A3536D"/>
    <w:rsid w:val="00A353FD"/>
    <w:rsid w:val="00A3541E"/>
    <w:rsid w:val="00A35533"/>
    <w:rsid w:val="00A3558D"/>
    <w:rsid w:val="00A35916"/>
    <w:rsid w:val="00A35943"/>
    <w:rsid w:val="00A35952"/>
    <w:rsid w:val="00A360D5"/>
    <w:rsid w:val="00A362CE"/>
    <w:rsid w:val="00A363A6"/>
    <w:rsid w:val="00A363BB"/>
    <w:rsid w:val="00A36787"/>
    <w:rsid w:val="00A36806"/>
    <w:rsid w:val="00A36A84"/>
    <w:rsid w:val="00A36A96"/>
    <w:rsid w:val="00A3721D"/>
    <w:rsid w:val="00A374B9"/>
    <w:rsid w:val="00A376B2"/>
    <w:rsid w:val="00A37D77"/>
    <w:rsid w:val="00A37EDC"/>
    <w:rsid w:val="00A37F24"/>
    <w:rsid w:val="00A400EE"/>
    <w:rsid w:val="00A40147"/>
    <w:rsid w:val="00A40452"/>
    <w:rsid w:val="00A406FC"/>
    <w:rsid w:val="00A407A8"/>
    <w:rsid w:val="00A409AE"/>
    <w:rsid w:val="00A409F5"/>
    <w:rsid w:val="00A40B06"/>
    <w:rsid w:val="00A40E7D"/>
    <w:rsid w:val="00A41041"/>
    <w:rsid w:val="00A41194"/>
    <w:rsid w:val="00A4125B"/>
    <w:rsid w:val="00A4180F"/>
    <w:rsid w:val="00A419A7"/>
    <w:rsid w:val="00A41B32"/>
    <w:rsid w:val="00A41BFF"/>
    <w:rsid w:val="00A41C43"/>
    <w:rsid w:val="00A41C67"/>
    <w:rsid w:val="00A41F28"/>
    <w:rsid w:val="00A41F46"/>
    <w:rsid w:val="00A4202C"/>
    <w:rsid w:val="00A4209A"/>
    <w:rsid w:val="00A4270F"/>
    <w:rsid w:val="00A42AD9"/>
    <w:rsid w:val="00A42BAC"/>
    <w:rsid w:val="00A434BA"/>
    <w:rsid w:val="00A435BD"/>
    <w:rsid w:val="00A438E0"/>
    <w:rsid w:val="00A43A0E"/>
    <w:rsid w:val="00A43B39"/>
    <w:rsid w:val="00A43C50"/>
    <w:rsid w:val="00A43D5C"/>
    <w:rsid w:val="00A43E8E"/>
    <w:rsid w:val="00A43F06"/>
    <w:rsid w:val="00A43F8B"/>
    <w:rsid w:val="00A441FE"/>
    <w:rsid w:val="00A44395"/>
    <w:rsid w:val="00A445D1"/>
    <w:rsid w:val="00A4467D"/>
    <w:rsid w:val="00A447A5"/>
    <w:rsid w:val="00A44B4A"/>
    <w:rsid w:val="00A44BB3"/>
    <w:rsid w:val="00A44BD9"/>
    <w:rsid w:val="00A44D27"/>
    <w:rsid w:val="00A44DFC"/>
    <w:rsid w:val="00A44EBE"/>
    <w:rsid w:val="00A44EC4"/>
    <w:rsid w:val="00A44EF1"/>
    <w:rsid w:val="00A44EFF"/>
    <w:rsid w:val="00A4536E"/>
    <w:rsid w:val="00A4540A"/>
    <w:rsid w:val="00A45956"/>
    <w:rsid w:val="00A45BAA"/>
    <w:rsid w:val="00A45EF6"/>
    <w:rsid w:val="00A461B8"/>
    <w:rsid w:val="00A46353"/>
    <w:rsid w:val="00A46382"/>
    <w:rsid w:val="00A46427"/>
    <w:rsid w:val="00A46770"/>
    <w:rsid w:val="00A468D9"/>
    <w:rsid w:val="00A4696B"/>
    <w:rsid w:val="00A4726D"/>
    <w:rsid w:val="00A47405"/>
    <w:rsid w:val="00A4742A"/>
    <w:rsid w:val="00A475BD"/>
    <w:rsid w:val="00A476D2"/>
    <w:rsid w:val="00A4779E"/>
    <w:rsid w:val="00A47A51"/>
    <w:rsid w:val="00A47C9E"/>
    <w:rsid w:val="00A47E53"/>
    <w:rsid w:val="00A47F49"/>
    <w:rsid w:val="00A500D1"/>
    <w:rsid w:val="00A50113"/>
    <w:rsid w:val="00A5028B"/>
    <w:rsid w:val="00A50291"/>
    <w:rsid w:val="00A502EE"/>
    <w:rsid w:val="00A50B82"/>
    <w:rsid w:val="00A50C1C"/>
    <w:rsid w:val="00A5114D"/>
    <w:rsid w:val="00A51187"/>
    <w:rsid w:val="00A5132D"/>
    <w:rsid w:val="00A513AE"/>
    <w:rsid w:val="00A51577"/>
    <w:rsid w:val="00A51C26"/>
    <w:rsid w:val="00A51EBA"/>
    <w:rsid w:val="00A51F41"/>
    <w:rsid w:val="00A51F6F"/>
    <w:rsid w:val="00A52019"/>
    <w:rsid w:val="00A523C0"/>
    <w:rsid w:val="00A524FF"/>
    <w:rsid w:val="00A5264E"/>
    <w:rsid w:val="00A52744"/>
    <w:rsid w:val="00A52C77"/>
    <w:rsid w:val="00A52CB4"/>
    <w:rsid w:val="00A52D90"/>
    <w:rsid w:val="00A52E12"/>
    <w:rsid w:val="00A5335D"/>
    <w:rsid w:val="00A53434"/>
    <w:rsid w:val="00A5356E"/>
    <w:rsid w:val="00A537DE"/>
    <w:rsid w:val="00A53B14"/>
    <w:rsid w:val="00A53BF5"/>
    <w:rsid w:val="00A53D1F"/>
    <w:rsid w:val="00A53E69"/>
    <w:rsid w:val="00A53F25"/>
    <w:rsid w:val="00A5423C"/>
    <w:rsid w:val="00A543D9"/>
    <w:rsid w:val="00A5456F"/>
    <w:rsid w:val="00A54D5F"/>
    <w:rsid w:val="00A54DB9"/>
    <w:rsid w:val="00A5536E"/>
    <w:rsid w:val="00A553EE"/>
    <w:rsid w:val="00A554BC"/>
    <w:rsid w:val="00A557F5"/>
    <w:rsid w:val="00A5592E"/>
    <w:rsid w:val="00A559BA"/>
    <w:rsid w:val="00A55A14"/>
    <w:rsid w:val="00A562EB"/>
    <w:rsid w:val="00A564E9"/>
    <w:rsid w:val="00A5651C"/>
    <w:rsid w:val="00A56676"/>
    <w:rsid w:val="00A5679E"/>
    <w:rsid w:val="00A56E29"/>
    <w:rsid w:val="00A56E86"/>
    <w:rsid w:val="00A57354"/>
    <w:rsid w:val="00A57417"/>
    <w:rsid w:val="00A57773"/>
    <w:rsid w:val="00A57972"/>
    <w:rsid w:val="00A579BC"/>
    <w:rsid w:val="00A57A96"/>
    <w:rsid w:val="00A57C3D"/>
    <w:rsid w:val="00A57EFD"/>
    <w:rsid w:val="00A601E0"/>
    <w:rsid w:val="00A6069B"/>
    <w:rsid w:val="00A6089F"/>
    <w:rsid w:val="00A60C7E"/>
    <w:rsid w:val="00A60D6C"/>
    <w:rsid w:val="00A60D8F"/>
    <w:rsid w:val="00A60E5A"/>
    <w:rsid w:val="00A60ECF"/>
    <w:rsid w:val="00A610A8"/>
    <w:rsid w:val="00A610EE"/>
    <w:rsid w:val="00A6152A"/>
    <w:rsid w:val="00A615C2"/>
    <w:rsid w:val="00A61763"/>
    <w:rsid w:val="00A61855"/>
    <w:rsid w:val="00A61B5C"/>
    <w:rsid w:val="00A62216"/>
    <w:rsid w:val="00A62625"/>
    <w:rsid w:val="00A62837"/>
    <w:rsid w:val="00A62FE8"/>
    <w:rsid w:val="00A632FA"/>
    <w:rsid w:val="00A6347C"/>
    <w:rsid w:val="00A635A3"/>
    <w:rsid w:val="00A6388E"/>
    <w:rsid w:val="00A63A6A"/>
    <w:rsid w:val="00A63AA3"/>
    <w:rsid w:val="00A63E8A"/>
    <w:rsid w:val="00A64026"/>
    <w:rsid w:val="00A64059"/>
    <w:rsid w:val="00A64097"/>
    <w:rsid w:val="00A6450C"/>
    <w:rsid w:val="00A647F1"/>
    <w:rsid w:val="00A648EC"/>
    <w:rsid w:val="00A64A29"/>
    <w:rsid w:val="00A64DEB"/>
    <w:rsid w:val="00A64F16"/>
    <w:rsid w:val="00A651F3"/>
    <w:rsid w:val="00A6528C"/>
    <w:rsid w:val="00A6544B"/>
    <w:rsid w:val="00A655D1"/>
    <w:rsid w:val="00A65746"/>
    <w:rsid w:val="00A65878"/>
    <w:rsid w:val="00A658C1"/>
    <w:rsid w:val="00A65A61"/>
    <w:rsid w:val="00A65AE6"/>
    <w:rsid w:val="00A65C3F"/>
    <w:rsid w:val="00A65DC9"/>
    <w:rsid w:val="00A6612A"/>
    <w:rsid w:val="00A6621C"/>
    <w:rsid w:val="00A66327"/>
    <w:rsid w:val="00A6634E"/>
    <w:rsid w:val="00A6639C"/>
    <w:rsid w:val="00A663BA"/>
    <w:rsid w:val="00A664A2"/>
    <w:rsid w:val="00A66820"/>
    <w:rsid w:val="00A66B0F"/>
    <w:rsid w:val="00A66C7D"/>
    <w:rsid w:val="00A66CA5"/>
    <w:rsid w:val="00A66CF1"/>
    <w:rsid w:val="00A66D46"/>
    <w:rsid w:val="00A673C1"/>
    <w:rsid w:val="00A67418"/>
    <w:rsid w:val="00A67505"/>
    <w:rsid w:val="00A6771E"/>
    <w:rsid w:val="00A6773E"/>
    <w:rsid w:val="00A67743"/>
    <w:rsid w:val="00A6790F"/>
    <w:rsid w:val="00A67A0C"/>
    <w:rsid w:val="00A67BDA"/>
    <w:rsid w:val="00A70121"/>
    <w:rsid w:val="00A70179"/>
    <w:rsid w:val="00A705EF"/>
    <w:rsid w:val="00A70776"/>
    <w:rsid w:val="00A70887"/>
    <w:rsid w:val="00A70924"/>
    <w:rsid w:val="00A70ABC"/>
    <w:rsid w:val="00A70BBA"/>
    <w:rsid w:val="00A70C8B"/>
    <w:rsid w:val="00A70CB0"/>
    <w:rsid w:val="00A70E7C"/>
    <w:rsid w:val="00A70EC6"/>
    <w:rsid w:val="00A70F6D"/>
    <w:rsid w:val="00A71183"/>
    <w:rsid w:val="00A713FD"/>
    <w:rsid w:val="00A716E6"/>
    <w:rsid w:val="00A717C6"/>
    <w:rsid w:val="00A71872"/>
    <w:rsid w:val="00A71B28"/>
    <w:rsid w:val="00A71C10"/>
    <w:rsid w:val="00A71CEA"/>
    <w:rsid w:val="00A7224F"/>
    <w:rsid w:val="00A7252D"/>
    <w:rsid w:val="00A725DC"/>
    <w:rsid w:val="00A72679"/>
    <w:rsid w:val="00A728E3"/>
    <w:rsid w:val="00A72A21"/>
    <w:rsid w:val="00A72B3F"/>
    <w:rsid w:val="00A72FB6"/>
    <w:rsid w:val="00A7305C"/>
    <w:rsid w:val="00A730A9"/>
    <w:rsid w:val="00A730B1"/>
    <w:rsid w:val="00A73112"/>
    <w:rsid w:val="00A731AA"/>
    <w:rsid w:val="00A731DC"/>
    <w:rsid w:val="00A731E5"/>
    <w:rsid w:val="00A733BE"/>
    <w:rsid w:val="00A733E6"/>
    <w:rsid w:val="00A73DD4"/>
    <w:rsid w:val="00A73F59"/>
    <w:rsid w:val="00A74085"/>
    <w:rsid w:val="00A74185"/>
    <w:rsid w:val="00A74335"/>
    <w:rsid w:val="00A745E4"/>
    <w:rsid w:val="00A74726"/>
    <w:rsid w:val="00A749B0"/>
    <w:rsid w:val="00A74A43"/>
    <w:rsid w:val="00A74C9F"/>
    <w:rsid w:val="00A74D58"/>
    <w:rsid w:val="00A74E3A"/>
    <w:rsid w:val="00A74F6B"/>
    <w:rsid w:val="00A74F6C"/>
    <w:rsid w:val="00A750AF"/>
    <w:rsid w:val="00A75AAB"/>
    <w:rsid w:val="00A75DA3"/>
    <w:rsid w:val="00A76000"/>
    <w:rsid w:val="00A76453"/>
    <w:rsid w:val="00A76492"/>
    <w:rsid w:val="00A76982"/>
    <w:rsid w:val="00A76990"/>
    <w:rsid w:val="00A76A73"/>
    <w:rsid w:val="00A76BF6"/>
    <w:rsid w:val="00A76C51"/>
    <w:rsid w:val="00A7786D"/>
    <w:rsid w:val="00A77950"/>
    <w:rsid w:val="00A779C6"/>
    <w:rsid w:val="00A77A83"/>
    <w:rsid w:val="00A800B6"/>
    <w:rsid w:val="00A8023A"/>
    <w:rsid w:val="00A80260"/>
    <w:rsid w:val="00A80444"/>
    <w:rsid w:val="00A8055A"/>
    <w:rsid w:val="00A8069F"/>
    <w:rsid w:val="00A80745"/>
    <w:rsid w:val="00A808F2"/>
    <w:rsid w:val="00A80926"/>
    <w:rsid w:val="00A80DC5"/>
    <w:rsid w:val="00A80EDF"/>
    <w:rsid w:val="00A8102E"/>
    <w:rsid w:val="00A81222"/>
    <w:rsid w:val="00A81496"/>
    <w:rsid w:val="00A81582"/>
    <w:rsid w:val="00A81616"/>
    <w:rsid w:val="00A816B8"/>
    <w:rsid w:val="00A81ED4"/>
    <w:rsid w:val="00A81F6C"/>
    <w:rsid w:val="00A820DD"/>
    <w:rsid w:val="00A82116"/>
    <w:rsid w:val="00A82143"/>
    <w:rsid w:val="00A826BA"/>
    <w:rsid w:val="00A827E1"/>
    <w:rsid w:val="00A82888"/>
    <w:rsid w:val="00A82A1E"/>
    <w:rsid w:val="00A82DC0"/>
    <w:rsid w:val="00A82E34"/>
    <w:rsid w:val="00A8322C"/>
    <w:rsid w:val="00A83300"/>
    <w:rsid w:val="00A835B2"/>
    <w:rsid w:val="00A8360F"/>
    <w:rsid w:val="00A8389E"/>
    <w:rsid w:val="00A83AA8"/>
    <w:rsid w:val="00A83CF1"/>
    <w:rsid w:val="00A83E3E"/>
    <w:rsid w:val="00A83E97"/>
    <w:rsid w:val="00A83ECC"/>
    <w:rsid w:val="00A83FD7"/>
    <w:rsid w:val="00A83FFF"/>
    <w:rsid w:val="00A84072"/>
    <w:rsid w:val="00A844DE"/>
    <w:rsid w:val="00A84677"/>
    <w:rsid w:val="00A84909"/>
    <w:rsid w:val="00A84A60"/>
    <w:rsid w:val="00A84ABD"/>
    <w:rsid w:val="00A84FB1"/>
    <w:rsid w:val="00A84FFE"/>
    <w:rsid w:val="00A85084"/>
    <w:rsid w:val="00A856C6"/>
    <w:rsid w:val="00A856E9"/>
    <w:rsid w:val="00A858C2"/>
    <w:rsid w:val="00A858ED"/>
    <w:rsid w:val="00A85927"/>
    <w:rsid w:val="00A85B7B"/>
    <w:rsid w:val="00A86151"/>
    <w:rsid w:val="00A861EC"/>
    <w:rsid w:val="00A865AB"/>
    <w:rsid w:val="00A8674A"/>
    <w:rsid w:val="00A868DC"/>
    <w:rsid w:val="00A869A2"/>
    <w:rsid w:val="00A86A42"/>
    <w:rsid w:val="00A86A8D"/>
    <w:rsid w:val="00A86D61"/>
    <w:rsid w:val="00A86E2E"/>
    <w:rsid w:val="00A86FC1"/>
    <w:rsid w:val="00A87280"/>
    <w:rsid w:val="00A872A6"/>
    <w:rsid w:val="00A87436"/>
    <w:rsid w:val="00A875E5"/>
    <w:rsid w:val="00A879B5"/>
    <w:rsid w:val="00A87E73"/>
    <w:rsid w:val="00A87E9C"/>
    <w:rsid w:val="00A87ED8"/>
    <w:rsid w:val="00A87F99"/>
    <w:rsid w:val="00A9014D"/>
    <w:rsid w:val="00A903BB"/>
    <w:rsid w:val="00A90404"/>
    <w:rsid w:val="00A90489"/>
    <w:rsid w:val="00A90555"/>
    <w:rsid w:val="00A9064A"/>
    <w:rsid w:val="00A90725"/>
    <w:rsid w:val="00A907C8"/>
    <w:rsid w:val="00A90B1C"/>
    <w:rsid w:val="00A90C1D"/>
    <w:rsid w:val="00A90CC6"/>
    <w:rsid w:val="00A90D74"/>
    <w:rsid w:val="00A90E45"/>
    <w:rsid w:val="00A9115C"/>
    <w:rsid w:val="00A911AA"/>
    <w:rsid w:val="00A9125A"/>
    <w:rsid w:val="00A91635"/>
    <w:rsid w:val="00A9177C"/>
    <w:rsid w:val="00A91912"/>
    <w:rsid w:val="00A91A99"/>
    <w:rsid w:val="00A91C82"/>
    <w:rsid w:val="00A91D7A"/>
    <w:rsid w:val="00A91E25"/>
    <w:rsid w:val="00A920DA"/>
    <w:rsid w:val="00A9210E"/>
    <w:rsid w:val="00A9222A"/>
    <w:rsid w:val="00A922EB"/>
    <w:rsid w:val="00A923F0"/>
    <w:rsid w:val="00A92402"/>
    <w:rsid w:val="00A92527"/>
    <w:rsid w:val="00A92769"/>
    <w:rsid w:val="00A92AC2"/>
    <w:rsid w:val="00A92EFE"/>
    <w:rsid w:val="00A93056"/>
    <w:rsid w:val="00A93300"/>
    <w:rsid w:val="00A93726"/>
    <w:rsid w:val="00A93850"/>
    <w:rsid w:val="00A93909"/>
    <w:rsid w:val="00A93DD9"/>
    <w:rsid w:val="00A93E12"/>
    <w:rsid w:val="00A93F1A"/>
    <w:rsid w:val="00A940D4"/>
    <w:rsid w:val="00A940D7"/>
    <w:rsid w:val="00A94364"/>
    <w:rsid w:val="00A9488B"/>
    <w:rsid w:val="00A94A3C"/>
    <w:rsid w:val="00A94B11"/>
    <w:rsid w:val="00A94C05"/>
    <w:rsid w:val="00A94DBA"/>
    <w:rsid w:val="00A95396"/>
    <w:rsid w:val="00A95473"/>
    <w:rsid w:val="00A959E1"/>
    <w:rsid w:val="00A95A9A"/>
    <w:rsid w:val="00A95B65"/>
    <w:rsid w:val="00A95BE6"/>
    <w:rsid w:val="00A95EC8"/>
    <w:rsid w:val="00A95F86"/>
    <w:rsid w:val="00A96318"/>
    <w:rsid w:val="00A963E7"/>
    <w:rsid w:val="00A9654F"/>
    <w:rsid w:val="00A96645"/>
    <w:rsid w:val="00A967D8"/>
    <w:rsid w:val="00A96FD3"/>
    <w:rsid w:val="00A97228"/>
    <w:rsid w:val="00A972C2"/>
    <w:rsid w:val="00A97393"/>
    <w:rsid w:val="00A97D11"/>
    <w:rsid w:val="00AA00CE"/>
    <w:rsid w:val="00AA014F"/>
    <w:rsid w:val="00AA034E"/>
    <w:rsid w:val="00AA072F"/>
    <w:rsid w:val="00AA074A"/>
    <w:rsid w:val="00AA0A01"/>
    <w:rsid w:val="00AA0E08"/>
    <w:rsid w:val="00AA0ED4"/>
    <w:rsid w:val="00AA0F13"/>
    <w:rsid w:val="00AA104F"/>
    <w:rsid w:val="00AA12E1"/>
    <w:rsid w:val="00AA1534"/>
    <w:rsid w:val="00AA15B2"/>
    <w:rsid w:val="00AA1772"/>
    <w:rsid w:val="00AA184D"/>
    <w:rsid w:val="00AA1999"/>
    <w:rsid w:val="00AA1A7F"/>
    <w:rsid w:val="00AA1CAA"/>
    <w:rsid w:val="00AA1D4D"/>
    <w:rsid w:val="00AA1E66"/>
    <w:rsid w:val="00AA2080"/>
    <w:rsid w:val="00AA2194"/>
    <w:rsid w:val="00AA2233"/>
    <w:rsid w:val="00AA2331"/>
    <w:rsid w:val="00AA2400"/>
    <w:rsid w:val="00AA25B3"/>
    <w:rsid w:val="00AA25C5"/>
    <w:rsid w:val="00AA2604"/>
    <w:rsid w:val="00AA263F"/>
    <w:rsid w:val="00AA2640"/>
    <w:rsid w:val="00AA26CE"/>
    <w:rsid w:val="00AA27F7"/>
    <w:rsid w:val="00AA2889"/>
    <w:rsid w:val="00AA2A33"/>
    <w:rsid w:val="00AA2B9C"/>
    <w:rsid w:val="00AA2CC5"/>
    <w:rsid w:val="00AA2D7D"/>
    <w:rsid w:val="00AA2F0B"/>
    <w:rsid w:val="00AA300F"/>
    <w:rsid w:val="00AA3028"/>
    <w:rsid w:val="00AA33E2"/>
    <w:rsid w:val="00AA343E"/>
    <w:rsid w:val="00AA381F"/>
    <w:rsid w:val="00AA3994"/>
    <w:rsid w:val="00AA3B30"/>
    <w:rsid w:val="00AA3C56"/>
    <w:rsid w:val="00AA3EE7"/>
    <w:rsid w:val="00AA3F71"/>
    <w:rsid w:val="00AA3F87"/>
    <w:rsid w:val="00AA4079"/>
    <w:rsid w:val="00AA429B"/>
    <w:rsid w:val="00AA4474"/>
    <w:rsid w:val="00AA47C4"/>
    <w:rsid w:val="00AA487B"/>
    <w:rsid w:val="00AA48C8"/>
    <w:rsid w:val="00AA48E8"/>
    <w:rsid w:val="00AA499A"/>
    <w:rsid w:val="00AA49A9"/>
    <w:rsid w:val="00AA4A73"/>
    <w:rsid w:val="00AA4EBF"/>
    <w:rsid w:val="00AA515A"/>
    <w:rsid w:val="00AA56A6"/>
    <w:rsid w:val="00AA56FE"/>
    <w:rsid w:val="00AA57E6"/>
    <w:rsid w:val="00AA5961"/>
    <w:rsid w:val="00AA5D1E"/>
    <w:rsid w:val="00AA5D21"/>
    <w:rsid w:val="00AA5FC3"/>
    <w:rsid w:val="00AA606B"/>
    <w:rsid w:val="00AA6257"/>
    <w:rsid w:val="00AA626B"/>
    <w:rsid w:val="00AA629B"/>
    <w:rsid w:val="00AA6358"/>
    <w:rsid w:val="00AA6535"/>
    <w:rsid w:val="00AA6678"/>
    <w:rsid w:val="00AA67BA"/>
    <w:rsid w:val="00AA6835"/>
    <w:rsid w:val="00AA6A84"/>
    <w:rsid w:val="00AA6BAC"/>
    <w:rsid w:val="00AA6CF7"/>
    <w:rsid w:val="00AA6E14"/>
    <w:rsid w:val="00AA6E97"/>
    <w:rsid w:val="00AA6EB2"/>
    <w:rsid w:val="00AA6EDA"/>
    <w:rsid w:val="00AA718F"/>
    <w:rsid w:val="00AA754B"/>
    <w:rsid w:val="00AA75DF"/>
    <w:rsid w:val="00AA7625"/>
    <w:rsid w:val="00AA7843"/>
    <w:rsid w:val="00AA78AF"/>
    <w:rsid w:val="00AA7DDF"/>
    <w:rsid w:val="00AB055D"/>
    <w:rsid w:val="00AB05B4"/>
    <w:rsid w:val="00AB0632"/>
    <w:rsid w:val="00AB0749"/>
    <w:rsid w:val="00AB07C4"/>
    <w:rsid w:val="00AB0D40"/>
    <w:rsid w:val="00AB0E70"/>
    <w:rsid w:val="00AB1370"/>
    <w:rsid w:val="00AB166F"/>
    <w:rsid w:val="00AB19D1"/>
    <w:rsid w:val="00AB1A54"/>
    <w:rsid w:val="00AB1C78"/>
    <w:rsid w:val="00AB1C7E"/>
    <w:rsid w:val="00AB1C83"/>
    <w:rsid w:val="00AB1D39"/>
    <w:rsid w:val="00AB21D0"/>
    <w:rsid w:val="00AB2584"/>
    <w:rsid w:val="00AB2745"/>
    <w:rsid w:val="00AB2876"/>
    <w:rsid w:val="00AB2FA2"/>
    <w:rsid w:val="00AB3282"/>
    <w:rsid w:val="00AB3510"/>
    <w:rsid w:val="00AB359C"/>
    <w:rsid w:val="00AB3651"/>
    <w:rsid w:val="00AB375F"/>
    <w:rsid w:val="00AB3832"/>
    <w:rsid w:val="00AB3A27"/>
    <w:rsid w:val="00AB3D25"/>
    <w:rsid w:val="00AB3E79"/>
    <w:rsid w:val="00AB3FBC"/>
    <w:rsid w:val="00AB437A"/>
    <w:rsid w:val="00AB44B9"/>
    <w:rsid w:val="00AB4687"/>
    <w:rsid w:val="00AB4762"/>
    <w:rsid w:val="00AB4833"/>
    <w:rsid w:val="00AB4C31"/>
    <w:rsid w:val="00AB4D8D"/>
    <w:rsid w:val="00AB4E49"/>
    <w:rsid w:val="00AB5285"/>
    <w:rsid w:val="00AB544E"/>
    <w:rsid w:val="00AB5658"/>
    <w:rsid w:val="00AB56B8"/>
    <w:rsid w:val="00AB570F"/>
    <w:rsid w:val="00AB5764"/>
    <w:rsid w:val="00AB57BD"/>
    <w:rsid w:val="00AB5A7D"/>
    <w:rsid w:val="00AB5A82"/>
    <w:rsid w:val="00AB5E71"/>
    <w:rsid w:val="00AB5EFD"/>
    <w:rsid w:val="00AB5FE5"/>
    <w:rsid w:val="00AB64C7"/>
    <w:rsid w:val="00AB66E5"/>
    <w:rsid w:val="00AB6956"/>
    <w:rsid w:val="00AB699E"/>
    <w:rsid w:val="00AB6C00"/>
    <w:rsid w:val="00AB6EFF"/>
    <w:rsid w:val="00AB7041"/>
    <w:rsid w:val="00AB70C6"/>
    <w:rsid w:val="00AB728D"/>
    <w:rsid w:val="00AB72A8"/>
    <w:rsid w:val="00AB7556"/>
    <w:rsid w:val="00AB75BD"/>
    <w:rsid w:val="00AB76DA"/>
    <w:rsid w:val="00AB7AFF"/>
    <w:rsid w:val="00AB7BC9"/>
    <w:rsid w:val="00AB7FD2"/>
    <w:rsid w:val="00AC07AA"/>
    <w:rsid w:val="00AC083B"/>
    <w:rsid w:val="00AC089E"/>
    <w:rsid w:val="00AC0936"/>
    <w:rsid w:val="00AC0A5A"/>
    <w:rsid w:val="00AC0C4F"/>
    <w:rsid w:val="00AC0D82"/>
    <w:rsid w:val="00AC0E29"/>
    <w:rsid w:val="00AC0F88"/>
    <w:rsid w:val="00AC1072"/>
    <w:rsid w:val="00AC1303"/>
    <w:rsid w:val="00AC13AA"/>
    <w:rsid w:val="00AC1461"/>
    <w:rsid w:val="00AC153E"/>
    <w:rsid w:val="00AC1A69"/>
    <w:rsid w:val="00AC1E34"/>
    <w:rsid w:val="00AC1E6A"/>
    <w:rsid w:val="00AC1EE0"/>
    <w:rsid w:val="00AC211A"/>
    <w:rsid w:val="00AC2497"/>
    <w:rsid w:val="00AC26ED"/>
    <w:rsid w:val="00AC2845"/>
    <w:rsid w:val="00AC2CDB"/>
    <w:rsid w:val="00AC3166"/>
    <w:rsid w:val="00AC33AF"/>
    <w:rsid w:val="00AC33DD"/>
    <w:rsid w:val="00AC34F4"/>
    <w:rsid w:val="00AC376B"/>
    <w:rsid w:val="00AC378C"/>
    <w:rsid w:val="00AC37AA"/>
    <w:rsid w:val="00AC3874"/>
    <w:rsid w:val="00AC38F3"/>
    <w:rsid w:val="00AC3B6F"/>
    <w:rsid w:val="00AC3F1B"/>
    <w:rsid w:val="00AC41B1"/>
    <w:rsid w:val="00AC4327"/>
    <w:rsid w:val="00AC4385"/>
    <w:rsid w:val="00AC4455"/>
    <w:rsid w:val="00AC481B"/>
    <w:rsid w:val="00AC49D3"/>
    <w:rsid w:val="00AC49E7"/>
    <w:rsid w:val="00AC4A9F"/>
    <w:rsid w:val="00AC4F24"/>
    <w:rsid w:val="00AC4F68"/>
    <w:rsid w:val="00AC5005"/>
    <w:rsid w:val="00AC5135"/>
    <w:rsid w:val="00AC5189"/>
    <w:rsid w:val="00AC5219"/>
    <w:rsid w:val="00AC5899"/>
    <w:rsid w:val="00AC5B04"/>
    <w:rsid w:val="00AC5B34"/>
    <w:rsid w:val="00AC5CCF"/>
    <w:rsid w:val="00AC5CF0"/>
    <w:rsid w:val="00AC5E5A"/>
    <w:rsid w:val="00AC5E85"/>
    <w:rsid w:val="00AC5EA7"/>
    <w:rsid w:val="00AC5EF7"/>
    <w:rsid w:val="00AC61FC"/>
    <w:rsid w:val="00AC650A"/>
    <w:rsid w:val="00AC664B"/>
    <w:rsid w:val="00AC6DE9"/>
    <w:rsid w:val="00AC6EBD"/>
    <w:rsid w:val="00AC6FBB"/>
    <w:rsid w:val="00AC7295"/>
    <w:rsid w:val="00AC7332"/>
    <w:rsid w:val="00AC7449"/>
    <w:rsid w:val="00AC75FF"/>
    <w:rsid w:val="00AC7610"/>
    <w:rsid w:val="00AC7728"/>
    <w:rsid w:val="00AC78A9"/>
    <w:rsid w:val="00AC7ABA"/>
    <w:rsid w:val="00AC7B31"/>
    <w:rsid w:val="00AC7E4F"/>
    <w:rsid w:val="00AC7E97"/>
    <w:rsid w:val="00AD0175"/>
    <w:rsid w:val="00AD0206"/>
    <w:rsid w:val="00AD0232"/>
    <w:rsid w:val="00AD038F"/>
    <w:rsid w:val="00AD03EB"/>
    <w:rsid w:val="00AD0574"/>
    <w:rsid w:val="00AD05AB"/>
    <w:rsid w:val="00AD0AB9"/>
    <w:rsid w:val="00AD0C33"/>
    <w:rsid w:val="00AD0DC2"/>
    <w:rsid w:val="00AD103D"/>
    <w:rsid w:val="00AD10EE"/>
    <w:rsid w:val="00AD1439"/>
    <w:rsid w:val="00AD16A0"/>
    <w:rsid w:val="00AD188E"/>
    <w:rsid w:val="00AD1BBA"/>
    <w:rsid w:val="00AD2086"/>
    <w:rsid w:val="00AD214D"/>
    <w:rsid w:val="00AD22B6"/>
    <w:rsid w:val="00AD25CF"/>
    <w:rsid w:val="00AD26A0"/>
    <w:rsid w:val="00AD29D8"/>
    <w:rsid w:val="00AD2A57"/>
    <w:rsid w:val="00AD2AB8"/>
    <w:rsid w:val="00AD2B1F"/>
    <w:rsid w:val="00AD2B8F"/>
    <w:rsid w:val="00AD2EC9"/>
    <w:rsid w:val="00AD2FA4"/>
    <w:rsid w:val="00AD3275"/>
    <w:rsid w:val="00AD33F1"/>
    <w:rsid w:val="00AD33FB"/>
    <w:rsid w:val="00AD3627"/>
    <w:rsid w:val="00AD3B43"/>
    <w:rsid w:val="00AD3C0B"/>
    <w:rsid w:val="00AD3DB5"/>
    <w:rsid w:val="00AD40DA"/>
    <w:rsid w:val="00AD41A0"/>
    <w:rsid w:val="00AD41E5"/>
    <w:rsid w:val="00AD43E7"/>
    <w:rsid w:val="00AD47FF"/>
    <w:rsid w:val="00AD49F8"/>
    <w:rsid w:val="00AD4AA1"/>
    <w:rsid w:val="00AD4CAD"/>
    <w:rsid w:val="00AD4CD2"/>
    <w:rsid w:val="00AD4F04"/>
    <w:rsid w:val="00AD5201"/>
    <w:rsid w:val="00AD5495"/>
    <w:rsid w:val="00AD5496"/>
    <w:rsid w:val="00AD55A7"/>
    <w:rsid w:val="00AD5667"/>
    <w:rsid w:val="00AD5AD8"/>
    <w:rsid w:val="00AD5ADE"/>
    <w:rsid w:val="00AD5E66"/>
    <w:rsid w:val="00AD6796"/>
    <w:rsid w:val="00AD67D9"/>
    <w:rsid w:val="00AD6842"/>
    <w:rsid w:val="00AD690C"/>
    <w:rsid w:val="00AD6BE8"/>
    <w:rsid w:val="00AD6C7C"/>
    <w:rsid w:val="00AD6E0B"/>
    <w:rsid w:val="00AD6E3A"/>
    <w:rsid w:val="00AD70B4"/>
    <w:rsid w:val="00AD7193"/>
    <w:rsid w:val="00AD7212"/>
    <w:rsid w:val="00AD73AE"/>
    <w:rsid w:val="00AD73CA"/>
    <w:rsid w:val="00AD748C"/>
    <w:rsid w:val="00AD7AD9"/>
    <w:rsid w:val="00AD7BD9"/>
    <w:rsid w:val="00AD7C9F"/>
    <w:rsid w:val="00AD7F57"/>
    <w:rsid w:val="00AE01BB"/>
    <w:rsid w:val="00AE0326"/>
    <w:rsid w:val="00AE042B"/>
    <w:rsid w:val="00AE05BC"/>
    <w:rsid w:val="00AE05FD"/>
    <w:rsid w:val="00AE069F"/>
    <w:rsid w:val="00AE0827"/>
    <w:rsid w:val="00AE0AB5"/>
    <w:rsid w:val="00AE0B6B"/>
    <w:rsid w:val="00AE0EB7"/>
    <w:rsid w:val="00AE107C"/>
    <w:rsid w:val="00AE1158"/>
    <w:rsid w:val="00AE12D5"/>
    <w:rsid w:val="00AE144E"/>
    <w:rsid w:val="00AE1490"/>
    <w:rsid w:val="00AE167A"/>
    <w:rsid w:val="00AE1692"/>
    <w:rsid w:val="00AE17E0"/>
    <w:rsid w:val="00AE1950"/>
    <w:rsid w:val="00AE1A46"/>
    <w:rsid w:val="00AE1BEF"/>
    <w:rsid w:val="00AE1CF3"/>
    <w:rsid w:val="00AE1D8A"/>
    <w:rsid w:val="00AE22D8"/>
    <w:rsid w:val="00AE24D3"/>
    <w:rsid w:val="00AE25AD"/>
    <w:rsid w:val="00AE261C"/>
    <w:rsid w:val="00AE2690"/>
    <w:rsid w:val="00AE2DBD"/>
    <w:rsid w:val="00AE3178"/>
    <w:rsid w:val="00AE3380"/>
    <w:rsid w:val="00AE353E"/>
    <w:rsid w:val="00AE36D8"/>
    <w:rsid w:val="00AE3721"/>
    <w:rsid w:val="00AE3934"/>
    <w:rsid w:val="00AE39F2"/>
    <w:rsid w:val="00AE3A2D"/>
    <w:rsid w:val="00AE3BBD"/>
    <w:rsid w:val="00AE3FF0"/>
    <w:rsid w:val="00AE403B"/>
    <w:rsid w:val="00AE4088"/>
    <w:rsid w:val="00AE413C"/>
    <w:rsid w:val="00AE43AA"/>
    <w:rsid w:val="00AE448C"/>
    <w:rsid w:val="00AE44F9"/>
    <w:rsid w:val="00AE468E"/>
    <w:rsid w:val="00AE4912"/>
    <w:rsid w:val="00AE4ABE"/>
    <w:rsid w:val="00AE4E46"/>
    <w:rsid w:val="00AE4EA5"/>
    <w:rsid w:val="00AE4FD2"/>
    <w:rsid w:val="00AE54B2"/>
    <w:rsid w:val="00AE5900"/>
    <w:rsid w:val="00AE5D82"/>
    <w:rsid w:val="00AE5F87"/>
    <w:rsid w:val="00AE6234"/>
    <w:rsid w:val="00AE6508"/>
    <w:rsid w:val="00AE6560"/>
    <w:rsid w:val="00AE65D8"/>
    <w:rsid w:val="00AE6624"/>
    <w:rsid w:val="00AE6A7D"/>
    <w:rsid w:val="00AE6ADE"/>
    <w:rsid w:val="00AE6B7C"/>
    <w:rsid w:val="00AE6D7D"/>
    <w:rsid w:val="00AE7203"/>
    <w:rsid w:val="00AE7236"/>
    <w:rsid w:val="00AE755A"/>
    <w:rsid w:val="00AE7632"/>
    <w:rsid w:val="00AE770F"/>
    <w:rsid w:val="00AE7711"/>
    <w:rsid w:val="00AE773C"/>
    <w:rsid w:val="00AE7A29"/>
    <w:rsid w:val="00AE7B19"/>
    <w:rsid w:val="00AE7B84"/>
    <w:rsid w:val="00AE7CDD"/>
    <w:rsid w:val="00AE7FF5"/>
    <w:rsid w:val="00AF0302"/>
    <w:rsid w:val="00AF04B6"/>
    <w:rsid w:val="00AF0BE0"/>
    <w:rsid w:val="00AF0D40"/>
    <w:rsid w:val="00AF0FBF"/>
    <w:rsid w:val="00AF127F"/>
    <w:rsid w:val="00AF1349"/>
    <w:rsid w:val="00AF16E4"/>
    <w:rsid w:val="00AF195E"/>
    <w:rsid w:val="00AF1B82"/>
    <w:rsid w:val="00AF1B95"/>
    <w:rsid w:val="00AF1F8F"/>
    <w:rsid w:val="00AF1FAB"/>
    <w:rsid w:val="00AF2209"/>
    <w:rsid w:val="00AF230F"/>
    <w:rsid w:val="00AF2390"/>
    <w:rsid w:val="00AF2887"/>
    <w:rsid w:val="00AF2E8D"/>
    <w:rsid w:val="00AF39C7"/>
    <w:rsid w:val="00AF3AE6"/>
    <w:rsid w:val="00AF3C64"/>
    <w:rsid w:val="00AF3EC2"/>
    <w:rsid w:val="00AF3F61"/>
    <w:rsid w:val="00AF3FF4"/>
    <w:rsid w:val="00AF4043"/>
    <w:rsid w:val="00AF4072"/>
    <w:rsid w:val="00AF40A9"/>
    <w:rsid w:val="00AF4216"/>
    <w:rsid w:val="00AF437A"/>
    <w:rsid w:val="00AF482A"/>
    <w:rsid w:val="00AF497C"/>
    <w:rsid w:val="00AF4B85"/>
    <w:rsid w:val="00AF4F1C"/>
    <w:rsid w:val="00AF4F6A"/>
    <w:rsid w:val="00AF50D1"/>
    <w:rsid w:val="00AF50D8"/>
    <w:rsid w:val="00AF53D3"/>
    <w:rsid w:val="00AF5428"/>
    <w:rsid w:val="00AF56CB"/>
    <w:rsid w:val="00AF5A64"/>
    <w:rsid w:val="00AF5FB0"/>
    <w:rsid w:val="00AF5FDC"/>
    <w:rsid w:val="00AF62C3"/>
    <w:rsid w:val="00AF6659"/>
    <w:rsid w:val="00AF668D"/>
    <w:rsid w:val="00AF670C"/>
    <w:rsid w:val="00AF672B"/>
    <w:rsid w:val="00AF67F9"/>
    <w:rsid w:val="00AF692E"/>
    <w:rsid w:val="00AF6A50"/>
    <w:rsid w:val="00AF6B4C"/>
    <w:rsid w:val="00AF6C62"/>
    <w:rsid w:val="00AF6E52"/>
    <w:rsid w:val="00AF6EE7"/>
    <w:rsid w:val="00AF703F"/>
    <w:rsid w:val="00AF704E"/>
    <w:rsid w:val="00AF717B"/>
    <w:rsid w:val="00AF73ED"/>
    <w:rsid w:val="00AF73F7"/>
    <w:rsid w:val="00AF7510"/>
    <w:rsid w:val="00AF75F9"/>
    <w:rsid w:val="00AF7BD2"/>
    <w:rsid w:val="00AF7D75"/>
    <w:rsid w:val="00AF7E26"/>
    <w:rsid w:val="00B00481"/>
    <w:rsid w:val="00B0094F"/>
    <w:rsid w:val="00B00A41"/>
    <w:rsid w:val="00B00ABF"/>
    <w:rsid w:val="00B00B0C"/>
    <w:rsid w:val="00B00B2E"/>
    <w:rsid w:val="00B00C06"/>
    <w:rsid w:val="00B00DCA"/>
    <w:rsid w:val="00B010F7"/>
    <w:rsid w:val="00B01284"/>
    <w:rsid w:val="00B01334"/>
    <w:rsid w:val="00B01347"/>
    <w:rsid w:val="00B01504"/>
    <w:rsid w:val="00B01813"/>
    <w:rsid w:val="00B018AF"/>
    <w:rsid w:val="00B01BE5"/>
    <w:rsid w:val="00B01EEB"/>
    <w:rsid w:val="00B020FA"/>
    <w:rsid w:val="00B02531"/>
    <w:rsid w:val="00B02698"/>
    <w:rsid w:val="00B026A7"/>
    <w:rsid w:val="00B0271F"/>
    <w:rsid w:val="00B02BE5"/>
    <w:rsid w:val="00B02C41"/>
    <w:rsid w:val="00B02FBC"/>
    <w:rsid w:val="00B0315D"/>
    <w:rsid w:val="00B0328E"/>
    <w:rsid w:val="00B0344A"/>
    <w:rsid w:val="00B034C9"/>
    <w:rsid w:val="00B0359D"/>
    <w:rsid w:val="00B035B7"/>
    <w:rsid w:val="00B0385A"/>
    <w:rsid w:val="00B039F1"/>
    <w:rsid w:val="00B03A87"/>
    <w:rsid w:val="00B03D30"/>
    <w:rsid w:val="00B03E14"/>
    <w:rsid w:val="00B03FE0"/>
    <w:rsid w:val="00B04067"/>
    <w:rsid w:val="00B04236"/>
    <w:rsid w:val="00B045CF"/>
    <w:rsid w:val="00B04738"/>
    <w:rsid w:val="00B04BDE"/>
    <w:rsid w:val="00B04CAA"/>
    <w:rsid w:val="00B04D9D"/>
    <w:rsid w:val="00B04EB1"/>
    <w:rsid w:val="00B050B5"/>
    <w:rsid w:val="00B05388"/>
    <w:rsid w:val="00B05E27"/>
    <w:rsid w:val="00B06098"/>
    <w:rsid w:val="00B067B3"/>
    <w:rsid w:val="00B0691C"/>
    <w:rsid w:val="00B06A0C"/>
    <w:rsid w:val="00B06A1A"/>
    <w:rsid w:val="00B06BEC"/>
    <w:rsid w:val="00B06F03"/>
    <w:rsid w:val="00B0707F"/>
    <w:rsid w:val="00B070D5"/>
    <w:rsid w:val="00B077E3"/>
    <w:rsid w:val="00B0798E"/>
    <w:rsid w:val="00B07AD1"/>
    <w:rsid w:val="00B07B7F"/>
    <w:rsid w:val="00B07DF0"/>
    <w:rsid w:val="00B07F28"/>
    <w:rsid w:val="00B10069"/>
    <w:rsid w:val="00B10363"/>
    <w:rsid w:val="00B103C9"/>
    <w:rsid w:val="00B10570"/>
    <w:rsid w:val="00B1066A"/>
    <w:rsid w:val="00B10725"/>
    <w:rsid w:val="00B1076F"/>
    <w:rsid w:val="00B108AA"/>
    <w:rsid w:val="00B10927"/>
    <w:rsid w:val="00B109A2"/>
    <w:rsid w:val="00B109B7"/>
    <w:rsid w:val="00B10A20"/>
    <w:rsid w:val="00B10A2B"/>
    <w:rsid w:val="00B10D6F"/>
    <w:rsid w:val="00B10EF0"/>
    <w:rsid w:val="00B10F69"/>
    <w:rsid w:val="00B111EA"/>
    <w:rsid w:val="00B11503"/>
    <w:rsid w:val="00B116A1"/>
    <w:rsid w:val="00B117D8"/>
    <w:rsid w:val="00B11A5B"/>
    <w:rsid w:val="00B11A7B"/>
    <w:rsid w:val="00B11A8E"/>
    <w:rsid w:val="00B11CDD"/>
    <w:rsid w:val="00B11FA4"/>
    <w:rsid w:val="00B1209B"/>
    <w:rsid w:val="00B12115"/>
    <w:rsid w:val="00B12116"/>
    <w:rsid w:val="00B12221"/>
    <w:rsid w:val="00B12274"/>
    <w:rsid w:val="00B12570"/>
    <w:rsid w:val="00B125D2"/>
    <w:rsid w:val="00B129A7"/>
    <w:rsid w:val="00B12B12"/>
    <w:rsid w:val="00B12B21"/>
    <w:rsid w:val="00B12C34"/>
    <w:rsid w:val="00B12DAA"/>
    <w:rsid w:val="00B12E3C"/>
    <w:rsid w:val="00B12E49"/>
    <w:rsid w:val="00B12FC2"/>
    <w:rsid w:val="00B1317E"/>
    <w:rsid w:val="00B131EA"/>
    <w:rsid w:val="00B132A6"/>
    <w:rsid w:val="00B132F5"/>
    <w:rsid w:val="00B1335D"/>
    <w:rsid w:val="00B135DE"/>
    <w:rsid w:val="00B13600"/>
    <w:rsid w:val="00B13618"/>
    <w:rsid w:val="00B13640"/>
    <w:rsid w:val="00B137C4"/>
    <w:rsid w:val="00B1382A"/>
    <w:rsid w:val="00B13C59"/>
    <w:rsid w:val="00B13EA2"/>
    <w:rsid w:val="00B14060"/>
    <w:rsid w:val="00B14409"/>
    <w:rsid w:val="00B149CF"/>
    <w:rsid w:val="00B14A9B"/>
    <w:rsid w:val="00B14B58"/>
    <w:rsid w:val="00B14B78"/>
    <w:rsid w:val="00B14BC2"/>
    <w:rsid w:val="00B14F3C"/>
    <w:rsid w:val="00B1514F"/>
    <w:rsid w:val="00B1523C"/>
    <w:rsid w:val="00B15412"/>
    <w:rsid w:val="00B1544F"/>
    <w:rsid w:val="00B15498"/>
    <w:rsid w:val="00B1555C"/>
    <w:rsid w:val="00B156B1"/>
    <w:rsid w:val="00B159E8"/>
    <w:rsid w:val="00B15E0B"/>
    <w:rsid w:val="00B15FE3"/>
    <w:rsid w:val="00B1619F"/>
    <w:rsid w:val="00B16270"/>
    <w:rsid w:val="00B16361"/>
    <w:rsid w:val="00B166E3"/>
    <w:rsid w:val="00B16B65"/>
    <w:rsid w:val="00B16DFE"/>
    <w:rsid w:val="00B16E80"/>
    <w:rsid w:val="00B1708C"/>
    <w:rsid w:val="00B173D5"/>
    <w:rsid w:val="00B178EC"/>
    <w:rsid w:val="00B17C3F"/>
    <w:rsid w:val="00B17CBF"/>
    <w:rsid w:val="00B17EAA"/>
    <w:rsid w:val="00B2017E"/>
    <w:rsid w:val="00B20197"/>
    <w:rsid w:val="00B201AE"/>
    <w:rsid w:val="00B201C1"/>
    <w:rsid w:val="00B20ABB"/>
    <w:rsid w:val="00B20CB9"/>
    <w:rsid w:val="00B20EC9"/>
    <w:rsid w:val="00B21081"/>
    <w:rsid w:val="00B211B3"/>
    <w:rsid w:val="00B213AF"/>
    <w:rsid w:val="00B213C1"/>
    <w:rsid w:val="00B214D8"/>
    <w:rsid w:val="00B214DF"/>
    <w:rsid w:val="00B2160D"/>
    <w:rsid w:val="00B21612"/>
    <w:rsid w:val="00B216E1"/>
    <w:rsid w:val="00B21722"/>
    <w:rsid w:val="00B21C11"/>
    <w:rsid w:val="00B21FEE"/>
    <w:rsid w:val="00B220F7"/>
    <w:rsid w:val="00B223A9"/>
    <w:rsid w:val="00B22487"/>
    <w:rsid w:val="00B22491"/>
    <w:rsid w:val="00B2288C"/>
    <w:rsid w:val="00B22CAC"/>
    <w:rsid w:val="00B22D10"/>
    <w:rsid w:val="00B2337F"/>
    <w:rsid w:val="00B23632"/>
    <w:rsid w:val="00B2368C"/>
    <w:rsid w:val="00B236B1"/>
    <w:rsid w:val="00B239C8"/>
    <w:rsid w:val="00B23AB0"/>
    <w:rsid w:val="00B23C8D"/>
    <w:rsid w:val="00B23D9A"/>
    <w:rsid w:val="00B23EAB"/>
    <w:rsid w:val="00B24130"/>
    <w:rsid w:val="00B24162"/>
    <w:rsid w:val="00B243F1"/>
    <w:rsid w:val="00B246FF"/>
    <w:rsid w:val="00B24A6C"/>
    <w:rsid w:val="00B24A7A"/>
    <w:rsid w:val="00B251D1"/>
    <w:rsid w:val="00B2541B"/>
    <w:rsid w:val="00B25559"/>
    <w:rsid w:val="00B25661"/>
    <w:rsid w:val="00B2577A"/>
    <w:rsid w:val="00B258C1"/>
    <w:rsid w:val="00B26259"/>
    <w:rsid w:val="00B262C4"/>
    <w:rsid w:val="00B26401"/>
    <w:rsid w:val="00B266AF"/>
    <w:rsid w:val="00B26787"/>
    <w:rsid w:val="00B26988"/>
    <w:rsid w:val="00B26D0A"/>
    <w:rsid w:val="00B26E93"/>
    <w:rsid w:val="00B26F7D"/>
    <w:rsid w:val="00B27123"/>
    <w:rsid w:val="00B27383"/>
    <w:rsid w:val="00B27454"/>
    <w:rsid w:val="00B27553"/>
    <w:rsid w:val="00B2771E"/>
    <w:rsid w:val="00B27748"/>
    <w:rsid w:val="00B278C4"/>
    <w:rsid w:val="00B27993"/>
    <w:rsid w:val="00B27F84"/>
    <w:rsid w:val="00B302E8"/>
    <w:rsid w:val="00B302F3"/>
    <w:rsid w:val="00B30554"/>
    <w:rsid w:val="00B30715"/>
    <w:rsid w:val="00B30A05"/>
    <w:rsid w:val="00B30DBB"/>
    <w:rsid w:val="00B30EB9"/>
    <w:rsid w:val="00B310B1"/>
    <w:rsid w:val="00B31252"/>
    <w:rsid w:val="00B31420"/>
    <w:rsid w:val="00B31621"/>
    <w:rsid w:val="00B318EB"/>
    <w:rsid w:val="00B31AA8"/>
    <w:rsid w:val="00B31B5A"/>
    <w:rsid w:val="00B3210B"/>
    <w:rsid w:val="00B32150"/>
    <w:rsid w:val="00B32208"/>
    <w:rsid w:val="00B323B5"/>
    <w:rsid w:val="00B324C9"/>
    <w:rsid w:val="00B324D2"/>
    <w:rsid w:val="00B32602"/>
    <w:rsid w:val="00B326AC"/>
    <w:rsid w:val="00B32B2C"/>
    <w:rsid w:val="00B335CC"/>
    <w:rsid w:val="00B3364C"/>
    <w:rsid w:val="00B33712"/>
    <w:rsid w:val="00B337BF"/>
    <w:rsid w:val="00B33877"/>
    <w:rsid w:val="00B339FD"/>
    <w:rsid w:val="00B33A0F"/>
    <w:rsid w:val="00B33C35"/>
    <w:rsid w:val="00B3454A"/>
    <w:rsid w:val="00B34567"/>
    <w:rsid w:val="00B345ED"/>
    <w:rsid w:val="00B346A9"/>
    <w:rsid w:val="00B34730"/>
    <w:rsid w:val="00B34788"/>
    <w:rsid w:val="00B34944"/>
    <w:rsid w:val="00B34B3F"/>
    <w:rsid w:val="00B34BB5"/>
    <w:rsid w:val="00B34F06"/>
    <w:rsid w:val="00B34F7E"/>
    <w:rsid w:val="00B35149"/>
    <w:rsid w:val="00B35366"/>
    <w:rsid w:val="00B35423"/>
    <w:rsid w:val="00B3553C"/>
    <w:rsid w:val="00B35629"/>
    <w:rsid w:val="00B356FE"/>
    <w:rsid w:val="00B35828"/>
    <w:rsid w:val="00B359AB"/>
    <w:rsid w:val="00B35C20"/>
    <w:rsid w:val="00B361E9"/>
    <w:rsid w:val="00B363CE"/>
    <w:rsid w:val="00B365D9"/>
    <w:rsid w:val="00B368F9"/>
    <w:rsid w:val="00B36A42"/>
    <w:rsid w:val="00B36B28"/>
    <w:rsid w:val="00B36C92"/>
    <w:rsid w:val="00B372FE"/>
    <w:rsid w:val="00B3799C"/>
    <w:rsid w:val="00B37D08"/>
    <w:rsid w:val="00B37D68"/>
    <w:rsid w:val="00B37DE1"/>
    <w:rsid w:val="00B37F3C"/>
    <w:rsid w:val="00B40116"/>
    <w:rsid w:val="00B40292"/>
    <w:rsid w:val="00B402A6"/>
    <w:rsid w:val="00B4032D"/>
    <w:rsid w:val="00B406DA"/>
    <w:rsid w:val="00B40945"/>
    <w:rsid w:val="00B40A5A"/>
    <w:rsid w:val="00B40B00"/>
    <w:rsid w:val="00B40DC9"/>
    <w:rsid w:val="00B40ED4"/>
    <w:rsid w:val="00B415A1"/>
    <w:rsid w:val="00B415FD"/>
    <w:rsid w:val="00B41791"/>
    <w:rsid w:val="00B418BC"/>
    <w:rsid w:val="00B41A35"/>
    <w:rsid w:val="00B41A4C"/>
    <w:rsid w:val="00B41B20"/>
    <w:rsid w:val="00B41BFD"/>
    <w:rsid w:val="00B41C2F"/>
    <w:rsid w:val="00B41D5A"/>
    <w:rsid w:val="00B420DE"/>
    <w:rsid w:val="00B4212E"/>
    <w:rsid w:val="00B422BF"/>
    <w:rsid w:val="00B422EE"/>
    <w:rsid w:val="00B4260E"/>
    <w:rsid w:val="00B42875"/>
    <w:rsid w:val="00B42A33"/>
    <w:rsid w:val="00B42A5C"/>
    <w:rsid w:val="00B42B33"/>
    <w:rsid w:val="00B42B55"/>
    <w:rsid w:val="00B42BA8"/>
    <w:rsid w:val="00B42E26"/>
    <w:rsid w:val="00B42F53"/>
    <w:rsid w:val="00B43130"/>
    <w:rsid w:val="00B432FD"/>
    <w:rsid w:val="00B43365"/>
    <w:rsid w:val="00B433C1"/>
    <w:rsid w:val="00B43534"/>
    <w:rsid w:val="00B43686"/>
    <w:rsid w:val="00B43A39"/>
    <w:rsid w:val="00B43BF4"/>
    <w:rsid w:val="00B43C2A"/>
    <w:rsid w:val="00B43C8E"/>
    <w:rsid w:val="00B43F7D"/>
    <w:rsid w:val="00B444B4"/>
    <w:rsid w:val="00B445B7"/>
    <w:rsid w:val="00B446D2"/>
    <w:rsid w:val="00B4477F"/>
    <w:rsid w:val="00B4499F"/>
    <w:rsid w:val="00B44D15"/>
    <w:rsid w:val="00B45319"/>
    <w:rsid w:val="00B4554B"/>
    <w:rsid w:val="00B455A2"/>
    <w:rsid w:val="00B455B8"/>
    <w:rsid w:val="00B45797"/>
    <w:rsid w:val="00B45919"/>
    <w:rsid w:val="00B45A13"/>
    <w:rsid w:val="00B45EDF"/>
    <w:rsid w:val="00B45FF2"/>
    <w:rsid w:val="00B46564"/>
    <w:rsid w:val="00B4664B"/>
    <w:rsid w:val="00B46723"/>
    <w:rsid w:val="00B46751"/>
    <w:rsid w:val="00B46766"/>
    <w:rsid w:val="00B468A4"/>
    <w:rsid w:val="00B46902"/>
    <w:rsid w:val="00B4695C"/>
    <w:rsid w:val="00B469E3"/>
    <w:rsid w:val="00B46A72"/>
    <w:rsid w:val="00B46FCA"/>
    <w:rsid w:val="00B47031"/>
    <w:rsid w:val="00B470FE"/>
    <w:rsid w:val="00B472A1"/>
    <w:rsid w:val="00B472EA"/>
    <w:rsid w:val="00B473B6"/>
    <w:rsid w:val="00B47491"/>
    <w:rsid w:val="00B47C6A"/>
    <w:rsid w:val="00B5030E"/>
    <w:rsid w:val="00B503F5"/>
    <w:rsid w:val="00B504C4"/>
    <w:rsid w:val="00B506AB"/>
    <w:rsid w:val="00B506C2"/>
    <w:rsid w:val="00B507AC"/>
    <w:rsid w:val="00B50A8F"/>
    <w:rsid w:val="00B50BA7"/>
    <w:rsid w:val="00B50CEF"/>
    <w:rsid w:val="00B50F5E"/>
    <w:rsid w:val="00B50F6C"/>
    <w:rsid w:val="00B50FDD"/>
    <w:rsid w:val="00B50FEA"/>
    <w:rsid w:val="00B51007"/>
    <w:rsid w:val="00B51177"/>
    <w:rsid w:val="00B51260"/>
    <w:rsid w:val="00B5131D"/>
    <w:rsid w:val="00B51329"/>
    <w:rsid w:val="00B5135D"/>
    <w:rsid w:val="00B51384"/>
    <w:rsid w:val="00B51412"/>
    <w:rsid w:val="00B5156B"/>
    <w:rsid w:val="00B51589"/>
    <w:rsid w:val="00B515B5"/>
    <w:rsid w:val="00B51663"/>
    <w:rsid w:val="00B518C7"/>
    <w:rsid w:val="00B51AEF"/>
    <w:rsid w:val="00B51BD3"/>
    <w:rsid w:val="00B51C13"/>
    <w:rsid w:val="00B51C21"/>
    <w:rsid w:val="00B51E4B"/>
    <w:rsid w:val="00B51ECB"/>
    <w:rsid w:val="00B51FD2"/>
    <w:rsid w:val="00B52492"/>
    <w:rsid w:val="00B52687"/>
    <w:rsid w:val="00B52850"/>
    <w:rsid w:val="00B529DF"/>
    <w:rsid w:val="00B52F43"/>
    <w:rsid w:val="00B531B5"/>
    <w:rsid w:val="00B531E9"/>
    <w:rsid w:val="00B5328A"/>
    <w:rsid w:val="00B53375"/>
    <w:rsid w:val="00B536F1"/>
    <w:rsid w:val="00B53856"/>
    <w:rsid w:val="00B538CD"/>
    <w:rsid w:val="00B53C6D"/>
    <w:rsid w:val="00B53D32"/>
    <w:rsid w:val="00B53E7A"/>
    <w:rsid w:val="00B53EBB"/>
    <w:rsid w:val="00B53EC6"/>
    <w:rsid w:val="00B541D9"/>
    <w:rsid w:val="00B545F4"/>
    <w:rsid w:val="00B5463D"/>
    <w:rsid w:val="00B54694"/>
    <w:rsid w:val="00B54998"/>
    <w:rsid w:val="00B54A4A"/>
    <w:rsid w:val="00B54C12"/>
    <w:rsid w:val="00B54D61"/>
    <w:rsid w:val="00B54FF7"/>
    <w:rsid w:val="00B551B1"/>
    <w:rsid w:val="00B551BF"/>
    <w:rsid w:val="00B5579B"/>
    <w:rsid w:val="00B5580D"/>
    <w:rsid w:val="00B55811"/>
    <w:rsid w:val="00B55A74"/>
    <w:rsid w:val="00B55EF7"/>
    <w:rsid w:val="00B55F84"/>
    <w:rsid w:val="00B560A9"/>
    <w:rsid w:val="00B56259"/>
    <w:rsid w:val="00B5659D"/>
    <w:rsid w:val="00B5665A"/>
    <w:rsid w:val="00B56660"/>
    <w:rsid w:val="00B56826"/>
    <w:rsid w:val="00B56970"/>
    <w:rsid w:val="00B56973"/>
    <w:rsid w:val="00B5699F"/>
    <w:rsid w:val="00B56A96"/>
    <w:rsid w:val="00B56B31"/>
    <w:rsid w:val="00B56C79"/>
    <w:rsid w:val="00B56EE1"/>
    <w:rsid w:val="00B57096"/>
    <w:rsid w:val="00B570D3"/>
    <w:rsid w:val="00B5712F"/>
    <w:rsid w:val="00B572B6"/>
    <w:rsid w:val="00B57B31"/>
    <w:rsid w:val="00B57C2E"/>
    <w:rsid w:val="00B57F7A"/>
    <w:rsid w:val="00B600A5"/>
    <w:rsid w:val="00B6020B"/>
    <w:rsid w:val="00B6037B"/>
    <w:rsid w:val="00B60536"/>
    <w:rsid w:val="00B60D1F"/>
    <w:rsid w:val="00B60D36"/>
    <w:rsid w:val="00B6131C"/>
    <w:rsid w:val="00B6139B"/>
    <w:rsid w:val="00B61727"/>
    <w:rsid w:val="00B61A58"/>
    <w:rsid w:val="00B61BB4"/>
    <w:rsid w:val="00B61E8D"/>
    <w:rsid w:val="00B62066"/>
    <w:rsid w:val="00B6239C"/>
    <w:rsid w:val="00B6254F"/>
    <w:rsid w:val="00B627BB"/>
    <w:rsid w:val="00B627E6"/>
    <w:rsid w:val="00B6280A"/>
    <w:rsid w:val="00B62AB8"/>
    <w:rsid w:val="00B62D8E"/>
    <w:rsid w:val="00B62FBD"/>
    <w:rsid w:val="00B6321C"/>
    <w:rsid w:val="00B6373B"/>
    <w:rsid w:val="00B637CF"/>
    <w:rsid w:val="00B637FD"/>
    <w:rsid w:val="00B63976"/>
    <w:rsid w:val="00B639F8"/>
    <w:rsid w:val="00B63AEC"/>
    <w:rsid w:val="00B63B0B"/>
    <w:rsid w:val="00B63B27"/>
    <w:rsid w:val="00B63D55"/>
    <w:rsid w:val="00B63FE5"/>
    <w:rsid w:val="00B64282"/>
    <w:rsid w:val="00B64387"/>
    <w:rsid w:val="00B64476"/>
    <w:rsid w:val="00B649C4"/>
    <w:rsid w:val="00B64B17"/>
    <w:rsid w:val="00B64BD1"/>
    <w:rsid w:val="00B64C9D"/>
    <w:rsid w:val="00B64CEE"/>
    <w:rsid w:val="00B64D9E"/>
    <w:rsid w:val="00B64EFB"/>
    <w:rsid w:val="00B65245"/>
    <w:rsid w:val="00B6533E"/>
    <w:rsid w:val="00B653A9"/>
    <w:rsid w:val="00B6545A"/>
    <w:rsid w:val="00B658BD"/>
    <w:rsid w:val="00B65909"/>
    <w:rsid w:val="00B65928"/>
    <w:rsid w:val="00B6596E"/>
    <w:rsid w:val="00B65CCE"/>
    <w:rsid w:val="00B65E0F"/>
    <w:rsid w:val="00B65EF8"/>
    <w:rsid w:val="00B66093"/>
    <w:rsid w:val="00B6612B"/>
    <w:rsid w:val="00B661BE"/>
    <w:rsid w:val="00B6622A"/>
    <w:rsid w:val="00B66791"/>
    <w:rsid w:val="00B66927"/>
    <w:rsid w:val="00B669C8"/>
    <w:rsid w:val="00B66DF8"/>
    <w:rsid w:val="00B66EBD"/>
    <w:rsid w:val="00B670D3"/>
    <w:rsid w:val="00B677DF"/>
    <w:rsid w:val="00B67A16"/>
    <w:rsid w:val="00B67A3D"/>
    <w:rsid w:val="00B67C90"/>
    <w:rsid w:val="00B67DE2"/>
    <w:rsid w:val="00B7001E"/>
    <w:rsid w:val="00B702B7"/>
    <w:rsid w:val="00B7031F"/>
    <w:rsid w:val="00B7035B"/>
    <w:rsid w:val="00B706C2"/>
    <w:rsid w:val="00B70735"/>
    <w:rsid w:val="00B70813"/>
    <w:rsid w:val="00B7081A"/>
    <w:rsid w:val="00B70870"/>
    <w:rsid w:val="00B70927"/>
    <w:rsid w:val="00B70940"/>
    <w:rsid w:val="00B70977"/>
    <w:rsid w:val="00B70C31"/>
    <w:rsid w:val="00B70C9B"/>
    <w:rsid w:val="00B70D71"/>
    <w:rsid w:val="00B70FBA"/>
    <w:rsid w:val="00B714AC"/>
    <w:rsid w:val="00B7172F"/>
    <w:rsid w:val="00B71960"/>
    <w:rsid w:val="00B71C94"/>
    <w:rsid w:val="00B71CDF"/>
    <w:rsid w:val="00B71DB0"/>
    <w:rsid w:val="00B7222D"/>
    <w:rsid w:val="00B72336"/>
    <w:rsid w:val="00B72385"/>
    <w:rsid w:val="00B723E2"/>
    <w:rsid w:val="00B72427"/>
    <w:rsid w:val="00B724B3"/>
    <w:rsid w:val="00B725CC"/>
    <w:rsid w:val="00B727EF"/>
    <w:rsid w:val="00B7280B"/>
    <w:rsid w:val="00B72820"/>
    <w:rsid w:val="00B72ABE"/>
    <w:rsid w:val="00B72AC0"/>
    <w:rsid w:val="00B72E28"/>
    <w:rsid w:val="00B72F34"/>
    <w:rsid w:val="00B7313F"/>
    <w:rsid w:val="00B733AD"/>
    <w:rsid w:val="00B7346F"/>
    <w:rsid w:val="00B734C8"/>
    <w:rsid w:val="00B734FA"/>
    <w:rsid w:val="00B735F8"/>
    <w:rsid w:val="00B73AF7"/>
    <w:rsid w:val="00B74378"/>
    <w:rsid w:val="00B74508"/>
    <w:rsid w:val="00B7462B"/>
    <w:rsid w:val="00B748A4"/>
    <w:rsid w:val="00B748A7"/>
    <w:rsid w:val="00B7496B"/>
    <w:rsid w:val="00B74DD0"/>
    <w:rsid w:val="00B74E11"/>
    <w:rsid w:val="00B7518D"/>
    <w:rsid w:val="00B753B7"/>
    <w:rsid w:val="00B7551A"/>
    <w:rsid w:val="00B757D6"/>
    <w:rsid w:val="00B75A75"/>
    <w:rsid w:val="00B76027"/>
    <w:rsid w:val="00B7604F"/>
    <w:rsid w:val="00B760E7"/>
    <w:rsid w:val="00B76373"/>
    <w:rsid w:val="00B76385"/>
    <w:rsid w:val="00B76C60"/>
    <w:rsid w:val="00B76CA6"/>
    <w:rsid w:val="00B76D82"/>
    <w:rsid w:val="00B76FA4"/>
    <w:rsid w:val="00B77125"/>
    <w:rsid w:val="00B7750E"/>
    <w:rsid w:val="00B7771B"/>
    <w:rsid w:val="00B7778D"/>
    <w:rsid w:val="00B77A79"/>
    <w:rsid w:val="00B77BA5"/>
    <w:rsid w:val="00B77CF6"/>
    <w:rsid w:val="00B77DA8"/>
    <w:rsid w:val="00B8003E"/>
    <w:rsid w:val="00B80060"/>
    <w:rsid w:val="00B808A1"/>
    <w:rsid w:val="00B809F4"/>
    <w:rsid w:val="00B80B45"/>
    <w:rsid w:val="00B80B8B"/>
    <w:rsid w:val="00B80F1D"/>
    <w:rsid w:val="00B81028"/>
    <w:rsid w:val="00B81076"/>
    <w:rsid w:val="00B814B2"/>
    <w:rsid w:val="00B8156E"/>
    <w:rsid w:val="00B81588"/>
    <w:rsid w:val="00B816E8"/>
    <w:rsid w:val="00B81914"/>
    <w:rsid w:val="00B81A5D"/>
    <w:rsid w:val="00B81AD4"/>
    <w:rsid w:val="00B81C1D"/>
    <w:rsid w:val="00B81D86"/>
    <w:rsid w:val="00B81EB3"/>
    <w:rsid w:val="00B81FA9"/>
    <w:rsid w:val="00B8219C"/>
    <w:rsid w:val="00B826AE"/>
    <w:rsid w:val="00B8278F"/>
    <w:rsid w:val="00B8287E"/>
    <w:rsid w:val="00B828D1"/>
    <w:rsid w:val="00B8290C"/>
    <w:rsid w:val="00B82A13"/>
    <w:rsid w:val="00B82D48"/>
    <w:rsid w:val="00B82DDC"/>
    <w:rsid w:val="00B83028"/>
    <w:rsid w:val="00B831DB"/>
    <w:rsid w:val="00B83215"/>
    <w:rsid w:val="00B83241"/>
    <w:rsid w:val="00B834EE"/>
    <w:rsid w:val="00B8357F"/>
    <w:rsid w:val="00B83652"/>
    <w:rsid w:val="00B83831"/>
    <w:rsid w:val="00B83B3D"/>
    <w:rsid w:val="00B83D47"/>
    <w:rsid w:val="00B83F46"/>
    <w:rsid w:val="00B83F61"/>
    <w:rsid w:val="00B84164"/>
    <w:rsid w:val="00B8436E"/>
    <w:rsid w:val="00B8468E"/>
    <w:rsid w:val="00B846EF"/>
    <w:rsid w:val="00B84ED1"/>
    <w:rsid w:val="00B84ED5"/>
    <w:rsid w:val="00B84F94"/>
    <w:rsid w:val="00B85091"/>
    <w:rsid w:val="00B853FE"/>
    <w:rsid w:val="00B85609"/>
    <w:rsid w:val="00B858D0"/>
    <w:rsid w:val="00B85B84"/>
    <w:rsid w:val="00B85F0A"/>
    <w:rsid w:val="00B86102"/>
    <w:rsid w:val="00B8655E"/>
    <w:rsid w:val="00B8685F"/>
    <w:rsid w:val="00B86FBF"/>
    <w:rsid w:val="00B872C5"/>
    <w:rsid w:val="00B87431"/>
    <w:rsid w:val="00B8754B"/>
    <w:rsid w:val="00B87578"/>
    <w:rsid w:val="00B876AB"/>
    <w:rsid w:val="00B8777A"/>
    <w:rsid w:val="00B87844"/>
    <w:rsid w:val="00B87888"/>
    <w:rsid w:val="00B87B08"/>
    <w:rsid w:val="00B87B1C"/>
    <w:rsid w:val="00B87B9A"/>
    <w:rsid w:val="00B87CD8"/>
    <w:rsid w:val="00B87D6C"/>
    <w:rsid w:val="00B90080"/>
    <w:rsid w:val="00B90435"/>
    <w:rsid w:val="00B9046B"/>
    <w:rsid w:val="00B904F5"/>
    <w:rsid w:val="00B906F9"/>
    <w:rsid w:val="00B910E1"/>
    <w:rsid w:val="00B912DD"/>
    <w:rsid w:val="00B917C1"/>
    <w:rsid w:val="00B91A0A"/>
    <w:rsid w:val="00B91AF0"/>
    <w:rsid w:val="00B91CB4"/>
    <w:rsid w:val="00B91E59"/>
    <w:rsid w:val="00B9200D"/>
    <w:rsid w:val="00B92151"/>
    <w:rsid w:val="00B921D9"/>
    <w:rsid w:val="00B92725"/>
    <w:rsid w:val="00B927A0"/>
    <w:rsid w:val="00B92903"/>
    <w:rsid w:val="00B92B2D"/>
    <w:rsid w:val="00B92E2E"/>
    <w:rsid w:val="00B932FC"/>
    <w:rsid w:val="00B93543"/>
    <w:rsid w:val="00B93CBA"/>
    <w:rsid w:val="00B93D0E"/>
    <w:rsid w:val="00B93E0B"/>
    <w:rsid w:val="00B944E0"/>
    <w:rsid w:val="00B946C5"/>
    <w:rsid w:val="00B9478A"/>
    <w:rsid w:val="00B94940"/>
    <w:rsid w:val="00B94C94"/>
    <w:rsid w:val="00B94CF2"/>
    <w:rsid w:val="00B94E01"/>
    <w:rsid w:val="00B95346"/>
    <w:rsid w:val="00B95452"/>
    <w:rsid w:val="00B9578A"/>
    <w:rsid w:val="00B958CE"/>
    <w:rsid w:val="00B9593E"/>
    <w:rsid w:val="00B95C18"/>
    <w:rsid w:val="00B95C24"/>
    <w:rsid w:val="00B960B1"/>
    <w:rsid w:val="00B96116"/>
    <w:rsid w:val="00B96151"/>
    <w:rsid w:val="00B9615E"/>
    <w:rsid w:val="00B9617A"/>
    <w:rsid w:val="00B962E0"/>
    <w:rsid w:val="00B9633F"/>
    <w:rsid w:val="00B963AC"/>
    <w:rsid w:val="00B9668A"/>
    <w:rsid w:val="00B96710"/>
    <w:rsid w:val="00B96713"/>
    <w:rsid w:val="00B9679B"/>
    <w:rsid w:val="00B96AD2"/>
    <w:rsid w:val="00B96AF4"/>
    <w:rsid w:val="00B96B0C"/>
    <w:rsid w:val="00B96BF0"/>
    <w:rsid w:val="00B96C6C"/>
    <w:rsid w:val="00B96F66"/>
    <w:rsid w:val="00B9722B"/>
    <w:rsid w:val="00B9736F"/>
    <w:rsid w:val="00B973FA"/>
    <w:rsid w:val="00B974CC"/>
    <w:rsid w:val="00B976D0"/>
    <w:rsid w:val="00B97A9D"/>
    <w:rsid w:val="00B97CB4"/>
    <w:rsid w:val="00B97DF9"/>
    <w:rsid w:val="00B97FB9"/>
    <w:rsid w:val="00BA003D"/>
    <w:rsid w:val="00BA00C8"/>
    <w:rsid w:val="00BA0108"/>
    <w:rsid w:val="00BA024B"/>
    <w:rsid w:val="00BA02FF"/>
    <w:rsid w:val="00BA0301"/>
    <w:rsid w:val="00BA05E6"/>
    <w:rsid w:val="00BA0A9E"/>
    <w:rsid w:val="00BA0AE4"/>
    <w:rsid w:val="00BA0B9F"/>
    <w:rsid w:val="00BA0E42"/>
    <w:rsid w:val="00BA118B"/>
    <w:rsid w:val="00BA14BD"/>
    <w:rsid w:val="00BA1800"/>
    <w:rsid w:val="00BA1AB7"/>
    <w:rsid w:val="00BA2089"/>
    <w:rsid w:val="00BA2161"/>
    <w:rsid w:val="00BA2234"/>
    <w:rsid w:val="00BA26CE"/>
    <w:rsid w:val="00BA2926"/>
    <w:rsid w:val="00BA2C91"/>
    <w:rsid w:val="00BA2CFB"/>
    <w:rsid w:val="00BA2FD7"/>
    <w:rsid w:val="00BA2FEE"/>
    <w:rsid w:val="00BA39AC"/>
    <w:rsid w:val="00BA3C77"/>
    <w:rsid w:val="00BA3FBE"/>
    <w:rsid w:val="00BA3FF0"/>
    <w:rsid w:val="00BA40BD"/>
    <w:rsid w:val="00BA4176"/>
    <w:rsid w:val="00BA41E7"/>
    <w:rsid w:val="00BA4217"/>
    <w:rsid w:val="00BA43C5"/>
    <w:rsid w:val="00BA44EE"/>
    <w:rsid w:val="00BA4666"/>
    <w:rsid w:val="00BA4927"/>
    <w:rsid w:val="00BA4F18"/>
    <w:rsid w:val="00BA4F74"/>
    <w:rsid w:val="00BA4FEF"/>
    <w:rsid w:val="00BA5097"/>
    <w:rsid w:val="00BA5121"/>
    <w:rsid w:val="00BA52AC"/>
    <w:rsid w:val="00BA551F"/>
    <w:rsid w:val="00BA5A22"/>
    <w:rsid w:val="00BA5BC0"/>
    <w:rsid w:val="00BA5E42"/>
    <w:rsid w:val="00BA6107"/>
    <w:rsid w:val="00BA62B7"/>
    <w:rsid w:val="00BA675C"/>
    <w:rsid w:val="00BA67E5"/>
    <w:rsid w:val="00BA6882"/>
    <w:rsid w:val="00BA6C7D"/>
    <w:rsid w:val="00BA6DC1"/>
    <w:rsid w:val="00BA6FDB"/>
    <w:rsid w:val="00BA7001"/>
    <w:rsid w:val="00BA724B"/>
    <w:rsid w:val="00BA72A2"/>
    <w:rsid w:val="00BA7461"/>
    <w:rsid w:val="00BA7503"/>
    <w:rsid w:val="00BA75AF"/>
    <w:rsid w:val="00BA75BF"/>
    <w:rsid w:val="00BA76B6"/>
    <w:rsid w:val="00BA7962"/>
    <w:rsid w:val="00BA7A2C"/>
    <w:rsid w:val="00BA7A3E"/>
    <w:rsid w:val="00BA7ABA"/>
    <w:rsid w:val="00BA7B34"/>
    <w:rsid w:val="00BA7DFE"/>
    <w:rsid w:val="00BA7EDF"/>
    <w:rsid w:val="00BB0226"/>
    <w:rsid w:val="00BB042A"/>
    <w:rsid w:val="00BB0526"/>
    <w:rsid w:val="00BB0612"/>
    <w:rsid w:val="00BB0944"/>
    <w:rsid w:val="00BB09FC"/>
    <w:rsid w:val="00BB0A25"/>
    <w:rsid w:val="00BB0EAE"/>
    <w:rsid w:val="00BB112D"/>
    <w:rsid w:val="00BB12B2"/>
    <w:rsid w:val="00BB1348"/>
    <w:rsid w:val="00BB157D"/>
    <w:rsid w:val="00BB174A"/>
    <w:rsid w:val="00BB1CB1"/>
    <w:rsid w:val="00BB1FBD"/>
    <w:rsid w:val="00BB1FCD"/>
    <w:rsid w:val="00BB258B"/>
    <w:rsid w:val="00BB265A"/>
    <w:rsid w:val="00BB27B6"/>
    <w:rsid w:val="00BB29AB"/>
    <w:rsid w:val="00BB2B22"/>
    <w:rsid w:val="00BB2BB3"/>
    <w:rsid w:val="00BB2BC3"/>
    <w:rsid w:val="00BB3246"/>
    <w:rsid w:val="00BB332B"/>
    <w:rsid w:val="00BB35EF"/>
    <w:rsid w:val="00BB36EE"/>
    <w:rsid w:val="00BB3774"/>
    <w:rsid w:val="00BB3820"/>
    <w:rsid w:val="00BB3999"/>
    <w:rsid w:val="00BB3B43"/>
    <w:rsid w:val="00BB3C75"/>
    <w:rsid w:val="00BB3EA3"/>
    <w:rsid w:val="00BB401A"/>
    <w:rsid w:val="00BB41E8"/>
    <w:rsid w:val="00BB43C6"/>
    <w:rsid w:val="00BB4439"/>
    <w:rsid w:val="00BB451D"/>
    <w:rsid w:val="00BB454A"/>
    <w:rsid w:val="00BB4B74"/>
    <w:rsid w:val="00BB4C09"/>
    <w:rsid w:val="00BB4C1F"/>
    <w:rsid w:val="00BB4C26"/>
    <w:rsid w:val="00BB4EAD"/>
    <w:rsid w:val="00BB4F55"/>
    <w:rsid w:val="00BB4FC7"/>
    <w:rsid w:val="00BB5063"/>
    <w:rsid w:val="00BB5154"/>
    <w:rsid w:val="00BB5319"/>
    <w:rsid w:val="00BB5726"/>
    <w:rsid w:val="00BB582E"/>
    <w:rsid w:val="00BB58C3"/>
    <w:rsid w:val="00BB58E1"/>
    <w:rsid w:val="00BB5A81"/>
    <w:rsid w:val="00BB5E1C"/>
    <w:rsid w:val="00BB5EE4"/>
    <w:rsid w:val="00BB5F44"/>
    <w:rsid w:val="00BB5FC7"/>
    <w:rsid w:val="00BB5FF8"/>
    <w:rsid w:val="00BB636A"/>
    <w:rsid w:val="00BB685E"/>
    <w:rsid w:val="00BB6A7A"/>
    <w:rsid w:val="00BB6CB2"/>
    <w:rsid w:val="00BB6CD8"/>
    <w:rsid w:val="00BB6EBB"/>
    <w:rsid w:val="00BB6F0A"/>
    <w:rsid w:val="00BB6F22"/>
    <w:rsid w:val="00BB6F63"/>
    <w:rsid w:val="00BB6F8F"/>
    <w:rsid w:val="00BB7240"/>
    <w:rsid w:val="00BB739B"/>
    <w:rsid w:val="00BB745A"/>
    <w:rsid w:val="00BB75D8"/>
    <w:rsid w:val="00BB7A72"/>
    <w:rsid w:val="00BB7A74"/>
    <w:rsid w:val="00BB7AE9"/>
    <w:rsid w:val="00BB7CEC"/>
    <w:rsid w:val="00BB7CFB"/>
    <w:rsid w:val="00BB7DA1"/>
    <w:rsid w:val="00BB7DA5"/>
    <w:rsid w:val="00BB7EAA"/>
    <w:rsid w:val="00BB7F21"/>
    <w:rsid w:val="00BC038C"/>
    <w:rsid w:val="00BC0403"/>
    <w:rsid w:val="00BC04EC"/>
    <w:rsid w:val="00BC0743"/>
    <w:rsid w:val="00BC0A3F"/>
    <w:rsid w:val="00BC0ABA"/>
    <w:rsid w:val="00BC0B1E"/>
    <w:rsid w:val="00BC1123"/>
    <w:rsid w:val="00BC1375"/>
    <w:rsid w:val="00BC13B4"/>
    <w:rsid w:val="00BC13BA"/>
    <w:rsid w:val="00BC1444"/>
    <w:rsid w:val="00BC17F0"/>
    <w:rsid w:val="00BC18E5"/>
    <w:rsid w:val="00BC1976"/>
    <w:rsid w:val="00BC1A06"/>
    <w:rsid w:val="00BC1A2E"/>
    <w:rsid w:val="00BC1A5C"/>
    <w:rsid w:val="00BC1BDB"/>
    <w:rsid w:val="00BC1CDC"/>
    <w:rsid w:val="00BC1D17"/>
    <w:rsid w:val="00BC247D"/>
    <w:rsid w:val="00BC24FC"/>
    <w:rsid w:val="00BC2568"/>
    <w:rsid w:val="00BC2664"/>
    <w:rsid w:val="00BC267C"/>
    <w:rsid w:val="00BC28DA"/>
    <w:rsid w:val="00BC2B5D"/>
    <w:rsid w:val="00BC319B"/>
    <w:rsid w:val="00BC32D8"/>
    <w:rsid w:val="00BC3338"/>
    <w:rsid w:val="00BC3439"/>
    <w:rsid w:val="00BC3834"/>
    <w:rsid w:val="00BC3872"/>
    <w:rsid w:val="00BC3C08"/>
    <w:rsid w:val="00BC3D67"/>
    <w:rsid w:val="00BC3D88"/>
    <w:rsid w:val="00BC3F42"/>
    <w:rsid w:val="00BC4168"/>
    <w:rsid w:val="00BC42AB"/>
    <w:rsid w:val="00BC4436"/>
    <w:rsid w:val="00BC4814"/>
    <w:rsid w:val="00BC4977"/>
    <w:rsid w:val="00BC49AD"/>
    <w:rsid w:val="00BC4DD6"/>
    <w:rsid w:val="00BC4E8D"/>
    <w:rsid w:val="00BC4F81"/>
    <w:rsid w:val="00BC5089"/>
    <w:rsid w:val="00BC5119"/>
    <w:rsid w:val="00BC519D"/>
    <w:rsid w:val="00BC543A"/>
    <w:rsid w:val="00BC553D"/>
    <w:rsid w:val="00BC554F"/>
    <w:rsid w:val="00BC55FF"/>
    <w:rsid w:val="00BC5827"/>
    <w:rsid w:val="00BC58B8"/>
    <w:rsid w:val="00BC594F"/>
    <w:rsid w:val="00BC5B64"/>
    <w:rsid w:val="00BC5BED"/>
    <w:rsid w:val="00BC619E"/>
    <w:rsid w:val="00BC6750"/>
    <w:rsid w:val="00BC6A5E"/>
    <w:rsid w:val="00BC6BD8"/>
    <w:rsid w:val="00BC6E77"/>
    <w:rsid w:val="00BC72AD"/>
    <w:rsid w:val="00BC7358"/>
    <w:rsid w:val="00BC74BE"/>
    <w:rsid w:val="00BC76FF"/>
    <w:rsid w:val="00BC7803"/>
    <w:rsid w:val="00BC7AB7"/>
    <w:rsid w:val="00BD025C"/>
    <w:rsid w:val="00BD033B"/>
    <w:rsid w:val="00BD060F"/>
    <w:rsid w:val="00BD064E"/>
    <w:rsid w:val="00BD06B7"/>
    <w:rsid w:val="00BD070E"/>
    <w:rsid w:val="00BD077A"/>
    <w:rsid w:val="00BD07F3"/>
    <w:rsid w:val="00BD084B"/>
    <w:rsid w:val="00BD09BA"/>
    <w:rsid w:val="00BD09D4"/>
    <w:rsid w:val="00BD0A3A"/>
    <w:rsid w:val="00BD0BBC"/>
    <w:rsid w:val="00BD0E52"/>
    <w:rsid w:val="00BD0EB7"/>
    <w:rsid w:val="00BD11D8"/>
    <w:rsid w:val="00BD1395"/>
    <w:rsid w:val="00BD1580"/>
    <w:rsid w:val="00BD19E2"/>
    <w:rsid w:val="00BD1B17"/>
    <w:rsid w:val="00BD1B96"/>
    <w:rsid w:val="00BD1BB1"/>
    <w:rsid w:val="00BD1CE1"/>
    <w:rsid w:val="00BD1E3D"/>
    <w:rsid w:val="00BD2192"/>
    <w:rsid w:val="00BD2608"/>
    <w:rsid w:val="00BD27F4"/>
    <w:rsid w:val="00BD27FE"/>
    <w:rsid w:val="00BD27FF"/>
    <w:rsid w:val="00BD28A0"/>
    <w:rsid w:val="00BD2A14"/>
    <w:rsid w:val="00BD2BAB"/>
    <w:rsid w:val="00BD2BED"/>
    <w:rsid w:val="00BD2D6C"/>
    <w:rsid w:val="00BD2DFE"/>
    <w:rsid w:val="00BD303E"/>
    <w:rsid w:val="00BD30AB"/>
    <w:rsid w:val="00BD39E7"/>
    <w:rsid w:val="00BD3B95"/>
    <w:rsid w:val="00BD3CB4"/>
    <w:rsid w:val="00BD3E3C"/>
    <w:rsid w:val="00BD4020"/>
    <w:rsid w:val="00BD4102"/>
    <w:rsid w:val="00BD413D"/>
    <w:rsid w:val="00BD41FB"/>
    <w:rsid w:val="00BD43E6"/>
    <w:rsid w:val="00BD4443"/>
    <w:rsid w:val="00BD4B14"/>
    <w:rsid w:val="00BD4EA7"/>
    <w:rsid w:val="00BD4FC9"/>
    <w:rsid w:val="00BD50F9"/>
    <w:rsid w:val="00BD5267"/>
    <w:rsid w:val="00BD5436"/>
    <w:rsid w:val="00BD5476"/>
    <w:rsid w:val="00BD598C"/>
    <w:rsid w:val="00BD5B1A"/>
    <w:rsid w:val="00BD5B39"/>
    <w:rsid w:val="00BD6035"/>
    <w:rsid w:val="00BD609C"/>
    <w:rsid w:val="00BD6348"/>
    <w:rsid w:val="00BD697B"/>
    <w:rsid w:val="00BD6BE5"/>
    <w:rsid w:val="00BD6DE1"/>
    <w:rsid w:val="00BD6E4F"/>
    <w:rsid w:val="00BD71DE"/>
    <w:rsid w:val="00BD7406"/>
    <w:rsid w:val="00BD77E9"/>
    <w:rsid w:val="00BD7813"/>
    <w:rsid w:val="00BD7BB8"/>
    <w:rsid w:val="00BD7C49"/>
    <w:rsid w:val="00BD7C6E"/>
    <w:rsid w:val="00BD7E76"/>
    <w:rsid w:val="00BE00E9"/>
    <w:rsid w:val="00BE0129"/>
    <w:rsid w:val="00BE0216"/>
    <w:rsid w:val="00BE072B"/>
    <w:rsid w:val="00BE072D"/>
    <w:rsid w:val="00BE083B"/>
    <w:rsid w:val="00BE08B5"/>
    <w:rsid w:val="00BE0BA9"/>
    <w:rsid w:val="00BE0BB1"/>
    <w:rsid w:val="00BE0E11"/>
    <w:rsid w:val="00BE0FCB"/>
    <w:rsid w:val="00BE1015"/>
    <w:rsid w:val="00BE1059"/>
    <w:rsid w:val="00BE115D"/>
    <w:rsid w:val="00BE15EE"/>
    <w:rsid w:val="00BE1A06"/>
    <w:rsid w:val="00BE2155"/>
    <w:rsid w:val="00BE21F3"/>
    <w:rsid w:val="00BE2379"/>
    <w:rsid w:val="00BE24CA"/>
    <w:rsid w:val="00BE250B"/>
    <w:rsid w:val="00BE2A68"/>
    <w:rsid w:val="00BE2B09"/>
    <w:rsid w:val="00BE2B84"/>
    <w:rsid w:val="00BE2D51"/>
    <w:rsid w:val="00BE2DC7"/>
    <w:rsid w:val="00BE2F27"/>
    <w:rsid w:val="00BE2F39"/>
    <w:rsid w:val="00BE302D"/>
    <w:rsid w:val="00BE303B"/>
    <w:rsid w:val="00BE3062"/>
    <w:rsid w:val="00BE307B"/>
    <w:rsid w:val="00BE3173"/>
    <w:rsid w:val="00BE31E8"/>
    <w:rsid w:val="00BE32E4"/>
    <w:rsid w:val="00BE33FC"/>
    <w:rsid w:val="00BE3411"/>
    <w:rsid w:val="00BE3451"/>
    <w:rsid w:val="00BE3679"/>
    <w:rsid w:val="00BE3682"/>
    <w:rsid w:val="00BE39DC"/>
    <w:rsid w:val="00BE3A69"/>
    <w:rsid w:val="00BE3B9E"/>
    <w:rsid w:val="00BE3EFF"/>
    <w:rsid w:val="00BE42F2"/>
    <w:rsid w:val="00BE4339"/>
    <w:rsid w:val="00BE46BA"/>
    <w:rsid w:val="00BE488C"/>
    <w:rsid w:val="00BE49F3"/>
    <w:rsid w:val="00BE4E02"/>
    <w:rsid w:val="00BE5087"/>
    <w:rsid w:val="00BE5322"/>
    <w:rsid w:val="00BE543B"/>
    <w:rsid w:val="00BE581B"/>
    <w:rsid w:val="00BE598C"/>
    <w:rsid w:val="00BE611E"/>
    <w:rsid w:val="00BE6571"/>
    <w:rsid w:val="00BE65B0"/>
    <w:rsid w:val="00BE6659"/>
    <w:rsid w:val="00BE6687"/>
    <w:rsid w:val="00BE6831"/>
    <w:rsid w:val="00BE684D"/>
    <w:rsid w:val="00BE6879"/>
    <w:rsid w:val="00BE69AB"/>
    <w:rsid w:val="00BE69FD"/>
    <w:rsid w:val="00BE6EE1"/>
    <w:rsid w:val="00BE6F41"/>
    <w:rsid w:val="00BE6F46"/>
    <w:rsid w:val="00BE6FF8"/>
    <w:rsid w:val="00BE726C"/>
    <w:rsid w:val="00BE7454"/>
    <w:rsid w:val="00BE78F9"/>
    <w:rsid w:val="00BE7A36"/>
    <w:rsid w:val="00BE7F4F"/>
    <w:rsid w:val="00BF00CA"/>
    <w:rsid w:val="00BF0320"/>
    <w:rsid w:val="00BF0695"/>
    <w:rsid w:val="00BF06C1"/>
    <w:rsid w:val="00BF07AF"/>
    <w:rsid w:val="00BF0D49"/>
    <w:rsid w:val="00BF0D92"/>
    <w:rsid w:val="00BF0E55"/>
    <w:rsid w:val="00BF10BA"/>
    <w:rsid w:val="00BF11C2"/>
    <w:rsid w:val="00BF1299"/>
    <w:rsid w:val="00BF130D"/>
    <w:rsid w:val="00BF1595"/>
    <w:rsid w:val="00BF15B9"/>
    <w:rsid w:val="00BF18FA"/>
    <w:rsid w:val="00BF1A37"/>
    <w:rsid w:val="00BF1C11"/>
    <w:rsid w:val="00BF1D4D"/>
    <w:rsid w:val="00BF1DF1"/>
    <w:rsid w:val="00BF1F57"/>
    <w:rsid w:val="00BF20F5"/>
    <w:rsid w:val="00BF2186"/>
    <w:rsid w:val="00BF223E"/>
    <w:rsid w:val="00BF24AC"/>
    <w:rsid w:val="00BF255F"/>
    <w:rsid w:val="00BF265E"/>
    <w:rsid w:val="00BF27EA"/>
    <w:rsid w:val="00BF29B4"/>
    <w:rsid w:val="00BF2A33"/>
    <w:rsid w:val="00BF2D9E"/>
    <w:rsid w:val="00BF2EB4"/>
    <w:rsid w:val="00BF2F7D"/>
    <w:rsid w:val="00BF3099"/>
    <w:rsid w:val="00BF324E"/>
    <w:rsid w:val="00BF358B"/>
    <w:rsid w:val="00BF3B68"/>
    <w:rsid w:val="00BF3BB1"/>
    <w:rsid w:val="00BF3DEC"/>
    <w:rsid w:val="00BF3F29"/>
    <w:rsid w:val="00BF415A"/>
    <w:rsid w:val="00BF42AC"/>
    <w:rsid w:val="00BF4307"/>
    <w:rsid w:val="00BF43C1"/>
    <w:rsid w:val="00BF4600"/>
    <w:rsid w:val="00BF48B3"/>
    <w:rsid w:val="00BF4BA5"/>
    <w:rsid w:val="00BF4C7F"/>
    <w:rsid w:val="00BF4D83"/>
    <w:rsid w:val="00BF4DAC"/>
    <w:rsid w:val="00BF4F7B"/>
    <w:rsid w:val="00BF5169"/>
    <w:rsid w:val="00BF5236"/>
    <w:rsid w:val="00BF52DB"/>
    <w:rsid w:val="00BF52E2"/>
    <w:rsid w:val="00BF53E1"/>
    <w:rsid w:val="00BF543D"/>
    <w:rsid w:val="00BF5744"/>
    <w:rsid w:val="00BF5828"/>
    <w:rsid w:val="00BF58FF"/>
    <w:rsid w:val="00BF598E"/>
    <w:rsid w:val="00BF5D55"/>
    <w:rsid w:val="00BF5DD1"/>
    <w:rsid w:val="00BF62B3"/>
    <w:rsid w:val="00BF649C"/>
    <w:rsid w:val="00BF6770"/>
    <w:rsid w:val="00BF6CA7"/>
    <w:rsid w:val="00BF6E07"/>
    <w:rsid w:val="00BF7273"/>
    <w:rsid w:val="00BF743F"/>
    <w:rsid w:val="00BF755E"/>
    <w:rsid w:val="00BF7A7A"/>
    <w:rsid w:val="00BF7E3F"/>
    <w:rsid w:val="00BF7EC6"/>
    <w:rsid w:val="00C00052"/>
    <w:rsid w:val="00C00190"/>
    <w:rsid w:val="00C003DE"/>
    <w:rsid w:val="00C0045C"/>
    <w:rsid w:val="00C0049D"/>
    <w:rsid w:val="00C0062B"/>
    <w:rsid w:val="00C006A5"/>
    <w:rsid w:val="00C00CBB"/>
    <w:rsid w:val="00C00D79"/>
    <w:rsid w:val="00C00F63"/>
    <w:rsid w:val="00C013F8"/>
    <w:rsid w:val="00C017FE"/>
    <w:rsid w:val="00C01A84"/>
    <w:rsid w:val="00C01B42"/>
    <w:rsid w:val="00C01CBB"/>
    <w:rsid w:val="00C01DB7"/>
    <w:rsid w:val="00C021CD"/>
    <w:rsid w:val="00C025A4"/>
    <w:rsid w:val="00C025C1"/>
    <w:rsid w:val="00C02A4B"/>
    <w:rsid w:val="00C02C74"/>
    <w:rsid w:val="00C02F7A"/>
    <w:rsid w:val="00C0326F"/>
    <w:rsid w:val="00C032C6"/>
    <w:rsid w:val="00C032CD"/>
    <w:rsid w:val="00C03350"/>
    <w:rsid w:val="00C0353D"/>
    <w:rsid w:val="00C03588"/>
    <w:rsid w:val="00C035A1"/>
    <w:rsid w:val="00C0362B"/>
    <w:rsid w:val="00C037E8"/>
    <w:rsid w:val="00C03854"/>
    <w:rsid w:val="00C03D13"/>
    <w:rsid w:val="00C03D56"/>
    <w:rsid w:val="00C03F64"/>
    <w:rsid w:val="00C04215"/>
    <w:rsid w:val="00C04284"/>
    <w:rsid w:val="00C043FC"/>
    <w:rsid w:val="00C04581"/>
    <w:rsid w:val="00C04797"/>
    <w:rsid w:val="00C04B54"/>
    <w:rsid w:val="00C04BC3"/>
    <w:rsid w:val="00C04DF3"/>
    <w:rsid w:val="00C04E40"/>
    <w:rsid w:val="00C050CE"/>
    <w:rsid w:val="00C05597"/>
    <w:rsid w:val="00C05764"/>
    <w:rsid w:val="00C0583A"/>
    <w:rsid w:val="00C059D7"/>
    <w:rsid w:val="00C05A20"/>
    <w:rsid w:val="00C05ACF"/>
    <w:rsid w:val="00C05BC3"/>
    <w:rsid w:val="00C06433"/>
    <w:rsid w:val="00C065C9"/>
    <w:rsid w:val="00C06656"/>
    <w:rsid w:val="00C068F6"/>
    <w:rsid w:val="00C06977"/>
    <w:rsid w:val="00C06BDB"/>
    <w:rsid w:val="00C06C18"/>
    <w:rsid w:val="00C06DD1"/>
    <w:rsid w:val="00C06F71"/>
    <w:rsid w:val="00C07325"/>
    <w:rsid w:val="00C07430"/>
    <w:rsid w:val="00C076FA"/>
    <w:rsid w:val="00C077ED"/>
    <w:rsid w:val="00C07865"/>
    <w:rsid w:val="00C07A24"/>
    <w:rsid w:val="00C07A32"/>
    <w:rsid w:val="00C07B67"/>
    <w:rsid w:val="00C07C0A"/>
    <w:rsid w:val="00C07C0D"/>
    <w:rsid w:val="00C10076"/>
    <w:rsid w:val="00C108E3"/>
    <w:rsid w:val="00C10A3C"/>
    <w:rsid w:val="00C10D18"/>
    <w:rsid w:val="00C10FB5"/>
    <w:rsid w:val="00C11186"/>
    <w:rsid w:val="00C1155B"/>
    <w:rsid w:val="00C11583"/>
    <w:rsid w:val="00C118D6"/>
    <w:rsid w:val="00C118FF"/>
    <w:rsid w:val="00C11955"/>
    <w:rsid w:val="00C11994"/>
    <w:rsid w:val="00C11996"/>
    <w:rsid w:val="00C11A6A"/>
    <w:rsid w:val="00C11B66"/>
    <w:rsid w:val="00C12660"/>
    <w:rsid w:val="00C1290A"/>
    <w:rsid w:val="00C12994"/>
    <w:rsid w:val="00C12A77"/>
    <w:rsid w:val="00C12BA5"/>
    <w:rsid w:val="00C12C1A"/>
    <w:rsid w:val="00C12DAF"/>
    <w:rsid w:val="00C12E58"/>
    <w:rsid w:val="00C13025"/>
    <w:rsid w:val="00C130B0"/>
    <w:rsid w:val="00C13123"/>
    <w:rsid w:val="00C1347A"/>
    <w:rsid w:val="00C1358F"/>
    <w:rsid w:val="00C1365B"/>
    <w:rsid w:val="00C13A62"/>
    <w:rsid w:val="00C13E7E"/>
    <w:rsid w:val="00C13ECA"/>
    <w:rsid w:val="00C14205"/>
    <w:rsid w:val="00C14266"/>
    <w:rsid w:val="00C146AE"/>
    <w:rsid w:val="00C14790"/>
    <w:rsid w:val="00C14877"/>
    <w:rsid w:val="00C14984"/>
    <w:rsid w:val="00C14AF4"/>
    <w:rsid w:val="00C14CBD"/>
    <w:rsid w:val="00C14D3B"/>
    <w:rsid w:val="00C14EC4"/>
    <w:rsid w:val="00C14F2B"/>
    <w:rsid w:val="00C14F45"/>
    <w:rsid w:val="00C15087"/>
    <w:rsid w:val="00C1509B"/>
    <w:rsid w:val="00C1534B"/>
    <w:rsid w:val="00C15406"/>
    <w:rsid w:val="00C15771"/>
    <w:rsid w:val="00C15D08"/>
    <w:rsid w:val="00C16170"/>
    <w:rsid w:val="00C16309"/>
    <w:rsid w:val="00C1667A"/>
    <w:rsid w:val="00C168F7"/>
    <w:rsid w:val="00C169D0"/>
    <w:rsid w:val="00C16E2D"/>
    <w:rsid w:val="00C16FA2"/>
    <w:rsid w:val="00C1701C"/>
    <w:rsid w:val="00C17248"/>
    <w:rsid w:val="00C174C5"/>
    <w:rsid w:val="00C175D4"/>
    <w:rsid w:val="00C176F7"/>
    <w:rsid w:val="00C17712"/>
    <w:rsid w:val="00C17BC4"/>
    <w:rsid w:val="00C17D09"/>
    <w:rsid w:val="00C17FDE"/>
    <w:rsid w:val="00C201D6"/>
    <w:rsid w:val="00C2033D"/>
    <w:rsid w:val="00C203AE"/>
    <w:rsid w:val="00C20561"/>
    <w:rsid w:val="00C207A6"/>
    <w:rsid w:val="00C20813"/>
    <w:rsid w:val="00C208E2"/>
    <w:rsid w:val="00C20B0C"/>
    <w:rsid w:val="00C20B1C"/>
    <w:rsid w:val="00C20C6F"/>
    <w:rsid w:val="00C20D65"/>
    <w:rsid w:val="00C20F36"/>
    <w:rsid w:val="00C20FCA"/>
    <w:rsid w:val="00C212E9"/>
    <w:rsid w:val="00C21338"/>
    <w:rsid w:val="00C2143E"/>
    <w:rsid w:val="00C21441"/>
    <w:rsid w:val="00C21450"/>
    <w:rsid w:val="00C214DA"/>
    <w:rsid w:val="00C21512"/>
    <w:rsid w:val="00C21697"/>
    <w:rsid w:val="00C21AF2"/>
    <w:rsid w:val="00C21B40"/>
    <w:rsid w:val="00C21C18"/>
    <w:rsid w:val="00C21C39"/>
    <w:rsid w:val="00C21CB0"/>
    <w:rsid w:val="00C21FCD"/>
    <w:rsid w:val="00C22216"/>
    <w:rsid w:val="00C2251A"/>
    <w:rsid w:val="00C22689"/>
    <w:rsid w:val="00C22711"/>
    <w:rsid w:val="00C22860"/>
    <w:rsid w:val="00C22D82"/>
    <w:rsid w:val="00C2329A"/>
    <w:rsid w:val="00C2336A"/>
    <w:rsid w:val="00C234B3"/>
    <w:rsid w:val="00C235C7"/>
    <w:rsid w:val="00C2369A"/>
    <w:rsid w:val="00C24879"/>
    <w:rsid w:val="00C25313"/>
    <w:rsid w:val="00C25322"/>
    <w:rsid w:val="00C25352"/>
    <w:rsid w:val="00C25415"/>
    <w:rsid w:val="00C254E6"/>
    <w:rsid w:val="00C25796"/>
    <w:rsid w:val="00C2599E"/>
    <w:rsid w:val="00C259ED"/>
    <w:rsid w:val="00C25AEA"/>
    <w:rsid w:val="00C25DB9"/>
    <w:rsid w:val="00C25F36"/>
    <w:rsid w:val="00C25F52"/>
    <w:rsid w:val="00C26016"/>
    <w:rsid w:val="00C2616D"/>
    <w:rsid w:val="00C26501"/>
    <w:rsid w:val="00C2659D"/>
    <w:rsid w:val="00C26713"/>
    <w:rsid w:val="00C26783"/>
    <w:rsid w:val="00C269C9"/>
    <w:rsid w:val="00C26A87"/>
    <w:rsid w:val="00C26C26"/>
    <w:rsid w:val="00C27074"/>
    <w:rsid w:val="00C270D1"/>
    <w:rsid w:val="00C27112"/>
    <w:rsid w:val="00C272DB"/>
    <w:rsid w:val="00C273AF"/>
    <w:rsid w:val="00C27410"/>
    <w:rsid w:val="00C27768"/>
    <w:rsid w:val="00C277FF"/>
    <w:rsid w:val="00C27820"/>
    <w:rsid w:val="00C27A1B"/>
    <w:rsid w:val="00C27A42"/>
    <w:rsid w:val="00C27DD9"/>
    <w:rsid w:val="00C27ED7"/>
    <w:rsid w:val="00C27F68"/>
    <w:rsid w:val="00C3074A"/>
    <w:rsid w:val="00C30D0F"/>
    <w:rsid w:val="00C30D4F"/>
    <w:rsid w:val="00C30DC1"/>
    <w:rsid w:val="00C30E17"/>
    <w:rsid w:val="00C30E1C"/>
    <w:rsid w:val="00C3123A"/>
    <w:rsid w:val="00C31368"/>
    <w:rsid w:val="00C31848"/>
    <w:rsid w:val="00C318CB"/>
    <w:rsid w:val="00C318F7"/>
    <w:rsid w:val="00C31BD8"/>
    <w:rsid w:val="00C32046"/>
    <w:rsid w:val="00C322D3"/>
    <w:rsid w:val="00C3231F"/>
    <w:rsid w:val="00C323FD"/>
    <w:rsid w:val="00C3250A"/>
    <w:rsid w:val="00C328DD"/>
    <w:rsid w:val="00C32FE8"/>
    <w:rsid w:val="00C33253"/>
    <w:rsid w:val="00C3358E"/>
    <w:rsid w:val="00C335BC"/>
    <w:rsid w:val="00C3361C"/>
    <w:rsid w:val="00C338B1"/>
    <w:rsid w:val="00C33AED"/>
    <w:rsid w:val="00C33C61"/>
    <w:rsid w:val="00C33D60"/>
    <w:rsid w:val="00C33E7D"/>
    <w:rsid w:val="00C33EFA"/>
    <w:rsid w:val="00C34408"/>
    <w:rsid w:val="00C3453F"/>
    <w:rsid w:val="00C34577"/>
    <w:rsid w:val="00C3480A"/>
    <w:rsid w:val="00C348E0"/>
    <w:rsid w:val="00C34A76"/>
    <w:rsid w:val="00C34B1D"/>
    <w:rsid w:val="00C34CB2"/>
    <w:rsid w:val="00C34D61"/>
    <w:rsid w:val="00C34DE0"/>
    <w:rsid w:val="00C3531B"/>
    <w:rsid w:val="00C35533"/>
    <w:rsid w:val="00C3556F"/>
    <w:rsid w:val="00C35798"/>
    <w:rsid w:val="00C35846"/>
    <w:rsid w:val="00C35A7C"/>
    <w:rsid w:val="00C35BD9"/>
    <w:rsid w:val="00C35DB4"/>
    <w:rsid w:val="00C35E58"/>
    <w:rsid w:val="00C36058"/>
    <w:rsid w:val="00C361AA"/>
    <w:rsid w:val="00C36259"/>
    <w:rsid w:val="00C36879"/>
    <w:rsid w:val="00C36A91"/>
    <w:rsid w:val="00C36B0B"/>
    <w:rsid w:val="00C36B20"/>
    <w:rsid w:val="00C36CBE"/>
    <w:rsid w:val="00C36D24"/>
    <w:rsid w:val="00C36E05"/>
    <w:rsid w:val="00C36E07"/>
    <w:rsid w:val="00C370E8"/>
    <w:rsid w:val="00C37101"/>
    <w:rsid w:val="00C37225"/>
    <w:rsid w:val="00C376BB"/>
    <w:rsid w:val="00C378FB"/>
    <w:rsid w:val="00C37BE1"/>
    <w:rsid w:val="00C37BF9"/>
    <w:rsid w:val="00C37C95"/>
    <w:rsid w:val="00C37CA2"/>
    <w:rsid w:val="00C37CED"/>
    <w:rsid w:val="00C37D75"/>
    <w:rsid w:val="00C37DBC"/>
    <w:rsid w:val="00C37ECB"/>
    <w:rsid w:val="00C400A8"/>
    <w:rsid w:val="00C40140"/>
    <w:rsid w:val="00C405A1"/>
    <w:rsid w:val="00C4065D"/>
    <w:rsid w:val="00C4068B"/>
    <w:rsid w:val="00C406DE"/>
    <w:rsid w:val="00C4082E"/>
    <w:rsid w:val="00C4088F"/>
    <w:rsid w:val="00C40CD5"/>
    <w:rsid w:val="00C40DD4"/>
    <w:rsid w:val="00C40F2A"/>
    <w:rsid w:val="00C413A9"/>
    <w:rsid w:val="00C4164E"/>
    <w:rsid w:val="00C416DC"/>
    <w:rsid w:val="00C41CC0"/>
    <w:rsid w:val="00C41CFB"/>
    <w:rsid w:val="00C41DC4"/>
    <w:rsid w:val="00C41DDD"/>
    <w:rsid w:val="00C41E83"/>
    <w:rsid w:val="00C41EE7"/>
    <w:rsid w:val="00C41F24"/>
    <w:rsid w:val="00C41F5C"/>
    <w:rsid w:val="00C42034"/>
    <w:rsid w:val="00C420A9"/>
    <w:rsid w:val="00C426F2"/>
    <w:rsid w:val="00C426F4"/>
    <w:rsid w:val="00C4270F"/>
    <w:rsid w:val="00C427CD"/>
    <w:rsid w:val="00C429A7"/>
    <w:rsid w:val="00C42C82"/>
    <w:rsid w:val="00C42D31"/>
    <w:rsid w:val="00C431BF"/>
    <w:rsid w:val="00C432CE"/>
    <w:rsid w:val="00C434A4"/>
    <w:rsid w:val="00C4389F"/>
    <w:rsid w:val="00C43E8F"/>
    <w:rsid w:val="00C44467"/>
    <w:rsid w:val="00C44586"/>
    <w:rsid w:val="00C44831"/>
    <w:rsid w:val="00C44939"/>
    <w:rsid w:val="00C44A5B"/>
    <w:rsid w:val="00C44F8B"/>
    <w:rsid w:val="00C450A3"/>
    <w:rsid w:val="00C45128"/>
    <w:rsid w:val="00C452E5"/>
    <w:rsid w:val="00C45338"/>
    <w:rsid w:val="00C45464"/>
    <w:rsid w:val="00C454CD"/>
    <w:rsid w:val="00C455CF"/>
    <w:rsid w:val="00C45A8A"/>
    <w:rsid w:val="00C45D31"/>
    <w:rsid w:val="00C45D59"/>
    <w:rsid w:val="00C46292"/>
    <w:rsid w:val="00C46372"/>
    <w:rsid w:val="00C464DD"/>
    <w:rsid w:val="00C46B00"/>
    <w:rsid w:val="00C46CAC"/>
    <w:rsid w:val="00C46CD1"/>
    <w:rsid w:val="00C46D20"/>
    <w:rsid w:val="00C46D83"/>
    <w:rsid w:val="00C471BE"/>
    <w:rsid w:val="00C471C5"/>
    <w:rsid w:val="00C471D4"/>
    <w:rsid w:val="00C473E2"/>
    <w:rsid w:val="00C47885"/>
    <w:rsid w:val="00C47E02"/>
    <w:rsid w:val="00C47EC3"/>
    <w:rsid w:val="00C47F83"/>
    <w:rsid w:val="00C47FE7"/>
    <w:rsid w:val="00C5007F"/>
    <w:rsid w:val="00C500F7"/>
    <w:rsid w:val="00C502AA"/>
    <w:rsid w:val="00C50567"/>
    <w:rsid w:val="00C5060A"/>
    <w:rsid w:val="00C508AA"/>
    <w:rsid w:val="00C50C26"/>
    <w:rsid w:val="00C50CBA"/>
    <w:rsid w:val="00C50F9F"/>
    <w:rsid w:val="00C51145"/>
    <w:rsid w:val="00C5115C"/>
    <w:rsid w:val="00C51381"/>
    <w:rsid w:val="00C517F3"/>
    <w:rsid w:val="00C518DA"/>
    <w:rsid w:val="00C51A09"/>
    <w:rsid w:val="00C51A8F"/>
    <w:rsid w:val="00C51C89"/>
    <w:rsid w:val="00C522CD"/>
    <w:rsid w:val="00C52383"/>
    <w:rsid w:val="00C523EA"/>
    <w:rsid w:val="00C52534"/>
    <w:rsid w:val="00C52728"/>
    <w:rsid w:val="00C527FE"/>
    <w:rsid w:val="00C52857"/>
    <w:rsid w:val="00C52879"/>
    <w:rsid w:val="00C528CC"/>
    <w:rsid w:val="00C52A5D"/>
    <w:rsid w:val="00C52B42"/>
    <w:rsid w:val="00C52B8D"/>
    <w:rsid w:val="00C52F67"/>
    <w:rsid w:val="00C52F85"/>
    <w:rsid w:val="00C52FEA"/>
    <w:rsid w:val="00C530D3"/>
    <w:rsid w:val="00C530EF"/>
    <w:rsid w:val="00C53392"/>
    <w:rsid w:val="00C533F6"/>
    <w:rsid w:val="00C53461"/>
    <w:rsid w:val="00C53697"/>
    <w:rsid w:val="00C53859"/>
    <w:rsid w:val="00C53EDB"/>
    <w:rsid w:val="00C53F9B"/>
    <w:rsid w:val="00C54052"/>
    <w:rsid w:val="00C540E3"/>
    <w:rsid w:val="00C5413F"/>
    <w:rsid w:val="00C54246"/>
    <w:rsid w:val="00C5436E"/>
    <w:rsid w:val="00C543A8"/>
    <w:rsid w:val="00C543F4"/>
    <w:rsid w:val="00C5459A"/>
    <w:rsid w:val="00C549D8"/>
    <w:rsid w:val="00C549F5"/>
    <w:rsid w:val="00C54D2F"/>
    <w:rsid w:val="00C54E12"/>
    <w:rsid w:val="00C54F5D"/>
    <w:rsid w:val="00C55044"/>
    <w:rsid w:val="00C552E7"/>
    <w:rsid w:val="00C55636"/>
    <w:rsid w:val="00C55687"/>
    <w:rsid w:val="00C55724"/>
    <w:rsid w:val="00C557EF"/>
    <w:rsid w:val="00C55804"/>
    <w:rsid w:val="00C55873"/>
    <w:rsid w:val="00C55EDA"/>
    <w:rsid w:val="00C55F8C"/>
    <w:rsid w:val="00C56057"/>
    <w:rsid w:val="00C56140"/>
    <w:rsid w:val="00C56263"/>
    <w:rsid w:val="00C56294"/>
    <w:rsid w:val="00C56797"/>
    <w:rsid w:val="00C567B9"/>
    <w:rsid w:val="00C56954"/>
    <w:rsid w:val="00C56A48"/>
    <w:rsid w:val="00C56BE2"/>
    <w:rsid w:val="00C56FD0"/>
    <w:rsid w:val="00C5701E"/>
    <w:rsid w:val="00C57176"/>
    <w:rsid w:val="00C571AF"/>
    <w:rsid w:val="00C573DE"/>
    <w:rsid w:val="00C5750D"/>
    <w:rsid w:val="00C57569"/>
    <w:rsid w:val="00C576CC"/>
    <w:rsid w:val="00C57781"/>
    <w:rsid w:val="00C57868"/>
    <w:rsid w:val="00C57A79"/>
    <w:rsid w:val="00C57AA2"/>
    <w:rsid w:val="00C602A1"/>
    <w:rsid w:val="00C6044F"/>
    <w:rsid w:val="00C605CB"/>
    <w:rsid w:val="00C606C3"/>
    <w:rsid w:val="00C60803"/>
    <w:rsid w:val="00C6087C"/>
    <w:rsid w:val="00C60949"/>
    <w:rsid w:val="00C60959"/>
    <w:rsid w:val="00C609B3"/>
    <w:rsid w:val="00C60BCA"/>
    <w:rsid w:val="00C60BD4"/>
    <w:rsid w:val="00C60F21"/>
    <w:rsid w:val="00C60F76"/>
    <w:rsid w:val="00C614BE"/>
    <w:rsid w:val="00C61B3B"/>
    <w:rsid w:val="00C61C01"/>
    <w:rsid w:val="00C61DA0"/>
    <w:rsid w:val="00C61E65"/>
    <w:rsid w:val="00C6210E"/>
    <w:rsid w:val="00C62156"/>
    <w:rsid w:val="00C6220B"/>
    <w:rsid w:val="00C6226F"/>
    <w:rsid w:val="00C6257E"/>
    <w:rsid w:val="00C62588"/>
    <w:rsid w:val="00C6263F"/>
    <w:rsid w:val="00C62707"/>
    <w:rsid w:val="00C628CF"/>
    <w:rsid w:val="00C62A4A"/>
    <w:rsid w:val="00C62A99"/>
    <w:rsid w:val="00C62BC1"/>
    <w:rsid w:val="00C62C61"/>
    <w:rsid w:val="00C63173"/>
    <w:rsid w:val="00C63688"/>
    <w:rsid w:val="00C6381C"/>
    <w:rsid w:val="00C638C7"/>
    <w:rsid w:val="00C63B44"/>
    <w:rsid w:val="00C63BFB"/>
    <w:rsid w:val="00C63D5F"/>
    <w:rsid w:val="00C63E00"/>
    <w:rsid w:val="00C63E6C"/>
    <w:rsid w:val="00C63F69"/>
    <w:rsid w:val="00C644B1"/>
    <w:rsid w:val="00C64641"/>
    <w:rsid w:val="00C6468E"/>
    <w:rsid w:val="00C64801"/>
    <w:rsid w:val="00C64B4A"/>
    <w:rsid w:val="00C64C6E"/>
    <w:rsid w:val="00C64D96"/>
    <w:rsid w:val="00C64F7D"/>
    <w:rsid w:val="00C650D2"/>
    <w:rsid w:val="00C650D9"/>
    <w:rsid w:val="00C6534D"/>
    <w:rsid w:val="00C656FE"/>
    <w:rsid w:val="00C65922"/>
    <w:rsid w:val="00C659A3"/>
    <w:rsid w:val="00C659B9"/>
    <w:rsid w:val="00C659E5"/>
    <w:rsid w:val="00C65A58"/>
    <w:rsid w:val="00C65E83"/>
    <w:rsid w:val="00C65E96"/>
    <w:rsid w:val="00C65ECC"/>
    <w:rsid w:val="00C65FAA"/>
    <w:rsid w:val="00C66133"/>
    <w:rsid w:val="00C66402"/>
    <w:rsid w:val="00C66706"/>
    <w:rsid w:val="00C6679B"/>
    <w:rsid w:val="00C66C61"/>
    <w:rsid w:val="00C670B1"/>
    <w:rsid w:val="00C6716D"/>
    <w:rsid w:val="00C67259"/>
    <w:rsid w:val="00C6735F"/>
    <w:rsid w:val="00C676A8"/>
    <w:rsid w:val="00C6797E"/>
    <w:rsid w:val="00C67BC9"/>
    <w:rsid w:val="00C67DD8"/>
    <w:rsid w:val="00C701EF"/>
    <w:rsid w:val="00C702B3"/>
    <w:rsid w:val="00C70568"/>
    <w:rsid w:val="00C705A9"/>
    <w:rsid w:val="00C7065A"/>
    <w:rsid w:val="00C70986"/>
    <w:rsid w:val="00C70B67"/>
    <w:rsid w:val="00C70C8B"/>
    <w:rsid w:val="00C70D93"/>
    <w:rsid w:val="00C70FBC"/>
    <w:rsid w:val="00C71047"/>
    <w:rsid w:val="00C7104E"/>
    <w:rsid w:val="00C71278"/>
    <w:rsid w:val="00C7136D"/>
    <w:rsid w:val="00C714A6"/>
    <w:rsid w:val="00C714B5"/>
    <w:rsid w:val="00C715F5"/>
    <w:rsid w:val="00C71668"/>
    <w:rsid w:val="00C716AD"/>
    <w:rsid w:val="00C71705"/>
    <w:rsid w:val="00C71B54"/>
    <w:rsid w:val="00C71BBC"/>
    <w:rsid w:val="00C71BC7"/>
    <w:rsid w:val="00C71E9F"/>
    <w:rsid w:val="00C720F9"/>
    <w:rsid w:val="00C722CA"/>
    <w:rsid w:val="00C726DC"/>
    <w:rsid w:val="00C72783"/>
    <w:rsid w:val="00C72A46"/>
    <w:rsid w:val="00C72AFC"/>
    <w:rsid w:val="00C72B3A"/>
    <w:rsid w:val="00C72C0B"/>
    <w:rsid w:val="00C72C51"/>
    <w:rsid w:val="00C7317D"/>
    <w:rsid w:val="00C73358"/>
    <w:rsid w:val="00C7357F"/>
    <w:rsid w:val="00C73A65"/>
    <w:rsid w:val="00C73AC2"/>
    <w:rsid w:val="00C73AFB"/>
    <w:rsid w:val="00C73C97"/>
    <w:rsid w:val="00C73CFD"/>
    <w:rsid w:val="00C73DE1"/>
    <w:rsid w:val="00C73FCF"/>
    <w:rsid w:val="00C74316"/>
    <w:rsid w:val="00C74460"/>
    <w:rsid w:val="00C74D0E"/>
    <w:rsid w:val="00C74DBC"/>
    <w:rsid w:val="00C74E8A"/>
    <w:rsid w:val="00C74FE7"/>
    <w:rsid w:val="00C750DD"/>
    <w:rsid w:val="00C75415"/>
    <w:rsid w:val="00C7588D"/>
    <w:rsid w:val="00C75EE4"/>
    <w:rsid w:val="00C75F6C"/>
    <w:rsid w:val="00C75FFA"/>
    <w:rsid w:val="00C760A4"/>
    <w:rsid w:val="00C76315"/>
    <w:rsid w:val="00C765E6"/>
    <w:rsid w:val="00C767FC"/>
    <w:rsid w:val="00C7680D"/>
    <w:rsid w:val="00C76ADE"/>
    <w:rsid w:val="00C7716B"/>
    <w:rsid w:val="00C7722D"/>
    <w:rsid w:val="00C772A0"/>
    <w:rsid w:val="00C772DB"/>
    <w:rsid w:val="00C77304"/>
    <w:rsid w:val="00C77318"/>
    <w:rsid w:val="00C77621"/>
    <w:rsid w:val="00C776C2"/>
    <w:rsid w:val="00C77B83"/>
    <w:rsid w:val="00C77C81"/>
    <w:rsid w:val="00C77E2E"/>
    <w:rsid w:val="00C80170"/>
    <w:rsid w:val="00C8018D"/>
    <w:rsid w:val="00C8033B"/>
    <w:rsid w:val="00C803F7"/>
    <w:rsid w:val="00C8051B"/>
    <w:rsid w:val="00C80589"/>
    <w:rsid w:val="00C805AF"/>
    <w:rsid w:val="00C806F7"/>
    <w:rsid w:val="00C80826"/>
    <w:rsid w:val="00C809DF"/>
    <w:rsid w:val="00C80FC0"/>
    <w:rsid w:val="00C812A5"/>
    <w:rsid w:val="00C8130F"/>
    <w:rsid w:val="00C8161F"/>
    <w:rsid w:val="00C81676"/>
    <w:rsid w:val="00C81709"/>
    <w:rsid w:val="00C81719"/>
    <w:rsid w:val="00C8183F"/>
    <w:rsid w:val="00C81BE6"/>
    <w:rsid w:val="00C81C2B"/>
    <w:rsid w:val="00C81CA6"/>
    <w:rsid w:val="00C81EA9"/>
    <w:rsid w:val="00C81EC0"/>
    <w:rsid w:val="00C81F0C"/>
    <w:rsid w:val="00C82004"/>
    <w:rsid w:val="00C8202D"/>
    <w:rsid w:val="00C8230C"/>
    <w:rsid w:val="00C82767"/>
    <w:rsid w:val="00C82BE0"/>
    <w:rsid w:val="00C83032"/>
    <w:rsid w:val="00C830E8"/>
    <w:rsid w:val="00C833FD"/>
    <w:rsid w:val="00C834B6"/>
    <w:rsid w:val="00C83523"/>
    <w:rsid w:val="00C835F9"/>
    <w:rsid w:val="00C8373D"/>
    <w:rsid w:val="00C83785"/>
    <w:rsid w:val="00C838F1"/>
    <w:rsid w:val="00C83922"/>
    <w:rsid w:val="00C84057"/>
    <w:rsid w:val="00C840E4"/>
    <w:rsid w:val="00C84393"/>
    <w:rsid w:val="00C8465E"/>
    <w:rsid w:val="00C8468F"/>
    <w:rsid w:val="00C846AB"/>
    <w:rsid w:val="00C84816"/>
    <w:rsid w:val="00C84E3B"/>
    <w:rsid w:val="00C85087"/>
    <w:rsid w:val="00C8509B"/>
    <w:rsid w:val="00C851C3"/>
    <w:rsid w:val="00C851C5"/>
    <w:rsid w:val="00C8528F"/>
    <w:rsid w:val="00C855C8"/>
    <w:rsid w:val="00C85891"/>
    <w:rsid w:val="00C858A8"/>
    <w:rsid w:val="00C85ACD"/>
    <w:rsid w:val="00C85C55"/>
    <w:rsid w:val="00C85C79"/>
    <w:rsid w:val="00C85D1B"/>
    <w:rsid w:val="00C85D47"/>
    <w:rsid w:val="00C85E52"/>
    <w:rsid w:val="00C86149"/>
    <w:rsid w:val="00C86254"/>
    <w:rsid w:val="00C86349"/>
    <w:rsid w:val="00C8649D"/>
    <w:rsid w:val="00C864DF"/>
    <w:rsid w:val="00C865CA"/>
    <w:rsid w:val="00C86773"/>
    <w:rsid w:val="00C86873"/>
    <w:rsid w:val="00C86961"/>
    <w:rsid w:val="00C869EC"/>
    <w:rsid w:val="00C86A5E"/>
    <w:rsid w:val="00C86AED"/>
    <w:rsid w:val="00C86B9B"/>
    <w:rsid w:val="00C8728B"/>
    <w:rsid w:val="00C874D2"/>
    <w:rsid w:val="00C87508"/>
    <w:rsid w:val="00C87746"/>
    <w:rsid w:val="00C87B96"/>
    <w:rsid w:val="00C87C42"/>
    <w:rsid w:val="00C87CAA"/>
    <w:rsid w:val="00C87CC4"/>
    <w:rsid w:val="00C87D6A"/>
    <w:rsid w:val="00C87D90"/>
    <w:rsid w:val="00C900EC"/>
    <w:rsid w:val="00C90542"/>
    <w:rsid w:val="00C90853"/>
    <w:rsid w:val="00C90891"/>
    <w:rsid w:val="00C90A0E"/>
    <w:rsid w:val="00C90B1E"/>
    <w:rsid w:val="00C90DB6"/>
    <w:rsid w:val="00C90EFA"/>
    <w:rsid w:val="00C91372"/>
    <w:rsid w:val="00C91547"/>
    <w:rsid w:val="00C91577"/>
    <w:rsid w:val="00C9158B"/>
    <w:rsid w:val="00C915C2"/>
    <w:rsid w:val="00C917C1"/>
    <w:rsid w:val="00C91928"/>
    <w:rsid w:val="00C91B9B"/>
    <w:rsid w:val="00C91C4D"/>
    <w:rsid w:val="00C91D87"/>
    <w:rsid w:val="00C920B0"/>
    <w:rsid w:val="00C921B3"/>
    <w:rsid w:val="00C921BF"/>
    <w:rsid w:val="00C922C4"/>
    <w:rsid w:val="00C9251A"/>
    <w:rsid w:val="00C92585"/>
    <w:rsid w:val="00C92719"/>
    <w:rsid w:val="00C92781"/>
    <w:rsid w:val="00C928FF"/>
    <w:rsid w:val="00C92A58"/>
    <w:rsid w:val="00C92A90"/>
    <w:rsid w:val="00C92DDD"/>
    <w:rsid w:val="00C92DE9"/>
    <w:rsid w:val="00C92E05"/>
    <w:rsid w:val="00C930C9"/>
    <w:rsid w:val="00C9317F"/>
    <w:rsid w:val="00C935E9"/>
    <w:rsid w:val="00C93764"/>
    <w:rsid w:val="00C93841"/>
    <w:rsid w:val="00C93D69"/>
    <w:rsid w:val="00C93E23"/>
    <w:rsid w:val="00C93F08"/>
    <w:rsid w:val="00C94035"/>
    <w:rsid w:val="00C9408B"/>
    <w:rsid w:val="00C940BC"/>
    <w:rsid w:val="00C9435B"/>
    <w:rsid w:val="00C943C6"/>
    <w:rsid w:val="00C9448F"/>
    <w:rsid w:val="00C946F9"/>
    <w:rsid w:val="00C94769"/>
    <w:rsid w:val="00C94883"/>
    <w:rsid w:val="00C94955"/>
    <w:rsid w:val="00C94B7E"/>
    <w:rsid w:val="00C94C64"/>
    <w:rsid w:val="00C94CE1"/>
    <w:rsid w:val="00C94FDE"/>
    <w:rsid w:val="00C9505A"/>
    <w:rsid w:val="00C951F7"/>
    <w:rsid w:val="00C953A0"/>
    <w:rsid w:val="00C953D9"/>
    <w:rsid w:val="00C958F2"/>
    <w:rsid w:val="00C95B39"/>
    <w:rsid w:val="00C95CA6"/>
    <w:rsid w:val="00C95D9E"/>
    <w:rsid w:val="00C95ECE"/>
    <w:rsid w:val="00C95F52"/>
    <w:rsid w:val="00C96039"/>
    <w:rsid w:val="00C962D5"/>
    <w:rsid w:val="00C968FE"/>
    <w:rsid w:val="00C9694F"/>
    <w:rsid w:val="00C96ED7"/>
    <w:rsid w:val="00C96F4D"/>
    <w:rsid w:val="00C970A4"/>
    <w:rsid w:val="00C970F0"/>
    <w:rsid w:val="00C973D5"/>
    <w:rsid w:val="00C977A6"/>
    <w:rsid w:val="00C977F7"/>
    <w:rsid w:val="00C97877"/>
    <w:rsid w:val="00C97B17"/>
    <w:rsid w:val="00C97BAB"/>
    <w:rsid w:val="00C97C25"/>
    <w:rsid w:val="00C97D60"/>
    <w:rsid w:val="00C97DD9"/>
    <w:rsid w:val="00CA05E2"/>
    <w:rsid w:val="00CA070E"/>
    <w:rsid w:val="00CA0743"/>
    <w:rsid w:val="00CA0A1F"/>
    <w:rsid w:val="00CA0BAA"/>
    <w:rsid w:val="00CA1059"/>
    <w:rsid w:val="00CA10B1"/>
    <w:rsid w:val="00CA1176"/>
    <w:rsid w:val="00CA11AC"/>
    <w:rsid w:val="00CA170E"/>
    <w:rsid w:val="00CA1823"/>
    <w:rsid w:val="00CA1AA0"/>
    <w:rsid w:val="00CA1DAC"/>
    <w:rsid w:val="00CA1FC2"/>
    <w:rsid w:val="00CA229C"/>
    <w:rsid w:val="00CA2582"/>
    <w:rsid w:val="00CA2C09"/>
    <w:rsid w:val="00CA2F15"/>
    <w:rsid w:val="00CA3175"/>
    <w:rsid w:val="00CA323E"/>
    <w:rsid w:val="00CA32C2"/>
    <w:rsid w:val="00CA34F8"/>
    <w:rsid w:val="00CA3640"/>
    <w:rsid w:val="00CA3709"/>
    <w:rsid w:val="00CA380C"/>
    <w:rsid w:val="00CA38FB"/>
    <w:rsid w:val="00CA3926"/>
    <w:rsid w:val="00CA3961"/>
    <w:rsid w:val="00CA3E41"/>
    <w:rsid w:val="00CA423F"/>
    <w:rsid w:val="00CA4276"/>
    <w:rsid w:val="00CA43A6"/>
    <w:rsid w:val="00CA43E8"/>
    <w:rsid w:val="00CA458E"/>
    <w:rsid w:val="00CA47D1"/>
    <w:rsid w:val="00CA48C8"/>
    <w:rsid w:val="00CA4A87"/>
    <w:rsid w:val="00CA4CBA"/>
    <w:rsid w:val="00CA4DA8"/>
    <w:rsid w:val="00CA4E77"/>
    <w:rsid w:val="00CA5547"/>
    <w:rsid w:val="00CA55CD"/>
    <w:rsid w:val="00CA56F4"/>
    <w:rsid w:val="00CA573B"/>
    <w:rsid w:val="00CA575F"/>
    <w:rsid w:val="00CA5816"/>
    <w:rsid w:val="00CA5925"/>
    <w:rsid w:val="00CA60CB"/>
    <w:rsid w:val="00CA6141"/>
    <w:rsid w:val="00CA61B6"/>
    <w:rsid w:val="00CA64D5"/>
    <w:rsid w:val="00CA67A2"/>
    <w:rsid w:val="00CA696B"/>
    <w:rsid w:val="00CA6B55"/>
    <w:rsid w:val="00CA6EB8"/>
    <w:rsid w:val="00CA6F06"/>
    <w:rsid w:val="00CA6F64"/>
    <w:rsid w:val="00CA709A"/>
    <w:rsid w:val="00CA7179"/>
    <w:rsid w:val="00CA732F"/>
    <w:rsid w:val="00CA7575"/>
    <w:rsid w:val="00CA7577"/>
    <w:rsid w:val="00CA76D3"/>
    <w:rsid w:val="00CA76DB"/>
    <w:rsid w:val="00CA7784"/>
    <w:rsid w:val="00CA7969"/>
    <w:rsid w:val="00CA79CE"/>
    <w:rsid w:val="00CA7A25"/>
    <w:rsid w:val="00CA7A36"/>
    <w:rsid w:val="00CA7A85"/>
    <w:rsid w:val="00CA7C98"/>
    <w:rsid w:val="00CA7E8B"/>
    <w:rsid w:val="00CB018B"/>
    <w:rsid w:val="00CB0221"/>
    <w:rsid w:val="00CB0586"/>
    <w:rsid w:val="00CB058B"/>
    <w:rsid w:val="00CB08E7"/>
    <w:rsid w:val="00CB0C09"/>
    <w:rsid w:val="00CB0DF0"/>
    <w:rsid w:val="00CB0E1F"/>
    <w:rsid w:val="00CB0E80"/>
    <w:rsid w:val="00CB0F83"/>
    <w:rsid w:val="00CB1007"/>
    <w:rsid w:val="00CB103D"/>
    <w:rsid w:val="00CB10E0"/>
    <w:rsid w:val="00CB1167"/>
    <w:rsid w:val="00CB1198"/>
    <w:rsid w:val="00CB1249"/>
    <w:rsid w:val="00CB139E"/>
    <w:rsid w:val="00CB14EB"/>
    <w:rsid w:val="00CB1AC1"/>
    <w:rsid w:val="00CB1B08"/>
    <w:rsid w:val="00CB1C71"/>
    <w:rsid w:val="00CB1CDF"/>
    <w:rsid w:val="00CB1DA9"/>
    <w:rsid w:val="00CB1E01"/>
    <w:rsid w:val="00CB1F2A"/>
    <w:rsid w:val="00CB1F6B"/>
    <w:rsid w:val="00CB216E"/>
    <w:rsid w:val="00CB2605"/>
    <w:rsid w:val="00CB26BF"/>
    <w:rsid w:val="00CB2713"/>
    <w:rsid w:val="00CB2834"/>
    <w:rsid w:val="00CB2956"/>
    <w:rsid w:val="00CB29C9"/>
    <w:rsid w:val="00CB29DB"/>
    <w:rsid w:val="00CB2AA3"/>
    <w:rsid w:val="00CB2ACE"/>
    <w:rsid w:val="00CB2BE0"/>
    <w:rsid w:val="00CB2C45"/>
    <w:rsid w:val="00CB2EB9"/>
    <w:rsid w:val="00CB3008"/>
    <w:rsid w:val="00CB30A0"/>
    <w:rsid w:val="00CB3443"/>
    <w:rsid w:val="00CB35DA"/>
    <w:rsid w:val="00CB377C"/>
    <w:rsid w:val="00CB3974"/>
    <w:rsid w:val="00CB3E8E"/>
    <w:rsid w:val="00CB3FC7"/>
    <w:rsid w:val="00CB4268"/>
    <w:rsid w:val="00CB42C1"/>
    <w:rsid w:val="00CB43A3"/>
    <w:rsid w:val="00CB456F"/>
    <w:rsid w:val="00CB4734"/>
    <w:rsid w:val="00CB48A7"/>
    <w:rsid w:val="00CB4930"/>
    <w:rsid w:val="00CB4949"/>
    <w:rsid w:val="00CB4D95"/>
    <w:rsid w:val="00CB4FAB"/>
    <w:rsid w:val="00CB524C"/>
    <w:rsid w:val="00CB5268"/>
    <w:rsid w:val="00CB5442"/>
    <w:rsid w:val="00CB5443"/>
    <w:rsid w:val="00CB5691"/>
    <w:rsid w:val="00CB56A3"/>
    <w:rsid w:val="00CB580E"/>
    <w:rsid w:val="00CB5988"/>
    <w:rsid w:val="00CB5AE6"/>
    <w:rsid w:val="00CB5B42"/>
    <w:rsid w:val="00CB5BEC"/>
    <w:rsid w:val="00CB5C0D"/>
    <w:rsid w:val="00CB5C91"/>
    <w:rsid w:val="00CB5E06"/>
    <w:rsid w:val="00CB5EC2"/>
    <w:rsid w:val="00CB5F66"/>
    <w:rsid w:val="00CB6509"/>
    <w:rsid w:val="00CB6604"/>
    <w:rsid w:val="00CB664B"/>
    <w:rsid w:val="00CB6953"/>
    <w:rsid w:val="00CB6C99"/>
    <w:rsid w:val="00CB6EA4"/>
    <w:rsid w:val="00CB71E8"/>
    <w:rsid w:val="00CB75C4"/>
    <w:rsid w:val="00CB7703"/>
    <w:rsid w:val="00CB77ED"/>
    <w:rsid w:val="00CB7B81"/>
    <w:rsid w:val="00CB7C4A"/>
    <w:rsid w:val="00CB7EB1"/>
    <w:rsid w:val="00CB7ED0"/>
    <w:rsid w:val="00CB7F46"/>
    <w:rsid w:val="00CC002C"/>
    <w:rsid w:val="00CC0372"/>
    <w:rsid w:val="00CC03D1"/>
    <w:rsid w:val="00CC0691"/>
    <w:rsid w:val="00CC0884"/>
    <w:rsid w:val="00CC0B26"/>
    <w:rsid w:val="00CC0C16"/>
    <w:rsid w:val="00CC0C72"/>
    <w:rsid w:val="00CC0CEC"/>
    <w:rsid w:val="00CC0D05"/>
    <w:rsid w:val="00CC13CE"/>
    <w:rsid w:val="00CC142A"/>
    <w:rsid w:val="00CC1C08"/>
    <w:rsid w:val="00CC1E71"/>
    <w:rsid w:val="00CC2053"/>
    <w:rsid w:val="00CC2084"/>
    <w:rsid w:val="00CC2530"/>
    <w:rsid w:val="00CC294F"/>
    <w:rsid w:val="00CC2BAB"/>
    <w:rsid w:val="00CC2C43"/>
    <w:rsid w:val="00CC2C92"/>
    <w:rsid w:val="00CC2E88"/>
    <w:rsid w:val="00CC2ECD"/>
    <w:rsid w:val="00CC30CB"/>
    <w:rsid w:val="00CC33C5"/>
    <w:rsid w:val="00CC348C"/>
    <w:rsid w:val="00CC3535"/>
    <w:rsid w:val="00CC35B9"/>
    <w:rsid w:val="00CC35E8"/>
    <w:rsid w:val="00CC369E"/>
    <w:rsid w:val="00CC37E8"/>
    <w:rsid w:val="00CC385B"/>
    <w:rsid w:val="00CC38C5"/>
    <w:rsid w:val="00CC3A4E"/>
    <w:rsid w:val="00CC3BC4"/>
    <w:rsid w:val="00CC3C71"/>
    <w:rsid w:val="00CC4093"/>
    <w:rsid w:val="00CC40EA"/>
    <w:rsid w:val="00CC4AFB"/>
    <w:rsid w:val="00CC4BEE"/>
    <w:rsid w:val="00CC4BFC"/>
    <w:rsid w:val="00CC4CA6"/>
    <w:rsid w:val="00CC4CE0"/>
    <w:rsid w:val="00CC4E88"/>
    <w:rsid w:val="00CC4EB4"/>
    <w:rsid w:val="00CC5054"/>
    <w:rsid w:val="00CC5150"/>
    <w:rsid w:val="00CC52A5"/>
    <w:rsid w:val="00CC52A9"/>
    <w:rsid w:val="00CC53F9"/>
    <w:rsid w:val="00CC597A"/>
    <w:rsid w:val="00CC59CD"/>
    <w:rsid w:val="00CC5A67"/>
    <w:rsid w:val="00CC5B1A"/>
    <w:rsid w:val="00CC5D65"/>
    <w:rsid w:val="00CC60DE"/>
    <w:rsid w:val="00CC6138"/>
    <w:rsid w:val="00CC626B"/>
    <w:rsid w:val="00CC6280"/>
    <w:rsid w:val="00CC630D"/>
    <w:rsid w:val="00CC6514"/>
    <w:rsid w:val="00CC6656"/>
    <w:rsid w:val="00CC69A1"/>
    <w:rsid w:val="00CC6CD9"/>
    <w:rsid w:val="00CC6D24"/>
    <w:rsid w:val="00CC7152"/>
    <w:rsid w:val="00CC7572"/>
    <w:rsid w:val="00CC78E7"/>
    <w:rsid w:val="00CC7A0E"/>
    <w:rsid w:val="00CC7A3B"/>
    <w:rsid w:val="00CC7A5E"/>
    <w:rsid w:val="00CC7CF9"/>
    <w:rsid w:val="00CC7D2E"/>
    <w:rsid w:val="00CC7E20"/>
    <w:rsid w:val="00CC7E58"/>
    <w:rsid w:val="00CD0618"/>
    <w:rsid w:val="00CD0862"/>
    <w:rsid w:val="00CD0B38"/>
    <w:rsid w:val="00CD0BAD"/>
    <w:rsid w:val="00CD0BC1"/>
    <w:rsid w:val="00CD0BE5"/>
    <w:rsid w:val="00CD0F2D"/>
    <w:rsid w:val="00CD119F"/>
    <w:rsid w:val="00CD1614"/>
    <w:rsid w:val="00CD1A2C"/>
    <w:rsid w:val="00CD1DA9"/>
    <w:rsid w:val="00CD2093"/>
    <w:rsid w:val="00CD2265"/>
    <w:rsid w:val="00CD22D0"/>
    <w:rsid w:val="00CD2623"/>
    <w:rsid w:val="00CD26F5"/>
    <w:rsid w:val="00CD2A7B"/>
    <w:rsid w:val="00CD2AF7"/>
    <w:rsid w:val="00CD2DBD"/>
    <w:rsid w:val="00CD2FB5"/>
    <w:rsid w:val="00CD2FC1"/>
    <w:rsid w:val="00CD3315"/>
    <w:rsid w:val="00CD3333"/>
    <w:rsid w:val="00CD336D"/>
    <w:rsid w:val="00CD3554"/>
    <w:rsid w:val="00CD3662"/>
    <w:rsid w:val="00CD38C9"/>
    <w:rsid w:val="00CD3A77"/>
    <w:rsid w:val="00CD3CAE"/>
    <w:rsid w:val="00CD3D23"/>
    <w:rsid w:val="00CD40CD"/>
    <w:rsid w:val="00CD4123"/>
    <w:rsid w:val="00CD41E1"/>
    <w:rsid w:val="00CD4322"/>
    <w:rsid w:val="00CD4383"/>
    <w:rsid w:val="00CD4452"/>
    <w:rsid w:val="00CD452F"/>
    <w:rsid w:val="00CD4699"/>
    <w:rsid w:val="00CD46CC"/>
    <w:rsid w:val="00CD4702"/>
    <w:rsid w:val="00CD470F"/>
    <w:rsid w:val="00CD498C"/>
    <w:rsid w:val="00CD499E"/>
    <w:rsid w:val="00CD4B3C"/>
    <w:rsid w:val="00CD4C1B"/>
    <w:rsid w:val="00CD4CFB"/>
    <w:rsid w:val="00CD4F7A"/>
    <w:rsid w:val="00CD508E"/>
    <w:rsid w:val="00CD50A3"/>
    <w:rsid w:val="00CD517E"/>
    <w:rsid w:val="00CD51B4"/>
    <w:rsid w:val="00CD52A5"/>
    <w:rsid w:val="00CD559A"/>
    <w:rsid w:val="00CD579E"/>
    <w:rsid w:val="00CD5834"/>
    <w:rsid w:val="00CD5B00"/>
    <w:rsid w:val="00CD5B4B"/>
    <w:rsid w:val="00CD5BAD"/>
    <w:rsid w:val="00CD5CDF"/>
    <w:rsid w:val="00CD5D74"/>
    <w:rsid w:val="00CD5E47"/>
    <w:rsid w:val="00CD61A0"/>
    <w:rsid w:val="00CD620E"/>
    <w:rsid w:val="00CD63F8"/>
    <w:rsid w:val="00CD6538"/>
    <w:rsid w:val="00CD661F"/>
    <w:rsid w:val="00CD668E"/>
    <w:rsid w:val="00CD66BF"/>
    <w:rsid w:val="00CD6766"/>
    <w:rsid w:val="00CD67DB"/>
    <w:rsid w:val="00CD6B16"/>
    <w:rsid w:val="00CD6B28"/>
    <w:rsid w:val="00CD6BAE"/>
    <w:rsid w:val="00CD6CD8"/>
    <w:rsid w:val="00CD6CE4"/>
    <w:rsid w:val="00CD6DAC"/>
    <w:rsid w:val="00CD70A9"/>
    <w:rsid w:val="00CD716F"/>
    <w:rsid w:val="00CD7220"/>
    <w:rsid w:val="00CD7299"/>
    <w:rsid w:val="00CD79D2"/>
    <w:rsid w:val="00CE00A8"/>
    <w:rsid w:val="00CE00CF"/>
    <w:rsid w:val="00CE027D"/>
    <w:rsid w:val="00CE07FE"/>
    <w:rsid w:val="00CE08CD"/>
    <w:rsid w:val="00CE0A1A"/>
    <w:rsid w:val="00CE0AC0"/>
    <w:rsid w:val="00CE0C48"/>
    <w:rsid w:val="00CE1020"/>
    <w:rsid w:val="00CE1070"/>
    <w:rsid w:val="00CE1130"/>
    <w:rsid w:val="00CE13C5"/>
    <w:rsid w:val="00CE13C6"/>
    <w:rsid w:val="00CE1576"/>
    <w:rsid w:val="00CE18F7"/>
    <w:rsid w:val="00CE1A47"/>
    <w:rsid w:val="00CE1B88"/>
    <w:rsid w:val="00CE1CC3"/>
    <w:rsid w:val="00CE1E59"/>
    <w:rsid w:val="00CE20C5"/>
    <w:rsid w:val="00CE2180"/>
    <w:rsid w:val="00CE2212"/>
    <w:rsid w:val="00CE2307"/>
    <w:rsid w:val="00CE252A"/>
    <w:rsid w:val="00CE282A"/>
    <w:rsid w:val="00CE2A47"/>
    <w:rsid w:val="00CE2D1F"/>
    <w:rsid w:val="00CE2EEE"/>
    <w:rsid w:val="00CE3125"/>
    <w:rsid w:val="00CE32E6"/>
    <w:rsid w:val="00CE3536"/>
    <w:rsid w:val="00CE355F"/>
    <w:rsid w:val="00CE3A1E"/>
    <w:rsid w:val="00CE3B91"/>
    <w:rsid w:val="00CE3C01"/>
    <w:rsid w:val="00CE3C9E"/>
    <w:rsid w:val="00CE40A5"/>
    <w:rsid w:val="00CE4120"/>
    <w:rsid w:val="00CE4158"/>
    <w:rsid w:val="00CE447C"/>
    <w:rsid w:val="00CE47CE"/>
    <w:rsid w:val="00CE494E"/>
    <w:rsid w:val="00CE49DD"/>
    <w:rsid w:val="00CE4BE9"/>
    <w:rsid w:val="00CE4C50"/>
    <w:rsid w:val="00CE4EE4"/>
    <w:rsid w:val="00CE50FE"/>
    <w:rsid w:val="00CE531C"/>
    <w:rsid w:val="00CE5697"/>
    <w:rsid w:val="00CE59D0"/>
    <w:rsid w:val="00CE59F7"/>
    <w:rsid w:val="00CE5B02"/>
    <w:rsid w:val="00CE5D24"/>
    <w:rsid w:val="00CE6154"/>
    <w:rsid w:val="00CE6266"/>
    <w:rsid w:val="00CE6447"/>
    <w:rsid w:val="00CE64B6"/>
    <w:rsid w:val="00CE66E4"/>
    <w:rsid w:val="00CE6976"/>
    <w:rsid w:val="00CE699E"/>
    <w:rsid w:val="00CE6AF8"/>
    <w:rsid w:val="00CE6E05"/>
    <w:rsid w:val="00CE7013"/>
    <w:rsid w:val="00CE7098"/>
    <w:rsid w:val="00CE717E"/>
    <w:rsid w:val="00CE71AC"/>
    <w:rsid w:val="00CE7202"/>
    <w:rsid w:val="00CE73BB"/>
    <w:rsid w:val="00CE744A"/>
    <w:rsid w:val="00CE75B0"/>
    <w:rsid w:val="00CE7910"/>
    <w:rsid w:val="00CE7948"/>
    <w:rsid w:val="00CE794E"/>
    <w:rsid w:val="00CE7A20"/>
    <w:rsid w:val="00CE7A5B"/>
    <w:rsid w:val="00CE7BB8"/>
    <w:rsid w:val="00CE7E21"/>
    <w:rsid w:val="00CE7E9D"/>
    <w:rsid w:val="00CE7F54"/>
    <w:rsid w:val="00CF0055"/>
    <w:rsid w:val="00CF00E4"/>
    <w:rsid w:val="00CF02CC"/>
    <w:rsid w:val="00CF035D"/>
    <w:rsid w:val="00CF036B"/>
    <w:rsid w:val="00CF04B3"/>
    <w:rsid w:val="00CF0530"/>
    <w:rsid w:val="00CF093C"/>
    <w:rsid w:val="00CF0ACE"/>
    <w:rsid w:val="00CF0EB1"/>
    <w:rsid w:val="00CF0FAA"/>
    <w:rsid w:val="00CF1096"/>
    <w:rsid w:val="00CF11B1"/>
    <w:rsid w:val="00CF1212"/>
    <w:rsid w:val="00CF162A"/>
    <w:rsid w:val="00CF1807"/>
    <w:rsid w:val="00CF1810"/>
    <w:rsid w:val="00CF182B"/>
    <w:rsid w:val="00CF1A07"/>
    <w:rsid w:val="00CF1AA7"/>
    <w:rsid w:val="00CF1AAE"/>
    <w:rsid w:val="00CF1EB6"/>
    <w:rsid w:val="00CF1EF5"/>
    <w:rsid w:val="00CF1FF8"/>
    <w:rsid w:val="00CF2189"/>
    <w:rsid w:val="00CF230F"/>
    <w:rsid w:val="00CF264E"/>
    <w:rsid w:val="00CF26A9"/>
    <w:rsid w:val="00CF2947"/>
    <w:rsid w:val="00CF299B"/>
    <w:rsid w:val="00CF2AEF"/>
    <w:rsid w:val="00CF2D35"/>
    <w:rsid w:val="00CF2D3B"/>
    <w:rsid w:val="00CF3054"/>
    <w:rsid w:val="00CF30B3"/>
    <w:rsid w:val="00CF3192"/>
    <w:rsid w:val="00CF319A"/>
    <w:rsid w:val="00CF31A4"/>
    <w:rsid w:val="00CF337D"/>
    <w:rsid w:val="00CF3647"/>
    <w:rsid w:val="00CF38CA"/>
    <w:rsid w:val="00CF3987"/>
    <w:rsid w:val="00CF3BAC"/>
    <w:rsid w:val="00CF42F1"/>
    <w:rsid w:val="00CF433A"/>
    <w:rsid w:val="00CF47FB"/>
    <w:rsid w:val="00CF4B5A"/>
    <w:rsid w:val="00CF5133"/>
    <w:rsid w:val="00CF519A"/>
    <w:rsid w:val="00CF51F0"/>
    <w:rsid w:val="00CF532B"/>
    <w:rsid w:val="00CF5424"/>
    <w:rsid w:val="00CF5595"/>
    <w:rsid w:val="00CF570E"/>
    <w:rsid w:val="00CF5B32"/>
    <w:rsid w:val="00CF5B82"/>
    <w:rsid w:val="00CF5C87"/>
    <w:rsid w:val="00CF5D10"/>
    <w:rsid w:val="00CF5DB7"/>
    <w:rsid w:val="00CF5E5E"/>
    <w:rsid w:val="00CF5EA4"/>
    <w:rsid w:val="00CF62D2"/>
    <w:rsid w:val="00CF65DA"/>
    <w:rsid w:val="00CF6782"/>
    <w:rsid w:val="00CF67F2"/>
    <w:rsid w:val="00CF692A"/>
    <w:rsid w:val="00CF6950"/>
    <w:rsid w:val="00CF6DBD"/>
    <w:rsid w:val="00CF6F94"/>
    <w:rsid w:val="00CF6FB4"/>
    <w:rsid w:val="00CF7278"/>
    <w:rsid w:val="00CF739F"/>
    <w:rsid w:val="00CF7404"/>
    <w:rsid w:val="00CF7EFC"/>
    <w:rsid w:val="00D0013E"/>
    <w:rsid w:val="00D004C8"/>
    <w:rsid w:val="00D00536"/>
    <w:rsid w:val="00D00D5E"/>
    <w:rsid w:val="00D00E10"/>
    <w:rsid w:val="00D0108A"/>
    <w:rsid w:val="00D0122C"/>
    <w:rsid w:val="00D01D06"/>
    <w:rsid w:val="00D023AC"/>
    <w:rsid w:val="00D02641"/>
    <w:rsid w:val="00D02767"/>
    <w:rsid w:val="00D02914"/>
    <w:rsid w:val="00D02AFC"/>
    <w:rsid w:val="00D02BE3"/>
    <w:rsid w:val="00D03027"/>
    <w:rsid w:val="00D03055"/>
    <w:rsid w:val="00D0338B"/>
    <w:rsid w:val="00D03750"/>
    <w:rsid w:val="00D0384D"/>
    <w:rsid w:val="00D03A66"/>
    <w:rsid w:val="00D03A74"/>
    <w:rsid w:val="00D03BD5"/>
    <w:rsid w:val="00D03C17"/>
    <w:rsid w:val="00D03C85"/>
    <w:rsid w:val="00D040AE"/>
    <w:rsid w:val="00D044BC"/>
    <w:rsid w:val="00D046FD"/>
    <w:rsid w:val="00D047E6"/>
    <w:rsid w:val="00D04B65"/>
    <w:rsid w:val="00D04C09"/>
    <w:rsid w:val="00D04FB2"/>
    <w:rsid w:val="00D050F3"/>
    <w:rsid w:val="00D0540D"/>
    <w:rsid w:val="00D055B6"/>
    <w:rsid w:val="00D05960"/>
    <w:rsid w:val="00D05BB1"/>
    <w:rsid w:val="00D05BEC"/>
    <w:rsid w:val="00D05C7F"/>
    <w:rsid w:val="00D05D0D"/>
    <w:rsid w:val="00D05DFE"/>
    <w:rsid w:val="00D05EE3"/>
    <w:rsid w:val="00D05F86"/>
    <w:rsid w:val="00D06049"/>
    <w:rsid w:val="00D061F4"/>
    <w:rsid w:val="00D06335"/>
    <w:rsid w:val="00D0662A"/>
    <w:rsid w:val="00D06AC5"/>
    <w:rsid w:val="00D06B2D"/>
    <w:rsid w:val="00D06EF8"/>
    <w:rsid w:val="00D06F15"/>
    <w:rsid w:val="00D07103"/>
    <w:rsid w:val="00D0720F"/>
    <w:rsid w:val="00D07375"/>
    <w:rsid w:val="00D074BB"/>
    <w:rsid w:val="00D0755F"/>
    <w:rsid w:val="00D07563"/>
    <w:rsid w:val="00D075BE"/>
    <w:rsid w:val="00D0784C"/>
    <w:rsid w:val="00D0787A"/>
    <w:rsid w:val="00D07A09"/>
    <w:rsid w:val="00D07B01"/>
    <w:rsid w:val="00D07B4C"/>
    <w:rsid w:val="00D07B87"/>
    <w:rsid w:val="00D07C4B"/>
    <w:rsid w:val="00D07D5C"/>
    <w:rsid w:val="00D07E19"/>
    <w:rsid w:val="00D101A1"/>
    <w:rsid w:val="00D10236"/>
    <w:rsid w:val="00D10529"/>
    <w:rsid w:val="00D1057B"/>
    <w:rsid w:val="00D105F9"/>
    <w:rsid w:val="00D10DCF"/>
    <w:rsid w:val="00D110DF"/>
    <w:rsid w:val="00D110EF"/>
    <w:rsid w:val="00D111B7"/>
    <w:rsid w:val="00D1125E"/>
    <w:rsid w:val="00D113F2"/>
    <w:rsid w:val="00D115F8"/>
    <w:rsid w:val="00D1161E"/>
    <w:rsid w:val="00D116D2"/>
    <w:rsid w:val="00D1179B"/>
    <w:rsid w:val="00D11AF5"/>
    <w:rsid w:val="00D11C17"/>
    <w:rsid w:val="00D11C8E"/>
    <w:rsid w:val="00D11CA6"/>
    <w:rsid w:val="00D11CFB"/>
    <w:rsid w:val="00D11D31"/>
    <w:rsid w:val="00D11DEF"/>
    <w:rsid w:val="00D11F37"/>
    <w:rsid w:val="00D11FE5"/>
    <w:rsid w:val="00D12128"/>
    <w:rsid w:val="00D1218A"/>
    <w:rsid w:val="00D12261"/>
    <w:rsid w:val="00D1268F"/>
    <w:rsid w:val="00D1272E"/>
    <w:rsid w:val="00D1286D"/>
    <w:rsid w:val="00D12A50"/>
    <w:rsid w:val="00D12A7B"/>
    <w:rsid w:val="00D12AC1"/>
    <w:rsid w:val="00D12F8F"/>
    <w:rsid w:val="00D13161"/>
    <w:rsid w:val="00D137AF"/>
    <w:rsid w:val="00D138AA"/>
    <w:rsid w:val="00D13970"/>
    <w:rsid w:val="00D1398E"/>
    <w:rsid w:val="00D13A25"/>
    <w:rsid w:val="00D13A65"/>
    <w:rsid w:val="00D141CF"/>
    <w:rsid w:val="00D14296"/>
    <w:rsid w:val="00D14356"/>
    <w:rsid w:val="00D143F2"/>
    <w:rsid w:val="00D144F7"/>
    <w:rsid w:val="00D146D3"/>
    <w:rsid w:val="00D146ED"/>
    <w:rsid w:val="00D1486A"/>
    <w:rsid w:val="00D14907"/>
    <w:rsid w:val="00D1495A"/>
    <w:rsid w:val="00D14B5A"/>
    <w:rsid w:val="00D15077"/>
    <w:rsid w:val="00D150B3"/>
    <w:rsid w:val="00D1512D"/>
    <w:rsid w:val="00D1522E"/>
    <w:rsid w:val="00D15349"/>
    <w:rsid w:val="00D15358"/>
    <w:rsid w:val="00D154E7"/>
    <w:rsid w:val="00D15557"/>
    <w:rsid w:val="00D1567F"/>
    <w:rsid w:val="00D15862"/>
    <w:rsid w:val="00D158B1"/>
    <w:rsid w:val="00D158CC"/>
    <w:rsid w:val="00D15A94"/>
    <w:rsid w:val="00D15B36"/>
    <w:rsid w:val="00D15DF8"/>
    <w:rsid w:val="00D15E5F"/>
    <w:rsid w:val="00D162D4"/>
    <w:rsid w:val="00D16381"/>
    <w:rsid w:val="00D164C8"/>
    <w:rsid w:val="00D16B08"/>
    <w:rsid w:val="00D16B74"/>
    <w:rsid w:val="00D16C12"/>
    <w:rsid w:val="00D16CB6"/>
    <w:rsid w:val="00D16E15"/>
    <w:rsid w:val="00D17696"/>
    <w:rsid w:val="00D176A4"/>
    <w:rsid w:val="00D176E4"/>
    <w:rsid w:val="00D177DA"/>
    <w:rsid w:val="00D17963"/>
    <w:rsid w:val="00D17EE5"/>
    <w:rsid w:val="00D20018"/>
    <w:rsid w:val="00D200BB"/>
    <w:rsid w:val="00D2067F"/>
    <w:rsid w:val="00D208D2"/>
    <w:rsid w:val="00D20B7B"/>
    <w:rsid w:val="00D20C20"/>
    <w:rsid w:val="00D20C73"/>
    <w:rsid w:val="00D20EF5"/>
    <w:rsid w:val="00D2111B"/>
    <w:rsid w:val="00D214EA"/>
    <w:rsid w:val="00D215ED"/>
    <w:rsid w:val="00D21691"/>
    <w:rsid w:val="00D2179B"/>
    <w:rsid w:val="00D21988"/>
    <w:rsid w:val="00D2210E"/>
    <w:rsid w:val="00D221D3"/>
    <w:rsid w:val="00D224B2"/>
    <w:rsid w:val="00D225A5"/>
    <w:rsid w:val="00D2284F"/>
    <w:rsid w:val="00D22875"/>
    <w:rsid w:val="00D22965"/>
    <w:rsid w:val="00D22B00"/>
    <w:rsid w:val="00D23341"/>
    <w:rsid w:val="00D235B1"/>
    <w:rsid w:val="00D237BB"/>
    <w:rsid w:val="00D23E95"/>
    <w:rsid w:val="00D23ED7"/>
    <w:rsid w:val="00D244C1"/>
    <w:rsid w:val="00D2476D"/>
    <w:rsid w:val="00D24793"/>
    <w:rsid w:val="00D24987"/>
    <w:rsid w:val="00D24A00"/>
    <w:rsid w:val="00D24A97"/>
    <w:rsid w:val="00D24EF8"/>
    <w:rsid w:val="00D24F1E"/>
    <w:rsid w:val="00D2509C"/>
    <w:rsid w:val="00D2513F"/>
    <w:rsid w:val="00D2517D"/>
    <w:rsid w:val="00D254BB"/>
    <w:rsid w:val="00D257AA"/>
    <w:rsid w:val="00D258DC"/>
    <w:rsid w:val="00D259D0"/>
    <w:rsid w:val="00D25E11"/>
    <w:rsid w:val="00D25E85"/>
    <w:rsid w:val="00D26185"/>
    <w:rsid w:val="00D264E7"/>
    <w:rsid w:val="00D2650D"/>
    <w:rsid w:val="00D26639"/>
    <w:rsid w:val="00D268EC"/>
    <w:rsid w:val="00D269EA"/>
    <w:rsid w:val="00D26A67"/>
    <w:rsid w:val="00D26D60"/>
    <w:rsid w:val="00D26E32"/>
    <w:rsid w:val="00D27000"/>
    <w:rsid w:val="00D2705A"/>
    <w:rsid w:val="00D27066"/>
    <w:rsid w:val="00D274D7"/>
    <w:rsid w:val="00D27519"/>
    <w:rsid w:val="00D275BE"/>
    <w:rsid w:val="00D27639"/>
    <w:rsid w:val="00D27A00"/>
    <w:rsid w:val="00D27A08"/>
    <w:rsid w:val="00D27AD8"/>
    <w:rsid w:val="00D27C30"/>
    <w:rsid w:val="00D27D86"/>
    <w:rsid w:val="00D27DCA"/>
    <w:rsid w:val="00D27ECD"/>
    <w:rsid w:val="00D27F03"/>
    <w:rsid w:val="00D30063"/>
    <w:rsid w:val="00D30360"/>
    <w:rsid w:val="00D3039B"/>
    <w:rsid w:val="00D3065C"/>
    <w:rsid w:val="00D306DF"/>
    <w:rsid w:val="00D307FD"/>
    <w:rsid w:val="00D3084E"/>
    <w:rsid w:val="00D30DF2"/>
    <w:rsid w:val="00D311D7"/>
    <w:rsid w:val="00D31202"/>
    <w:rsid w:val="00D312EE"/>
    <w:rsid w:val="00D314EF"/>
    <w:rsid w:val="00D31A2B"/>
    <w:rsid w:val="00D31B26"/>
    <w:rsid w:val="00D31DFA"/>
    <w:rsid w:val="00D31F28"/>
    <w:rsid w:val="00D31F6B"/>
    <w:rsid w:val="00D32BF2"/>
    <w:rsid w:val="00D32F75"/>
    <w:rsid w:val="00D32F7A"/>
    <w:rsid w:val="00D32F9C"/>
    <w:rsid w:val="00D3304D"/>
    <w:rsid w:val="00D330BE"/>
    <w:rsid w:val="00D33383"/>
    <w:rsid w:val="00D33715"/>
    <w:rsid w:val="00D3376D"/>
    <w:rsid w:val="00D338D5"/>
    <w:rsid w:val="00D33AEB"/>
    <w:rsid w:val="00D33DC4"/>
    <w:rsid w:val="00D340A6"/>
    <w:rsid w:val="00D340C6"/>
    <w:rsid w:val="00D340E4"/>
    <w:rsid w:val="00D341C8"/>
    <w:rsid w:val="00D34285"/>
    <w:rsid w:val="00D342A9"/>
    <w:rsid w:val="00D343AA"/>
    <w:rsid w:val="00D344D1"/>
    <w:rsid w:val="00D344F8"/>
    <w:rsid w:val="00D3457D"/>
    <w:rsid w:val="00D34719"/>
    <w:rsid w:val="00D34C19"/>
    <w:rsid w:val="00D34C24"/>
    <w:rsid w:val="00D34C2A"/>
    <w:rsid w:val="00D34CE4"/>
    <w:rsid w:val="00D34EE8"/>
    <w:rsid w:val="00D35391"/>
    <w:rsid w:val="00D35411"/>
    <w:rsid w:val="00D35519"/>
    <w:rsid w:val="00D3558B"/>
    <w:rsid w:val="00D358F7"/>
    <w:rsid w:val="00D35913"/>
    <w:rsid w:val="00D35CDC"/>
    <w:rsid w:val="00D35E2B"/>
    <w:rsid w:val="00D36153"/>
    <w:rsid w:val="00D36314"/>
    <w:rsid w:val="00D365CD"/>
    <w:rsid w:val="00D3680A"/>
    <w:rsid w:val="00D36837"/>
    <w:rsid w:val="00D36C48"/>
    <w:rsid w:val="00D3700A"/>
    <w:rsid w:val="00D37153"/>
    <w:rsid w:val="00D3721B"/>
    <w:rsid w:val="00D37348"/>
    <w:rsid w:val="00D3748A"/>
    <w:rsid w:val="00D374B8"/>
    <w:rsid w:val="00D37586"/>
    <w:rsid w:val="00D376E1"/>
    <w:rsid w:val="00D37B06"/>
    <w:rsid w:val="00D37BE0"/>
    <w:rsid w:val="00D37D73"/>
    <w:rsid w:val="00D400C2"/>
    <w:rsid w:val="00D406A7"/>
    <w:rsid w:val="00D4074A"/>
    <w:rsid w:val="00D40763"/>
    <w:rsid w:val="00D408E3"/>
    <w:rsid w:val="00D409D9"/>
    <w:rsid w:val="00D411BF"/>
    <w:rsid w:val="00D413CA"/>
    <w:rsid w:val="00D4152A"/>
    <w:rsid w:val="00D4161E"/>
    <w:rsid w:val="00D417AD"/>
    <w:rsid w:val="00D419CC"/>
    <w:rsid w:val="00D41D6C"/>
    <w:rsid w:val="00D41DC5"/>
    <w:rsid w:val="00D41EE8"/>
    <w:rsid w:val="00D42098"/>
    <w:rsid w:val="00D4227D"/>
    <w:rsid w:val="00D423AD"/>
    <w:rsid w:val="00D42600"/>
    <w:rsid w:val="00D429F3"/>
    <w:rsid w:val="00D42A70"/>
    <w:rsid w:val="00D42B95"/>
    <w:rsid w:val="00D42C82"/>
    <w:rsid w:val="00D42CFD"/>
    <w:rsid w:val="00D42D28"/>
    <w:rsid w:val="00D42E48"/>
    <w:rsid w:val="00D42EDF"/>
    <w:rsid w:val="00D42EE2"/>
    <w:rsid w:val="00D431F1"/>
    <w:rsid w:val="00D43410"/>
    <w:rsid w:val="00D437E0"/>
    <w:rsid w:val="00D4388B"/>
    <w:rsid w:val="00D43A8A"/>
    <w:rsid w:val="00D43AC4"/>
    <w:rsid w:val="00D43B10"/>
    <w:rsid w:val="00D43BAD"/>
    <w:rsid w:val="00D43CB5"/>
    <w:rsid w:val="00D43E89"/>
    <w:rsid w:val="00D4405B"/>
    <w:rsid w:val="00D440ED"/>
    <w:rsid w:val="00D4422F"/>
    <w:rsid w:val="00D442C4"/>
    <w:rsid w:val="00D44703"/>
    <w:rsid w:val="00D44837"/>
    <w:rsid w:val="00D449E7"/>
    <w:rsid w:val="00D44D79"/>
    <w:rsid w:val="00D45010"/>
    <w:rsid w:val="00D451FD"/>
    <w:rsid w:val="00D4520A"/>
    <w:rsid w:val="00D45367"/>
    <w:rsid w:val="00D45743"/>
    <w:rsid w:val="00D458B8"/>
    <w:rsid w:val="00D458DB"/>
    <w:rsid w:val="00D45B88"/>
    <w:rsid w:val="00D45C0F"/>
    <w:rsid w:val="00D45D97"/>
    <w:rsid w:val="00D460DB"/>
    <w:rsid w:val="00D464D1"/>
    <w:rsid w:val="00D4659A"/>
    <w:rsid w:val="00D46730"/>
    <w:rsid w:val="00D46A29"/>
    <w:rsid w:val="00D46D4D"/>
    <w:rsid w:val="00D46DDD"/>
    <w:rsid w:val="00D46DE4"/>
    <w:rsid w:val="00D46E9D"/>
    <w:rsid w:val="00D46F63"/>
    <w:rsid w:val="00D474EF"/>
    <w:rsid w:val="00D4755D"/>
    <w:rsid w:val="00D4794F"/>
    <w:rsid w:val="00D47ADB"/>
    <w:rsid w:val="00D47FB8"/>
    <w:rsid w:val="00D501A1"/>
    <w:rsid w:val="00D5038B"/>
    <w:rsid w:val="00D505C1"/>
    <w:rsid w:val="00D50632"/>
    <w:rsid w:val="00D50683"/>
    <w:rsid w:val="00D506CB"/>
    <w:rsid w:val="00D50902"/>
    <w:rsid w:val="00D50AC1"/>
    <w:rsid w:val="00D50B71"/>
    <w:rsid w:val="00D50B9E"/>
    <w:rsid w:val="00D50EFB"/>
    <w:rsid w:val="00D516FB"/>
    <w:rsid w:val="00D51AA8"/>
    <w:rsid w:val="00D51AC6"/>
    <w:rsid w:val="00D51BB2"/>
    <w:rsid w:val="00D51E0A"/>
    <w:rsid w:val="00D5210A"/>
    <w:rsid w:val="00D5224B"/>
    <w:rsid w:val="00D52273"/>
    <w:rsid w:val="00D52297"/>
    <w:rsid w:val="00D52590"/>
    <w:rsid w:val="00D527E2"/>
    <w:rsid w:val="00D528E2"/>
    <w:rsid w:val="00D52901"/>
    <w:rsid w:val="00D5296B"/>
    <w:rsid w:val="00D52A81"/>
    <w:rsid w:val="00D52D27"/>
    <w:rsid w:val="00D52D5D"/>
    <w:rsid w:val="00D52DAE"/>
    <w:rsid w:val="00D52DF8"/>
    <w:rsid w:val="00D52E4C"/>
    <w:rsid w:val="00D52E91"/>
    <w:rsid w:val="00D53241"/>
    <w:rsid w:val="00D532A2"/>
    <w:rsid w:val="00D533E1"/>
    <w:rsid w:val="00D535AC"/>
    <w:rsid w:val="00D536E2"/>
    <w:rsid w:val="00D53A65"/>
    <w:rsid w:val="00D53CCA"/>
    <w:rsid w:val="00D53DE4"/>
    <w:rsid w:val="00D53E76"/>
    <w:rsid w:val="00D53EBB"/>
    <w:rsid w:val="00D53F24"/>
    <w:rsid w:val="00D5417B"/>
    <w:rsid w:val="00D5418F"/>
    <w:rsid w:val="00D54228"/>
    <w:rsid w:val="00D543BD"/>
    <w:rsid w:val="00D54408"/>
    <w:rsid w:val="00D5441C"/>
    <w:rsid w:val="00D546B2"/>
    <w:rsid w:val="00D546F6"/>
    <w:rsid w:val="00D54A73"/>
    <w:rsid w:val="00D54AD8"/>
    <w:rsid w:val="00D54ADB"/>
    <w:rsid w:val="00D54B84"/>
    <w:rsid w:val="00D54BBB"/>
    <w:rsid w:val="00D54D4D"/>
    <w:rsid w:val="00D54F44"/>
    <w:rsid w:val="00D54FCB"/>
    <w:rsid w:val="00D55015"/>
    <w:rsid w:val="00D5515B"/>
    <w:rsid w:val="00D553E4"/>
    <w:rsid w:val="00D55645"/>
    <w:rsid w:val="00D55899"/>
    <w:rsid w:val="00D55B9A"/>
    <w:rsid w:val="00D55C8D"/>
    <w:rsid w:val="00D55EC4"/>
    <w:rsid w:val="00D55F35"/>
    <w:rsid w:val="00D55FF0"/>
    <w:rsid w:val="00D560D9"/>
    <w:rsid w:val="00D56482"/>
    <w:rsid w:val="00D56767"/>
    <w:rsid w:val="00D56958"/>
    <w:rsid w:val="00D56A10"/>
    <w:rsid w:val="00D56A56"/>
    <w:rsid w:val="00D56D32"/>
    <w:rsid w:val="00D5743D"/>
    <w:rsid w:val="00D57495"/>
    <w:rsid w:val="00D57599"/>
    <w:rsid w:val="00D5769E"/>
    <w:rsid w:val="00D578D9"/>
    <w:rsid w:val="00D57944"/>
    <w:rsid w:val="00D57B41"/>
    <w:rsid w:val="00D57C5E"/>
    <w:rsid w:val="00D57D57"/>
    <w:rsid w:val="00D57EEB"/>
    <w:rsid w:val="00D57F0D"/>
    <w:rsid w:val="00D57F5B"/>
    <w:rsid w:val="00D57FAD"/>
    <w:rsid w:val="00D60076"/>
    <w:rsid w:val="00D60078"/>
    <w:rsid w:val="00D6011E"/>
    <w:rsid w:val="00D602E6"/>
    <w:rsid w:val="00D6040D"/>
    <w:rsid w:val="00D6044E"/>
    <w:rsid w:val="00D604D3"/>
    <w:rsid w:val="00D606F3"/>
    <w:rsid w:val="00D60744"/>
    <w:rsid w:val="00D607E1"/>
    <w:rsid w:val="00D609E1"/>
    <w:rsid w:val="00D60BE3"/>
    <w:rsid w:val="00D61006"/>
    <w:rsid w:val="00D6105E"/>
    <w:rsid w:val="00D61427"/>
    <w:rsid w:val="00D6175D"/>
    <w:rsid w:val="00D61816"/>
    <w:rsid w:val="00D61858"/>
    <w:rsid w:val="00D61943"/>
    <w:rsid w:val="00D61A1C"/>
    <w:rsid w:val="00D61B4E"/>
    <w:rsid w:val="00D62100"/>
    <w:rsid w:val="00D62431"/>
    <w:rsid w:val="00D62552"/>
    <w:rsid w:val="00D6273B"/>
    <w:rsid w:val="00D6293D"/>
    <w:rsid w:val="00D62BE3"/>
    <w:rsid w:val="00D62BF1"/>
    <w:rsid w:val="00D62D5B"/>
    <w:rsid w:val="00D62E52"/>
    <w:rsid w:val="00D6313B"/>
    <w:rsid w:val="00D63154"/>
    <w:rsid w:val="00D631DC"/>
    <w:rsid w:val="00D6335F"/>
    <w:rsid w:val="00D633C9"/>
    <w:rsid w:val="00D6350F"/>
    <w:rsid w:val="00D6364E"/>
    <w:rsid w:val="00D639CC"/>
    <w:rsid w:val="00D63BAF"/>
    <w:rsid w:val="00D63C97"/>
    <w:rsid w:val="00D63DC6"/>
    <w:rsid w:val="00D63E96"/>
    <w:rsid w:val="00D64071"/>
    <w:rsid w:val="00D645A7"/>
    <w:rsid w:val="00D64760"/>
    <w:rsid w:val="00D64798"/>
    <w:rsid w:val="00D64C24"/>
    <w:rsid w:val="00D64F84"/>
    <w:rsid w:val="00D6512F"/>
    <w:rsid w:val="00D6545C"/>
    <w:rsid w:val="00D654C8"/>
    <w:rsid w:val="00D65667"/>
    <w:rsid w:val="00D656CE"/>
    <w:rsid w:val="00D65711"/>
    <w:rsid w:val="00D65761"/>
    <w:rsid w:val="00D658D8"/>
    <w:rsid w:val="00D65BAC"/>
    <w:rsid w:val="00D65D3E"/>
    <w:rsid w:val="00D65ED8"/>
    <w:rsid w:val="00D66012"/>
    <w:rsid w:val="00D66342"/>
    <w:rsid w:val="00D66391"/>
    <w:rsid w:val="00D664B3"/>
    <w:rsid w:val="00D66708"/>
    <w:rsid w:val="00D66790"/>
    <w:rsid w:val="00D6698F"/>
    <w:rsid w:val="00D66BA2"/>
    <w:rsid w:val="00D66F08"/>
    <w:rsid w:val="00D67050"/>
    <w:rsid w:val="00D670E4"/>
    <w:rsid w:val="00D672E1"/>
    <w:rsid w:val="00D67407"/>
    <w:rsid w:val="00D674A5"/>
    <w:rsid w:val="00D67670"/>
    <w:rsid w:val="00D678B3"/>
    <w:rsid w:val="00D67A02"/>
    <w:rsid w:val="00D67C52"/>
    <w:rsid w:val="00D67D8B"/>
    <w:rsid w:val="00D70010"/>
    <w:rsid w:val="00D70572"/>
    <w:rsid w:val="00D706C4"/>
    <w:rsid w:val="00D7094C"/>
    <w:rsid w:val="00D70971"/>
    <w:rsid w:val="00D70A2B"/>
    <w:rsid w:val="00D70B1B"/>
    <w:rsid w:val="00D70B92"/>
    <w:rsid w:val="00D70C27"/>
    <w:rsid w:val="00D70CEE"/>
    <w:rsid w:val="00D70D45"/>
    <w:rsid w:val="00D70DB5"/>
    <w:rsid w:val="00D70E39"/>
    <w:rsid w:val="00D7123A"/>
    <w:rsid w:val="00D71308"/>
    <w:rsid w:val="00D713FE"/>
    <w:rsid w:val="00D71486"/>
    <w:rsid w:val="00D717F6"/>
    <w:rsid w:val="00D71B7E"/>
    <w:rsid w:val="00D71D8E"/>
    <w:rsid w:val="00D71DB4"/>
    <w:rsid w:val="00D722C2"/>
    <w:rsid w:val="00D723DE"/>
    <w:rsid w:val="00D7276C"/>
    <w:rsid w:val="00D72C47"/>
    <w:rsid w:val="00D73133"/>
    <w:rsid w:val="00D731EE"/>
    <w:rsid w:val="00D732FE"/>
    <w:rsid w:val="00D7337A"/>
    <w:rsid w:val="00D7345B"/>
    <w:rsid w:val="00D73621"/>
    <w:rsid w:val="00D737B4"/>
    <w:rsid w:val="00D73A86"/>
    <w:rsid w:val="00D73C1C"/>
    <w:rsid w:val="00D73C84"/>
    <w:rsid w:val="00D73D41"/>
    <w:rsid w:val="00D73D57"/>
    <w:rsid w:val="00D73EB3"/>
    <w:rsid w:val="00D73F01"/>
    <w:rsid w:val="00D73FDC"/>
    <w:rsid w:val="00D7406B"/>
    <w:rsid w:val="00D740B7"/>
    <w:rsid w:val="00D74151"/>
    <w:rsid w:val="00D74204"/>
    <w:rsid w:val="00D7431D"/>
    <w:rsid w:val="00D74592"/>
    <w:rsid w:val="00D74631"/>
    <w:rsid w:val="00D74687"/>
    <w:rsid w:val="00D748E9"/>
    <w:rsid w:val="00D74A4A"/>
    <w:rsid w:val="00D74B00"/>
    <w:rsid w:val="00D74BD2"/>
    <w:rsid w:val="00D74D32"/>
    <w:rsid w:val="00D74D43"/>
    <w:rsid w:val="00D751F3"/>
    <w:rsid w:val="00D75572"/>
    <w:rsid w:val="00D756CF"/>
    <w:rsid w:val="00D7576F"/>
    <w:rsid w:val="00D75780"/>
    <w:rsid w:val="00D757F5"/>
    <w:rsid w:val="00D75D6F"/>
    <w:rsid w:val="00D75EA8"/>
    <w:rsid w:val="00D76168"/>
    <w:rsid w:val="00D761A5"/>
    <w:rsid w:val="00D7620D"/>
    <w:rsid w:val="00D76260"/>
    <w:rsid w:val="00D766AC"/>
    <w:rsid w:val="00D766C4"/>
    <w:rsid w:val="00D76B9B"/>
    <w:rsid w:val="00D76CCD"/>
    <w:rsid w:val="00D76D87"/>
    <w:rsid w:val="00D76EF4"/>
    <w:rsid w:val="00D76EFE"/>
    <w:rsid w:val="00D76FCC"/>
    <w:rsid w:val="00D7727D"/>
    <w:rsid w:val="00D773A7"/>
    <w:rsid w:val="00D77857"/>
    <w:rsid w:val="00D77896"/>
    <w:rsid w:val="00D7794C"/>
    <w:rsid w:val="00D77991"/>
    <w:rsid w:val="00D779A1"/>
    <w:rsid w:val="00D779A2"/>
    <w:rsid w:val="00D77A5D"/>
    <w:rsid w:val="00D77BF5"/>
    <w:rsid w:val="00D77CEC"/>
    <w:rsid w:val="00D77F7F"/>
    <w:rsid w:val="00D8001E"/>
    <w:rsid w:val="00D804A6"/>
    <w:rsid w:val="00D805C9"/>
    <w:rsid w:val="00D808AD"/>
    <w:rsid w:val="00D80AE7"/>
    <w:rsid w:val="00D80B6F"/>
    <w:rsid w:val="00D80C16"/>
    <w:rsid w:val="00D80C5C"/>
    <w:rsid w:val="00D80D3A"/>
    <w:rsid w:val="00D80D8A"/>
    <w:rsid w:val="00D80E25"/>
    <w:rsid w:val="00D80E8D"/>
    <w:rsid w:val="00D80FE6"/>
    <w:rsid w:val="00D81562"/>
    <w:rsid w:val="00D815F8"/>
    <w:rsid w:val="00D81644"/>
    <w:rsid w:val="00D819B4"/>
    <w:rsid w:val="00D81A80"/>
    <w:rsid w:val="00D81AE4"/>
    <w:rsid w:val="00D81B8C"/>
    <w:rsid w:val="00D81CE5"/>
    <w:rsid w:val="00D81DB0"/>
    <w:rsid w:val="00D82084"/>
    <w:rsid w:val="00D82238"/>
    <w:rsid w:val="00D8245E"/>
    <w:rsid w:val="00D82739"/>
    <w:rsid w:val="00D827F4"/>
    <w:rsid w:val="00D82860"/>
    <w:rsid w:val="00D828C0"/>
    <w:rsid w:val="00D82A07"/>
    <w:rsid w:val="00D82B29"/>
    <w:rsid w:val="00D82B37"/>
    <w:rsid w:val="00D82E72"/>
    <w:rsid w:val="00D82F10"/>
    <w:rsid w:val="00D82F6E"/>
    <w:rsid w:val="00D83395"/>
    <w:rsid w:val="00D83444"/>
    <w:rsid w:val="00D834F0"/>
    <w:rsid w:val="00D8354A"/>
    <w:rsid w:val="00D8368D"/>
    <w:rsid w:val="00D83786"/>
    <w:rsid w:val="00D839D1"/>
    <w:rsid w:val="00D83AB4"/>
    <w:rsid w:val="00D83B62"/>
    <w:rsid w:val="00D83B80"/>
    <w:rsid w:val="00D83BEC"/>
    <w:rsid w:val="00D83DFE"/>
    <w:rsid w:val="00D83FFB"/>
    <w:rsid w:val="00D8417C"/>
    <w:rsid w:val="00D84521"/>
    <w:rsid w:val="00D8453D"/>
    <w:rsid w:val="00D8492D"/>
    <w:rsid w:val="00D84A5B"/>
    <w:rsid w:val="00D84E8E"/>
    <w:rsid w:val="00D85816"/>
    <w:rsid w:val="00D85981"/>
    <w:rsid w:val="00D85ADB"/>
    <w:rsid w:val="00D85E93"/>
    <w:rsid w:val="00D85EC2"/>
    <w:rsid w:val="00D86094"/>
    <w:rsid w:val="00D8618F"/>
    <w:rsid w:val="00D86228"/>
    <w:rsid w:val="00D8623B"/>
    <w:rsid w:val="00D863E9"/>
    <w:rsid w:val="00D865B5"/>
    <w:rsid w:val="00D866BF"/>
    <w:rsid w:val="00D867BD"/>
    <w:rsid w:val="00D868F0"/>
    <w:rsid w:val="00D86BD6"/>
    <w:rsid w:val="00D86D2C"/>
    <w:rsid w:val="00D86D6D"/>
    <w:rsid w:val="00D86EAA"/>
    <w:rsid w:val="00D86F42"/>
    <w:rsid w:val="00D86FD0"/>
    <w:rsid w:val="00D87408"/>
    <w:rsid w:val="00D8764C"/>
    <w:rsid w:val="00D8779D"/>
    <w:rsid w:val="00D8798C"/>
    <w:rsid w:val="00D87A96"/>
    <w:rsid w:val="00D87FAD"/>
    <w:rsid w:val="00D903D9"/>
    <w:rsid w:val="00D9054A"/>
    <w:rsid w:val="00D90701"/>
    <w:rsid w:val="00D909BC"/>
    <w:rsid w:val="00D90A6D"/>
    <w:rsid w:val="00D9121C"/>
    <w:rsid w:val="00D91297"/>
    <w:rsid w:val="00D9136A"/>
    <w:rsid w:val="00D91536"/>
    <w:rsid w:val="00D91930"/>
    <w:rsid w:val="00D9193C"/>
    <w:rsid w:val="00D91981"/>
    <w:rsid w:val="00D91AFE"/>
    <w:rsid w:val="00D91E0D"/>
    <w:rsid w:val="00D91F43"/>
    <w:rsid w:val="00D920D4"/>
    <w:rsid w:val="00D920E9"/>
    <w:rsid w:val="00D92545"/>
    <w:rsid w:val="00D92581"/>
    <w:rsid w:val="00D925C8"/>
    <w:rsid w:val="00D92AC9"/>
    <w:rsid w:val="00D92E0D"/>
    <w:rsid w:val="00D92F09"/>
    <w:rsid w:val="00D93131"/>
    <w:rsid w:val="00D931F1"/>
    <w:rsid w:val="00D93276"/>
    <w:rsid w:val="00D9332D"/>
    <w:rsid w:val="00D9379C"/>
    <w:rsid w:val="00D93B63"/>
    <w:rsid w:val="00D93B95"/>
    <w:rsid w:val="00D93C82"/>
    <w:rsid w:val="00D93D1C"/>
    <w:rsid w:val="00D93DFA"/>
    <w:rsid w:val="00D93EEC"/>
    <w:rsid w:val="00D93F71"/>
    <w:rsid w:val="00D94009"/>
    <w:rsid w:val="00D947BE"/>
    <w:rsid w:val="00D94A01"/>
    <w:rsid w:val="00D94B6B"/>
    <w:rsid w:val="00D94C97"/>
    <w:rsid w:val="00D95017"/>
    <w:rsid w:val="00D951AB"/>
    <w:rsid w:val="00D95324"/>
    <w:rsid w:val="00D9537F"/>
    <w:rsid w:val="00D955A0"/>
    <w:rsid w:val="00D958EC"/>
    <w:rsid w:val="00D95973"/>
    <w:rsid w:val="00D95CC3"/>
    <w:rsid w:val="00D95E2F"/>
    <w:rsid w:val="00D95F12"/>
    <w:rsid w:val="00D960CA"/>
    <w:rsid w:val="00D961E4"/>
    <w:rsid w:val="00D966FD"/>
    <w:rsid w:val="00D96968"/>
    <w:rsid w:val="00D96A5C"/>
    <w:rsid w:val="00D96CE0"/>
    <w:rsid w:val="00D96F2A"/>
    <w:rsid w:val="00D970EC"/>
    <w:rsid w:val="00D97103"/>
    <w:rsid w:val="00D97106"/>
    <w:rsid w:val="00D97217"/>
    <w:rsid w:val="00D9731A"/>
    <w:rsid w:val="00D97321"/>
    <w:rsid w:val="00D974A2"/>
    <w:rsid w:val="00D9754B"/>
    <w:rsid w:val="00D976C8"/>
    <w:rsid w:val="00D9786C"/>
    <w:rsid w:val="00D97AB8"/>
    <w:rsid w:val="00D97BC3"/>
    <w:rsid w:val="00D97C1C"/>
    <w:rsid w:val="00D97D84"/>
    <w:rsid w:val="00D97F77"/>
    <w:rsid w:val="00DA01A1"/>
    <w:rsid w:val="00DA0334"/>
    <w:rsid w:val="00DA049E"/>
    <w:rsid w:val="00DA04AF"/>
    <w:rsid w:val="00DA0711"/>
    <w:rsid w:val="00DA07BB"/>
    <w:rsid w:val="00DA0967"/>
    <w:rsid w:val="00DA0994"/>
    <w:rsid w:val="00DA0B35"/>
    <w:rsid w:val="00DA11E6"/>
    <w:rsid w:val="00DA13FB"/>
    <w:rsid w:val="00DA15BC"/>
    <w:rsid w:val="00DA16C5"/>
    <w:rsid w:val="00DA1819"/>
    <w:rsid w:val="00DA18F4"/>
    <w:rsid w:val="00DA1DC8"/>
    <w:rsid w:val="00DA1F20"/>
    <w:rsid w:val="00DA2153"/>
    <w:rsid w:val="00DA2481"/>
    <w:rsid w:val="00DA2522"/>
    <w:rsid w:val="00DA25E9"/>
    <w:rsid w:val="00DA2666"/>
    <w:rsid w:val="00DA27DC"/>
    <w:rsid w:val="00DA2B5D"/>
    <w:rsid w:val="00DA2BE0"/>
    <w:rsid w:val="00DA2BE5"/>
    <w:rsid w:val="00DA2CAF"/>
    <w:rsid w:val="00DA2CBA"/>
    <w:rsid w:val="00DA312A"/>
    <w:rsid w:val="00DA31CD"/>
    <w:rsid w:val="00DA3649"/>
    <w:rsid w:val="00DA36DB"/>
    <w:rsid w:val="00DA3908"/>
    <w:rsid w:val="00DA3981"/>
    <w:rsid w:val="00DA39F8"/>
    <w:rsid w:val="00DA3A20"/>
    <w:rsid w:val="00DA3BCF"/>
    <w:rsid w:val="00DA3C4B"/>
    <w:rsid w:val="00DA3C7C"/>
    <w:rsid w:val="00DA3D50"/>
    <w:rsid w:val="00DA3F6A"/>
    <w:rsid w:val="00DA420A"/>
    <w:rsid w:val="00DA42D0"/>
    <w:rsid w:val="00DA43C5"/>
    <w:rsid w:val="00DA477C"/>
    <w:rsid w:val="00DA484F"/>
    <w:rsid w:val="00DA4906"/>
    <w:rsid w:val="00DA4A55"/>
    <w:rsid w:val="00DA4BC6"/>
    <w:rsid w:val="00DA4C0B"/>
    <w:rsid w:val="00DA4C8B"/>
    <w:rsid w:val="00DA4D54"/>
    <w:rsid w:val="00DA4E0A"/>
    <w:rsid w:val="00DA4E44"/>
    <w:rsid w:val="00DA500E"/>
    <w:rsid w:val="00DA51A6"/>
    <w:rsid w:val="00DA5219"/>
    <w:rsid w:val="00DA5475"/>
    <w:rsid w:val="00DA547C"/>
    <w:rsid w:val="00DA58EB"/>
    <w:rsid w:val="00DA5931"/>
    <w:rsid w:val="00DA5A50"/>
    <w:rsid w:val="00DA5AB0"/>
    <w:rsid w:val="00DA62BE"/>
    <w:rsid w:val="00DA65EE"/>
    <w:rsid w:val="00DA6680"/>
    <w:rsid w:val="00DA68B7"/>
    <w:rsid w:val="00DA68EC"/>
    <w:rsid w:val="00DA6B2F"/>
    <w:rsid w:val="00DA6B6E"/>
    <w:rsid w:val="00DA6DC8"/>
    <w:rsid w:val="00DA71A0"/>
    <w:rsid w:val="00DA737B"/>
    <w:rsid w:val="00DA74F9"/>
    <w:rsid w:val="00DA7920"/>
    <w:rsid w:val="00DA79B7"/>
    <w:rsid w:val="00DA7C16"/>
    <w:rsid w:val="00DA7C7A"/>
    <w:rsid w:val="00DA7DC9"/>
    <w:rsid w:val="00DA7E7E"/>
    <w:rsid w:val="00DA7FE5"/>
    <w:rsid w:val="00DB0671"/>
    <w:rsid w:val="00DB06A9"/>
    <w:rsid w:val="00DB0833"/>
    <w:rsid w:val="00DB0CFD"/>
    <w:rsid w:val="00DB15D7"/>
    <w:rsid w:val="00DB18BF"/>
    <w:rsid w:val="00DB1907"/>
    <w:rsid w:val="00DB1A3C"/>
    <w:rsid w:val="00DB1A3E"/>
    <w:rsid w:val="00DB1A4A"/>
    <w:rsid w:val="00DB1C7A"/>
    <w:rsid w:val="00DB1D67"/>
    <w:rsid w:val="00DB1EFA"/>
    <w:rsid w:val="00DB2175"/>
    <w:rsid w:val="00DB223C"/>
    <w:rsid w:val="00DB22E5"/>
    <w:rsid w:val="00DB26F9"/>
    <w:rsid w:val="00DB2AD5"/>
    <w:rsid w:val="00DB2DD3"/>
    <w:rsid w:val="00DB2DD8"/>
    <w:rsid w:val="00DB3110"/>
    <w:rsid w:val="00DB31E8"/>
    <w:rsid w:val="00DB38FF"/>
    <w:rsid w:val="00DB3A22"/>
    <w:rsid w:val="00DB3FCE"/>
    <w:rsid w:val="00DB3FE2"/>
    <w:rsid w:val="00DB42FB"/>
    <w:rsid w:val="00DB4684"/>
    <w:rsid w:val="00DB46D7"/>
    <w:rsid w:val="00DB491B"/>
    <w:rsid w:val="00DB49C0"/>
    <w:rsid w:val="00DB4B29"/>
    <w:rsid w:val="00DB4CF7"/>
    <w:rsid w:val="00DB4D62"/>
    <w:rsid w:val="00DB4FCB"/>
    <w:rsid w:val="00DB4FD4"/>
    <w:rsid w:val="00DB5097"/>
    <w:rsid w:val="00DB5098"/>
    <w:rsid w:val="00DB5538"/>
    <w:rsid w:val="00DB5661"/>
    <w:rsid w:val="00DB59B7"/>
    <w:rsid w:val="00DB5BF2"/>
    <w:rsid w:val="00DB5C4F"/>
    <w:rsid w:val="00DB5DF4"/>
    <w:rsid w:val="00DB5E41"/>
    <w:rsid w:val="00DB5F58"/>
    <w:rsid w:val="00DB5FF3"/>
    <w:rsid w:val="00DB601E"/>
    <w:rsid w:val="00DB62B8"/>
    <w:rsid w:val="00DB649E"/>
    <w:rsid w:val="00DB668C"/>
    <w:rsid w:val="00DB6971"/>
    <w:rsid w:val="00DB6ABF"/>
    <w:rsid w:val="00DB6B48"/>
    <w:rsid w:val="00DB6B92"/>
    <w:rsid w:val="00DB6D08"/>
    <w:rsid w:val="00DB6DB5"/>
    <w:rsid w:val="00DB6DF1"/>
    <w:rsid w:val="00DB6E95"/>
    <w:rsid w:val="00DB728C"/>
    <w:rsid w:val="00DB7614"/>
    <w:rsid w:val="00DB781E"/>
    <w:rsid w:val="00DB7876"/>
    <w:rsid w:val="00DB79F4"/>
    <w:rsid w:val="00DB7A90"/>
    <w:rsid w:val="00DB7C2A"/>
    <w:rsid w:val="00DB7ECE"/>
    <w:rsid w:val="00DB7ED6"/>
    <w:rsid w:val="00DC000A"/>
    <w:rsid w:val="00DC03F6"/>
    <w:rsid w:val="00DC04BE"/>
    <w:rsid w:val="00DC0582"/>
    <w:rsid w:val="00DC062F"/>
    <w:rsid w:val="00DC068D"/>
    <w:rsid w:val="00DC06AE"/>
    <w:rsid w:val="00DC077D"/>
    <w:rsid w:val="00DC08DD"/>
    <w:rsid w:val="00DC0D91"/>
    <w:rsid w:val="00DC0E63"/>
    <w:rsid w:val="00DC1015"/>
    <w:rsid w:val="00DC1233"/>
    <w:rsid w:val="00DC138D"/>
    <w:rsid w:val="00DC141C"/>
    <w:rsid w:val="00DC145E"/>
    <w:rsid w:val="00DC162D"/>
    <w:rsid w:val="00DC1BBF"/>
    <w:rsid w:val="00DC1D53"/>
    <w:rsid w:val="00DC1D58"/>
    <w:rsid w:val="00DC2024"/>
    <w:rsid w:val="00DC2045"/>
    <w:rsid w:val="00DC20D6"/>
    <w:rsid w:val="00DC21B7"/>
    <w:rsid w:val="00DC2483"/>
    <w:rsid w:val="00DC24AB"/>
    <w:rsid w:val="00DC2565"/>
    <w:rsid w:val="00DC28F1"/>
    <w:rsid w:val="00DC297B"/>
    <w:rsid w:val="00DC29E1"/>
    <w:rsid w:val="00DC2A73"/>
    <w:rsid w:val="00DC2AB3"/>
    <w:rsid w:val="00DC3829"/>
    <w:rsid w:val="00DC383F"/>
    <w:rsid w:val="00DC3905"/>
    <w:rsid w:val="00DC394D"/>
    <w:rsid w:val="00DC3A0C"/>
    <w:rsid w:val="00DC3AF5"/>
    <w:rsid w:val="00DC3E04"/>
    <w:rsid w:val="00DC3E8C"/>
    <w:rsid w:val="00DC42C2"/>
    <w:rsid w:val="00DC44B5"/>
    <w:rsid w:val="00DC44BA"/>
    <w:rsid w:val="00DC4653"/>
    <w:rsid w:val="00DC4B27"/>
    <w:rsid w:val="00DC4D87"/>
    <w:rsid w:val="00DC511A"/>
    <w:rsid w:val="00DC5542"/>
    <w:rsid w:val="00DC570F"/>
    <w:rsid w:val="00DC576A"/>
    <w:rsid w:val="00DC58C1"/>
    <w:rsid w:val="00DC5C3A"/>
    <w:rsid w:val="00DC5D13"/>
    <w:rsid w:val="00DC67D2"/>
    <w:rsid w:val="00DC68B5"/>
    <w:rsid w:val="00DC69D3"/>
    <w:rsid w:val="00DC6ADC"/>
    <w:rsid w:val="00DC6BBC"/>
    <w:rsid w:val="00DC6C9F"/>
    <w:rsid w:val="00DC6CDE"/>
    <w:rsid w:val="00DC6D1F"/>
    <w:rsid w:val="00DC6D64"/>
    <w:rsid w:val="00DC6DFD"/>
    <w:rsid w:val="00DC70A9"/>
    <w:rsid w:val="00DC7247"/>
    <w:rsid w:val="00DC73AE"/>
    <w:rsid w:val="00DC741F"/>
    <w:rsid w:val="00DC7490"/>
    <w:rsid w:val="00DC76EE"/>
    <w:rsid w:val="00DC7740"/>
    <w:rsid w:val="00DC7A03"/>
    <w:rsid w:val="00DC7A19"/>
    <w:rsid w:val="00DC7AF2"/>
    <w:rsid w:val="00DC7C31"/>
    <w:rsid w:val="00DC7D67"/>
    <w:rsid w:val="00DD00EC"/>
    <w:rsid w:val="00DD03EA"/>
    <w:rsid w:val="00DD0473"/>
    <w:rsid w:val="00DD0665"/>
    <w:rsid w:val="00DD06C9"/>
    <w:rsid w:val="00DD0BAE"/>
    <w:rsid w:val="00DD0C62"/>
    <w:rsid w:val="00DD0D34"/>
    <w:rsid w:val="00DD0FBE"/>
    <w:rsid w:val="00DD11F3"/>
    <w:rsid w:val="00DD11F7"/>
    <w:rsid w:val="00DD13BE"/>
    <w:rsid w:val="00DD1746"/>
    <w:rsid w:val="00DD1CE5"/>
    <w:rsid w:val="00DD1DBB"/>
    <w:rsid w:val="00DD2071"/>
    <w:rsid w:val="00DD2106"/>
    <w:rsid w:val="00DD2138"/>
    <w:rsid w:val="00DD2296"/>
    <w:rsid w:val="00DD2480"/>
    <w:rsid w:val="00DD24D4"/>
    <w:rsid w:val="00DD25BC"/>
    <w:rsid w:val="00DD2639"/>
    <w:rsid w:val="00DD2978"/>
    <w:rsid w:val="00DD29F7"/>
    <w:rsid w:val="00DD2D01"/>
    <w:rsid w:val="00DD2F89"/>
    <w:rsid w:val="00DD2FF5"/>
    <w:rsid w:val="00DD30A7"/>
    <w:rsid w:val="00DD34A6"/>
    <w:rsid w:val="00DD3570"/>
    <w:rsid w:val="00DD3D13"/>
    <w:rsid w:val="00DD3D7D"/>
    <w:rsid w:val="00DD3D82"/>
    <w:rsid w:val="00DD3F2A"/>
    <w:rsid w:val="00DD3FBF"/>
    <w:rsid w:val="00DD40C9"/>
    <w:rsid w:val="00DD413D"/>
    <w:rsid w:val="00DD418B"/>
    <w:rsid w:val="00DD4193"/>
    <w:rsid w:val="00DD4417"/>
    <w:rsid w:val="00DD4491"/>
    <w:rsid w:val="00DD47C2"/>
    <w:rsid w:val="00DD4855"/>
    <w:rsid w:val="00DD4CA8"/>
    <w:rsid w:val="00DD4E7F"/>
    <w:rsid w:val="00DD4FF9"/>
    <w:rsid w:val="00DD5016"/>
    <w:rsid w:val="00DD5543"/>
    <w:rsid w:val="00DD57F0"/>
    <w:rsid w:val="00DD5898"/>
    <w:rsid w:val="00DD5AD0"/>
    <w:rsid w:val="00DD5B8A"/>
    <w:rsid w:val="00DD6052"/>
    <w:rsid w:val="00DD6064"/>
    <w:rsid w:val="00DD642B"/>
    <w:rsid w:val="00DD6618"/>
    <w:rsid w:val="00DD6706"/>
    <w:rsid w:val="00DD6737"/>
    <w:rsid w:val="00DD6B15"/>
    <w:rsid w:val="00DD6D5C"/>
    <w:rsid w:val="00DD6EE3"/>
    <w:rsid w:val="00DD7193"/>
    <w:rsid w:val="00DD7227"/>
    <w:rsid w:val="00DD76D4"/>
    <w:rsid w:val="00DD76F8"/>
    <w:rsid w:val="00DD7717"/>
    <w:rsid w:val="00DD7970"/>
    <w:rsid w:val="00DD79C7"/>
    <w:rsid w:val="00DD7A46"/>
    <w:rsid w:val="00DD7A56"/>
    <w:rsid w:val="00DD7B65"/>
    <w:rsid w:val="00DD7CBA"/>
    <w:rsid w:val="00DD7D0A"/>
    <w:rsid w:val="00DE0088"/>
    <w:rsid w:val="00DE00B4"/>
    <w:rsid w:val="00DE0345"/>
    <w:rsid w:val="00DE05CB"/>
    <w:rsid w:val="00DE05FD"/>
    <w:rsid w:val="00DE08B3"/>
    <w:rsid w:val="00DE08B7"/>
    <w:rsid w:val="00DE09C5"/>
    <w:rsid w:val="00DE0CA6"/>
    <w:rsid w:val="00DE0F43"/>
    <w:rsid w:val="00DE1203"/>
    <w:rsid w:val="00DE129A"/>
    <w:rsid w:val="00DE1340"/>
    <w:rsid w:val="00DE136D"/>
    <w:rsid w:val="00DE1892"/>
    <w:rsid w:val="00DE1B30"/>
    <w:rsid w:val="00DE1BB3"/>
    <w:rsid w:val="00DE1DA6"/>
    <w:rsid w:val="00DE1DF7"/>
    <w:rsid w:val="00DE1ECA"/>
    <w:rsid w:val="00DE1F0E"/>
    <w:rsid w:val="00DE1F22"/>
    <w:rsid w:val="00DE1FFA"/>
    <w:rsid w:val="00DE2043"/>
    <w:rsid w:val="00DE22BD"/>
    <w:rsid w:val="00DE23FD"/>
    <w:rsid w:val="00DE2400"/>
    <w:rsid w:val="00DE2559"/>
    <w:rsid w:val="00DE25EE"/>
    <w:rsid w:val="00DE2B08"/>
    <w:rsid w:val="00DE2D20"/>
    <w:rsid w:val="00DE2D51"/>
    <w:rsid w:val="00DE2D57"/>
    <w:rsid w:val="00DE3204"/>
    <w:rsid w:val="00DE325E"/>
    <w:rsid w:val="00DE32EA"/>
    <w:rsid w:val="00DE339B"/>
    <w:rsid w:val="00DE35D7"/>
    <w:rsid w:val="00DE372F"/>
    <w:rsid w:val="00DE38B0"/>
    <w:rsid w:val="00DE3951"/>
    <w:rsid w:val="00DE39CA"/>
    <w:rsid w:val="00DE3A48"/>
    <w:rsid w:val="00DE3A70"/>
    <w:rsid w:val="00DE3C2E"/>
    <w:rsid w:val="00DE3C3A"/>
    <w:rsid w:val="00DE3EF1"/>
    <w:rsid w:val="00DE3F09"/>
    <w:rsid w:val="00DE4066"/>
    <w:rsid w:val="00DE433E"/>
    <w:rsid w:val="00DE4449"/>
    <w:rsid w:val="00DE46DA"/>
    <w:rsid w:val="00DE4B33"/>
    <w:rsid w:val="00DE4C0A"/>
    <w:rsid w:val="00DE4C0C"/>
    <w:rsid w:val="00DE4DA6"/>
    <w:rsid w:val="00DE4E4F"/>
    <w:rsid w:val="00DE4F3A"/>
    <w:rsid w:val="00DE4FC5"/>
    <w:rsid w:val="00DE5016"/>
    <w:rsid w:val="00DE5066"/>
    <w:rsid w:val="00DE5315"/>
    <w:rsid w:val="00DE5356"/>
    <w:rsid w:val="00DE5418"/>
    <w:rsid w:val="00DE5502"/>
    <w:rsid w:val="00DE57AA"/>
    <w:rsid w:val="00DE5875"/>
    <w:rsid w:val="00DE5C83"/>
    <w:rsid w:val="00DE5FD2"/>
    <w:rsid w:val="00DE6403"/>
    <w:rsid w:val="00DE6878"/>
    <w:rsid w:val="00DE688A"/>
    <w:rsid w:val="00DE69FB"/>
    <w:rsid w:val="00DE6A1B"/>
    <w:rsid w:val="00DE6C5A"/>
    <w:rsid w:val="00DE6CB3"/>
    <w:rsid w:val="00DE6DBA"/>
    <w:rsid w:val="00DE6F8A"/>
    <w:rsid w:val="00DE723F"/>
    <w:rsid w:val="00DE7317"/>
    <w:rsid w:val="00DE74A7"/>
    <w:rsid w:val="00DE7B90"/>
    <w:rsid w:val="00DE7BDA"/>
    <w:rsid w:val="00DE7C8F"/>
    <w:rsid w:val="00DE7D2B"/>
    <w:rsid w:val="00DE7F03"/>
    <w:rsid w:val="00DF00AF"/>
    <w:rsid w:val="00DF01CA"/>
    <w:rsid w:val="00DF029D"/>
    <w:rsid w:val="00DF035B"/>
    <w:rsid w:val="00DF052A"/>
    <w:rsid w:val="00DF0597"/>
    <w:rsid w:val="00DF0753"/>
    <w:rsid w:val="00DF0757"/>
    <w:rsid w:val="00DF0944"/>
    <w:rsid w:val="00DF0977"/>
    <w:rsid w:val="00DF09FB"/>
    <w:rsid w:val="00DF0AD9"/>
    <w:rsid w:val="00DF0B6A"/>
    <w:rsid w:val="00DF0C64"/>
    <w:rsid w:val="00DF0F2B"/>
    <w:rsid w:val="00DF10F1"/>
    <w:rsid w:val="00DF1294"/>
    <w:rsid w:val="00DF159B"/>
    <w:rsid w:val="00DF177A"/>
    <w:rsid w:val="00DF18AD"/>
    <w:rsid w:val="00DF1AA6"/>
    <w:rsid w:val="00DF1B46"/>
    <w:rsid w:val="00DF1DB3"/>
    <w:rsid w:val="00DF1DF3"/>
    <w:rsid w:val="00DF2207"/>
    <w:rsid w:val="00DF22E1"/>
    <w:rsid w:val="00DF26DD"/>
    <w:rsid w:val="00DF278E"/>
    <w:rsid w:val="00DF2AA6"/>
    <w:rsid w:val="00DF2D5D"/>
    <w:rsid w:val="00DF2DD8"/>
    <w:rsid w:val="00DF2FB2"/>
    <w:rsid w:val="00DF3143"/>
    <w:rsid w:val="00DF3247"/>
    <w:rsid w:val="00DF3288"/>
    <w:rsid w:val="00DF37CE"/>
    <w:rsid w:val="00DF3A39"/>
    <w:rsid w:val="00DF3CAE"/>
    <w:rsid w:val="00DF40DF"/>
    <w:rsid w:val="00DF429C"/>
    <w:rsid w:val="00DF4372"/>
    <w:rsid w:val="00DF467D"/>
    <w:rsid w:val="00DF4D9F"/>
    <w:rsid w:val="00DF4E51"/>
    <w:rsid w:val="00DF4F0B"/>
    <w:rsid w:val="00DF4FB0"/>
    <w:rsid w:val="00DF503B"/>
    <w:rsid w:val="00DF510A"/>
    <w:rsid w:val="00DF51BD"/>
    <w:rsid w:val="00DF5328"/>
    <w:rsid w:val="00DF53D6"/>
    <w:rsid w:val="00DF5493"/>
    <w:rsid w:val="00DF561A"/>
    <w:rsid w:val="00DF5653"/>
    <w:rsid w:val="00DF592E"/>
    <w:rsid w:val="00DF59F3"/>
    <w:rsid w:val="00DF5D54"/>
    <w:rsid w:val="00DF61AE"/>
    <w:rsid w:val="00DF61F4"/>
    <w:rsid w:val="00DF6399"/>
    <w:rsid w:val="00DF6513"/>
    <w:rsid w:val="00DF6717"/>
    <w:rsid w:val="00DF677C"/>
    <w:rsid w:val="00DF6A2E"/>
    <w:rsid w:val="00DF6B1C"/>
    <w:rsid w:val="00DF6C23"/>
    <w:rsid w:val="00DF6EDD"/>
    <w:rsid w:val="00DF6FAC"/>
    <w:rsid w:val="00DF7274"/>
    <w:rsid w:val="00DF7352"/>
    <w:rsid w:val="00DF7356"/>
    <w:rsid w:val="00DF73F5"/>
    <w:rsid w:val="00DF7498"/>
    <w:rsid w:val="00DF760D"/>
    <w:rsid w:val="00DF7979"/>
    <w:rsid w:val="00DF7ACA"/>
    <w:rsid w:val="00DF7B51"/>
    <w:rsid w:val="00DF7C4E"/>
    <w:rsid w:val="00DF7E1C"/>
    <w:rsid w:val="00DF7E31"/>
    <w:rsid w:val="00E00152"/>
    <w:rsid w:val="00E001A9"/>
    <w:rsid w:val="00E00226"/>
    <w:rsid w:val="00E00304"/>
    <w:rsid w:val="00E009D0"/>
    <w:rsid w:val="00E00A82"/>
    <w:rsid w:val="00E00FFF"/>
    <w:rsid w:val="00E011AF"/>
    <w:rsid w:val="00E013E5"/>
    <w:rsid w:val="00E014F1"/>
    <w:rsid w:val="00E018BB"/>
    <w:rsid w:val="00E01BDB"/>
    <w:rsid w:val="00E01EE0"/>
    <w:rsid w:val="00E02357"/>
    <w:rsid w:val="00E023B0"/>
    <w:rsid w:val="00E02A28"/>
    <w:rsid w:val="00E02ABC"/>
    <w:rsid w:val="00E02B0B"/>
    <w:rsid w:val="00E02B9A"/>
    <w:rsid w:val="00E0336D"/>
    <w:rsid w:val="00E033C8"/>
    <w:rsid w:val="00E035C9"/>
    <w:rsid w:val="00E03D6D"/>
    <w:rsid w:val="00E03D93"/>
    <w:rsid w:val="00E03EB0"/>
    <w:rsid w:val="00E0424D"/>
    <w:rsid w:val="00E04455"/>
    <w:rsid w:val="00E04502"/>
    <w:rsid w:val="00E045CE"/>
    <w:rsid w:val="00E04A9D"/>
    <w:rsid w:val="00E04D10"/>
    <w:rsid w:val="00E04D6F"/>
    <w:rsid w:val="00E04DE8"/>
    <w:rsid w:val="00E04E03"/>
    <w:rsid w:val="00E05154"/>
    <w:rsid w:val="00E05164"/>
    <w:rsid w:val="00E05503"/>
    <w:rsid w:val="00E0557D"/>
    <w:rsid w:val="00E05643"/>
    <w:rsid w:val="00E05644"/>
    <w:rsid w:val="00E057A9"/>
    <w:rsid w:val="00E05912"/>
    <w:rsid w:val="00E059E0"/>
    <w:rsid w:val="00E05C16"/>
    <w:rsid w:val="00E05D2C"/>
    <w:rsid w:val="00E05E83"/>
    <w:rsid w:val="00E063AF"/>
    <w:rsid w:val="00E06991"/>
    <w:rsid w:val="00E069AD"/>
    <w:rsid w:val="00E06A63"/>
    <w:rsid w:val="00E06BA1"/>
    <w:rsid w:val="00E06E1F"/>
    <w:rsid w:val="00E06EEE"/>
    <w:rsid w:val="00E074D6"/>
    <w:rsid w:val="00E0755B"/>
    <w:rsid w:val="00E0783C"/>
    <w:rsid w:val="00E07917"/>
    <w:rsid w:val="00E0796E"/>
    <w:rsid w:val="00E07A9E"/>
    <w:rsid w:val="00E07D0F"/>
    <w:rsid w:val="00E07D17"/>
    <w:rsid w:val="00E07D51"/>
    <w:rsid w:val="00E07EE4"/>
    <w:rsid w:val="00E07FEA"/>
    <w:rsid w:val="00E100C7"/>
    <w:rsid w:val="00E101F6"/>
    <w:rsid w:val="00E102B8"/>
    <w:rsid w:val="00E10371"/>
    <w:rsid w:val="00E1054C"/>
    <w:rsid w:val="00E1078B"/>
    <w:rsid w:val="00E10B7E"/>
    <w:rsid w:val="00E10E5E"/>
    <w:rsid w:val="00E110CC"/>
    <w:rsid w:val="00E115D0"/>
    <w:rsid w:val="00E117B4"/>
    <w:rsid w:val="00E118F7"/>
    <w:rsid w:val="00E11A0D"/>
    <w:rsid w:val="00E11A15"/>
    <w:rsid w:val="00E11E05"/>
    <w:rsid w:val="00E11F09"/>
    <w:rsid w:val="00E12200"/>
    <w:rsid w:val="00E122A6"/>
    <w:rsid w:val="00E122BD"/>
    <w:rsid w:val="00E122F4"/>
    <w:rsid w:val="00E12405"/>
    <w:rsid w:val="00E1251A"/>
    <w:rsid w:val="00E1260A"/>
    <w:rsid w:val="00E1289B"/>
    <w:rsid w:val="00E12C04"/>
    <w:rsid w:val="00E12C2A"/>
    <w:rsid w:val="00E12DA1"/>
    <w:rsid w:val="00E12DC2"/>
    <w:rsid w:val="00E12E2B"/>
    <w:rsid w:val="00E12E52"/>
    <w:rsid w:val="00E12F5E"/>
    <w:rsid w:val="00E12FCB"/>
    <w:rsid w:val="00E1304B"/>
    <w:rsid w:val="00E1311C"/>
    <w:rsid w:val="00E133DF"/>
    <w:rsid w:val="00E135B2"/>
    <w:rsid w:val="00E135EC"/>
    <w:rsid w:val="00E13888"/>
    <w:rsid w:val="00E13CEB"/>
    <w:rsid w:val="00E13DB1"/>
    <w:rsid w:val="00E13EA7"/>
    <w:rsid w:val="00E13EE4"/>
    <w:rsid w:val="00E14101"/>
    <w:rsid w:val="00E14390"/>
    <w:rsid w:val="00E1439A"/>
    <w:rsid w:val="00E1452D"/>
    <w:rsid w:val="00E14637"/>
    <w:rsid w:val="00E14916"/>
    <w:rsid w:val="00E14958"/>
    <w:rsid w:val="00E14C5A"/>
    <w:rsid w:val="00E14E9A"/>
    <w:rsid w:val="00E1502E"/>
    <w:rsid w:val="00E1503C"/>
    <w:rsid w:val="00E1521E"/>
    <w:rsid w:val="00E153DB"/>
    <w:rsid w:val="00E15493"/>
    <w:rsid w:val="00E154B4"/>
    <w:rsid w:val="00E154FF"/>
    <w:rsid w:val="00E15595"/>
    <w:rsid w:val="00E1566E"/>
    <w:rsid w:val="00E15790"/>
    <w:rsid w:val="00E15792"/>
    <w:rsid w:val="00E159D0"/>
    <w:rsid w:val="00E15A7B"/>
    <w:rsid w:val="00E15C29"/>
    <w:rsid w:val="00E15F1D"/>
    <w:rsid w:val="00E160E0"/>
    <w:rsid w:val="00E16185"/>
    <w:rsid w:val="00E16320"/>
    <w:rsid w:val="00E163AC"/>
    <w:rsid w:val="00E163C7"/>
    <w:rsid w:val="00E1668D"/>
    <w:rsid w:val="00E1678A"/>
    <w:rsid w:val="00E1679C"/>
    <w:rsid w:val="00E16C60"/>
    <w:rsid w:val="00E16CF8"/>
    <w:rsid w:val="00E17230"/>
    <w:rsid w:val="00E173F7"/>
    <w:rsid w:val="00E1778B"/>
    <w:rsid w:val="00E17893"/>
    <w:rsid w:val="00E17CFA"/>
    <w:rsid w:val="00E17E7E"/>
    <w:rsid w:val="00E200B4"/>
    <w:rsid w:val="00E2014B"/>
    <w:rsid w:val="00E20150"/>
    <w:rsid w:val="00E202DE"/>
    <w:rsid w:val="00E2039C"/>
    <w:rsid w:val="00E203BE"/>
    <w:rsid w:val="00E204C1"/>
    <w:rsid w:val="00E204C5"/>
    <w:rsid w:val="00E20597"/>
    <w:rsid w:val="00E205F9"/>
    <w:rsid w:val="00E20ABD"/>
    <w:rsid w:val="00E20C4F"/>
    <w:rsid w:val="00E20D42"/>
    <w:rsid w:val="00E216E6"/>
    <w:rsid w:val="00E21B57"/>
    <w:rsid w:val="00E21C38"/>
    <w:rsid w:val="00E21E9A"/>
    <w:rsid w:val="00E21ED0"/>
    <w:rsid w:val="00E2222C"/>
    <w:rsid w:val="00E2289B"/>
    <w:rsid w:val="00E228EF"/>
    <w:rsid w:val="00E22909"/>
    <w:rsid w:val="00E2296D"/>
    <w:rsid w:val="00E22ACB"/>
    <w:rsid w:val="00E22BAD"/>
    <w:rsid w:val="00E22C2F"/>
    <w:rsid w:val="00E232E4"/>
    <w:rsid w:val="00E2346C"/>
    <w:rsid w:val="00E234DF"/>
    <w:rsid w:val="00E235AD"/>
    <w:rsid w:val="00E236E9"/>
    <w:rsid w:val="00E23791"/>
    <w:rsid w:val="00E23846"/>
    <w:rsid w:val="00E23A70"/>
    <w:rsid w:val="00E23BCE"/>
    <w:rsid w:val="00E23CCE"/>
    <w:rsid w:val="00E23DBF"/>
    <w:rsid w:val="00E23F77"/>
    <w:rsid w:val="00E243D6"/>
    <w:rsid w:val="00E24468"/>
    <w:rsid w:val="00E24526"/>
    <w:rsid w:val="00E24554"/>
    <w:rsid w:val="00E24727"/>
    <w:rsid w:val="00E24788"/>
    <w:rsid w:val="00E247A3"/>
    <w:rsid w:val="00E247B1"/>
    <w:rsid w:val="00E247B3"/>
    <w:rsid w:val="00E24A52"/>
    <w:rsid w:val="00E24D5B"/>
    <w:rsid w:val="00E24DE0"/>
    <w:rsid w:val="00E24F03"/>
    <w:rsid w:val="00E24FF9"/>
    <w:rsid w:val="00E2521D"/>
    <w:rsid w:val="00E25357"/>
    <w:rsid w:val="00E25463"/>
    <w:rsid w:val="00E25495"/>
    <w:rsid w:val="00E2557B"/>
    <w:rsid w:val="00E257FE"/>
    <w:rsid w:val="00E25814"/>
    <w:rsid w:val="00E25880"/>
    <w:rsid w:val="00E25A44"/>
    <w:rsid w:val="00E25C7D"/>
    <w:rsid w:val="00E25CCA"/>
    <w:rsid w:val="00E25D19"/>
    <w:rsid w:val="00E25D33"/>
    <w:rsid w:val="00E25D4A"/>
    <w:rsid w:val="00E260F8"/>
    <w:rsid w:val="00E264F5"/>
    <w:rsid w:val="00E265D1"/>
    <w:rsid w:val="00E26699"/>
    <w:rsid w:val="00E268F5"/>
    <w:rsid w:val="00E2691F"/>
    <w:rsid w:val="00E2693C"/>
    <w:rsid w:val="00E26BCD"/>
    <w:rsid w:val="00E27245"/>
    <w:rsid w:val="00E27312"/>
    <w:rsid w:val="00E27516"/>
    <w:rsid w:val="00E2755E"/>
    <w:rsid w:val="00E2758C"/>
    <w:rsid w:val="00E27AF8"/>
    <w:rsid w:val="00E27B0E"/>
    <w:rsid w:val="00E27B52"/>
    <w:rsid w:val="00E27D3F"/>
    <w:rsid w:val="00E27FAB"/>
    <w:rsid w:val="00E3004B"/>
    <w:rsid w:val="00E3007F"/>
    <w:rsid w:val="00E30289"/>
    <w:rsid w:val="00E30552"/>
    <w:rsid w:val="00E3078E"/>
    <w:rsid w:val="00E30876"/>
    <w:rsid w:val="00E30A7B"/>
    <w:rsid w:val="00E30B60"/>
    <w:rsid w:val="00E30D2F"/>
    <w:rsid w:val="00E30E09"/>
    <w:rsid w:val="00E30ECD"/>
    <w:rsid w:val="00E311FA"/>
    <w:rsid w:val="00E312C6"/>
    <w:rsid w:val="00E312FA"/>
    <w:rsid w:val="00E3149E"/>
    <w:rsid w:val="00E3179E"/>
    <w:rsid w:val="00E318B6"/>
    <w:rsid w:val="00E31A1A"/>
    <w:rsid w:val="00E31B14"/>
    <w:rsid w:val="00E31BBC"/>
    <w:rsid w:val="00E31DC5"/>
    <w:rsid w:val="00E31DCC"/>
    <w:rsid w:val="00E32006"/>
    <w:rsid w:val="00E3221A"/>
    <w:rsid w:val="00E323E0"/>
    <w:rsid w:val="00E324C0"/>
    <w:rsid w:val="00E3269C"/>
    <w:rsid w:val="00E3289A"/>
    <w:rsid w:val="00E32B7F"/>
    <w:rsid w:val="00E32C5B"/>
    <w:rsid w:val="00E32F02"/>
    <w:rsid w:val="00E32F2F"/>
    <w:rsid w:val="00E3304E"/>
    <w:rsid w:val="00E33939"/>
    <w:rsid w:val="00E33C40"/>
    <w:rsid w:val="00E33E42"/>
    <w:rsid w:val="00E3444F"/>
    <w:rsid w:val="00E34807"/>
    <w:rsid w:val="00E3482C"/>
    <w:rsid w:val="00E34904"/>
    <w:rsid w:val="00E34985"/>
    <w:rsid w:val="00E34A52"/>
    <w:rsid w:val="00E34D68"/>
    <w:rsid w:val="00E34D94"/>
    <w:rsid w:val="00E34FF3"/>
    <w:rsid w:val="00E350B5"/>
    <w:rsid w:val="00E35258"/>
    <w:rsid w:val="00E352BA"/>
    <w:rsid w:val="00E355DF"/>
    <w:rsid w:val="00E355E0"/>
    <w:rsid w:val="00E355F4"/>
    <w:rsid w:val="00E3562B"/>
    <w:rsid w:val="00E35802"/>
    <w:rsid w:val="00E3592F"/>
    <w:rsid w:val="00E35B5C"/>
    <w:rsid w:val="00E35C48"/>
    <w:rsid w:val="00E35C8B"/>
    <w:rsid w:val="00E36426"/>
    <w:rsid w:val="00E3643F"/>
    <w:rsid w:val="00E3670F"/>
    <w:rsid w:val="00E3677E"/>
    <w:rsid w:val="00E3702F"/>
    <w:rsid w:val="00E37592"/>
    <w:rsid w:val="00E37607"/>
    <w:rsid w:val="00E3771B"/>
    <w:rsid w:val="00E377C5"/>
    <w:rsid w:val="00E377D0"/>
    <w:rsid w:val="00E37807"/>
    <w:rsid w:val="00E3782C"/>
    <w:rsid w:val="00E37941"/>
    <w:rsid w:val="00E37948"/>
    <w:rsid w:val="00E37E16"/>
    <w:rsid w:val="00E400A7"/>
    <w:rsid w:val="00E402F9"/>
    <w:rsid w:val="00E403D2"/>
    <w:rsid w:val="00E4047A"/>
    <w:rsid w:val="00E40497"/>
    <w:rsid w:val="00E405C3"/>
    <w:rsid w:val="00E40972"/>
    <w:rsid w:val="00E4098E"/>
    <w:rsid w:val="00E40996"/>
    <w:rsid w:val="00E40B4C"/>
    <w:rsid w:val="00E40EA4"/>
    <w:rsid w:val="00E412F1"/>
    <w:rsid w:val="00E41728"/>
    <w:rsid w:val="00E4177C"/>
    <w:rsid w:val="00E41924"/>
    <w:rsid w:val="00E41F33"/>
    <w:rsid w:val="00E42012"/>
    <w:rsid w:val="00E4209C"/>
    <w:rsid w:val="00E4220C"/>
    <w:rsid w:val="00E422DB"/>
    <w:rsid w:val="00E42407"/>
    <w:rsid w:val="00E4247B"/>
    <w:rsid w:val="00E42521"/>
    <w:rsid w:val="00E429F2"/>
    <w:rsid w:val="00E42AE7"/>
    <w:rsid w:val="00E43077"/>
    <w:rsid w:val="00E433A8"/>
    <w:rsid w:val="00E43640"/>
    <w:rsid w:val="00E43662"/>
    <w:rsid w:val="00E437A8"/>
    <w:rsid w:val="00E4387F"/>
    <w:rsid w:val="00E438E4"/>
    <w:rsid w:val="00E439E7"/>
    <w:rsid w:val="00E43A29"/>
    <w:rsid w:val="00E43B43"/>
    <w:rsid w:val="00E43CCE"/>
    <w:rsid w:val="00E43F81"/>
    <w:rsid w:val="00E43FB4"/>
    <w:rsid w:val="00E44068"/>
    <w:rsid w:val="00E440A7"/>
    <w:rsid w:val="00E446EA"/>
    <w:rsid w:val="00E447BC"/>
    <w:rsid w:val="00E447E0"/>
    <w:rsid w:val="00E44950"/>
    <w:rsid w:val="00E44B6A"/>
    <w:rsid w:val="00E453AA"/>
    <w:rsid w:val="00E455B5"/>
    <w:rsid w:val="00E455CD"/>
    <w:rsid w:val="00E4573B"/>
    <w:rsid w:val="00E45BD8"/>
    <w:rsid w:val="00E45CBF"/>
    <w:rsid w:val="00E45F45"/>
    <w:rsid w:val="00E462A4"/>
    <w:rsid w:val="00E464E7"/>
    <w:rsid w:val="00E465AD"/>
    <w:rsid w:val="00E465BD"/>
    <w:rsid w:val="00E46729"/>
    <w:rsid w:val="00E46969"/>
    <w:rsid w:val="00E469C2"/>
    <w:rsid w:val="00E46C0E"/>
    <w:rsid w:val="00E46D26"/>
    <w:rsid w:val="00E47049"/>
    <w:rsid w:val="00E47375"/>
    <w:rsid w:val="00E473C1"/>
    <w:rsid w:val="00E474BF"/>
    <w:rsid w:val="00E474FC"/>
    <w:rsid w:val="00E478F7"/>
    <w:rsid w:val="00E479BE"/>
    <w:rsid w:val="00E47DA4"/>
    <w:rsid w:val="00E47DAA"/>
    <w:rsid w:val="00E47F80"/>
    <w:rsid w:val="00E4CCBA"/>
    <w:rsid w:val="00E50054"/>
    <w:rsid w:val="00E50093"/>
    <w:rsid w:val="00E5026E"/>
    <w:rsid w:val="00E50291"/>
    <w:rsid w:val="00E502B2"/>
    <w:rsid w:val="00E5067E"/>
    <w:rsid w:val="00E5068F"/>
    <w:rsid w:val="00E5073A"/>
    <w:rsid w:val="00E507C3"/>
    <w:rsid w:val="00E50A22"/>
    <w:rsid w:val="00E50AA3"/>
    <w:rsid w:val="00E50B76"/>
    <w:rsid w:val="00E50CB9"/>
    <w:rsid w:val="00E50E57"/>
    <w:rsid w:val="00E50E70"/>
    <w:rsid w:val="00E50F58"/>
    <w:rsid w:val="00E50FD3"/>
    <w:rsid w:val="00E51092"/>
    <w:rsid w:val="00E510E3"/>
    <w:rsid w:val="00E5115A"/>
    <w:rsid w:val="00E5142A"/>
    <w:rsid w:val="00E51497"/>
    <w:rsid w:val="00E516C3"/>
    <w:rsid w:val="00E516EF"/>
    <w:rsid w:val="00E51AE5"/>
    <w:rsid w:val="00E51DA7"/>
    <w:rsid w:val="00E51DE6"/>
    <w:rsid w:val="00E51EDD"/>
    <w:rsid w:val="00E51F05"/>
    <w:rsid w:val="00E51F0F"/>
    <w:rsid w:val="00E52253"/>
    <w:rsid w:val="00E5251C"/>
    <w:rsid w:val="00E5292A"/>
    <w:rsid w:val="00E5308A"/>
    <w:rsid w:val="00E53518"/>
    <w:rsid w:val="00E53906"/>
    <w:rsid w:val="00E5392B"/>
    <w:rsid w:val="00E53ABB"/>
    <w:rsid w:val="00E53D5B"/>
    <w:rsid w:val="00E53F83"/>
    <w:rsid w:val="00E54664"/>
    <w:rsid w:val="00E54937"/>
    <w:rsid w:val="00E54960"/>
    <w:rsid w:val="00E54A1A"/>
    <w:rsid w:val="00E54CFE"/>
    <w:rsid w:val="00E54DA1"/>
    <w:rsid w:val="00E54DCD"/>
    <w:rsid w:val="00E54E7C"/>
    <w:rsid w:val="00E54ED6"/>
    <w:rsid w:val="00E5503B"/>
    <w:rsid w:val="00E551F3"/>
    <w:rsid w:val="00E552D9"/>
    <w:rsid w:val="00E553EE"/>
    <w:rsid w:val="00E55464"/>
    <w:rsid w:val="00E555DA"/>
    <w:rsid w:val="00E55C7F"/>
    <w:rsid w:val="00E55EB6"/>
    <w:rsid w:val="00E5618B"/>
    <w:rsid w:val="00E562E2"/>
    <w:rsid w:val="00E56380"/>
    <w:rsid w:val="00E563A8"/>
    <w:rsid w:val="00E56877"/>
    <w:rsid w:val="00E568DF"/>
    <w:rsid w:val="00E569E6"/>
    <w:rsid w:val="00E56E04"/>
    <w:rsid w:val="00E57045"/>
    <w:rsid w:val="00E57199"/>
    <w:rsid w:val="00E57387"/>
    <w:rsid w:val="00E57417"/>
    <w:rsid w:val="00E57847"/>
    <w:rsid w:val="00E578E5"/>
    <w:rsid w:val="00E57BAC"/>
    <w:rsid w:val="00E57F65"/>
    <w:rsid w:val="00E60241"/>
    <w:rsid w:val="00E60671"/>
    <w:rsid w:val="00E60698"/>
    <w:rsid w:val="00E60765"/>
    <w:rsid w:val="00E60A58"/>
    <w:rsid w:val="00E60B27"/>
    <w:rsid w:val="00E60BBD"/>
    <w:rsid w:val="00E60CA6"/>
    <w:rsid w:val="00E60E0A"/>
    <w:rsid w:val="00E611BE"/>
    <w:rsid w:val="00E611ED"/>
    <w:rsid w:val="00E6129F"/>
    <w:rsid w:val="00E613BA"/>
    <w:rsid w:val="00E61514"/>
    <w:rsid w:val="00E6196B"/>
    <w:rsid w:val="00E61B4D"/>
    <w:rsid w:val="00E61D6A"/>
    <w:rsid w:val="00E61F4C"/>
    <w:rsid w:val="00E62066"/>
    <w:rsid w:val="00E62237"/>
    <w:rsid w:val="00E625BB"/>
    <w:rsid w:val="00E6297D"/>
    <w:rsid w:val="00E62A84"/>
    <w:rsid w:val="00E62A9B"/>
    <w:rsid w:val="00E62B94"/>
    <w:rsid w:val="00E62C42"/>
    <w:rsid w:val="00E62C83"/>
    <w:rsid w:val="00E631A4"/>
    <w:rsid w:val="00E6322F"/>
    <w:rsid w:val="00E6337D"/>
    <w:rsid w:val="00E63430"/>
    <w:rsid w:val="00E63497"/>
    <w:rsid w:val="00E63979"/>
    <w:rsid w:val="00E63BE5"/>
    <w:rsid w:val="00E6421B"/>
    <w:rsid w:val="00E642D5"/>
    <w:rsid w:val="00E643C8"/>
    <w:rsid w:val="00E6452B"/>
    <w:rsid w:val="00E645FE"/>
    <w:rsid w:val="00E647EC"/>
    <w:rsid w:val="00E6483A"/>
    <w:rsid w:val="00E6492E"/>
    <w:rsid w:val="00E64962"/>
    <w:rsid w:val="00E649D5"/>
    <w:rsid w:val="00E64BFF"/>
    <w:rsid w:val="00E64CBB"/>
    <w:rsid w:val="00E64E9A"/>
    <w:rsid w:val="00E651AA"/>
    <w:rsid w:val="00E65319"/>
    <w:rsid w:val="00E6531E"/>
    <w:rsid w:val="00E654CF"/>
    <w:rsid w:val="00E6579B"/>
    <w:rsid w:val="00E65A13"/>
    <w:rsid w:val="00E65A22"/>
    <w:rsid w:val="00E65BF8"/>
    <w:rsid w:val="00E65D76"/>
    <w:rsid w:val="00E65EF4"/>
    <w:rsid w:val="00E6616B"/>
    <w:rsid w:val="00E66278"/>
    <w:rsid w:val="00E6646B"/>
    <w:rsid w:val="00E66727"/>
    <w:rsid w:val="00E669B0"/>
    <w:rsid w:val="00E669BB"/>
    <w:rsid w:val="00E66BA4"/>
    <w:rsid w:val="00E66E1C"/>
    <w:rsid w:val="00E66F8F"/>
    <w:rsid w:val="00E66F92"/>
    <w:rsid w:val="00E67127"/>
    <w:rsid w:val="00E673DA"/>
    <w:rsid w:val="00E675B7"/>
    <w:rsid w:val="00E67648"/>
    <w:rsid w:val="00E676D2"/>
    <w:rsid w:val="00E6775C"/>
    <w:rsid w:val="00E67F0F"/>
    <w:rsid w:val="00E70566"/>
    <w:rsid w:val="00E70598"/>
    <w:rsid w:val="00E709F6"/>
    <w:rsid w:val="00E70C64"/>
    <w:rsid w:val="00E70E66"/>
    <w:rsid w:val="00E70E91"/>
    <w:rsid w:val="00E70F97"/>
    <w:rsid w:val="00E715BE"/>
    <w:rsid w:val="00E71926"/>
    <w:rsid w:val="00E71B08"/>
    <w:rsid w:val="00E71DDF"/>
    <w:rsid w:val="00E71F63"/>
    <w:rsid w:val="00E71FC3"/>
    <w:rsid w:val="00E72267"/>
    <w:rsid w:val="00E7238C"/>
    <w:rsid w:val="00E72393"/>
    <w:rsid w:val="00E7247B"/>
    <w:rsid w:val="00E72665"/>
    <w:rsid w:val="00E726E5"/>
    <w:rsid w:val="00E7298E"/>
    <w:rsid w:val="00E7299F"/>
    <w:rsid w:val="00E729C4"/>
    <w:rsid w:val="00E72E45"/>
    <w:rsid w:val="00E72E67"/>
    <w:rsid w:val="00E7302F"/>
    <w:rsid w:val="00E733B1"/>
    <w:rsid w:val="00E73789"/>
    <w:rsid w:val="00E73845"/>
    <w:rsid w:val="00E7386D"/>
    <w:rsid w:val="00E738A0"/>
    <w:rsid w:val="00E73AD6"/>
    <w:rsid w:val="00E73BB6"/>
    <w:rsid w:val="00E73D53"/>
    <w:rsid w:val="00E74193"/>
    <w:rsid w:val="00E741A2"/>
    <w:rsid w:val="00E7461B"/>
    <w:rsid w:val="00E74DCE"/>
    <w:rsid w:val="00E74EE3"/>
    <w:rsid w:val="00E75068"/>
    <w:rsid w:val="00E75163"/>
    <w:rsid w:val="00E751C6"/>
    <w:rsid w:val="00E754F0"/>
    <w:rsid w:val="00E7563B"/>
    <w:rsid w:val="00E75790"/>
    <w:rsid w:val="00E7587D"/>
    <w:rsid w:val="00E75AC1"/>
    <w:rsid w:val="00E75B4B"/>
    <w:rsid w:val="00E75BED"/>
    <w:rsid w:val="00E75F48"/>
    <w:rsid w:val="00E761BD"/>
    <w:rsid w:val="00E76300"/>
    <w:rsid w:val="00E76440"/>
    <w:rsid w:val="00E7649C"/>
    <w:rsid w:val="00E76595"/>
    <w:rsid w:val="00E76B74"/>
    <w:rsid w:val="00E76CF9"/>
    <w:rsid w:val="00E76ECF"/>
    <w:rsid w:val="00E76F4F"/>
    <w:rsid w:val="00E76FC9"/>
    <w:rsid w:val="00E770B3"/>
    <w:rsid w:val="00E7721A"/>
    <w:rsid w:val="00E7741A"/>
    <w:rsid w:val="00E774E9"/>
    <w:rsid w:val="00E77511"/>
    <w:rsid w:val="00E77569"/>
    <w:rsid w:val="00E775A6"/>
    <w:rsid w:val="00E7764C"/>
    <w:rsid w:val="00E776A7"/>
    <w:rsid w:val="00E776F6"/>
    <w:rsid w:val="00E77743"/>
    <w:rsid w:val="00E778B9"/>
    <w:rsid w:val="00E77971"/>
    <w:rsid w:val="00E77C26"/>
    <w:rsid w:val="00E77CCD"/>
    <w:rsid w:val="00E80001"/>
    <w:rsid w:val="00E80087"/>
    <w:rsid w:val="00E8009C"/>
    <w:rsid w:val="00E800CF"/>
    <w:rsid w:val="00E802A4"/>
    <w:rsid w:val="00E802D3"/>
    <w:rsid w:val="00E80453"/>
    <w:rsid w:val="00E804C5"/>
    <w:rsid w:val="00E807AE"/>
    <w:rsid w:val="00E8083A"/>
    <w:rsid w:val="00E80991"/>
    <w:rsid w:val="00E809F7"/>
    <w:rsid w:val="00E80ABB"/>
    <w:rsid w:val="00E80AF4"/>
    <w:rsid w:val="00E80E80"/>
    <w:rsid w:val="00E80E96"/>
    <w:rsid w:val="00E80EE5"/>
    <w:rsid w:val="00E80F30"/>
    <w:rsid w:val="00E8104C"/>
    <w:rsid w:val="00E81268"/>
    <w:rsid w:val="00E81425"/>
    <w:rsid w:val="00E8143E"/>
    <w:rsid w:val="00E816ED"/>
    <w:rsid w:val="00E81A93"/>
    <w:rsid w:val="00E81CD4"/>
    <w:rsid w:val="00E81CFE"/>
    <w:rsid w:val="00E81FBC"/>
    <w:rsid w:val="00E82004"/>
    <w:rsid w:val="00E820A4"/>
    <w:rsid w:val="00E820EF"/>
    <w:rsid w:val="00E821AF"/>
    <w:rsid w:val="00E824B0"/>
    <w:rsid w:val="00E8256F"/>
    <w:rsid w:val="00E8262B"/>
    <w:rsid w:val="00E826FE"/>
    <w:rsid w:val="00E8276F"/>
    <w:rsid w:val="00E82960"/>
    <w:rsid w:val="00E82AE5"/>
    <w:rsid w:val="00E83067"/>
    <w:rsid w:val="00E830D4"/>
    <w:rsid w:val="00E831FC"/>
    <w:rsid w:val="00E838BF"/>
    <w:rsid w:val="00E839F4"/>
    <w:rsid w:val="00E84178"/>
    <w:rsid w:val="00E84263"/>
    <w:rsid w:val="00E843DB"/>
    <w:rsid w:val="00E84C90"/>
    <w:rsid w:val="00E84F72"/>
    <w:rsid w:val="00E84FCD"/>
    <w:rsid w:val="00E857F9"/>
    <w:rsid w:val="00E85802"/>
    <w:rsid w:val="00E8588C"/>
    <w:rsid w:val="00E8592C"/>
    <w:rsid w:val="00E85A88"/>
    <w:rsid w:val="00E85C29"/>
    <w:rsid w:val="00E85C4A"/>
    <w:rsid w:val="00E85D47"/>
    <w:rsid w:val="00E85D4D"/>
    <w:rsid w:val="00E85E9A"/>
    <w:rsid w:val="00E85E9B"/>
    <w:rsid w:val="00E86387"/>
    <w:rsid w:val="00E86796"/>
    <w:rsid w:val="00E868A8"/>
    <w:rsid w:val="00E869A3"/>
    <w:rsid w:val="00E86A61"/>
    <w:rsid w:val="00E86ABF"/>
    <w:rsid w:val="00E86B5A"/>
    <w:rsid w:val="00E86E2C"/>
    <w:rsid w:val="00E86F9B"/>
    <w:rsid w:val="00E86FC2"/>
    <w:rsid w:val="00E86FCF"/>
    <w:rsid w:val="00E870AD"/>
    <w:rsid w:val="00E871D4"/>
    <w:rsid w:val="00E876C5"/>
    <w:rsid w:val="00E8773A"/>
    <w:rsid w:val="00E87750"/>
    <w:rsid w:val="00E878AC"/>
    <w:rsid w:val="00E8790A"/>
    <w:rsid w:val="00E87989"/>
    <w:rsid w:val="00E87F86"/>
    <w:rsid w:val="00E9020A"/>
    <w:rsid w:val="00E906FB"/>
    <w:rsid w:val="00E90718"/>
    <w:rsid w:val="00E9093F"/>
    <w:rsid w:val="00E90960"/>
    <w:rsid w:val="00E90AEE"/>
    <w:rsid w:val="00E90BDE"/>
    <w:rsid w:val="00E90CB3"/>
    <w:rsid w:val="00E90E1E"/>
    <w:rsid w:val="00E90F25"/>
    <w:rsid w:val="00E90F80"/>
    <w:rsid w:val="00E91181"/>
    <w:rsid w:val="00E91591"/>
    <w:rsid w:val="00E915CF"/>
    <w:rsid w:val="00E916BB"/>
    <w:rsid w:val="00E916FC"/>
    <w:rsid w:val="00E919AD"/>
    <w:rsid w:val="00E919E5"/>
    <w:rsid w:val="00E91AF8"/>
    <w:rsid w:val="00E91BAD"/>
    <w:rsid w:val="00E91E6E"/>
    <w:rsid w:val="00E91FB7"/>
    <w:rsid w:val="00E920E9"/>
    <w:rsid w:val="00E9219B"/>
    <w:rsid w:val="00E921FE"/>
    <w:rsid w:val="00E92258"/>
    <w:rsid w:val="00E924BC"/>
    <w:rsid w:val="00E92515"/>
    <w:rsid w:val="00E92536"/>
    <w:rsid w:val="00E9258D"/>
    <w:rsid w:val="00E925B6"/>
    <w:rsid w:val="00E926A0"/>
    <w:rsid w:val="00E92724"/>
    <w:rsid w:val="00E92728"/>
    <w:rsid w:val="00E929FB"/>
    <w:rsid w:val="00E92A64"/>
    <w:rsid w:val="00E9335E"/>
    <w:rsid w:val="00E9340F"/>
    <w:rsid w:val="00E93636"/>
    <w:rsid w:val="00E938E1"/>
    <w:rsid w:val="00E93B43"/>
    <w:rsid w:val="00E93C65"/>
    <w:rsid w:val="00E93C78"/>
    <w:rsid w:val="00E93D8C"/>
    <w:rsid w:val="00E94025"/>
    <w:rsid w:val="00E940BD"/>
    <w:rsid w:val="00E94591"/>
    <w:rsid w:val="00E945F8"/>
    <w:rsid w:val="00E94A26"/>
    <w:rsid w:val="00E94C05"/>
    <w:rsid w:val="00E94D0B"/>
    <w:rsid w:val="00E95101"/>
    <w:rsid w:val="00E954C9"/>
    <w:rsid w:val="00E958EC"/>
    <w:rsid w:val="00E9597A"/>
    <w:rsid w:val="00E95AC7"/>
    <w:rsid w:val="00E95B79"/>
    <w:rsid w:val="00E95CDE"/>
    <w:rsid w:val="00E95ECC"/>
    <w:rsid w:val="00E964DA"/>
    <w:rsid w:val="00E96CB5"/>
    <w:rsid w:val="00E96DD4"/>
    <w:rsid w:val="00E96E29"/>
    <w:rsid w:val="00E97060"/>
    <w:rsid w:val="00E973EE"/>
    <w:rsid w:val="00E97726"/>
    <w:rsid w:val="00E97966"/>
    <w:rsid w:val="00E97A98"/>
    <w:rsid w:val="00E97D1C"/>
    <w:rsid w:val="00EA03C9"/>
    <w:rsid w:val="00EA0851"/>
    <w:rsid w:val="00EA0958"/>
    <w:rsid w:val="00EA09D2"/>
    <w:rsid w:val="00EA0D36"/>
    <w:rsid w:val="00EA0D9E"/>
    <w:rsid w:val="00EA0E19"/>
    <w:rsid w:val="00EA1027"/>
    <w:rsid w:val="00EA1094"/>
    <w:rsid w:val="00EA128D"/>
    <w:rsid w:val="00EA12ED"/>
    <w:rsid w:val="00EA1441"/>
    <w:rsid w:val="00EA14F3"/>
    <w:rsid w:val="00EA1C6D"/>
    <w:rsid w:val="00EA1D5E"/>
    <w:rsid w:val="00EA23D8"/>
    <w:rsid w:val="00EA2423"/>
    <w:rsid w:val="00EA247D"/>
    <w:rsid w:val="00EA2650"/>
    <w:rsid w:val="00EA2986"/>
    <w:rsid w:val="00EA2D7C"/>
    <w:rsid w:val="00EA2D82"/>
    <w:rsid w:val="00EA2E8C"/>
    <w:rsid w:val="00EA3379"/>
    <w:rsid w:val="00EA34C0"/>
    <w:rsid w:val="00EA35E0"/>
    <w:rsid w:val="00EA35FE"/>
    <w:rsid w:val="00EA380D"/>
    <w:rsid w:val="00EA3ACB"/>
    <w:rsid w:val="00EA4075"/>
    <w:rsid w:val="00EA4218"/>
    <w:rsid w:val="00EA4220"/>
    <w:rsid w:val="00EA42E6"/>
    <w:rsid w:val="00EA489C"/>
    <w:rsid w:val="00EA48A5"/>
    <w:rsid w:val="00EA4BB1"/>
    <w:rsid w:val="00EA4CED"/>
    <w:rsid w:val="00EA4F01"/>
    <w:rsid w:val="00EA5069"/>
    <w:rsid w:val="00EA51D3"/>
    <w:rsid w:val="00EA5783"/>
    <w:rsid w:val="00EA580D"/>
    <w:rsid w:val="00EA5926"/>
    <w:rsid w:val="00EA5ADF"/>
    <w:rsid w:val="00EA5CAE"/>
    <w:rsid w:val="00EA6602"/>
    <w:rsid w:val="00EA6ABA"/>
    <w:rsid w:val="00EA6B65"/>
    <w:rsid w:val="00EA6C04"/>
    <w:rsid w:val="00EA6C43"/>
    <w:rsid w:val="00EA6EA2"/>
    <w:rsid w:val="00EA7014"/>
    <w:rsid w:val="00EA7206"/>
    <w:rsid w:val="00EA74FC"/>
    <w:rsid w:val="00EA759B"/>
    <w:rsid w:val="00EA76BA"/>
    <w:rsid w:val="00EA7BDC"/>
    <w:rsid w:val="00EA7BE6"/>
    <w:rsid w:val="00EA7D8F"/>
    <w:rsid w:val="00EA7DA3"/>
    <w:rsid w:val="00EB011C"/>
    <w:rsid w:val="00EB02D4"/>
    <w:rsid w:val="00EB0335"/>
    <w:rsid w:val="00EB04ED"/>
    <w:rsid w:val="00EB0563"/>
    <w:rsid w:val="00EB0720"/>
    <w:rsid w:val="00EB0A8D"/>
    <w:rsid w:val="00EB11A1"/>
    <w:rsid w:val="00EB12AE"/>
    <w:rsid w:val="00EB12CF"/>
    <w:rsid w:val="00EB1302"/>
    <w:rsid w:val="00EB1326"/>
    <w:rsid w:val="00EB1449"/>
    <w:rsid w:val="00EB1495"/>
    <w:rsid w:val="00EB155F"/>
    <w:rsid w:val="00EB1576"/>
    <w:rsid w:val="00EB1621"/>
    <w:rsid w:val="00EB19F8"/>
    <w:rsid w:val="00EB1BBC"/>
    <w:rsid w:val="00EB1BCA"/>
    <w:rsid w:val="00EB1E17"/>
    <w:rsid w:val="00EB1F02"/>
    <w:rsid w:val="00EB1F38"/>
    <w:rsid w:val="00EB1FA1"/>
    <w:rsid w:val="00EB2240"/>
    <w:rsid w:val="00EB2535"/>
    <w:rsid w:val="00EB2656"/>
    <w:rsid w:val="00EB2815"/>
    <w:rsid w:val="00EB2A50"/>
    <w:rsid w:val="00EB2BAD"/>
    <w:rsid w:val="00EB2CEE"/>
    <w:rsid w:val="00EB2F52"/>
    <w:rsid w:val="00EB30F0"/>
    <w:rsid w:val="00EB3207"/>
    <w:rsid w:val="00EB32C9"/>
    <w:rsid w:val="00EB337C"/>
    <w:rsid w:val="00EB3424"/>
    <w:rsid w:val="00EB3463"/>
    <w:rsid w:val="00EB3856"/>
    <w:rsid w:val="00EB3978"/>
    <w:rsid w:val="00EB3A15"/>
    <w:rsid w:val="00EB3A76"/>
    <w:rsid w:val="00EB3C10"/>
    <w:rsid w:val="00EB4408"/>
    <w:rsid w:val="00EB456F"/>
    <w:rsid w:val="00EB458D"/>
    <w:rsid w:val="00EB45C1"/>
    <w:rsid w:val="00EB462A"/>
    <w:rsid w:val="00EB46F4"/>
    <w:rsid w:val="00EB48F7"/>
    <w:rsid w:val="00EB49DE"/>
    <w:rsid w:val="00EB4E04"/>
    <w:rsid w:val="00EB4E40"/>
    <w:rsid w:val="00EB4F00"/>
    <w:rsid w:val="00EB5196"/>
    <w:rsid w:val="00EB52EE"/>
    <w:rsid w:val="00EB57A0"/>
    <w:rsid w:val="00EB588E"/>
    <w:rsid w:val="00EB5A3A"/>
    <w:rsid w:val="00EB5A78"/>
    <w:rsid w:val="00EB5ABF"/>
    <w:rsid w:val="00EB5ADF"/>
    <w:rsid w:val="00EB61B9"/>
    <w:rsid w:val="00EB63CC"/>
    <w:rsid w:val="00EB654E"/>
    <w:rsid w:val="00EB6690"/>
    <w:rsid w:val="00EB66C0"/>
    <w:rsid w:val="00EB68AE"/>
    <w:rsid w:val="00EB6B3B"/>
    <w:rsid w:val="00EB6B4E"/>
    <w:rsid w:val="00EB6BBA"/>
    <w:rsid w:val="00EB70EE"/>
    <w:rsid w:val="00EB7559"/>
    <w:rsid w:val="00EB75CA"/>
    <w:rsid w:val="00EB7604"/>
    <w:rsid w:val="00EB7AA3"/>
    <w:rsid w:val="00EB7ADF"/>
    <w:rsid w:val="00EB7C02"/>
    <w:rsid w:val="00EB7E41"/>
    <w:rsid w:val="00EC0076"/>
    <w:rsid w:val="00EC05E0"/>
    <w:rsid w:val="00EC068E"/>
    <w:rsid w:val="00EC0869"/>
    <w:rsid w:val="00EC0C5C"/>
    <w:rsid w:val="00EC0DAE"/>
    <w:rsid w:val="00EC0E7C"/>
    <w:rsid w:val="00EC1523"/>
    <w:rsid w:val="00EC1AB6"/>
    <w:rsid w:val="00EC1AF5"/>
    <w:rsid w:val="00EC1B02"/>
    <w:rsid w:val="00EC1C94"/>
    <w:rsid w:val="00EC1F0E"/>
    <w:rsid w:val="00EC1FBB"/>
    <w:rsid w:val="00EC207C"/>
    <w:rsid w:val="00EC26CA"/>
    <w:rsid w:val="00EC2A1B"/>
    <w:rsid w:val="00EC2A1E"/>
    <w:rsid w:val="00EC2AC1"/>
    <w:rsid w:val="00EC2B29"/>
    <w:rsid w:val="00EC2DB1"/>
    <w:rsid w:val="00EC3148"/>
    <w:rsid w:val="00EC3569"/>
    <w:rsid w:val="00EC3DFA"/>
    <w:rsid w:val="00EC4260"/>
    <w:rsid w:val="00EC4574"/>
    <w:rsid w:val="00EC49DC"/>
    <w:rsid w:val="00EC4A5F"/>
    <w:rsid w:val="00EC4B39"/>
    <w:rsid w:val="00EC4E3F"/>
    <w:rsid w:val="00EC4FB8"/>
    <w:rsid w:val="00EC51BF"/>
    <w:rsid w:val="00EC54F2"/>
    <w:rsid w:val="00EC558E"/>
    <w:rsid w:val="00EC56A4"/>
    <w:rsid w:val="00EC56F9"/>
    <w:rsid w:val="00EC580E"/>
    <w:rsid w:val="00EC58E2"/>
    <w:rsid w:val="00EC601E"/>
    <w:rsid w:val="00EC6388"/>
    <w:rsid w:val="00EC639E"/>
    <w:rsid w:val="00EC63DD"/>
    <w:rsid w:val="00EC6493"/>
    <w:rsid w:val="00EC66B3"/>
    <w:rsid w:val="00EC67A3"/>
    <w:rsid w:val="00EC6918"/>
    <w:rsid w:val="00EC69E7"/>
    <w:rsid w:val="00EC6BB8"/>
    <w:rsid w:val="00EC6CCB"/>
    <w:rsid w:val="00EC6DB3"/>
    <w:rsid w:val="00EC7020"/>
    <w:rsid w:val="00EC7275"/>
    <w:rsid w:val="00EC73ED"/>
    <w:rsid w:val="00EC7777"/>
    <w:rsid w:val="00EC7AAF"/>
    <w:rsid w:val="00EC7C73"/>
    <w:rsid w:val="00EC7CE4"/>
    <w:rsid w:val="00EC7D88"/>
    <w:rsid w:val="00EC7E9F"/>
    <w:rsid w:val="00ED02EB"/>
    <w:rsid w:val="00ED033D"/>
    <w:rsid w:val="00ED05A0"/>
    <w:rsid w:val="00ED0635"/>
    <w:rsid w:val="00ED068E"/>
    <w:rsid w:val="00ED06A4"/>
    <w:rsid w:val="00ED0759"/>
    <w:rsid w:val="00ED077F"/>
    <w:rsid w:val="00ED08BC"/>
    <w:rsid w:val="00ED0A17"/>
    <w:rsid w:val="00ED0A91"/>
    <w:rsid w:val="00ED0B0F"/>
    <w:rsid w:val="00ED0D38"/>
    <w:rsid w:val="00ED0E65"/>
    <w:rsid w:val="00ED0EF4"/>
    <w:rsid w:val="00ED148B"/>
    <w:rsid w:val="00ED15EB"/>
    <w:rsid w:val="00ED1BBA"/>
    <w:rsid w:val="00ED1F7B"/>
    <w:rsid w:val="00ED2038"/>
    <w:rsid w:val="00ED2151"/>
    <w:rsid w:val="00ED2214"/>
    <w:rsid w:val="00ED2452"/>
    <w:rsid w:val="00ED24CA"/>
    <w:rsid w:val="00ED24CC"/>
    <w:rsid w:val="00ED24DF"/>
    <w:rsid w:val="00ED2578"/>
    <w:rsid w:val="00ED2794"/>
    <w:rsid w:val="00ED2A39"/>
    <w:rsid w:val="00ED2AB6"/>
    <w:rsid w:val="00ED2E71"/>
    <w:rsid w:val="00ED3022"/>
    <w:rsid w:val="00ED314E"/>
    <w:rsid w:val="00ED31A6"/>
    <w:rsid w:val="00ED379D"/>
    <w:rsid w:val="00ED385A"/>
    <w:rsid w:val="00ED38B7"/>
    <w:rsid w:val="00ED3B4B"/>
    <w:rsid w:val="00ED3B91"/>
    <w:rsid w:val="00ED3BA0"/>
    <w:rsid w:val="00ED4154"/>
    <w:rsid w:val="00ED436C"/>
    <w:rsid w:val="00ED43C7"/>
    <w:rsid w:val="00ED445A"/>
    <w:rsid w:val="00ED4586"/>
    <w:rsid w:val="00ED4A12"/>
    <w:rsid w:val="00ED4BC5"/>
    <w:rsid w:val="00ED4DAC"/>
    <w:rsid w:val="00ED52DD"/>
    <w:rsid w:val="00ED550C"/>
    <w:rsid w:val="00ED568F"/>
    <w:rsid w:val="00ED56AB"/>
    <w:rsid w:val="00ED58A5"/>
    <w:rsid w:val="00ED59AA"/>
    <w:rsid w:val="00ED5C3C"/>
    <w:rsid w:val="00ED5CD9"/>
    <w:rsid w:val="00ED5D24"/>
    <w:rsid w:val="00ED5F4B"/>
    <w:rsid w:val="00ED63F0"/>
    <w:rsid w:val="00ED65AA"/>
    <w:rsid w:val="00ED6818"/>
    <w:rsid w:val="00ED69BF"/>
    <w:rsid w:val="00ED6F12"/>
    <w:rsid w:val="00ED6F98"/>
    <w:rsid w:val="00ED7025"/>
    <w:rsid w:val="00ED71AF"/>
    <w:rsid w:val="00ED73B0"/>
    <w:rsid w:val="00ED73C6"/>
    <w:rsid w:val="00ED74C8"/>
    <w:rsid w:val="00ED74F2"/>
    <w:rsid w:val="00ED766D"/>
    <w:rsid w:val="00ED77F4"/>
    <w:rsid w:val="00ED7877"/>
    <w:rsid w:val="00ED7EFE"/>
    <w:rsid w:val="00EE006A"/>
    <w:rsid w:val="00EE0352"/>
    <w:rsid w:val="00EE03CB"/>
    <w:rsid w:val="00EE048D"/>
    <w:rsid w:val="00EE04ED"/>
    <w:rsid w:val="00EE090F"/>
    <w:rsid w:val="00EE09F1"/>
    <w:rsid w:val="00EE0AEE"/>
    <w:rsid w:val="00EE0BDA"/>
    <w:rsid w:val="00EE1499"/>
    <w:rsid w:val="00EE15E6"/>
    <w:rsid w:val="00EE225C"/>
    <w:rsid w:val="00EE226B"/>
    <w:rsid w:val="00EE25CA"/>
    <w:rsid w:val="00EE274D"/>
    <w:rsid w:val="00EE28E9"/>
    <w:rsid w:val="00EE2ABB"/>
    <w:rsid w:val="00EE2D97"/>
    <w:rsid w:val="00EE303D"/>
    <w:rsid w:val="00EE346E"/>
    <w:rsid w:val="00EE350C"/>
    <w:rsid w:val="00EE3539"/>
    <w:rsid w:val="00EE37C8"/>
    <w:rsid w:val="00EE3D78"/>
    <w:rsid w:val="00EE3D80"/>
    <w:rsid w:val="00EE3EF8"/>
    <w:rsid w:val="00EE3F9D"/>
    <w:rsid w:val="00EE42F5"/>
    <w:rsid w:val="00EE488A"/>
    <w:rsid w:val="00EE48B6"/>
    <w:rsid w:val="00EE4919"/>
    <w:rsid w:val="00EE4BB8"/>
    <w:rsid w:val="00EE500C"/>
    <w:rsid w:val="00EE5062"/>
    <w:rsid w:val="00EE5389"/>
    <w:rsid w:val="00EE5435"/>
    <w:rsid w:val="00EE5562"/>
    <w:rsid w:val="00EE55B3"/>
    <w:rsid w:val="00EE5605"/>
    <w:rsid w:val="00EE57CB"/>
    <w:rsid w:val="00EE586F"/>
    <w:rsid w:val="00EE5965"/>
    <w:rsid w:val="00EE5B1F"/>
    <w:rsid w:val="00EE5F48"/>
    <w:rsid w:val="00EE5F9D"/>
    <w:rsid w:val="00EE647A"/>
    <w:rsid w:val="00EE6B87"/>
    <w:rsid w:val="00EE6DBC"/>
    <w:rsid w:val="00EE6E7F"/>
    <w:rsid w:val="00EE6F0A"/>
    <w:rsid w:val="00EE705C"/>
    <w:rsid w:val="00EE70E9"/>
    <w:rsid w:val="00EE7714"/>
    <w:rsid w:val="00EE7CFF"/>
    <w:rsid w:val="00EE7E87"/>
    <w:rsid w:val="00EF016F"/>
    <w:rsid w:val="00EF0662"/>
    <w:rsid w:val="00EF06A6"/>
    <w:rsid w:val="00EF08CF"/>
    <w:rsid w:val="00EF091C"/>
    <w:rsid w:val="00EF0940"/>
    <w:rsid w:val="00EF098E"/>
    <w:rsid w:val="00EF0B53"/>
    <w:rsid w:val="00EF0C6C"/>
    <w:rsid w:val="00EF10AB"/>
    <w:rsid w:val="00EF10DD"/>
    <w:rsid w:val="00EF1171"/>
    <w:rsid w:val="00EF1226"/>
    <w:rsid w:val="00EF17C7"/>
    <w:rsid w:val="00EF187B"/>
    <w:rsid w:val="00EF18AE"/>
    <w:rsid w:val="00EF19D8"/>
    <w:rsid w:val="00EF1AF7"/>
    <w:rsid w:val="00EF1BCA"/>
    <w:rsid w:val="00EF1C8B"/>
    <w:rsid w:val="00EF1EDE"/>
    <w:rsid w:val="00EF1FD6"/>
    <w:rsid w:val="00EF2030"/>
    <w:rsid w:val="00EF2065"/>
    <w:rsid w:val="00EF2262"/>
    <w:rsid w:val="00EF2F04"/>
    <w:rsid w:val="00EF3360"/>
    <w:rsid w:val="00EF359C"/>
    <w:rsid w:val="00EF3A24"/>
    <w:rsid w:val="00EF3E53"/>
    <w:rsid w:val="00EF3EE5"/>
    <w:rsid w:val="00EF44B4"/>
    <w:rsid w:val="00EF4628"/>
    <w:rsid w:val="00EF46C7"/>
    <w:rsid w:val="00EF48F3"/>
    <w:rsid w:val="00EF48FA"/>
    <w:rsid w:val="00EF490E"/>
    <w:rsid w:val="00EF4935"/>
    <w:rsid w:val="00EF496D"/>
    <w:rsid w:val="00EF4A99"/>
    <w:rsid w:val="00EF4C96"/>
    <w:rsid w:val="00EF4CA2"/>
    <w:rsid w:val="00EF4F84"/>
    <w:rsid w:val="00EF51AB"/>
    <w:rsid w:val="00EF523F"/>
    <w:rsid w:val="00EF53DB"/>
    <w:rsid w:val="00EF53E7"/>
    <w:rsid w:val="00EF54DE"/>
    <w:rsid w:val="00EF5579"/>
    <w:rsid w:val="00EF569D"/>
    <w:rsid w:val="00EF58BA"/>
    <w:rsid w:val="00EF58EA"/>
    <w:rsid w:val="00EF5C44"/>
    <w:rsid w:val="00EF5CC7"/>
    <w:rsid w:val="00EF5DB2"/>
    <w:rsid w:val="00EF5FD7"/>
    <w:rsid w:val="00EF60C9"/>
    <w:rsid w:val="00EF6301"/>
    <w:rsid w:val="00EF637F"/>
    <w:rsid w:val="00EF6849"/>
    <w:rsid w:val="00EF6BBF"/>
    <w:rsid w:val="00EF720D"/>
    <w:rsid w:val="00EF726A"/>
    <w:rsid w:val="00EF72D4"/>
    <w:rsid w:val="00EF746B"/>
    <w:rsid w:val="00EF7582"/>
    <w:rsid w:val="00EF7673"/>
    <w:rsid w:val="00EF7720"/>
    <w:rsid w:val="00EF7760"/>
    <w:rsid w:val="00EF785C"/>
    <w:rsid w:val="00EF799F"/>
    <w:rsid w:val="00EF7B07"/>
    <w:rsid w:val="00EF7CB3"/>
    <w:rsid w:val="00EF7F1A"/>
    <w:rsid w:val="00EF7FF2"/>
    <w:rsid w:val="00F00078"/>
    <w:rsid w:val="00F002FC"/>
    <w:rsid w:val="00F00478"/>
    <w:rsid w:val="00F00668"/>
    <w:rsid w:val="00F006B4"/>
    <w:rsid w:val="00F007D0"/>
    <w:rsid w:val="00F0088E"/>
    <w:rsid w:val="00F0094C"/>
    <w:rsid w:val="00F00A9B"/>
    <w:rsid w:val="00F00CAA"/>
    <w:rsid w:val="00F00E00"/>
    <w:rsid w:val="00F00FDA"/>
    <w:rsid w:val="00F0118D"/>
    <w:rsid w:val="00F01397"/>
    <w:rsid w:val="00F017D9"/>
    <w:rsid w:val="00F01866"/>
    <w:rsid w:val="00F01924"/>
    <w:rsid w:val="00F0197C"/>
    <w:rsid w:val="00F01BCD"/>
    <w:rsid w:val="00F01CE1"/>
    <w:rsid w:val="00F01CFA"/>
    <w:rsid w:val="00F01D4F"/>
    <w:rsid w:val="00F01E28"/>
    <w:rsid w:val="00F01F74"/>
    <w:rsid w:val="00F02338"/>
    <w:rsid w:val="00F02372"/>
    <w:rsid w:val="00F02395"/>
    <w:rsid w:val="00F0282E"/>
    <w:rsid w:val="00F02AE7"/>
    <w:rsid w:val="00F02D77"/>
    <w:rsid w:val="00F02E5E"/>
    <w:rsid w:val="00F02FB6"/>
    <w:rsid w:val="00F03165"/>
    <w:rsid w:val="00F03328"/>
    <w:rsid w:val="00F033FB"/>
    <w:rsid w:val="00F03644"/>
    <w:rsid w:val="00F037F4"/>
    <w:rsid w:val="00F0390D"/>
    <w:rsid w:val="00F03944"/>
    <w:rsid w:val="00F03AC9"/>
    <w:rsid w:val="00F03BFD"/>
    <w:rsid w:val="00F03FA6"/>
    <w:rsid w:val="00F04353"/>
    <w:rsid w:val="00F047C6"/>
    <w:rsid w:val="00F04862"/>
    <w:rsid w:val="00F0487E"/>
    <w:rsid w:val="00F04F6D"/>
    <w:rsid w:val="00F0520B"/>
    <w:rsid w:val="00F05414"/>
    <w:rsid w:val="00F057F3"/>
    <w:rsid w:val="00F05D0E"/>
    <w:rsid w:val="00F05E6D"/>
    <w:rsid w:val="00F05FEA"/>
    <w:rsid w:val="00F06058"/>
    <w:rsid w:val="00F06171"/>
    <w:rsid w:val="00F0628B"/>
    <w:rsid w:val="00F062A8"/>
    <w:rsid w:val="00F062AE"/>
    <w:rsid w:val="00F062CF"/>
    <w:rsid w:val="00F065A4"/>
    <w:rsid w:val="00F06780"/>
    <w:rsid w:val="00F0681B"/>
    <w:rsid w:val="00F06997"/>
    <w:rsid w:val="00F069FF"/>
    <w:rsid w:val="00F06BF7"/>
    <w:rsid w:val="00F06D13"/>
    <w:rsid w:val="00F06E28"/>
    <w:rsid w:val="00F06E69"/>
    <w:rsid w:val="00F06F57"/>
    <w:rsid w:val="00F0719F"/>
    <w:rsid w:val="00F071CA"/>
    <w:rsid w:val="00F0747B"/>
    <w:rsid w:val="00F07495"/>
    <w:rsid w:val="00F074F2"/>
    <w:rsid w:val="00F07909"/>
    <w:rsid w:val="00F07A90"/>
    <w:rsid w:val="00F07AED"/>
    <w:rsid w:val="00F07BEE"/>
    <w:rsid w:val="00F07E63"/>
    <w:rsid w:val="00F10011"/>
    <w:rsid w:val="00F10284"/>
    <w:rsid w:val="00F102E1"/>
    <w:rsid w:val="00F10330"/>
    <w:rsid w:val="00F10573"/>
    <w:rsid w:val="00F106D6"/>
    <w:rsid w:val="00F106DB"/>
    <w:rsid w:val="00F10A43"/>
    <w:rsid w:val="00F11040"/>
    <w:rsid w:val="00F112BA"/>
    <w:rsid w:val="00F11325"/>
    <w:rsid w:val="00F113B8"/>
    <w:rsid w:val="00F113FB"/>
    <w:rsid w:val="00F114CE"/>
    <w:rsid w:val="00F115F8"/>
    <w:rsid w:val="00F11746"/>
    <w:rsid w:val="00F1174E"/>
    <w:rsid w:val="00F11E8F"/>
    <w:rsid w:val="00F11F37"/>
    <w:rsid w:val="00F12003"/>
    <w:rsid w:val="00F12324"/>
    <w:rsid w:val="00F12438"/>
    <w:rsid w:val="00F12A23"/>
    <w:rsid w:val="00F12A8F"/>
    <w:rsid w:val="00F12B12"/>
    <w:rsid w:val="00F12B2F"/>
    <w:rsid w:val="00F12CC7"/>
    <w:rsid w:val="00F12CF8"/>
    <w:rsid w:val="00F12E43"/>
    <w:rsid w:val="00F12F19"/>
    <w:rsid w:val="00F12FB9"/>
    <w:rsid w:val="00F1309F"/>
    <w:rsid w:val="00F1331F"/>
    <w:rsid w:val="00F1357C"/>
    <w:rsid w:val="00F136DB"/>
    <w:rsid w:val="00F13827"/>
    <w:rsid w:val="00F13841"/>
    <w:rsid w:val="00F1408F"/>
    <w:rsid w:val="00F141FD"/>
    <w:rsid w:val="00F1422A"/>
    <w:rsid w:val="00F14515"/>
    <w:rsid w:val="00F145F4"/>
    <w:rsid w:val="00F14640"/>
    <w:rsid w:val="00F14C51"/>
    <w:rsid w:val="00F15087"/>
    <w:rsid w:val="00F150AB"/>
    <w:rsid w:val="00F15404"/>
    <w:rsid w:val="00F157C5"/>
    <w:rsid w:val="00F15842"/>
    <w:rsid w:val="00F15B80"/>
    <w:rsid w:val="00F1611D"/>
    <w:rsid w:val="00F161E2"/>
    <w:rsid w:val="00F16315"/>
    <w:rsid w:val="00F16434"/>
    <w:rsid w:val="00F16703"/>
    <w:rsid w:val="00F16859"/>
    <w:rsid w:val="00F169A2"/>
    <w:rsid w:val="00F16AE8"/>
    <w:rsid w:val="00F16C9F"/>
    <w:rsid w:val="00F16E53"/>
    <w:rsid w:val="00F1717B"/>
    <w:rsid w:val="00F172FC"/>
    <w:rsid w:val="00F17316"/>
    <w:rsid w:val="00F17393"/>
    <w:rsid w:val="00F17395"/>
    <w:rsid w:val="00F1765F"/>
    <w:rsid w:val="00F177CD"/>
    <w:rsid w:val="00F17841"/>
    <w:rsid w:val="00F17F35"/>
    <w:rsid w:val="00F17FAB"/>
    <w:rsid w:val="00F20015"/>
    <w:rsid w:val="00F201F0"/>
    <w:rsid w:val="00F2055D"/>
    <w:rsid w:val="00F208BA"/>
    <w:rsid w:val="00F208F3"/>
    <w:rsid w:val="00F2093C"/>
    <w:rsid w:val="00F20990"/>
    <w:rsid w:val="00F20A71"/>
    <w:rsid w:val="00F20B3B"/>
    <w:rsid w:val="00F20B8D"/>
    <w:rsid w:val="00F20BB4"/>
    <w:rsid w:val="00F20C48"/>
    <w:rsid w:val="00F20C9A"/>
    <w:rsid w:val="00F20CFD"/>
    <w:rsid w:val="00F20E7A"/>
    <w:rsid w:val="00F21126"/>
    <w:rsid w:val="00F220CD"/>
    <w:rsid w:val="00F221E7"/>
    <w:rsid w:val="00F22203"/>
    <w:rsid w:val="00F22222"/>
    <w:rsid w:val="00F22302"/>
    <w:rsid w:val="00F22322"/>
    <w:rsid w:val="00F2261F"/>
    <w:rsid w:val="00F226C6"/>
    <w:rsid w:val="00F226F5"/>
    <w:rsid w:val="00F22A5A"/>
    <w:rsid w:val="00F22B8F"/>
    <w:rsid w:val="00F22D27"/>
    <w:rsid w:val="00F22DC2"/>
    <w:rsid w:val="00F23150"/>
    <w:rsid w:val="00F231B5"/>
    <w:rsid w:val="00F23271"/>
    <w:rsid w:val="00F2329B"/>
    <w:rsid w:val="00F23572"/>
    <w:rsid w:val="00F235B5"/>
    <w:rsid w:val="00F237DC"/>
    <w:rsid w:val="00F23943"/>
    <w:rsid w:val="00F23989"/>
    <w:rsid w:val="00F23BE1"/>
    <w:rsid w:val="00F23E8C"/>
    <w:rsid w:val="00F23FA1"/>
    <w:rsid w:val="00F240C0"/>
    <w:rsid w:val="00F24111"/>
    <w:rsid w:val="00F242C5"/>
    <w:rsid w:val="00F243A7"/>
    <w:rsid w:val="00F243CD"/>
    <w:rsid w:val="00F2443A"/>
    <w:rsid w:val="00F246B7"/>
    <w:rsid w:val="00F2489B"/>
    <w:rsid w:val="00F24B02"/>
    <w:rsid w:val="00F2531E"/>
    <w:rsid w:val="00F25700"/>
    <w:rsid w:val="00F25888"/>
    <w:rsid w:val="00F259B7"/>
    <w:rsid w:val="00F25A7D"/>
    <w:rsid w:val="00F25A9F"/>
    <w:rsid w:val="00F25BFB"/>
    <w:rsid w:val="00F25C69"/>
    <w:rsid w:val="00F25F2B"/>
    <w:rsid w:val="00F26130"/>
    <w:rsid w:val="00F2613B"/>
    <w:rsid w:val="00F26480"/>
    <w:rsid w:val="00F26626"/>
    <w:rsid w:val="00F26827"/>
    <w:rsid w:val="00F26A59"/>
    <w:rsid w:val="00F26A82"/>
    <w:rsid w:val="00F26A95"/>
    <w:rsid w:val="00F26B1E"/>
    <w:rsid w:val="00F26BE3"/>
    <w:rsid w:val="00F26C37"/>
    <w:rsid w:val="00F26C4F"/>
    <w:rsid w:val="00F26CFE"/>
    <w:rsid w:val="00F26E28"/>
    <w:rsid w:val="00F26F9D"/>
    <w:rsid w:val="00F273BD"/>
    <w:rsid w:val="00F274BD"/>
    <w:rsid w:val="00F276D2"/>
    <w:rsid w:val="00F278BB"/>
    <w:rsid w:val="00F279E6"/>
    <w:rsid w:val="00F27B53"/>
    <w:rsid w:val="00F27BE5"/>
    <w:rsid w:val="00F27ECE"/>
    <w:rsid w:val="00F27F31"/>
    <w:rsid w:val="00F30042"/>
    <w:rsid w:val="00F300A9"/>
    <w:rsid w:val="00F30169"/>
    <w:rsid w:val="00F301AE"/>
    <w:rsid w:val="00F30211"/>
    <w:rsid w:val="00F30420"/>
    <w:rsid w:val="00F30485"/>
    <w:rsid w:val="00F30653"/>
    <w:rsid w:val="00F30689"/>
    <w:rsid w:val="00F30B81"/>
    <w:rsid w:val="00F30F21"/>
    <w:rsid w:val="00F310FB"/>
    <w:rsid w:val="00F31186"/>
    <w:rsid w:val="00F31190"/>
    <w:rsid w:val="00F31297"/>
    <w:rsid w:val="00F3130D"/>
    <w:rsid w:val="00F31415"/>
    <w:rsid w:val="00F31675"/>
    <w:rsid w:val="00F3187D"/>
    <w:rsid w:val="00F31DD7"/>
    <w:rsid w:val="00F31E1E"/>
    <w:rsid w:val="00F32432"/>
    <w:rsid w:val="00F324E0"/>
    <w:rsid w:val="00F32679"/>
    <w:rsid w:val="00F32842"/>
    <w:rsid w:val="00F328D6"/>
    <w:rsid w:val="00F32981"/>
    <w:rsid w:val="00F32C5F"/>
    <w:rsid w:val="00F32E3F"/>
    <w:rsid w:val="00F32E7A"/>
    <w:rsid w:val="00F3315D"/>
    <w:rsid w:val="00F3338F"/>
    <w:rsid w:val="00F3350E"/>
    <w:rsid w:val="00F33517"/>
    <w:rsid w:val="00F335F5"/>
    <w:rsid w:val="00F3365A"/>
    <w:rsid w:val="00F336B2"/>
    <w:rsid w:val="00F33A3E"/>
    <w:rsid w:val="00F33B79"/>
    <w:rsid w:val="00F33E6F"/>
    <w:rsid w:val="00F33EFF"/>
    <w:rsid w:val="00F33FB5"/>
    <w:rsid w:val="00F33FD1"/>
    <w:rsid w:val="00F341FD"/>
    <w:rsid w:val="00F3440A"/>
    <w:rsid w:val="00F34CF3"/>
    <w:rsid w:val="00F35118"/>
    <w:rsid w:val="00F356B7"/>
    <w:rsid w:val="00F35832"/>
    <w:rsid w:val="00F35A04"/>
    <w:rsid w:val="00F35C42"/>
    <w:rsid w:val="00F35F86"/>
    <w:rsid w:val="00F360A7"/>
    <w:rsid w:val="00F36551"/>
    <w:rsid w:val="00F3669E"/>
    <w:rsid w:val="00F36822"/>
    <w:rsid w:val="00F368D9"/>
    <w:rsid w:val="00F36965"/>
    <w:rsid w:val="00F36C97"/>
    <w:rsid w:val="00F36E3E"/>
    <w:rsid w:val="00F37127"/>
    <w:rsid w:val="00F37131"/>
    <w:rsid w:val="00F37167"/>
    <w:rsid w:val="00F373EF"/>
    <w:rsid w:val="00F37469"/>
    <w:rsid w:val="00F3758B"/>
    <w:rsid w:val="00F37698"/>
    <w:rsid w:val="00F377FA"/>
    <w:rsid w:val="00F37A89"/>
    <w:rsid w:val="00F37B1E"/>
    <w:rsid w:val="00F37C47"/>
    <w:rsid w:val="00F37C6B"/>
    <w:rsid w:val="00F37CEF"/>
    <w:rsid w:val="00F402D8"/>
    <w:rsid w:val="00F4043C"/>
    <w:rsid w:val="00F404B6"/>
    <w:rsid w:val="00F4054A"/>
    <w:rsid w:val="00F40555"/>
    <w:rsid w:val="00F40617"/>
    <w:rsid w:val="00F40720"/>
    <w:rsid w:val="00F40797"/>
    <w:rsid w:val="00F40CEE"/>
    <w:rsid w:val="00F40D5E"/>
    <w:rsid w:val="00F40DFC"/>
    <w:rsid w:val="00F40E0E"/>
    <w:rsid w:val="00F410CB"/>
    <w:rsid w:val="00F41435"/>
    <w:rsid w:val="00F414F6"/>
    <w:rsid w:val="00F415D7"/>
    <w:rsid w:val="00F4176E"/>
    <w:rsid w:val="00F419B4"/>
    <w:rsid w:val="00F419EA"/>
    <w:rsid w:val="00F420FB"/>
    <w:rsid w:val="00F42117"/>
    <w:rsid w:val="00F4227B"/>
    <w:rsid w:val="00F4250F"/>
    <w:rsid w:val="00F4257B"/>
    <w:rsid w:val="00F425F4"/>
    <w:rsid w:val="00F42619"/>
    <w:rsid w:val="00F426B5"/>
    <w:rsid w:val="00F42966"/>
    <w:rsid w:val="00F42A75"/>
    <w:rsid w:val="00F42A7E"/>
    <w:rsid w:val="00F42D76"/>
    <w:rsid w:val="00F42FDB"/>
    <w:rsid w:val="00F42FF8"/>
    <w:rsid w:val="00F43126"/>
    <w:rsid w:val="00F43164"/>
    <w:rsid w:val="00F439C1"/>
    <w:rsid w:val="00F439ED"/>
    <w:rsid w:val="00F43A85"/>
    <w:rsid w:val="00F43C61"/>
    <w:rsid w:val="00F43C8A"/>
    <w:rsid w:val="00F43CC2"/>
    <w:rsid w:val="00F43D27"/>
    <w:rsid w:val="00F43EF9"/>
    <w:rsid w:val="00F43F9D"/>
    <w:rsid w:val="00F441A2"/>
    <w:rsid w:val="00F441AE"/>
    <w:rsid w:val="00F4423F"/>
    <w:rsid w:val="00F4431C"/>
    <w:rsid w:val="00F443A9"/>
    <w:rsid w:val="00F44ABB"/>
    <w:rsid w:val="00F44B4D"/>
    <w:rsid w:val="00F44B83"/>
    <w:rsid w:val="00F44DE6"/>
    <w:rsid w:val="00F44E06"/>
    <w:rsid w:val="00F44E11"/>
    <w:rsid w:val="00F4515E"/>
    <w:rsid w:val="00F4521E"/>
    <w:rsid w:val="00F45390"/>
    <w:rsid w:val="00F453D5"/>
    <w:rsid w:val="00F4541D"/>
    <w:rsid w:val="00F454A1"/>
    <w:rsid w:val="00F4556F"/>
    <w:rsid w:val="00F45574"/>
    <w:rsid w:val="00F45966"/>
    <w:rsid w:val="00F45AA5"/>
    <w:rsid w:val="00F45C60"/>
    <w:rsid w:val="00F45D8B"/>
    <w:rsid w:val="00F45FCB"/>
    <w:rsid w:val="00F467FF"/>
    <w:rsid w:val="00F4681C"/>
    <w:rsid w:val="00F46956"/>
    <w:rsid w:val="00F47146"/>
    <w:rsid w:val="00F47321"/>
    <w:rsid w:val="00F47622"/>
    <w:rsid w:val="00F4773B"/>
    <w:rsid w:val="00F47AB6"/>
    <w:rsid w:val="00F47D6A"/>
    <w:rsid w:val="00F47E3A"/>
    <w:rsid w:val="00F47EE2"/>
    <w:rsid w:val="00F501DA"/>
    <w:rsid w:val="00F5026B"/>
    <w:rsid w:val="00F50274"/>
    <w:rsid w:val="00F5058D"/>
    <w:rsid w:val="00F507C3"/>
    <w:rsid w:val="00F50820"/>
    <w:rsid w:val="00F50DAA"/>
    <w:rsid w:val="00F50E04"/>
    <w:rsid w:val="00F50E39"/>
    <w:rsid w:val="00F5105E"/>
    <w:rsid w:val="00F51187"/>
    <w:rsid w:val="00F512AF"/>
    <w:rsid w:val="00F514DF"/>
    <w:rsid w:val="00F5168A"/>
    <w:rsid w:val="00F517B2"/>
    <w:rsid w:val="00F51A4B"/>
    <w:rsid w:val="00F51C42"/>
    <w:rsid w:val="00F51DB6"/>
    <w:rsid w:val="00F51E06"/>
    <w:rsid w:val="00F52253"/>
    <w:rsid w:val="00F523E9"/>
    <w:rsid w:val="00F52747"/>
    <w:rsid w:val="00F52777"/>
    <w:rsid w:val="00F52A26"/>
    <w:rsid w:val="00F52AD2"/>
    <w:rsid w:val="00F531CB"/>
    <w:rsid w:val="00F53239"/>
    <w:rsid w:val="00F532AA"/>
    <w:rsid w:val="00F53555"/>
    <w:rsid w:val="00F535CC"/>
    <w:rsid w:val="00F535EF"/>
    <w:rsid w:val="00F53668"/>
    <w:rsid w:val="00F5382A"/>
    <w:rsid w:val="00F538C7"/>
    <w:rsid w:val="00F53A84"/>
    <w:rsid w:val="00F53F3F"/>
    <w:rsid w:val="00F54009"/>
    <w:rsid w:val="00F541CE"/>
    <w:rsid w:val="00F542D5"/>
    <w:rsid w:val="00F544E3"/>
    <w:rsid w:val="00F54B4E"/>
    <w:rsid w:val="00F54BA1"/>
    <w:rsid w:val="00F55104"/>
    <w:rsid w:val="00F557ED"/>
    <w:rsid w:val="00F5589E"/>
    <w:rsid w:val="00F558B4"/>
    <w:rsid w:val="00F55B24"/>
    <w:rsid w:val="00F55C11"/>
    <w:rsid w:val="00F55C5C"/>
    <w:rsid w:val="00F55CF0"/>
    <w:rsid w:val="00F55F81"/>
    <w:rsid w:val="00F56064"/>
    <w:rsid w:val="00F560A9"/>
    <w:rsid w:val="00F56447"/>
    <w:rsid w:val="00F5654B"/>
    <w:rsid w:val="00F56665"/>
    <w:rsid w:val="00F568FA"/>
    <w:rsid w:val="00F56A72"/>
    <w:rsid w:val="00F56BC0"/>
    <w:rsid w:val="00F56F87"/>
    <w:rsid w:val="00F57130"/>
    <w:rsid w:val="00F57175"/>
    <w:rsid w:val="00F571B2"/>
    <w:rsid w:val="00F57253"/>
    <w:rsid w:val="00F5741A"/>
    <w:rsid w:val="00F57729"/>
    <w:rsid w:val="00F57A25"/>
    <w:rsid w:val="00F57BD5"/>
    <w:rsid w:val="00F57C5D"/>
    <w:rsid w:val="00F57CB2"/>
    <w:rsid w:val="00F57D59"/>
    <w:rsid w:val="00F57D91"/>
    <w:rsid w:val="00F57ECC"/>
    <w:rsid w:val="00F600BB"/>
    <w:rsid w:val="00F600F5"/>
    <w:rsid w:val="00F60837"/>
    <w:rsid w:val="00F60885"/>
    <w:rsid w:val="00F608D0"/>
    <w:rsid w:val="00F608F9"/>
    <w:rsid w:val="00F60BCC"/>
    <w:rsid w:val="00F60BCD"/>
    <w:rsid w:val="00F60CC8"/>
    <w:rsid w:val="00F60EF9"/>
    <w:rsid w:val="00F60FFD"/>
    <w:rsid w:val="00F61237"/>
    <w:rsid w:val="00F613BD"/>
    <w:rsid w:val="00F614CA"/>
    <w:rsid w:val="00F6166B"/>
    <w:rsid w:val="00F6169F"/>
    <w:rsid w:val="00F617BB"/>
    <w:rsid w:val="00F61BF0"/>
    <w:rsid w:val="00F61E80"/>
    <w:rsid w:val="00F6215A"/>
    <w:rsid w:val="00F621EF"/>
    <w:rsid w:val="00F622AA"/>
    <w:rsid w:val="00F62352"/>
    <w:rsid w:val="00F623C7"/>
    <w:rsid w:val="00F625E6"/>
    <w:rsid w:val="00F6286B"/>
    <w:rsid w:val="00F6287C"/>
    <w:rsid w:val="00F62CB8"/>
    <w:rsid w:val="00F62EB0"/>
    <w:rsid w:val="00F630BC"/>
    <w:rsid w:val="00F63170"/>
    <w:rsid w:val="00F631CE"/>
    <w:rsid w:val="00F63886"/>
    <w:rsid w:val="00F63C6D"/>
    <w:rsid w:val="00F63DDF"/>
    <w:rsid w:val="00F63E65"/>
    <w:rsid w:val="00F6402F"/>
    <w:rsid w:val="00F64445"/>
    <w:rsid w:val="00F644E2"/>
    <w:rsid w:val="00F6456A"/>
    <w:rsid w:val="00F6487A"/>
    <w:rsid w:val="00F648AC"/>
    <w:rsid w:val="00F64970"/>
    <w:rsid w:val="00F64B83"/>
    <w:rsid w:val="00F64BDE"/>
    <w:rsid w:val="00F64E50"/>
    <w:rsid w:val="00F651B2"/>
    <w:rsid w:val="00F6522D"/>
    <w:rsid w:val="00F655D2"/>
    <w:rsid w:val="00F65800"/>
    <w:rsid w:val="00F658A2"/>
    <w:rsid w:val="00F659BC"/>
    <w:rsid w:val="00F65A35"/>
    <w:rsid w:val="00F65CD0"/>
    <w:rsid w:val="00F661B3"/>
    <w:rsid w:val="00F661EE"/>
    <w:rsid w:val="00F662C7"/>
    <w:rsid w:val="00F6635E"/>
    <w:rsid w:val="00F6656C"/>
    <w:rsid w:val="00F665A6"/>
    <w:rsid w:val="00F6666E"/>
    <w:rsid w:val="00F668E8"/>
    <w:rsid w:val="00F66DE7"/>
    <w:rsid w:val="00F66F8B"/>
    <w:rsid w:val="00F6717F"/>
    <w:rsid w:val="00F673C5"/>
    <w:rsid w:val="00F67518"/>
    <w:rsid w:val="00F6771C"/>
    <w:rsid w:val="00F677A1"/>
    <w:rsid w:val="00F677AE"/>
    <w:rsid w:val="00F67927"/>
    <w:rsid w:val="00F67C15"/>
    <w:rsid w:val="00F67CD8"/>
    <w:rsid w:val="00F67D6D"/>
    <w:rsid w:val="00F67FDE"/>
    <w:rsid w:val="00F7015C"/>
    <w:rsid w:val="00F701D0"/>
    <w:rsid w:val="00F70290"/>
    <w:rsid w:val="00F70602"/>
    <w:rsid w:val="00F70614"/>
    <w:rsid w:val="00F7068D"/>
    <w:rsid w:val="00F70C9F"/>
    <w:rsid w:val="00F70CED"/>
    <w:rsid w:val="00F70CFD"/>
    <w:rsid w:val="00F71149"/>
    <w:rsid w:val="00F71195"/>
    <w:rsid w:val="00F711AE"/>
    <w:rsid w:val="00F7125F"/>
    <w:rsid w:val="00F7136D"/>
    <w:rsid w:val="00F714FD"/>
    <w:rsid w:val="00F716A2"/>
    <w:rsid w:val="00F71AEE"/>
    <w:rsid w:val="00F71B7D"/>
    <w:rsid w:val="00F720F9"/>
    <w:rsid w:val="00F72344"/>
    <w:rsid w:val="00F72672"/>
    <w:rsid w:val="00F726E1"/>
    <w:rsid w:val="00F72A6A"/>
    <w:rsid w:val="00F72A97"/>
    <w:rsid w:val="00F72BCF"/>
    <w:rsid w:val="00F72C24"/>
    <w:rsid w:val="00F72FF7"/>
    <w:rsid w:val="00F7302C"/>
    <w:rsid w:val="00F7358D"/>
    <w:rsid w:val="00F736F8"/>
    <w:rsid w:val="00F73729"/>
    <w:rsid w:val="00F737F2"/>
    <w:rsid w:val="00F738F7"/>
    <w:rsid w:val="00F73C98"/>
    <w:rsid w:val="00F7400B"/>
    <w:rsid w:val="00F74161"/>
    <w:rsid w:val="00F74307"/>
    <w:rsid w:val="00F7470E"/>
    <w:rsid w:val="00F7473D"/>
    <w:rsid w:val="00F747C6"/>
    <w:rsid w:val="00F7480F"/>
    <w:rsid w:val="00F7486D"/>
    <w:rsid w:val="00F74F52"/>
    <w:rsid w:val="00F74FD4"/>
    <w:rsid w:val="00F75050"/>
    <w:rsid w:val="00F751DF"/>
    <w:rsid w:val="00F75213"/>
    <w:rsid w:val="00F75224"/>
    <w:rsid w:val="00F7539C"/>
    <w:rsid w:val="00F753C6"/>
    <w:rsid w:val="00F7548B"/>
    <w:rsid w:val="00F755CC"/>
    <w:rsid w:val="00F75AC2"/>
    <w:rsid w:val="00F75EDA"/>
    <w:rsid w:val="00F75F14"/>
    <w:rsid w:val="00F75F2B"/>
    <w:rsid w:val="00F7603C"/>
    <w:rsid w:val="00F762D0"/>
    <w:rsid w:val="00F76B4A"/>
    <w:rsid w:val="00F76E12"/>
    <w:rsid w:val="00F76EBD"/>
    <w:rsid w:val="00F76F35"/>
    <w:rsid w:val="00F7702A"/>
    <w:rsid w:val="00F77500"/>
    <w:rsid w:val="00F77507"/>
    <w:rsid w:val="00F777DA"/>
    <w:rsid w:val="00F7784F"/>
    <w:rsid w:val="00F778CC"/>
    <w:rsid w:val="00F778EC"/>
    <w:rsid w:val="00F77B4C"/>
    <w:rsid w:val="00F77BC3"/>
    <w:rsid w:val="00F77DBB"/>
    <w:rsid w:val="00F77DBC"/>
    <w:rsid w:val="00F8018B"/>
    <w:rsid w:val="00F803B7"/>
    <w:rsid w:val="00F803FC"/>
    <w:rsid w:val="00F8053E"/>
    <w:rsid w:val="00F805A5"/>
    <w:rsid w:val="00F805E0"/>
    <w:rsid w:val="00F80638"/>
    <w:rsid w:val="00F807B1"/>
    <w:rsid w:val="00F80EA0"/>
    <w:rsid w:val="00F81250"/>
    <w:rsid w:val="00F81340"/>
    <w:rsid w:val="00F815A9"/>
    <w:rsid w:val="00F81800"/>
    <w:rsid w:val="00F818CB"/>
    <w:rsid w:val="00F81ADB"/>
    <w:rsid w:val="00F81BF4"/>
    <w:rsid w:val="00F81FDF"/>
    <w:rsid w:val="00F823A8"/>
    <w:rsid w:val="00F823E3"/>
    <w:rsid w:val="00F824D5"/>
    <w:rsid w:val="00F8271A"/>
    <w:rsid w:val="00F828EA"/>
    <w:rsid w:val="00F82B75"/>
    <w:rsid w:val="00F82D7E"/>
    <w:rsid w:val="00F83132"/>
    <w:rsid w:val="00F83140"/>
    <w:rsid w:val="00F8326E"/>
    <w:rsid w:val="00F83397"/>
    <w:rsid w:val="00F833B9"/>
    <w:rsid w:val="00F834BD"/>
    <w:rsid w:val="00F83824"/>
    <w:rsid w:val="00F83922"/>
    <w:rsid w:val="00F83B6A"/>
    <w:rsid w:val="00F83C14"/>
    <w:rsid w:val="00F83C39"/>
    <w:rsid w:val="00F83D8D"/>
    <w:rsid w:val="00F83ED7"/>
    <w:rsid w:val="00F8401A"/>
    <w:rsid w:val="00F8424B"/>
    <w:rsid w:val="00F84397"/>
    <w:rsid w:val="00F84766"/>
    <w:rsid w:val="00F84805"/>
    <w:rsid w:val="00F85178"/>
    <w:rsid w:val="00F852AD"/>
    <w:rsid w:val="00F8532C"/>
    <w:rsid w:val="00F85551"/>
    <w:rsid w:val="00F8563C"/>
    <w:rsid w:val="00F85648"/>
    <w:rsid w:val="00F859A1"/>
    <w:rsid w:val="00F85A3B"/>
    <w:rsid w:val="00F861F2"/>
    <w:rsid w:val="00F8629E"/>
    <w:rsid w:val="00F862FF"/>
    <w:rsid w:val="00F8631E"/>
    <w:rsid w:val="00F865B7"/>
    <w:rsid w:val="00F867A7"/>
    <w:rsid w:val="00F867B9"/>
    <w:rsid w:val="00F86A02"/>
    <w:rsid w:val="00F86D55"/>
    <w:rsid w:val="00F86E1C"/>
    <w:rsid w:val="00F86EE3"/>
    <w:rsid w:val="00F871B9"/>
    <w:rsid w:val="00F876DE"/>
    <w:rsid w:val="00F87997"/>
    <w:rsid w:val="00F879D7"/>
    <w:rsid w:val="00F87F4A"/>
    <w:rsid w:val="00F905F6"/>
    <w:rsid w:val="00F90884"/>
    <w:rsid w:val="00F90A45"/>
    <w:rsid w:val="00F90AE9"/>
    <w:rsid w:val="00F90B5B"/>
    <w:rsid w:val="00F90F64"/>
    <w:rsid w:val="00F90F79"/>
    <w:rsid w:val="00F91131"/>
    <w:rsid w:val="00F9124B"/>
    <w:rsid w:val="00F912B4"/>
    <w:rsid w:val="00F915BA"/>
    <w:rsid w:val="00F91A50"/>
    <w:rsid w:val="00F91AFC"/>
    <w:rsid w:val="00F91EAB"/>
    <w:rsid w:val="00F92007"/>
    <w:rsid w:val="00F920C4"/>
    <w:rsid w:val="00F922F0"/>
    <w:rsid w:val="00F923DF"/>
    <w:rsid w:val="00F92554"/>
    <w:rsid w:val="00F926B1"/>
    <w:rsid w:val="00F927F0"/>
    <w:rsid w:val="00F92BD3"/>
    <w:rsid w:val="00F92EC7"/>
    <w:rsid w:val="00F92FE7"/>
    <w:rsid w:val="00F930C8"/>
    <w:rsid w:val="00F93176"/>
    <w:rsid w:val="00F931EE"/>
    <w:rsid w:val="00F932B6"/>
    <w:rsid w:val="00F933C7"/>
    <w:rsid w:val="00F9350D"/>
    <w:rsid w:val="00F937D3"/>
    <w:rsid w:val="00F9393A"/>
    <w:rsid w:val="00F93A1C"/>
    <w:rsid w:val="00F93A62"/>
    <w:rsid w:val="00F93A9F"/>
    <w:rsid w:val="00F93FEA"/>
    <w:rsid w:val="00F94201"/>
    <w:rsid w:val="00F944B3"/>
    <w:rsid w:val="00F94531"/>
    <w:rsid w:val="00F945CB"/>
    <w:rsid w:val="00F94890"/>
    <w:rsid w:val="00F94A24"/>
    <w:rsid w:val="00F94C0C"/>
    <w:rsid w:val="00F94CE7"/>
    <w:rsid w:val="00F94D5B"/>
    <w:rsid w:val="00F94ED5"/>
    <w:rsid w:val="00F950F7"/>
    <w:rsid w:val="00F9512B"/>
    <w:rsid w:val="00F95400"/>
    <w:rsid w:val="00F954CE"/>
    <w:rsid w:val="00F95537"/>
    <w:rsid w:val="00F95816"/>
    <w:rsid w:val="00F95B2E"/>
    <w:rsid w:val="00F95B96"/>
    <w:rsid w:val="00F95E2C"/>
    <w:rsid w:val="00F9606E"/>
    <w:rsid w:val="00F961A3"/>
    <w:rsid w:val="00F963B0"/>
    <w:rsid w:val="00F96426"/>
    <w:rsid w:val="00F9652F"/>
    <w:rsid w:val="00F9666B"/>
    <w:rsid w:val="00F9675E"/>
    <w:rsid w:val="00F96827"/>
    <w:rsid w:val="00F96873"/>
    <w:rsid w:val="00F96965"/>
    <w:rsid w:val="00F96D0E"/>
    <w:rsid w:val="00F970D1"/>
    <w:rsid w:val="00F970EE"/>
    <w:rsid w:val="00F97131"/>
    <w:rsid w:val="00F9730B"/>
    <w:rsid w:val="00F973B9"/>
    <w:rsid w:val="00F9765E"/>
    <w:rsid w:val="00F97792"/>
    <w:rsid w:val="00F97B31"/>
    <w:rsid w:val="00F97BEF"/>
    <w:rsid w:val="00F97CD5"/>
    <w:rsid w:val="00F97D98"/>
    <w:rsid w:val="00F97E0E"/>
    <w:rsid w:val="00FA0338"/>
    <w:rsid w:val="00FA0474"/>
    <w:rsid w:val="00FA0499"/>
    <w:rsid w:val="00FA051D"/>
    <w:rsid w:val="00FA05A2"/>
    <w:rsid w:val="00FA08F8"/>
    <w:rsid w:val="00FA0B4C"/>
    <w:rsid w:val="00FA13FE"/>
    <w:rsid w:val="00FA14A2"/>
    <w:rsid w:val="00FA1585"/>
    <w:rsid w:val="00FA17D9"/>
    <w:rsid w:val="00FA18E7"/>
    <w:rsid w:val="00FA1E0C"/>
    <w:rsid w:val="00FA1E75"/>
    <w:rsid w:val="00FA1F5C"/>
    <w:rsid w:val="00FA2045"/>
    <w:rsid w:val="00FA207A"/>
    <w:rsid w:val="00FA20FC"/>
    <w:rsid w:val="00FA21E0"/>
    <w:rsid w:val="00FA248A"/>
    <w:rsid w:val="00FA256B"/>
    <w:rsid w:val="00FA264D"/>
    <w:rsid w:val="00FA2757"/>
    <w:rsid w:val="00FA2D2A"/>
    <w:rsid w:val="00FA2EFB"/>
    <w:rsid w:val="00FA2F23"/>
    <w:rsid w:val="00FA3213"/>
    <w:rsid w:val="00FA32F3"/>
    <w:rsid w:val="00FA33A9"/>
    <w:rsid w:val="00FA33EF"/>
    <w:rsid w:val="00FA3914"/>
    <w:rsid w:val="00FA39C2"/>
    <w:rsid w:val="00FA3A81"/>
    <w:rsid w:val="00FA3D36"/>
    <w:rsid w:val="00FA3D39"/>
    <w:rsid w:val="00FA405F"/>
    <w:rsid w:val="00FA42DA"/>
    <w:rsid w:val="00FA4687"/>
    <w:rsid w:val="00FA4928"/>
    <w:rsid w:val="00FA49A5"/>
    <w:rsid w:val="00FA4B18"/>
    <w:rsid w:val="00FA527C"/>
    <w:rsid w:val="00FA52E7"/>
    <w:rsid w:val="00FA52E8"/>
    <w:rsid w:val="00FA5553"/>
    <w:rsid w:val="00FA5837"/>
    <w:rsid w:val="00FA585F"/>
    <w:rsid w:val="00FA58E9"/>
    <w:rsid w:val="00FA5962"/>
    <w:rsid w:val="00FA59F7"/>
    <w:rsid w:val="00FA5AB1"/>
    <w:rsid w:val="00FA5B49"/>
    <w:rsid w:val="00FA5C41"/>
    <w:rsid w:val="00FA5F4F"/>
    <w:rsid w:val="00FA68D9"/>
    <w:rsid w:val="00FA68ED"/>
    <w:rsid w:val="00FA6CC5"/>
    <w:rsid w:val="00FA6CF8"/>
    <w:rsid w:val="00FA6E05"/>
    <w:rsid w:val="00FA70C1"/>
    <w:rsid w:val="00FA733B"/>
    <w:rsid w:val="00FA75EA"/>
    <w:rsid w:val="00FA764C"/>
    <w:rsid w:val="00FA7CC3"/>
    <w:rsid w:val="00FA7CF9"/>
    <w:rsid w:val="00FA7CFB"/>
    <w:rsid w:val="00FA7F1E"/>
    <w:rsid w:val="00FB01FE"/>
    <w:rsid w:val="00FB04D1"/>
    <w:rsid w:val="00FB089B"/>
    <w:rsid w:val="00FB0927"/>
    <w:rsid w:val="00FB0A83"/>
    <w:rsid w:val="00FB0AB2"/>
    <w:rsid w:val="00FB0B5E"/>
    <w:rsid w:val="00FB0C72"/>
    <w:rsid w:val="00FB0FAD"/>
    <w:rsid w:val="00FB109B"/>
    <w:rsid w:val="00FB12D1"/>
    <w:rsid w:val="00FB1631"/>
    <w:rsid w:val="00FB2229"/>
    <w:rsid w:val="00FB226B"/>
    <w:rsid w:val="00FB236D"/>
    <w:rsid w:val="00FB273A"/>
    <w:rsid w:val="00FB2A73"/>
    <w:rsid w:val="00FB2C5C"/>
    <w:rsid w:val="00FB2CC9"/>
    <w:rsid w:val="00FB2D6D"/>
    <w:rsid w:val="00FB2D9F"/>
    <w:rsid w:val="00FB2E08"/>
    <w:rsid w:val="00FB3459"/>
    <w:rsid w:val="00FB359F"/>
    <w:rsid w:val="00FB3811"/>
    <w:rsid w:val="00FB38E8"/>
    <w:rsid w:val="00FB3961"/>
    <w:rsid w:val="00FB3AB3"/>
    <w:rsid w:val="00FB3B23"/>
    <w:rsid w:val="00FB3BDE"/>
    <w:rsid w:val="00FB3C3D"/>
    <w:rsid w:val="00FB3D31"/>
    <w:rsid w:val="00FB3D3C"/>
    <w:rsid w:val="00FB4176"/>
    <w:rsid w:val="00FB425E"/>
    <w:rsid w:val="00FB46A5"/>
    <w:rsid w:val="00FB4822"/>
    <w:rsid w:val="00FB4B34"/>
    <w:rsid w:val="00FB4C1F"/>
    <w:rsid w:val="00FB4C30"/>
    <w:rsid w:val="00FB4CCD"/>
    <w:rsid w:val="00FB4D27"/>
    <w:rsid w:val="00FB5155"/>
    <w:rsid w:val="00FB5263"/>
    <w:rsid w:val="00FB5649"/>
    <w:rsid w:val="00FB5746"/>
    <w:rsid w:val="00FB59C7"/>
    <w:rsid w:val="00FB5B1A"/>
    <w:rsid w:val="00FB5D6D"/>
    <w:rsid w:val="00FB5EF8"/>
    <w:rsid w:val="00FB5FC0"/>
    <w:rsid w:val="00FB6523"/>
    <w:rsid w:val="00FB671F"/>
    <w:rsid w:val="00FB68D1"/>
    <w:rsid w:val="00FB6989"/>
    <w:rsid w:val="00FB698C"/>
    <w:rsid w:val="00FB6CA9"/>
    <w:rsid w:val="00FB6D15"/>
    <w:rsid w:val="00FB6EA5"/>
    <w:rsid w:val="00FB702F"/>
    <w:rsid w:val="00FB72B1"/>
    <w:rsid w:val="00FB7426"/>
    <w:rsid w:val="00FB79A8"/>
    <w:rsid w:val="00FB7AF3"/>
    <w:rsid w:val="00FB7FA1"/>
    <w:rsid w:val="00FC019E"/>
    <w:rsid w:val="00FC05A9"/>
    <w:rsid w:val="00FC05C1"/>
    <w:rsid w:val="00FC0A43"/>
    <w:rsid w:val="00FC0C02"/>
    <w:rsid w:val="00FC0CFF"/>
    <w:rsid w:val="00FC0F7D"/>
    <w:rsid w:val="00FC10C7"/>
    <w:rsid w:val="00FC117F"/>
    <w:rsid w:val="00FC11F0"/>
    <w:rsid w:val="00FC1435"/>
    <w:rsid w:val="00FC144D"/>
    <w:rsid w:val="00FC15EA"/>
    <w:rsid w:val="00FC1695"/>
    <w:rsid w:val="00FC1898"/>
    <w:rsid w:val="00FC1B19"/>
    <w:rsid w:val="00FC1FEF"/>
    <w:rsid w:val="00FC22A0"/>
    <w:rsid w:val="00FC22BF"/>
    <w:rsid w:val="00FC23DA"/>
    <w:rsid w:val="00FC247A"/>
    <w:rsid w:val="00FC24B3"/>
    <w:rsid w:val="00FC2769"/>
    <w:rsid w:val="00FC2984"/>
    <w:rsid w:val="00FC2B37"/>
    <w:rsid w:val="00FC2C6C"/>
    <w:rsid w:val="00FC2D04"/>
    <w:rsid w:val="00FC3069"/>
    <w:rsid w:val="00FC30ED"/>
    <w:rsid w:val="00FC3100"/>
    <w:rsid w:val="00FC3405"/>
    <w:rsid w:val="00FC34AF"/>
    <w:rsid w:val="00FC350D"/>
    <w:rsid w:val="00FC3548"/>
    <w:rsid w:val="00FC3954"/>
    <w:rsid w:val="00FC3BCA"/>
    <w:rsid w:val="00FC3D0F"/>
    <w:rsid w:val="00FC3FC9"/>
    <w:rsid w:val="00FC3FE7"/>
    <w:rsid w:val="00FC40A5"/>
    <w:rsid w:val="00FC40A7"/>
    <w:rsid w:val="00FC4385"/>
    <w:rsid w:val="00FC456E"/>
    <w:rsid w:val="00FC47E2"/>
    <w:rsid w:val="00FC493E"/>
    <w:rsid w:val="00FC4D4A"/>
    <w:rsid w:val="00FC4F76"/>
    <w:rsid w:val="00FC5127"/>
    <w:rsid w:val="00FC51F7"/>
    <w:rsid w:val="00FC5323"/>
    <w:rsid w:val="00FC54F2"/>
    <w:rsid w:val="00FC56B8"/>
    <w:rsid w:val="00FC5726"/>
    <w:rsid w:val="00FC598F"/>
    <w:rsid w:val="00FC5BD2"/>
    <w:rsid w:val="00FC5C0B"/>
    <w:rsid w:val="00FC5C89"/>
    <w:rsid w:val="00FC5E17"/>
    <w:rsid w:val="00FC6067"/>
    <w:rsid w:val="00FC60C4"/>
    <w:rsid w:val="00FC625B"/>
    <w:rsid w:val="00FC645C"/>
    <w:rsid w:val="00FC66AB"/>
    <w:rsid w:val="00FC6734"/>
    <w:rsid w:val="00FC6777"/>
    <w:rsid w:val="00FC67EE"/>
    <w:rsid w:val="00FC6AB5"/>
    <w:rsid w:val="00FC6B73"/>
    <w:rsid w:val="00FC6C57"/>
    <w:rsid w:val="00FC6D3D"/>
    <w:rsid w:val="00FC6EEA"/>
    <w:rsid w:val="00FC7021"/>
    <w:rsid w:val="00FC73A7"/>
    <w:rsid w:val="00FC7483"/>
    <w:rsid w:val="00FC749A"/>
    <w:rsid w:val="00FC7507"/>
    <w:rsid w:val="00FC751D"/>
    <w:rsid w:val="00FC7669"/>
    <w:rsid w:val="00FC76A8"/>
    <w:rsid w:val="00FC780B"/>
    <w:rsid w:val="00FC781F"/>
    <w:rsid w:val="00FC78A6"/>
    <w:rsid w:val="00FC79ED"/>
    <w:rsid w:val="00FC7A0C"/>
    <w:rsid w:val="00FC7D6B"/>
    <w:rsid w:val="00FD015C"/>
    <w:rsid w:val="00FD02E4"/>
    <w:rsid w:val="00FD0455"/>
    <w:rsid w:val="00FD065C"/>
    <w:rsid w:val="00FD0740"/>
    <w:rsid w:val="00FD0A0D"/>
    <w:rsid w:val="00FD0A76"/>
    <w:rsid w:val="00FD0D15"/>
    <w:rsid w:val="00FD0FF0"/>
    <w:rsid w:val="00FD10D3"/>
    <w:rsid w:val="00FD1149"/>
    <w:rsid w:val="00FD195C"/>
    <w:rsid w:val="00FD1A02"/>
    <w:rsid w:val="00FD1CF6"/>
    <w:rsid w:val="00FD1D57"/>
    <w:rsid w:val="00FD1E05"/>
    <w:rsid w:val="00FD20A7"/>
    <w:rsid w:val="00FD21BD"/>
    <w:rsid w:val="00FD227B"/>
    <w:rsid w:val="00FD2376"/>
    <w:rsid w:val="00FD2429"/>
    <w:rsid w:val="00FD24F7"/>
    <w:rsid w:val="00FD2563"/>
    <w:rsid w:val="00FD262A"/>
    <w:rsid w:val="00FD2860"/>
    <w:rsid w:val="00FD2A08"/>
    <w:rsid w:val="00FD2A3D"/>
    <w:rsid w:val="00FD2A61"/>
    <w:rsid w:val="00FD2BE2"/>
    <w:rsid w:val="00FD2BFF"/>
    <w:rsid w:val="00FD2D12"/>
    <w:rsid w:val="00FD2D18"/>
    <w:rsid w:val="00FD2EC8"/>
    <w:rsid w:val="00FD3131"/>
    <w:rsid w:val="00FD315D"/>
    <w:rsid w:val="00FD3281"/>
    <w:rsid w:val="00FD33F3"/>
    <w:rsid w:val="00FD35D0"/>
    <w:rsid w:val="00FD36E4"/>
    <w:rsid w:val="00FD383D"/>
    <w:rsid w:val="00FD3890"/>
    <w:rsid w:val="00FD3B79"/>
    <w:rsid w:val="00FD3BC0"/>
    <w:rsid w:val="00FD3D65"/>
    <w:rsid w:val="00FD3E91"/>
    <w:rsid w:val="00FD3EB0"/>
    <w:rsid w:val="00FD3EFD"/>
    <w:rsid w:val="00FD4396"/>
    <w:rsid w:val="00FD4513"/>
    <w:rsid w:val="00FD46B4"/>
    <w:rsid w:val="00FD4710"/>
    <w:rsid w:val="00FD4847"/>
    <w:rsid w:val="00FD490D"/>
    <w:rsid w:val="00FD52D2"/>
    <w:rsid w:val="00FD5894"/>
    <w:rsid w:val="00FD5CF5"/>
    <w:rsid w:val="00FD5D5A"/>
    <w:rsid w:val="00FD5F65"/>
    <w:rsid w:val="00FD655D"/>
    <w:rsid w:val="00FD6A75"/>
    <w:rsid w:val="00FD6F08"/>
    <w:rsid w:val="00FD6F2E"/>
    <w:rsid w:val="00FD6FFB"/>
    <w:rsid w:val="00FD70BF"/>
    <w:rsid w:val="00FD70D2"/>
    <w:rsid w:val="00FD71BB"/>
    <w:rsid w:val="00FD729C"/>
    <w:rsid w:val="00FD7548"/>
    <w:rsid w:val="00FD759E"/>
    <w:rsid w:val="00FD7658"/>
    <w:rsid w:val="00FD771E"/>
    <w:rsid w:val="00FD7C39"/>
    <w:rsid w:val="00FD7D7D"/>
    <w:rsid w:val="00FE0135"/>
    <w:rsid w:val="00FE019E"/>
    <w:rsid w:val="00FE0409"/>
    <w:rsid w:val="00FE0952"/>
    <w:rsid w:val="00FE13C7"/>
    <w:rsid w:val="00FE14CF"/>
    <w:rsid w:val="00FE14F8"/>
    <w:rsid w:val="00FE15A9"/>
    <w:rsid w:val="00FE1693"/>
    <w:rsid w:val="00FE1A2D"/>
    <w:rsid w:val="00FE1CE1"/>
    <w:rsid w:val="00FE1ED6"/>
    <w:rsid w:val="00FE1FA5"/>
    <w:rsid w:val="00FE2028"/>
    <w:rsid w:val="00FE212D"/>
    <w:rsid w:val="00FE21A2"/>
    <w:rsid w:val="00FE22AA"/>
    <w:rsid w:val="00FE2385"/>
    <w:rsid w:val="00FE23C7"/>
    <w:rsid w:val="00FE2AC6"/>
    <w:rsid w:val="00FE31E3"/>
    <w:rsid w:val="00FE33F1"/>
    <w:rsid w:val="00FE37F0"/>
    <w:rsid w:val="00FE3884"/>
    <w:rsid w:val="00FE3A73"/>
    <w:rsid w:val="00FE3BBC"/>
    <w:rsid w:val="00FE409E"/>
    <w:rsid w:val="00FE4238"/>
    <w:rsid w:val="00FE42F2"/>
    <w:rsid w:val="00FE43DF"/>
    <w:rsid w:val="00FE4439"/>
    <w:rsid w:val="00FE46C7"/>
    <w:rsid w:val="00FE472E"/>
    <w:rsid w:val="00FE4CBF"/>
    <w:rsid w:val="00FE4D20"/>
    <w:rsid w:val="00FE4EDF"/>
    <w:rsid w:val="00FE508F"/>
    <w:rsid w:val="00FE50BB"/>
    <w:rsid w:val="00FE511C"/>
    <w:rsid w:val="00FE518C"/>
    <w:rsid w:val="00FE5325"/>
    <w:rsid w:val="00FE5336"/>
    <w:rsid w:val="00FE53A0"/>
    <w:rsid w:val="00FE5448"/>
    <w:rsid w:val="00FE54EF"/>
    <w:rsid w:val="00FE5655"/>
    <w:rsid w:val="00FE5ADE"/>
    <w:rsid w:val="00FE5CE2"/>
    <w:rsid w:val="00FE5E2A"/>
    <w:rsid w:val="00FE60F2"/>
    <w:rsid w:val="00FE6105"/>
    <w:rsid w:val="00FE6281"/>
    <w:rsid w:val="00FE629B"/>
    <w:rsid w:val="00FE6825"/>
    <w:rsid w:val="00FE6E94"/>
    <w:rsid w:val="00FE72B7"/>
    <w:rsid w:val="00FE7325"/>
    <w:rsid w:val="00FE7424"/>
    <w:rsid w:val="00FE755C"/>
    <w:rsid w:val="00FE7665"/>
    <w:rsid w:val="00FE774A"/>
    <w:rsid w:val="00FE77B0"/>
    <w:rsid w:val="00FE7870"/>
    <w:rsid w:val="00FE7943"/>
    <w:rsid w:val="00FE7ACA"/>
    <w:rsid w:val="00FE7B66"/>
    <w:rsid w:val="00FE7FF2"/>
    <w:rsid w:val="00FF002B"/>
    <w:rsid w:val="00FF00CB"/>
    <w:rsid w:val="00FF00FE"/>
    <w:rsid w:val="00FF0141"/>
    <w:rsid w:val="00FF03FF"/>
    <w:rsid w:val="00FF040E"/>
    <w:rsid w:val="00FF0485"/>
    <w:rsid w:val="00FF0860"/>
    <w:rsid w:val="00FF08FA"/>
    <w:rsid w:val="00FF0AAF"/>
    <w:rsid w:val="00FF0AFC"/>
    <w:rsid w:val="00FF0C86"/>
    <w:rsid w:val="00FF0C90"/>
    <w:rsid w:val="00FF0E37"/>
    <w:rsid w:val="00FF13B3"/>
    <w:rsid w:val="00FF1514"/>
    <w:rsid w:val="00FF1594"/>
    <w:rsid w:val="00FF1747"/>
    <w:rsid w:val="00FF1994"/>
    <w:rsid w:val="00FF1B6B"/>
    <w:rsid w:val="00FF1C2A"/>
    <w:rsid w:val="00FF1D45"/>
    <w:rsid w:val="00FF1FEB"/>
    <w:rsid w:val="00FF2174"/>
    <w:rsid w:val="00FF2493"/>
    <w:rsid w:val="00FF289D"/>
    <w:rsid w:val="00FF2A03"/>
    <w:rsid w:val="00FF2BAB"/>
    <w:rsid w:val="00FF2D56"/>
    <w:rsid w:val="00FF2F2E"/>
    <w:rsid w:val="00FF30B4"/>
    <w:rsid w:val="00FF31ED"/>
    <w:rsid w:val="00FF3385"/>
    <w:rsid w:val="00FF35A3"/>
    <w:rsid w:val="00FF377F"/>
    <w:rsid w:val="00FF3797"/>
    <w:rsid w:val="00FF3972"/>
    <w:rsid w:val="00FF41AC"/>
    <w:rsid w:val="00FF454A"/>
    <w:rsid w:val="00FF47AF"/>
    <w:rsid w:val="00FF47D4"/>
    <w:rsid w:val="00FF4CAC"/>
    <w:rsid w:val="00FF4CCB"/>
    <w:rsid w:val="00FF4EFB"/>
    <w:rsid w:val="00FF5304"/>
    <w:rsid w:val="00FF5310"/>
    <w:rsid w:val="00FF557D"/>
    <w:rsid w:val="00FF5703"/>
    <w:rsid w:val="00FF5CD4"/>
    <w:rsid w:val="00FF6055"/>
    <w:rsid w:val="00FF6453"/>
    <w:rsid w:val="00FF650C"/>
    <w:rsid w:val="00FF653F"/>
    <w:rsid w:val="00FF6865"/>
    <w:rsid w:val="00FF68EC"/>
    <w:rsid w:val="00FF6989"/>
    <w:rsid w:val="00FF6A42"/>
    <w:rsid w:val="00FF6C19"/>
    <w:rsid w:val="00FF6D96"/>
    <w:rsid w:val="00FF6E76"/>
    <w:rsid w:val="00FF7294"/>
    <w:rsid w:val="00FF72F9"/>
    <w:rsid w:val="00FF74AB"/>
    <w:rsid w:val="00FF7567"/>
    <w:rsid w:val="00FF76F5"/>
    <w:rsid w:val="00FF7BF6"/>
    <w:rsid w:val="00FF7D04"/>
    <w:rsid w:val="00FF7F36"/>
    <w:rsid w:val="013A6F99"/>
    <w:rsid w:val="013CA19D"/>
    <w:rsid w:val="013CC88A"/>
    <w:rsid w:val="0166D4AF"/>
    <w:rsid w:val="0176FE29"/>
    <w:rsid w:val="0178FB4A"/>
    <w:rsid w:val="0183A2D6"/>
    <w:rsid w:val="018B80E4"/>
    <w:rsid w:val="01C95135"/>
    <w:rsid w:val="01DDE22B"/>
    <w:rsid w:val="01F4CEA2"/>
    <w:rsid w:val="0201596C"/>
    <w:rsid w:val="021172E4"/>
    <w:rsid w:val="02199586"/>
    <w:rsid w:val="0221F6C0"/>
    <w:rsid w:val="0245D2B2"/>
    <w:rsid w:val="025532CD"/>
    <w:rsid w:val="0258E7AE"/>
    <w:rsid w:val="02597262"/>
    <w:rsid w:val="026886E5"/>
    <w:rsid w:val="026A796E"/>
    <w:rsid w:val="0271A43A"/>
    <w:rsid w:val="02C19AA8"/>
    <w:rsid w:val="02E1E69F"/>
    <w:rsid w:val="02E9F148"/>
    <w:rsid w:val="03118CF2"/>
    <w:rsid w:val="031A5C46"/>
    <w:rsid w:val="032FE3C8"/>
    <w:rsid w:val="03793D73"/>
    <w:rsid w:val="037B1291"/>
    <w:rsid w:val="03C4A463"/>
    <w:rsid w:val="03CE18BA"/>
    <w:rsid w:val="03FD0732"/>
    <w:rsid w:val="03FD1676"/>
    <w:rsid w:val="040C89C8"/>
    <w:rsid w:val="041246E1"/>
    <w:rsid w:val="041B4976"/>
    <w:rsid w:val="043C6686"/>
    <w:rsid w:val="04566FB5"/>
    <w:rsid w:val="04581E96"/>
    <w:rsid w:val="04590285"/>
    <w:rsid w:val="0475942D"/>
    <w:rsid w:val="047D9335"/>
    <w:rsid w:val="04842791"/>
    <w:rsid w:val="0485B515"/>
    <w:rsid w:val="04941915"/>
    <w:rsid w:val="04A481E0"/>
    <w:rsid w:val="04A94549"/>
    <w:rsid w:val="04BE887E"/>
    <w:rsid w:val="04F63928"/>
    <w:rsid w:val="0508DFEB"/>
    <w:rsid w:val="05106D66"/>
    <w:rsid w:val="055BFE13"/>
    <w:rsid w:val="0570657D"/>
    <w:rsid w:val="057CFFFA"/>
    <w:rsid w:val="059E11AF"/>
    <w:rsid w:val="05A523C8"/>
    <w:rsid w:val="05B9D0FF"/>
    <w:rsid w:val="05BBEE86"/>
    <w:rsid w:val="05BE7C79"/>
    <w:rsid w:val="05C38D9C"/>
    <w:rsid w:val="05FDD491"/>
    <w:rsid w:val="06129FB0"/>
    <w:rsid w:val="0613A858"/>
    <w:rsid w:val="062DB060"/>
    <w:rsid w:val="06450E00"/>
    <w:rsid w:val="064BD556"/>
    <w:rsid w:val="06630368"/>
    <w:rsid w:val="0671F6B5"/>
    <w:rsid w:val="068B3431"/>
    <w:rsid w:val="069B9B0D"/>
    <w:rsid w:val="06BB8C20"/>
    <w:rsid w:val="06BF14FB"/>
    <w:rsid w:val="06DC4EC5"/>
    <w:rsid w:val="06E22332"/>
    <w:rsid w:val="07154658"/>
    <w:rsid w:val="0719F53B"/>
    <w:rsid w:val="072CA60A"/>
    <w:rsid w:val="07544A49"/>
    <w:rsid w:val="07713ED8"/>
    <w:rsid w:val="07796199"/>
    <w:rsid w:val="0783FDF1"/>
    <w:rsid w:val="0787B857"/>
    <w:rsid w:val="07ABAB2E"/>
    <w:rsid w:val="07BC6B47"/>
    <w:rsid w:val="07BCE5FD"/>
    <w:rsid w:val="07C76D49"/>
    <w:rsid w:val="081F959E"/>
    <w:rsid w:val="0827D78D"/>
    <w:rsid w:val="0881E1C5"/>
    <w:rsid w:val="088F6425"/>
    <w:rsid w:val="089936E2"/>
    <w:rsid w:val="08AEA7ED"/>
    <w:rsid w:val="08AEAFA5"/>
    <w:rsid w:val="08B21337"/>
    <w:rsid w:val="08B8076D"/>
    <w:rsid w:val="08DC7706"/>
    <w:rsid w:val="090B0F27"/>
    <w:rsid w:val="090CD342"/>
    <w:rsid w:val="091A7617"/>
    <w:rsid w:val="093B9897"/>
    <w:rsid w:val="095298EE"/>
    <w:rsid w:val="098814DA"/>
    <w:rsid w:val="0989DE0B"/>
    <w:rsid w:val="099EB5EB"/>
    <w:rsid w:val="09A5CC31"/>
    <w:rsid w:val="09A74639"/>
    <w:rsid w:val="09B94FC5"/>
    <w:rsid w:val="0A01C092"/>
    <w:rsid w:val="0A02324C"/>
    <w:rsid w:val="0A0FD98F"/>
    <w:rsid w:val="0A325D10"/>
    <w:rsid w:val="0A48FA9B"/>
    <w:rsid w:val="0A570AC3"/>
    <w:rsid w:val="0A68F1EB"/>
    <w:rsid w:val="0A8B135F"/>
    <w:rsid w:val="0A8E0757"/>
    <w:rsid w:val="0A946A93"/>
    <w:rsid w:val="0A98811A"/>
    <w:rsid w:val="0A9B15D8"/>
    <w:rsid w:val="0AB8CD99"/>
    <w:rsid w:val="0AC0EC4F"/>
    <w:rsid w:val="0AC732F6"/>
    <w:rsid w:val="0AD7BF46"/>
    <w:rsid w:val="0B0143BF"/>
    <w:rsid w:val="0B18583A"/>
    <w:rsid w:val="0B5CD2E0"/>
    <w:rsid w:val="0B670F74"/>
    <w:rsid w:val="0B78C900"/>
    <w:rsid w:val="0BB912A9"/>
    <w:rsid w:val="0BF9A211"/>
    <w:rsid w:val="0BFB5125"/>
    <w:rsid w:val="0C0D2947"/>
    <w:rsid w:val="0C2152C5"/>
    <w:rsid w:val="0C26E8BE"/>
    <w:rsid w:val="0C364D11"/>
    <w:rsid w:val="0C385AE7"/>
    <w:rsid w:val="0C3C204A"/>
    <w:rsid w:val="0C3CA18F"/>
    <w:rsid w:val="0C3D375E"/>
    <w:rsid w:val="0C5D6E6E"/>
    <w:rsid w:val="0C664FA6"/>
    <w:rsid w:val="0C8F2F9E"/>
    <w:rsid w:val="0CA48E48"/>
    <w:rsid w:val="0CB50093"/>
    <w:rsid w:val="0CBBBC1B"/>
    <w:rsid w:val="0CC400C5"/>
    <w:rsid w:val="0CDBB728"/>
    <w:rsid w:val="0D033375"/>
    <w:rsid w:val="0D26C148"/>
    <w:rsid w:val="0D2F3197"/>
    <w:rsid w:val="0D41EE3B"/>
    <w:rsid w:val="0D4261D0"/>
    <w:rsid w:val="0D42980B"/>
    <w:rsid w:val="0D45A865"/>
    <w:rsid w:val="0D47B6F2"/>
    <w:rsid w:val="0D7055D1"/>
    <w:rsid w:val="0D7B7DAC"/>
    <w:rsid w:val="0D9A6FCE"/>
    <w:rsid w:val="0DB03C90"/>
    <w:rsid w:val="0DB0738D"/>
    <w:rsid w:val="0DFF2FAC"/>
    <w:rsid w:val="0E076EE0"/>
    <w:rsid w:val="0E0A3400"/>
    <w:rsid w:val="0E0B2B43"/>
    <w:rsid w:val="0E26BC24"/>
    <w:rsid w:val="0E2AC9E3"/>
    <w:rsid w:val="0E311465"/>
    <w:rsid w:val="0E33A5E7"/>
    <w:rsid w:val="0E6B24E7"/>
    <w:rsid w:val="0E861A03"/>
    <w:rsid w:val="0EA2282B"/>
    <w:rsid w:val="0EC4CE09"/>
    <w:rsid w:val="0EF16A38"/>
    <w:rsid w:val="0F17AD96"/>
    <w:rsid w:val="0F1F1A2B"/>
    <w:rsid w:val="0F290E38"/>
    <w:rsid w:val="0F36E9C3"/>
    <w:rsid w:val="0F4BCDEB"/>
    <w:rsid w:val="0F5246CC"/>
    <w:rsid w:val="0F578AA4"/>
    <w:rsid w:val="0FA435E3"/>
    <w:rsid w:val="0FDBAD4F"/>
    <w:rsid w:val="0FFABC4D"/>
    <w:rsid w:val="1032B843"/>
    <w:rsid w:val="1046C28F"/>
    <w:rsid w:val="1052EEE7"/>
    <w:rsid w:val="106DAE59"/>
    <w:rsid w:val="10ADF2F9"/>
    <w:rsid w:val="10B15F20"/>
    <w:rsid w:val="10CADCCB"/>
    <w:rsid w:val="10E081F2"/>
    <w:rsid w:val="1120838C"/>
    <w:rsid w:val="113B1E1E"/>
    <w:rsid w:val="114C182C"/>
    <w:rsid w:val="116D8E08"/>
    <w:rsid w:val="116EE013"/>
    <w:rsid w:val="117345D8"/>
    <w:rsid w:val="11965A4B"/>
    <w:rsid w:val="119D1549"/>
    <w:rsid w:val="11A24166"/>
    <w:rsid w:val="11A6344D"/>
    <w:rsid w:val="11DA0B10"/>
    <w:rsid w:val="11E7F16B"/>
    <w:rsid w:val="11FA30E7"/>
    <w:rsid w:val="120AF26D"/>
    <w:rsid w:val="1211FB9E"/>
    <w:rsid w:val="121B946E"/>
    <w:rsid w:val="1226C366"/>
    <w:rsid w:val="123AC8BE"/>
    <w:rsid w:val="124C3EA6"/>
    <w:rsid w:val="126BA1C8"/>
    <w:rsid w:val="127900AA"/>
    <w:rsid w:val="12D58E0E"/>
    <w:rsid w:val="12ECB106"/>
    <w:rsid w:val="12F1FBDF"/>
    <w:rsid w:val="12FD285A"/>
    <w:rsid w:val="13100A95"/>
    <w:rsid w:val="131BF1FF"/>
    <w:rsid w:val="13279EE8"/>
    <w:rsid w:val="1346EC37"/>
    <w:rsid w:val="13593004"/>
    <w:rsid w:val="1363D182"/>
    <w:rsid w:val="13A3E5BC"/>
    <w:rsid w:val="13F549F2"/>
    <w:rsid w:val="13FF1E68"/>
    <w:rsid w:val="14010952"/>
    <w:rsid w:val="1405BA59"/>
    <w:rsid w:val="14080848"/>
    <w:rsid w:val="140CE07F"/>
    <w:rsid w:val="141EF1D0"/>
    <w:rsid w:val="14466536"/>
    <w:rsid w:val="1455FC11"/>
    <w:rsid w:val="145FD1F4"/>
    <w:rsid w:val="1467203B"/>
    <w:rsid w:val="1484A626"/>
    <w:rsid w:val="148773D0"/>
    <w:rsid w:val="14F54BEA"/>
    <w:rsid w:val="150E6784"/>
    <w:rsid w:val="15143D2D"/>
    <w:rsid w:val="15217EBD"/>
    <w:rsid w:val="15294528"/>
    <w:rsid w:val="152BA022"/>
    <w:rsid w:val="154927E2"/>
    <w:rsid w:val="155865E4"/>
    <w:rsid w:val="1578750D"/>
    <w:rsid w:val="15942E2C"/>
    <w:rsid w:val="15B963A4"/>
    <w:rsid w:val="15F232B1"/>
    <w:rsid w:val="16343BF0"/>
    <w:rsid w:val="163DF6EF"/>
    <w:rsid w:val="163E8CDA"/>
    <w:rsid w:val="164D2587"/>
    <w:rsid w:val="1695B136"/>
    <w:rsid w:val="16AEAF94"/>
    <w:rsid w:val="16D02101"/>
    <w:rsid w:val="16D73F6A"/>
    <w:rsid w:val="16DC89E1"/>
    <w:rsid w:val="16E2AED6"/>
    <w:rsid w:val="16E4CBAB"/>
    <w:rsid w:val="16EA690C"/>
    <w:rsid w:val="16EB847D"/>
    <w:rsid w:val="16FFD099"/>
    <w:rsid w:val="1705DB94"/>
    <w:rsid w:val="1711ECD6"/>
    <w:rsid w:val="1712F53B"/>
    <w:rsid w:val="173F5D16"/>
    <w:rsid w:val="175B2994"/>
    <w:rsid w:val="1772B96D"/>
    <w:rsid w:val="17829FB0"/>
    <w:rsid w:val="17B881FE"/>
    <w:rsid w:val="17FD1AF8"/>
    <w:rsid w:val="18066DFC"/>
    <w:rsid w:val="181B329E"/>
    <w:rsid w:val="183CFAC8"/>
    <w:rsid w:val="1845CAE8"/>
    <w:rsid w:val="18641495"/>
    <w:rsid w:val="1889B7DA"/>
    <w:rsid w:val="1899A7CD"/>
    <w:rsid w:val="18A169DF"/>
    <w:rsid w:val="18AD37BA"/>
    <w:rsid w:val="18B7817A"/>
    <w:rsid w:val="18BB4E4A"/>
    <w:rsid w:val="18EFCFB5"/>
    <w:rsid w:val="18F06D1D"/>
    <w:rsid w:val="190286AA"/>
    <w:rsid w:val="191068ED"/>
    <w:rsid w:val="1911E2F0"/>
    <w:rsid w:val="192D56FD"/>
    <w:rsid w:val="19381A27"/>
    <w:rsid w:val="195BBC1F"/>
    <w:rsid w:val="198DBCAF"/>
    <w:rsid w:val="1996B4D3"/>
    <w:rsid w:val="19A08CA4"/>
    <w:rsid w:val="19ADA23E"/>
    <w:rsid w:val="19BAF7C8"/>
    <w:rsid w:val="19CF882E"/>
    <w:rsid w:val="19D4DEF7"/>
    <w:rsid w:val="19EEE39C"/>
    <w:rsid w:val="19FCA411"/>
    <w:rsid w:val="1A16A970"/>
    <w:rsid w:val="1A22F71F"/>
    <w:rsid w:val="1A63FA21"/>
    <w:rsid w:val="1A7C6B41"/>
    <w:rsid w:val="1A890995"/>
    <w:rsid w:val="1A9896C6"/>
    <w:rsid w:val="1AA95F3D"/>
    <w:rsid w:val="1ABA3903"/>
    <w:rsid w:val="1AC407FE"/>
    <w:rsid w:val="1AD041D6"/>
    <w:rsid w:val="1B4E5067"/>
    <w:rsid w:val="1B6829E3"/>
    <w:rsid w:val="1B76CA4E"/>
    <w:rsid w:val="1B79E587"/>
    <w:rsid w:val="1B8DC78E"/>
    <w:rsid w:val="1BA9C9DA"/>
    <w:rsid w:val="1BB095E4"/>
    <w:rsid w:val="1BBEC17D"/>
    <w:rsid w:val="1BC8235E"/>
    <w:rsid w:val="1BEC93DC"/>
    <w:rsid w:val="1BED1165"/>
    <w:rsid w:val="1BFC5D73"/>
    <w:rsid w:val="1BFE3EDB"/>
    <w:rsid w:val="1C11B9E1"/>
    <w:rsid w:val="1C37C220"/>
    <w:rsid w:val="1C419D44"/>
    <w:rsid w:val="1C550E02"/>
    <w:rsid w:val="1C5F3651"/>
    <w:rsid w:val="1CB5E718"/>
    <w:rsid w:val="1CE0D2B0"/>
    <w:rsid w:val="1D32FC67"/>
    <w:rsid w:val="1D4689D0"/>
    <w:rsid w:val="1D4A0255"/>
    <w:rsid w:val="1D642C4D"/>
    <w:rsid w:val="1D708C99"/>
    <w:rsid w:val="1D72CA2F"/>
    <w:rsid w:val="1D80D68F"/>
    <w:rsid w:val="1D8497F7"/>
    <w:rsid w:val="1DA300F2"/>
    <w:rsid w:val="1DA9A652"/>
    <w:rsid w:val="1E13ABC0"/>
    <w:rsid w:val="1E531710"/>
    <w:rsid w:val="1EA91BAC"/>
    <w:rsid w:val="1EACA164"/>
    <w:rsid w:val="1EBCA7A5"/>
    <w:rsid w:val="1F0C1A1C"/>
    <w:rsid w:val="1F12C81A"/>
    <w:rsid w:val="1F17B770"/>
    <w:rsid w:val="1F17FC36"/>
    <w:rsid w:val="1F3EA866"/>
    <w:rsid w:val="1F55489E"/>
    <w:rsid w:val="1F7A59D3"/>
    <w:rsid w:val="1F9AC277"/>
    <w:rsid w:val="1FCE511E"/>
    <w:rsid w:val="1FD92DDA"/>
    <w:rsid w:val="1FFCA7CD"/>
    <w:rsid w:val="2033046E"/>
    <w:rsid w:val="20728FAF"/>
    <w:rsid w:val="208C1C2F"/>
    <w:rsid w:val="208C7A14"/>
    <w:rsid w:val="2093D048"/>
    <w:rsid w:val="209D0864"/>
    <w:rsid w:val="20EF8500"/>
    <w:rsid w:val="20F7B8ED"/>
    <w:rsid w:val="20FFD4D5"/>
    <w:rsid w:val="2105CF69"/>
    <w:rsid w:val="21068263"/>
    <w:rsid w:val="2108B52E"/>
    <w:rsid w:val="21412ABC"/>
    <w:rsid w:val="21495E45"/>
    <w:rsid w:val="2162FCEB"/>
    <w:rsid w:val="219854CD"/>
    <w:rsid w:val="21AD14E7"/>
    <w:rsid w:val="2225261B"/>
    <w:rsid w:val="222CDB83"/>
    <w:rsid w:val="2232443A"/>
    <w:rsid w:val="22530AD0"/>
    <w:rsid w:val="2258D701"/>
    <w:rsid w:val="2266607F"/>
    <w:rsid w:val="2273494C"/>
    <w:rsid w:val="2275A0E9"/>
    <w:rsid w:val="22850502"/>
    <w:rsid w:val="2286C09D"/>
    <w:rsid w:val="229F4881"/>
    <w:rsid w:val="22AD0347"/>
    <w:rsid w:val="22AE52D2"/>
    <w:rsid w:val="22EF75F3"/>
    <w:rsid w:val="233716A8"/>
    <w:rsid w:val="23419464"/>
    <w:rsid w:val="235B2EC6"/>
    <w:rsid w:val="23677C02"/>
    <w:rsid w:val="2368DF8D"/>
    <w:rsid w:val="237372EF"/>
    <w:rsid w:val="239921F3"/>
    <w:rsid w:val="239B66B4"/>
    <w:rsid w:val="23DB51B9"/>
    <w:rsid w:val="23E32348"/>
    <w:rsid w:val="240AAEC7"/>
    <w:rsid w:val="2411E911"/>
    <w:rsid w:val="242B6C7F"/>
    <w:rsid w:val="247DBBD1"/>
    <w:rsid w:val="248FA965"/>
    <w:rsid w:val="24B326FB"/>
    <w:rsid w:val="24BE3751"/>
    <w:rsid w:val="24DC6707"/>
    <w:rsid w:val="24DFBE9F"/>
    <w:rsid w:val="24F290EE"/>
    <w:rsid w:val="2511C590"/>
    <w:rsid w:val="252CE132"/>
    <w:rsid w:val="252DF80F"/>
    <w:rsid w:val="2549C942"/>
    <w:rsid w:val="256CEACC"/>
    <w:rsid w:val="2576110D"/>
    <w:rsid w:val="257800A4"/>
    <w:rsid w:val="257F4518"/>
    <w:rsid w:val="25B723A4"/>
    <w:rsid w:val="25BFDB54"/>
    <w:rsid w:val="25EC8133"/>
    <w:rsid w:val="26097C36"/>
    <w:rsid w:val="26159E95"/>
    <w:rsid w:val="2616F4BF"/>
    <w:rsid w:val="26279B6F"/>
    <w:rsid w:val="263F5868"/>
    <w:rsid w:val="2651299C"/>
    <w:rsid w:val="266F28C6"/>
    <w:rsid w:val="26700A84"/>
    <w:rsid w:val="26789DA6"/>
    <w:rsid w:val="2683E343"/>
    <w:rsid w:val="26A714AF"/>
    <w:rsid w:val="26A87A76"/>
    <w:rsid w:val="26AE4F85"/>
    <w:rsid w:val="26CEAE4B"/>
    <w:rsid w:val="26F71DB1"/>
    <w:rsid w:val="2722760E"/>
    <w:rsid w:val="273B266E"/>
    <w:rsid w:val="2755E9CD"/>
    <w:rsid w:val="275BCDFE"/>
    <w:rsid w:val="275CB2BF"/>
    <w:rsid w:val="2766CF5B"/>
    <w:rsid w:val="278691D4"/>
    <w:rsid w:val="27887599"/>
    <w:rsid w:val="278D4875"/>
    <w:rsid w:val="27998C4A"/>
    <w:rsid w:val="279D0F24"/>
    <w:rsid w:val="27AEED57"/>
    <w:rsid w:val="27AF4A1E"/>
    <w:rsid w:val="280D7E27"/>
    <w:rsid w:val="281E591C"/>
    <w:rsid w:val="281FEBD3"/>
    <w:rsid w:val="2825A68F"/>
    <w:rsid w:val="285198F9"/>
    <w:rsid w:val="28545042"/>
    <w:rsid w:val="285E17C0"/>
    <w:rsid w:val="28727C25"/>
    <w:rsid w:val="287A8D7D"/>
    <w:rsid w:val="287BE6D1"/>
    <w:rsid w:val="288F0304"/>
    <w:rsid w:val="28AE2C97"/>
    <w:rsid w:val="28E6B14F"/>
    <w:rsid w:val="28FBD7FF"/>
    <w:rsid w:val="2946914B"/>
    <w:rsid w:val="297651C7"/>
    <w:rsid w:val="29904859"/>
    <w:rsid w:val="29ADC681"/>
    <w:rsid w:val="29C3B9AC"/>
    <w:rsid w:val="2A1C43E3"/>
    <w:rsid w:val="2A24F28E"/>
    <w:rsid w:val="2A4475A2"/>
    <w:rsid w:val="2A57F3B2"/>
    <w:rsid w:val="2A6196E3"/>
    <w:rsid w:val="2AAE59AB"/>
    <w:rsid w:val="2AB454A9"/>
    <w:rsid w:val="2ABC1760"/>
    <w:rsid w:val="2ABD39B5"/>
    <w:rsid w:val="2ADD3D94"/>
    <w:rsid w:val="2B17DE87"/>
    <w:rsid w:val="2B43F5D6"/>
    <w:rsid w:val="2B85A00A"/>
    <w:rsid w:val="2B8BDF60"/>
    <w:rsid w:val="2B963EE9"/>
    <w:rsid w:val="2BBC71D0"/>
    <w:rsid w:val="2BC2EE89"/>
    <w:rsid w:val="2BCA3819"/>
    <w:rsid w:val="2BD44FFC"/>
    <w:rsid w:val="2BE4ECF0"/>
    <w:rsid w:val="2C049283"/>
    <w:rsid w:val="2C148ACC"/>
    <w:rsid w:val="2C627474"/>
    <w:rsid w:val="2C69AB66"/>
    <w:rsid w:val="2C7A8DAD"/>
    <w:rsid w:val="2C82C045"/>
    <w:rsid w:val="2CA3541D"/>
    <w:rsid w:val="2CBCCB26"/>
    <w:rsid w:val="2CBD5904"/>
    <w:rsid w:val="2CE94FD6"/>
    <w:rsid w:val="2D03BD32"/>
    <w:rsid w:val="2D13280C"/>
    <w:rsid w:val="2D225326"/>
    <w:rsid w:val="2D2DE124"/>
    <w:rsid w:val="2D34CC1E"/>
    <w:rsid w:val="2D38AFD1"/>
    <w:rsid w:val="2D60D7F3"/>
    <w:rsid w:val="2D71050A"/>
    <w:rsid w:val="2D782275"/>
    <w:rsid w:val="2D867DE0"/>
    <w:rsid w:val="2D940AD6"/>
    <w:rsid w:val="2D94ED0D"/>
    <w:rsid w:val="2D9715C8"/>
    <w:rsid w:val="2E06F58A"/>
    <w:rsid w:val="2E1A32D5"/>
    <w:rsid w:val="2E4E4C21"/>
    <w:rsid w:val="2E52A278"/>
    <w:rsid w:val="2EC0C739"/>
    <w:rsid w:val="2EC531EC"/>
    <w:rsid w:val="2ECDFE8B"/>
    <w:rsid w:val="2ED971FE"/>
    <w:rsid w:val="2F10876C"/>
    <w:rsid w:val="2F1BACBB"/>
    <w:rsid w:val="2F26215F"/>
    <w:rsid w:val="2F5300AF"/>
    <w:rsid w:val="2F5A4AFC"/>
    <w:rsid w:val="2F7C3032"/>
    <w:rsid w:val="2FCEF954"/>
    <w:rsid w:val="2FD37CDB"/>
    <w:rsid w:val="2FF02FDE"/>
    <w:rsid w:val="301FDA98"/>
    <w:rsid w:val="3035A3EE"/>
    <w:rsid w:val="303D5DC0"/>
    <w:rsid w:val="304AF9F7"/>
    <w:rsid w:val="3056D9D5"/>
    <w:rsid w:val="30606143"/>
    <w:rsid w:val="3060F37B"/>
    <w:rsid w:val="3065CB7B"/>
    <w:rsid w:val="30AE797F"/>
    <w:rsid w:val="30B73F24"/>
    <w:rsid w:val="30B77522"/>
    <w:rsid w:val="30E2CBE6"/>
    <w:rsid w:val="30E90BD9"/>
    <w:rsid w:val="31321A74"/>
    <w:rsid w:val="3135EBF7"/>
    <w:rsid w:val="314A0513"/>
    <w:rsid w:val="315126D8"/>
    <w:rsid w:val="317094F5"/>
    <w:rsid w:val="317653BE"/>
    <w:rsid w:val="3182B562"/>
    <w:rsid w:val="3183BC85"/>
    <w:rsid w:val="31BD38F1"/>
    <w:rsid w:val="31C32084"/>
    <w:rsid w:val="3232807C"/>
    <w:rsid w:val="3245F6CB"/>
    <w:rsid w:val="328A1D81"/>
    <w:rsid w:val="32B13842"/>
    <w:rsid w:val="32E1EB0B"/>
    <w:rsid w:val="32E3F833"/>
    <w:rsid w:val="3321B04A"/>
    <w:rsid w:val="332A99A5"/>
    <w:rsid w:val="33356767"/>
    <w:rsid w:val="334667F0"/>
    <w:rsid w:val="335F4CC6"/>
    <w:rsid w:val="336E958C"/>
    <w:rsid w:val="337A3DAF"/>
    <w:rsid w:val="3396B343"/>
    <w:rsid w:val="33BC96BF"/>
    <w:rsid w:val="33C220FB"/>
    <w:rsid w:val="33D0F42D"/>
    <w:rsid w:val="33D90C96"/>
    <w:rsid w:val="33DCF5F6"/>
    <w:rsid w:val="33E2864E"/>
    <w:rsid w:val="33FE11AD"/>
    <w:rsid w:val="340E3288"/>
    <w:rsid w:val="341F3DEF"/>
    <w:rsid w:val="34251DEA"/>
    <w:rsid w:val="3461DAA1"/>
    <w:rsid w:val="34EA495B"/>
    <w:rsid w:val="34EE3536"/>
    <w:rsid w:val="34EE7FE5"/>
    <w:rsid w:val="34F59371"/>
    <w:rsid w:val="3507BB8C"/>
    <w:rsid w:val="353C3D25"/>
    <w:rsid w:val="3595223B"/>
    <w:rsid w:val="3599B792"/>
    <w:rsid w:val="359EF12A"/>
    <w:rsid w:val="35A7D745"/>
    <w:rsid w:val="35F0D92B"/>
    <w:rsid w:val="35F9CE1E"/>
    <w:rsid w:val="3606B57A"/>
    <w:rsid w:val="36303006"/>
    <w:rsid w:val="366DAE58"/>
    <w:rsid w:val="367C1A4A"/>
    <w:rsid w:val="36B545AA"/>
    <w:rsid w:val="3716B0A8"/>
    <w:rsid w:val="37211D9F"/>
    <w:rsid w:val="375C9399"/>
    <w:rsid w:val="37709CB9"/>
    <w:rsid w:val="3775CB92"/>
    <w:rsid w:val="37BF0B67"/>
    <w:rsid w:val="37E9CC97"/>
    <w:rsid w:val="37EF4BF3"/>
    <w:rsid w:val="37F85181"/>
    <w:rsid w:val="3802EF0D"/>
    <w:rsid w:val="380D1929"/>
    <w:rsid w:val="380EFCB3"/>
    <w:rsid w:val="3848B84C"/>
    <w:rsid w:val="385A6D9F"/>
    <w:rsid w:val="387F1843"/>
    <w:rsid w:val="38B13F69"/>
    <w:rsid w:val="38B98EAA"/>
    <w:rsid w:val="38BC96CE"/>
    <w:rsid w:val="39297BAE"/>
    <w:rsid w:val="392EA594"/>
    <w:rsid w:val="3946DB37"/>
    <w:rsid w:val="3949ECD1"/>
    <w:rsid w:val="39611BDC"/>
    <w:rsid w:val="3962D4DF"/>
    <w:rsid w:val="39716D11"/>
    <w:rsid w:val="3989D1BD"/>
    <w:rsid w:val="39987E6F"/>
    <w:rsid w:val="39AC58F2"/>
    <w:rsid w:val="39C2BAB2"/>
    <w:rsid w:val="39D96F08"/>
    <w:rsid w:val="39E2166E"/>
    <w:rsid w:val="39EE4ACF"/>
    <w:rsid w:val="3A037DE8"/>
    <w:rsid w:val="3A4D3A08"/>
    <w:rsid w:val="3A4DADCA"/>
    <w:rsid w:val="3A587CB4"/>
    <w:rsid w:val="3A661CEA"/>
    <w:rsid w:val="3AB6E270"/>
    <w:rsid w:val="3ACDAA20"/>
    <w:rsid w:val="3AFCDECC"/>
    <w:rsid w:val="3B1596DF"/>
    <w:rsid w:val="3B44E6AF"/>
    <w:rsid w:val="3B4FCEB8"/>
    <w:rsid w:val="3B8113A6"/>
    <w:rsid w:val="3B965888"/>
    <w:rsid w:val="3BA27075"/>
    <w:rsid w:val="3BCFA1E5"/>
    <w:rsid w:val="3BDAE8A2"/>
    <w:rsid w:val="3C276F64"/>
    <w:rsid w:val="3C413480"/>
    <w:rsid w:val="3C5DD10F"/>
    <w:rsid w:val="3C7357C7"/>
    <w:rsid w:val="3C8E0CA2"/>
    <w:rsid w:val="3CA52CF9"/>
    <w:rsid w:val="3CADF01F"/>
    <w:rsid w:val="3CC1C2F6"/>
    <w:rsid w:val="3CDB6C1C"/>
    <w:rsid w:val="3CDEC43A"/>
    <w:rsid w:val="3CE6158D"/>
    <w:rsid w:val="3CE6E8A5"/>
    <w:rsid w:val="3D15FA89"/>
    <w:rsid w:val="3D363FBB"/>
    <w:rsid w:val="3D469C0E"/>
    <w:rsid w:val="3D4E19A8"/>
    <w:rsid w:val="3D7D418A"/>
    <w:rsid w:val="3D88B621"/>
    <w:rsid w:val="3D9B84DF"/>
    <w:rsid w:val="3D9BE71A"/>
    <w:rsid w:val="3DA8826B"/>
    <w:rsid w:val="3DB3C1FB"/>
    <w:rsid w:val="3E226857"/>
    <w:rsid w:val="3E5ED511"/>
    <w:rsid w:val="3E63FCBA"/>
    <w:rsid w:val="3E64E621"/>
    <w:rsid w:val="3E750362"/>
    <w:rsid w:val="3E98310D"/>
    <w:rsid w:val="3E998EA9"/>
    <w:rsid w:val="3E9A3EF2"/>
    <w:rsid w:val="3EAF8664"/>
    <w:rsid w:val="3EB0006F"/>
    <w:rsid w:val="3ECB2A81"/>
    <w:rsid w:val="3ECB67FF"/>
    <w:rsid w:val="3ECFECB8"/>
    <w:rsid w:val="3EF54DFA"/>
    <w:rsid w:val="3EF89A38"/>
    <w:rsid w:val="3F241880"/>
    <w:rsid w:val="3F25E087"/>
    <w:rsid w:val="3F3A11C6"/>
    <w:rsid w:val="3F3E3A11"/>
    <w:rsid w:val="3F476420"/>
    <w:rsid w:val="3F905EA0"/>
    <w:rsid w:val="3F92BF0F"/>
    <w:rsid w:val="3F978D38"/>
    <w:rsid w:val="3FA05E0C"/>
    <w:rsid w:val="3FB28C1C"/>
    <w:rsid w:val="3FD0C1D9"/>
    <w:rsid w:val="40034499"/>
    <w:rsid w:val="4007A1F0"/>
    <w:rsid w:val="401D406F"/>
    <w:rsid w:val="4073AB51"/>
    <w:rsid w:val="4096A6E4"/>
    <w:rsid w:val="40A43722"/>
    <w:rsid w:val="40A6FF59"/>
    <w:rsid w:val="40A826FA"/>
    <w:rsid w:val="40C22F4A"/>
    <w:rsid w:val="40C4534D"/>
    <w:rsid w:val="40CB8A47"/>
    <w:rsid w:val="40CD6729"/>
    <w:rsid w:val="40D0103D"/>
    <w:rsid w:val="40D74C78"/>
    <w:rsid w:val="40EBE0E5"/>
    <w:rsid w:val="40F3A37B"/>
    <w:rsid w:val="40F57520"/>
    <w:rsid w:val="410A4CD2"/>
    <w:rsid w:val="4123D070"/>
    <w:rsid w:val="4124CEBA"/>
    <w:rsid w:val="4156844A"/>
    <w:rsid w:val="415974E6"/>
    <w:rsid w:val="41648AD2"/>
    <w:rsid w:val="419C373A"/>
    <w:rsid w:val="419EC3D8"/>
    <w:rsid w:val="41A20621"/>
    <w:rsid w:val="41BA22B5"/>
    <w:rsid w:val="41C8ED87"/>
    <w:rsid w:val="41D290DB"/>
    <w:rsid w:val="41E77CAF"/>
    <w:rsid w:val="41FF6BB2"/>
    <w:rsid w:val="420A12FD"/>
    <w:rsid w:val="42568406"/>
    <w:rsid w:val="42614B47"/>
    <w:rsid w:val="42698B25"/>
    <w:rsid w:val="426E2202"/>
    <w:rsid w:val="42850379"/>
    <w:rsid w:val="42BDECC8"/>
    <w:rsid w:val="432FCE06"/>
    <w:rsid w:val="4354B5BD"/>
    <w:rsid w:val="435CF824"/>
    <w:rsid w:val="4368FEBC"/>
    <w:rsid w:val="4392D5C2"/>
    <w:rsid w:val="4397B243"/>
    <w:rsid w:val="43D760B5"/>
    <w:rsid w:val="44048368"/>
    <w:rsid w:val="440E2672"/>
    <w:rsid w:val="44110990"/>
    <w:rsid w:val="442463B6"/>
    <w:rsid w:val="443B4748"/>
    <w:rsid w:val="443CE982"/>
    <w:rsid w:val="44496EAB"/>
    <w:rsid w:val="444FC62C"/>
    <w:rsid w:val="4456C5A5"/>
    <w:rsid w:val="446AC0CB"/>
    <w:rsid w:val="448B30E9"/>
    <w:rsid w:val="44A2B58D"/>
    <w:rsid w:val="44CC1241"/>
    <w:rsid w:val="451839F5"/>
    <w:rsid w:val="453580BD"/>
    <w:rsid w:val="454F4CC0"/>
    <w:rsid w:val="45542D24"/>
    <w:rsid w:val="457D31FA"/>
    <w:rsid w:val="45804B35"/>
    <w:rsid w:val="4584A45F"/>
    <w:rsid w:val="4584BC10"/>
    <w:rsid w:val="458E86F1"/>
    <w:rsid w:val="45BA7D55"/>
    <w:rsid w:val="45D345E1"/>
    <w:rsid w:val="45E87048"/>
    <w:rsid w:val="45F06B40"/>
    <w:rsid w:val="46112F0D"/>
    <w:rsid w:val="46200859"/>
    <w:rsid w:val="463F02A1"/>
    <w:rsid w:val="464ADBDD"/>
    <w:rsid w:val="465A12C6"/>
    <w:rsid w:val="465CBF3E"/>
    <w:rsid w:val="4671CAA3"/>
    <w:rsid w:val="46985015"/>
    <w:rsid w:val="469DFAEE"/>
    <w:rsid w:val="46DB3CA6"/>
    <w:rsid w:val="46E10C34"/>
    <w:rsid w:val="46F78C20"/>
    <w:rsid w:val="46F807EE"/>
    <w:rsid w:val="47220860"/>
    <w:rsid w:val="475ADF6F"/>
    <w:rsid w:val="479266AB"/>
    <w:rsid w:val="47B5FE90"/>
    <w:rsid w:val="4845FFBE"/>
    <w:rsid w:val="484F837D"/>
    <w:rsid w:val="48525577"/>
    <w:rsid w:val="486FCA43"/>
    <w:rsid w:val="488E31E8"/>
    <w:rsid w:val="48A51B64"/>
    <w:rsid w:val="48AE088F"/>
    <w:rsid w:val="48B3EC04"/>
    <w:rsid w:val="48C83C87"/>
    <w:rsid w:val="48C86AD7"/>
    <w:rsid w:val="48D1C475"/>
    <w:rsid w:val="48E87AE1"/>
    <w:rsid w:val="48ECBF3D"/>
    <w:rsid w:val="48F9710F"/>
    <w:rsid w:val="491E7146"/>
    <w:rsid w:val="49388AA9"/>
    <w:rsid w:val="494FE502"/>
    <w:rsid w:val="4959674D"/>
    <w:rsid w:val="4979771E"/>
    <w:rsid w:val="497C3FDB"/>
    <w:rsid w:val="49BE78CC"/>
    <w:rsid w:val="49E701B0"/>
    <w:rsid w:val="4A06D3CA"/>
    <w:rsid w:val="4A1C43CF"/>
    <w:rsid w:val="4A508A70"/>
    <w:rsid w:val="4A7D1C5E"/>
    <w:rsid w:val="4A9ED5F8"/>
    <w:rsid w:val="4AA17C9E"/>
    <w:rsid w:val="4AB45E2A"/>
    <w:rsid w:val="4AC20E82"/>
    <w:rsid w:val="4AD98DF0"/>
    <w:rsid w:val="4AFFE2D4"/>
    <w:rsid w:val="4B045C7E"/>
    <w:rsid w:val="4B20517A"/>
    <w:rsid w:val="4B552BE9"/>
    <w:rsid w:val="4B5EEFCA"/>
    <w:rsid w:val="4B97F7A7"/>
    <w:rsid w:val="4BB68871"/>
    <w:rsid w:val="4BC47AD1"/>
    <w:rsid w:val="4BDA8735"/>
    <w:rsid w:val="4BE7F672"/>
    <w:rsid w:val="4C1779A1"/>
    <w:rsid w:val="4C1C9BE2"/>
    <w:rsid w:val="4C2C198F"/>
    <w:rsid w:val="4C3E9921"/>
    <w:rsid w:val="4C6B5371"/>
    <w:rsid w:val="4C71C350"/>
    <w:rsid w:val="4C740E6C"/>
    <w:rsid w:val="4C7ADDF9"/>
    <w:rsid w:val="4C81D055"/>
    <w:rsid w:val="4C929F0A"/>
    <w:rsid w:val="4C96D9F0"/>
    <w:rsid w:val="4CA71701"/>
    <w:rsid w:val="4CD1515F"/>
    <w:rsid w:val="4CDE29BB"/>
    <w:rsid w:val="4CE88442"/>
    <w:rsid w:val="4D08F43F"/>
    <w:rsid w:val="4D1ED0AC"/>
    <w:rsid w:val="4D22DC20"/>
    <w:rsid w:val="4D75E847"/>
    <w:rsid w:val="4D7F14C6"/>
    <w:rsid w:val="4D929558"/>
    <w:rsid w:val="4D9A66A0"/>
    <w:rsid w:val="4DA09E2E"/>
    <w:rsid w:val="4DA4D136"/>
    <w:rsid w:val="4DA649D7"/>
    <w:rsid w:val="4DCCD1C6"/>
    <w:rsid w:val="4DD8D4A9"/>
    <w:rsid w:val="4E28B820"/>
    <w:rsid w:val="4E59CC50"/>
    <w:rsid w:val="4E5A6DFC"/>
    <w:rsid w:val="4EB880A4"/>
    <w:rsid w:val="4EC30454"/>
    <w:rsid w:val="4F3C7CA9"/>
    <w:rsid w:val="4F3EF6C5"/>
    <w:rsid w:val="4F509CA1"/>
    <w:rsid w:val="4F9446CD"/>
    <w:rsid w:val="4FB48301"/>
    <w:rsid w:val="4FD58A8A"/>
    <w:rsid w:val="4FF8C7A4"/>
    <w:rsid w:val="500B8A93"/>
    <w:rsid w:val="5014DF85"/>
    <w:rsid w:val="502CF3DE"/>
    <w:rsid w:val="505188DF"/>
    <w:rsid w:val="5053D91F"/>
    <w:rsid w:val="50AC9311"/>
    <w:rsid w:val="50BCB92E"/>
    <w:rsid w:val="50D5D926"/>
    <w:rsid w:val="50F01E0D"/>
    <w:rsid w:val="50F4B903"/>
    <w:rsid w:val="5102694C"/>
    <w:rsid w:val="510304BB"/>
    <w:rsid w:val="511CF320"/>
    <w:rsid w:val="512C4646"/>
    <w:rsid w:val="51315D70"/>
    <w:rsid w:val="514A7007"/>
    <w:rsid w:val="51523843"/>
    <w:rsid w:val="51610C18"/>
    <w:rsid w:val="519C5469"/>
    <w:rsid w:val="51BC4C39"/>
    <w:rsid w:val="51CA567B"/>
    <w:rsid w:val="51DDF9C8"/>
    <w:rsid w:val="51EFC9C5"/>
    <w:rsid w:val="51F39A2D"/>
    <w:rsid w:val="52135CA8"/>
    <w:rsid w:val="522870B8"/>
    <w:rsid w:val="524E3BA0"/>
    <w:rsid w:val="526D4E9B"/>
    <w:rsid w:val="527E5AB6"/>
    <w:rsid w:val="527E82EE"/>
    <w:rsid w:val="528BC369"/>
    <w:rsid w:val="529592D0"/>
    <w:rsid w:val="52A88AF4"/>
    <w:rsid w:val="52B55327"/>
    <w:rsid w:val="52CBCDEF"/>
    <w:rsid w:val="52CFA99B"/>
    <w:rsid w:val="52D78444"/>
    <w:rsid w:val="52E6BA6F"/>
    <w:rsid w:val="52F45C82"/>
    <w:rsid w:val="52F683CB"/>
    <w:rsid w:val="531AFFAB"/>
    <w:rsid w:val="53358D1F"/>
    <w:rsid w:val="536D943C"/>
    <w:rsid w:val="537F1F76"/>
    <w:rsid w:val="53A822E1"/>
    <w:rsid w:val="53BECDDF"/>
    <w:rsid w:val="53CA8453"/>
    <w:rsid w:val="53D53024"/>
    <w:rsid w:val="53E8B342"/>
    <w:rsid w:val="540AB0D3"/>
    <w:rsid w:val="540BDEF3"/>
    <w:rsid w:val="5413D393"/>
    <w:rsid w:val="5423659E"/>
    <w:rsid w:val="542B3740"/>
    <w:rsid w:val="5436D5D3"/>
    <w:rsid w:val="5437A072"/>
    <w:rsid w:val="543B5BB3"/>
    <w:rsid w:val="544A6FAC"/>
    <w:rsid w:val="5466C486"/>
    <w:rsid w:val="546E1235"/>
    <w:rsid w:val="546F7AEC"/>
    <w:rsid w:val="5484CAA3"/>
    <w:rsid w:val="5494007F"/>
    <w:rsid w:val="549B4210"/>
    <w:rsid w:val="54B3D67B"/>
    <w:rsid w:val="54B95627"/>
    <w:rsid w:val="54D95AB7"/>
    <w:rsid w:val="54EEDF68"/>
    <w:rsid w:val="54F9B7C6"/>
    <w:rsid w:val="54FB85A8"/>
    <w:rsid w:val="554F896B"/>
    <w:rsid w:val="555FA72D"/>
    <w:rsid w:val="5578A404"/>
    <w:rsid w:val="5580F08B"/>
    <w:rsid w:val="55A55B00"/>
    <w:rsid w:val="55B7CD32"/>
    <w:rsid w:val="55D7C114"/>
    <w:rsid w:val="55E38675"/>
    <w:rsid w:val="56475FDC"/>
    <w:rsid w:val="56620B9B"/>
    <w:rsid w:val="566E4B9B"/>
    <w:rsid w:val="5691ED2C"/>
    <w:rsid w:val="56C50D62"/>
    <w:rsid w:val="56D8CE7D"/>
    <w:rsid w:val="56DD57F7"/>
    <w:rsid w:val="56FC9CC7"/>
    <w:rsid w:val="570B4D9B"/>
    <w:rsid w:val="57194D44"/>
    <w:rsid w:val="57377B31"/>
    <w:rsid w:val="5740D3D9"/>
    <w:rsid w:val="57560F0D"/>
    <w:rsid w:val="575C8A24"/>
    <w:rsid w:val="577EC22A"/>
    <w:rsid w:val="57963663"/>
    <w:rsid w:val="579DA443"/>
    <w:rsid w:val="57B40DC5"/>
    <w:rsid w:val="57BA91A6"/>
    <w:rsid w:val="57C95FDF"/>
    <w:rsid w:val="57CEC92F"/>
    <w:rsid w:val="57DBC4D8"/>
    <w:rsid w:val="57F3FCE2"/>
    <w:rsid w:val="5877CC27"/>
    <w:rsid w:val="58905A23"/>
    <w:rsid w:val="58A49D34"/>
    <w:rsid w:val="58C3933D"/>
    <w:rsid w:val="58D2DC9B"/>
    <w:rsid w:val="58E0B947"/>
    <w:rsid w:val="59088F5A"/>
    <w:rsid w:val="5911CC43"/>
    <w:rsid w:val="5919116D"/>
    <w:rsid w:val="591C7802"/>
    <w:rsid w:val="591F0256"/>
    <w:rsid w:val="59334FF2"/>
    <w:rsid w:val="593FBE7D"/>
    <w:rsid w:val="594ECB53"/>
    <w:rsid w:val="595D0CE3"/>
    <w:rsid w:val="597B46F7"/>
    <w:rsid w:val="59A45474"/>
    <w:rsid w:val="59B01FB3"/>
    <w:rsid w:val="59DC437D"/>
    <w:rsid w:val="59EF23DC"/>
    <w:rsid w:val="5A00C60B"/>
    <w:rsid w:val="5A3E24B4"/>
    <w:rsid w:val="5A42299D"/>
    <w:rsid w:val="5A5F8897"/>
    <w:rsid w:val="5A9457F9"/>
    <w:rsid w:val="5AA435AF"/>
    <w:rsid w:val="5AAB293B"/>
    <w:rsid w:val="5AAD3584"/>
    <w:rsid w:val="5ACCCF02"/>
    <w:rsid w:val="5ACE964B"/>
    <w:rsid w:val="5AD61E42"/>
    <w:rsid w:val="5B0CDE1A"/>
    <w:rsid w:val="5B29561F"/>
    <w:rsid w:val="5B310940"/>
    <w:rsid w:val="5B524187"/>
    <w:rsid w:val="5B538570"/>
    <w:rsid w:val="5BBC4C89"/>
    <w:rsid w:val="5BC1FFFE"/>
    <w:rsid w:val="5BCA4CDC"/>
    <w:rsid w:val="5BD41ECF"/>
    <w:rsid w:val="5BE7881C"/>
    <w:rsid w:val="5BFBEED8"/>
    <w:rsid w:val="5C3276FE"/>
    <w:rsid w:val="5C757EC8"/>
    <w:rsid w:val="5C787841"/>
    <w:rsid w:val="5C812A8D"/>
    <w:rsid w:val="5C8B2876"/>
    <w:rsid w:val="5C90BF09"/>
    <w:rsid w:val="5CE00253"/>
    <w:rsid w:val="5CE66C70"/>
    <w:rsid w:val="5CE6F313"/>
    <w:rsid w:val="5CEC9772"/>
    <w:rsid w:val="5D057B82"/>
    <w:rsid w:val="5D168051"/>
    <w:rsid w:val="5D3DDE41"/>
    <w:rsid w:val="5D5E8DA6"/>
    <w:rsid w:val="5D8683E4"/>
    <w:rsid w:val="5DA7F206"/>
    <w:rsid w:val="5DAACF38"/>
    <w:rsid w:val="5DCCEF7A"/>
    <w:rsid w:val="5DFEC851"/>
    <w:rsid w:val="5E05BE77"/>
    <w:rsid w:val="5E0C3A7D"/>
    <w:rsid w:val="5E0C5110"/>
    <w:rsid w:val="5E1CB10A"/>
    <w:rsid w:val="5E34B0B0"/>
    <w:rsid w:val="5E44E2BB"/>
    <w:rsid w:val="5E5070C2"/>
    <w:rsid w:val="5E8645B3"/>
    <w:rsid w:val="5E980A38"/>
    <w:rsid w:val="5EB391BE"/>
    <w:rsid w:val="5ECFADBB"/>
    <w:rsid w:val="5EDB2575"/>
    <w:rsid w:val="5EE15FAD"/>
    <w:rsid w:val="5EE80A9C"/>
    <w:rsid w:val="5EFC3E5A"/>
    <w:rsid w:val="5F0A7887"/>
    <w:rsid w:val="5F179EB4"/>
    <w:rsid w:val="5F264B05"/>
    <w:rsid w:val="5F36E3BD"/>
    <w:rsid w:val="5F3B4B28"/>
    <w:rsid w:val="5F3FB1BA"/>
    <w:rsid w:val="5F4B68FD"/>
    <w:rsid w:val="5F51D749"/>
    <w:rsid w:val="5F5EE2EE"/>
    <w:rsid w:val="5F9C8F53"/>
    <w:rsid w:val="5FA6E5E4"/>
    <w:rsid w:val="5FAAD22C"/>
    <w:rsid w:val="5FE2416A"/>
    <w:rsid w:val="5FE6E854"/>
    <w:rsid w:val="5FE8C1BC"/>
    <w:rsid w:val="6017EF23"/>
    <w:rsid w:val="603EF1A7"/>
    <w:rsid w:val="60415239"/>
    <w:rsid w:val="60799DEF"/>
    <w:rsid w:val="609954D8"/>
    <w:rsid w:val="609EBB7A"/>
    <w:rsid w:val="60E6F556"/>
    <w:rsid w:val="60ED8D2A"/>
    <w:rsid w:val="611AF971"/>
    <w:rsid w:val="61819947"/>
    <w:rsid w:val="61908C88"/>
    <w:rsid w:val="6197C294"/>
    <w:rsid w:val="619DDA38"/>
    <w:rsid w:val="61B7EB77"/>
    <w:rsid w:val="61C31719"/>
    <w:rsid w:val="61E294A8"/>
    <w:rsid w:val="61E6A017"/>
    <w:rsid w:val="61F25F63"/>
    <w:rsid w:val="620F77D1"/>
    <w:rsid w:val="6219C4EE"/>
    <w:rsid w:val="623359A1"/>
    <w:rsid w:val="624F311F"/>
    <w:rsid w:val="625BFF0D"/>
    <w:rsid w:val="625DA969"/>
    <w:rsid w:val="626AE411"/>
    <w:rsid w:val="626DCB9A"/>
    <w:rsid w:val="628C392D"/>
    <w:rsid w:val="628E43C5"/>
    <w:rsid w:val="62967BD5"/>
    <w:rsid w:val="62A545A9"/>
    <w:rsid w:val="62B358CD"/>
    <w:rsid w:val="62BD1F5A"/>
    <w:rsid w:val="62BE42D7"/>
    <w:rsid w:val="62FD0816"/>
    <w:rsid w:val="63026532"/>
    <w:rsid w:val="633BB8A2"/>
    <w:rsid w:val="6342E7B8"/>
    <w:rsid w:val="634EDB41"/>
    <w:rsid w:val="6359CB1C"/>
    <w:rsid w:val="63735117"/>
    <w:rsid w:val="638B789A"/>
    <w:rsid w:val="63A11169"/>
    <w:rsid w:val="63A11AC2"/>
    <w:rsid w:val="63BAB382"/>
    <w:rsid w:val="63C2F36D"/>
    <w:rsid w:val="63CBC031"/>
    <w:rsid w:val="6415F026"/>
    <w:rsid w:val="6435AAFA"/>
    <w:rsid w:val="643AF540"/>
    <w:rsid w:val="6450CED9"/>
    <w:rsid w:val="645E73D9"/>
    <w:rsid w:val="6489E0AB"/>
    <w:rsid w:val="64939931"/>
    <w:rsid w:val="649C7C2D"/>
    <w:rsid w:val="64A29A6E"/>
    <w:rsid w:val="64D829DA"/>
    <w:rsid w:val="64E24EFB"/>
    <w:rsid w:val="6527469D"/>
    <w:rsid w:val="652754CA"/>
    <w:rsid w:val="653F51F8"/>
    <w:rsid w:val="65B7576A"/>
    <w:rsid w:val="65C92E96"/>
    <w:rsid w:val="65CFA258"/>
    <w:rsid w:val="65F29267"/>
    <w:rsid w:val="66100889"/>
    <w:rsid w:val="661C1E7D"/>
    <w:rsid w:val="66243D86"/>
    <w:rsid w:val="66358973"/>
    <w:rsid w:val="66369D50"/>
    <w:rsid w:val="66484B29"/>
    <w:rsid w:val="6661E2AD"/>
    <w:rsid w:val="6674C495"/>
    <w:rsid w:val="667A5DB0"/>
    <w:rsid w:val="6686C153"/>
    <w:rsid w:val="669307E8"/>
    <w:rsid w:val="66B12C93"/>
    <w:rsid w:val="66B46B10"/>
    <w:rsid w:val="66F11CD0"/>
    <w:rsid w:val="6720B50D"/>
    <w:rsid w:val="672D8597"/>
    <w:rsid w:val="67836A13"/>
    <w:rsid w:val="6784D538"/>
    <w:rsid w:val="67914DFA"/>
    <w:rsid w:val="67F9EF80"/>
    <w:rsid w:val="680A8CCC"/>
    <w:rsid w:val="682077EE"/>
    <w:rsid w:val="682AC2EF"/>
    <w:rsid w:val="683E4A04"/>
    <w:rsid w:val="685227E3"/>
    <w:rsid w:val="68750629"/>
    <w:rsid w:val="68843FB9"/>
    <w:rsid w:val="688F2AF8"/>
    <w:rsid w:val="68AE3128"/>
    <w:rsid w:val="68C6E2AB"/>
    <w:rsid w:val="68D0A68D"/>
    <w:rsid w:val="68D69A70"/>
    <w:rsid w:val="68EB4494"/>
    <w:rsid w:val="68FA4090"/>
    <w:rsid w:val="692513D8"/>
    <w:rsid w:val="695B3BE5"/>
    <w:rsid w:val="695DADBE"/>
    <w:rsid w:val="696C0A1B"/>
    <w:rsid w:val="699452F8"/>
    <w:rsid w:val="699D84DE"/>
    <w:rsid w:val="69D9AE8A"/>
    <w:rsid w:val="69EBD056"/>
    <w:rsid w:val="6A0C3214"/>
    <w:rsid w:val="6A2FD75E"/>
    <w:rsid w:val="6A757175"/>
    <w:rsid w:val="6A7C74D6"/>
    <w:rsid w:val="6A800042"/>
    <w:rsid w:val="6A8495B7"/>
    <w:rsid w:val="6AADE951"/>
    <w:rsid w:val="6ABABC11"/>
    <w:rsid w:val="6AFBF37A"/>
    <w:rsid w:val="6B07C48F"/>
    <w:rsid w:val="6B1125C2"/>
    <w:rsid w:val="6B507533"/>
    <w:rsid w:val="6B6AC360"/>
    <w:rsid w:val="6B82D1A7"/>
    <w:rsid w:val="6BB02CDD"/>
    <w:rsid w:val="6BF4BDC3"/>
    <w:rsid w:val="6BFA9B34"/>
    <w:rsid w:val="6BFE4A59"/>
    <w:rsid w:val="6BFFD9CF"/>
    <w:rsid w:val="6C04E65E"/>
    <w:rsid w:val="6C3391DB"/>
    <w:rsid w:val="6C4BEC00"/>
    <w:rsid w:val="6C759BC4"/>
    <w:rsid w:val="6CDB1E3C"/>
    <w:rsid w:val="6CF30430"/>
    <w:rsid w:val="6CF4FE98"/>
    <w:rsid w:val="6D068CE8"/>
    <w:rsid w:val="6D1B69FC"/>
    <w:rsid w:val="6D1C9E11"/>
    <w:rsid w:val="6D485B06"/>
    <w:rsid w:val="6D49610C"/>
    <w:rsid w:val="6D4ED6DB"/>
    <w:rsid w:val="6D513ACB"/>
    <w:rsid w:val="6D92DD83"/>
    <w:rsid w:val="6DBF0B37"/>
    <w:rsid w:val="6DD519EE"/>
    <w:rsid w:val="6DE714A2"/>
    <w:rsid w:val="6E0298EA"/>
    <w:rsid w:val="6E0E8881"/>
    <w:rsid w:val="6E207286"/>
    <w:rsid w:val="6E2395A0"/>
    <w:rsid w:val="6E3408DD"/>
    <w:rsid w:val="6E43EAA9"/>
    <w:rsid w:val="6E5AE4FF"/>
    <w:rsid w:val="6E8CEF41"/>
    <w:rsid w:val="6E9E39EC"/>
    <w:rsid w:val="6EA344BF"/>
    <w:rsid w:val="6EAD73B7"/>
    <w:rsid w:val="6EBD5B34"/>
    <w:rsid w:val="6ECA44E3"/>
    <w:rsid w:val="6F6672D3"/>
    <w:rsid w:val="6F759787"/>
    <w:rsid w:val="6FC908AE"/>
    <w:rsid w:val="6FE3B71B"/>
    <w:rsid w:val="6FE86A44"/>
    <w:rsid w:val="6FFBE364"/>
    <w:rsid w:val="7024FB94"/>
    <w:rsid w:val="70354818"/>
    <w:rsid w:val="7035FC70"/>
    <w:rsid w:val="70695094"/>
    <w:rsid w:val="707A3828"/>
    <w:rsid w:val="708D9E08"/>
    <w:rsid w:val="708EA4C3"/>
    <w:rsid w:val="70A41AC5"/>
    <w:rsid w:val="70BCF1A9"/>
    <w:rsid w:val="70C39B43"/>
    <w:rsid w:val="70C3AB61"/>
    <w:rsid w:val="70DA8106"/>
    <w:rsid w:val="70E587FA"/>
    <w:rsid w:val="70FC9CD4"/>
    <w:rsid w:val="7107663C"/>
    <w:rsid w:val="710E4A3B"/>
    <w:rsid w:val="71195F59"/>
    <w:rsid w:val="7126A4E5"/>
    <w:rsid w:val="714BB0D1"/>
    <w:rsid w:val="716EF5D1"/>
    <w:rsid w:val="7173F54C"/>
    <w:rsid w:val="717DA40D"/>
    <w:rsid w:val="71811554"/>
    <w:rsid w:val="719ED73D"/>
    <w:rsid w:val="71A39278"/>
    <w:rsid w:val="71B89F5D"/>
    <w:rsid w:val="71C786D5"/>
    <w:rsid w:val="71FEDE67"/>
    <w:rsid w:val="72014995"/>
    <w:rsid w:val="72032570"/>
    <w:rsid w:val="7208F57B"/>
    <w:rsid w:val="720CFA31"/>
    <w:rsid w:val="7214515D"/>
    <w:rsid w:val="7221FBF1"/>
    <w:rsid w:val="722D4501"/>
    <w:rsid w:val="72319B44"/>
    <w:rsid w:val="725C55E9"/>
    <w:rsid w:val="726D6CFB"/>
    <w:rsid w:val="7286E7F1"/>
    <w:rsid w:val="728FC2CB"/>
    <w:rsid w:val="729ED9E9"/>
    <w:rsid w:val="72CAC13A"/>
    <w:rsid w:val="72E812E5"/>
    <w:rsid w:val="72F7C459"/>
    <w:rsid w:val="72F82886"/>
    <w:rsid w:val="730A8960"/>
    <w:rsid w:val="731BF8B4"/>
    <w:rsid w:val="73450E0F"/>
    <w:rsid w:val="736A7683"/>
    <w:rsid w:val="73A5C5FB"/>
    <w:rsid w:val="73B8F029"/>
    <w:rsid w:val="73C75B17"/>
    <w:rsid w:val="7423EC05"/>
    <w:rsid w:val="745607CA"/>
    <w:rsid w:val="74773050"/>
    <w:rsid w:val="7487042A"/>
    <w:rsid w:val="74CF4FB4"/>
    <w:rsid w:val="74D1FF06"/>
    <w:rsid w:val="74D59FC1"/>
    <w:rsid w:val="74DD19FB"/>
    <w:rsid w:val="74E4D469"/>
    <w:rsid w:val="751402E7"/>
    <w:rsid w:val="751574F9"/>
    <w:rsid w:val="75274755"/>
    <w:rsid w:val="756553A9"/>
    <w:rsid w:val="75B9E370"/>
    <w:rsid w:val="75E72BE4"/>
    <w:rsid w:val="75E86B8F"/>
    <w:rsid w:val="75ED2867"/>
    <w:rsid w:val="75FDBF73"/>
    <w:rsid w:val="7612652E"/>
    <w:rsid w:val="761832DA"/>
    <w:rsid w:val="7629CA48"/>
    <w:rsid w:val="76364EB2"/>
    <w:rsid w:val="764C0B85"/>
    <w:rsid w:val="76630DC7"/>
    <w:rsid w:val="766FB296"/>
    <w:rsid w:val="767BBCC0"/>
    <w:rsid w:val="768B9899"/>
    <w:rsid w:val="7690B754"/>
    <w:rsid w:val="76A3E667"/>
    <w:rsid w:val="76BD67ED"/>
    <w:rsid w:val="76C921FC"/>
    <w:rsid w:val="76DBA94D"/>
    <w:rsid w:val="76F5B6E6"/>
    <w:rsid w:val="7707FDEB"/>
    <w:rsid w:val="7723FB0F"/>
    <w:rsid w:val="7788D44F"/>
    <w:rsid w:val="77CF440D"/>
    <w:rsid w:val="77D5A960"/>
    <w:rsid w:val="77E4F972"/>
    <w:rsid w:val="77F123CC"/>
    <w:rsid w:val="78382AA3"/>
    <w:rsid w:val="783E41E0"/>
    <w:rsid w:val="7843C6E5"/>
    <w:rsid w:val="78575E68"/>
    <w:rsid w:val="788ADC3C"/>
    <w:rsid w:val="78AB2550"/>
    <w:rsid w:val="78BB556B"/>
    <w:rsid w:val="78CF4207"/>
    <w:rsid w:val="78E67CD8"/>
    <w:rsid w:val="78E6D505"/>
    <w:rsid w:val="790F0A2E"/>
    <w:rsid w:val="791DA19A"/>
    <w:rsid w:val="7922F93C"/>
    <w:rsid w:val="7929D401"/>
    <w:rsid w:val="79A687C1"/>
    <w:rsid w:val="79B57D0C"/>
    <w:rsid w:val="79EE76B5"/>
    <w:rsid w:val="79FD491C"/>
    <w:rsid w:val="79FF024C"/>
    <w:rsid w:val="7A0B047F"/>
    <w:rsid w:val="7A2A9C5B"/>
    <w:rsid w:val="7A467CBD"/>
    <w:rsid w:val="7A47ADF9"/>
    <w:rsid w:val="7AC5B9DB"/>
    <w:rsid w:val="7AD128B0"/>
    <w:rsid w:val="7ADC7B5C"/>
    <w:rsid w:val="7AE7A86B"/>
    <w:rsid w:val="7AF71493"/>
    <w:rsid w:val="7AFB5770"/>
    <w:rsid w:val="7B295B60"/>
    <w:rsid w:val="7B436A04"/>
    <w:rsid w:val="7B54C0F3"/>
    <w:rsid w:val="7B70FA8E"/>
    <w:rsid w:val="7B8BCF69"/>
    <w:rsid w:val="7B8D5666"/>
    <w:rsid w:val="7BAC357B"/>
    <w:rsid w:val="7BEB8953"/>
    <w:rsid w:val="7C1263F5"/>
    <w:rsid w:val="7C1E8BBB"/>
    <w:rsid w:val="7C32A8EF"/>
    <w:rsid w:val="7CB8B373"/>
    <w:rsid w:val="7CC1BACC"/>
    <w:rsid w:val="7CCC3340"/>
    <w:rsid w:val="7CD33BB5"/>
    <w:rsid w:val="7CD935FC"/>
    <w:rsid w:val="7CD9A1E1"/>
    <w:rsid w:val="7CFA60BC"/>
    <w:rsid w:val="7D169DFF"/>
    <w:rsid w:val="7D486BAE"/>
    <w:rsid w:val="7D7BE0EC"/>
    <w:rsid w:val="7D870F73"/>
    <w:rsid w:val="7DB2F0C6"/>
    <w:rsid w:val="7E1F7936"/>
    <w:rsid w:val="7E324E02"/>
    <w:rsid w:val="7E5D217A"/>
    <w:rsid w:val="7E63EF10"/>
    <w:rsid w:val="7E6849E6"/>
    <w:rsid w:val="7EAC0627"/>
    <w:rsid w:val="7F09E8DD"/>
    <w:rsid w:val="7F194E2E"/>
    <w:rsid w:val="7F1A85F8"/>
    <w:rsid w:val="7F1B93C4"/>
    <w:rsid w:val="7F44F2C9"/>
    <w:rsid w:val="7F51C19A"/>
    <w:rsid w:val="7FADF327"/>
    <w:rsid w:val="7FB1EF69"/>
    <w:rsid w:val="7FC12BFD"/>
    <w:rsid w:val="7FD83814"/>
    <w:rsid w:val="7FE142C9"/>
    <w:rsid w:val="7FE869B0"/>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47EB2CB"/>
  <w15:chartTrackingRefBased/>
  <w15:docId w15:val="{C97CEF99-D0A1-4997-A986-A5FDC43558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o" w:eastAsia="ro-RO"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E658A"/>
    <w:pPr>
      <w:spacing w:after="200" w:line="276" w:lineRule="auto"/>
    </w:pPr>
    <w:rPr>
      <w:rFonts w:ascii="Calibri" w:eastAsia="Calibri" w:hAnsi="Calibri" w:cs="Myanmar Text"/>
      <w:kern w:val="0"/>
    </w:rPr>
  </w:style>
  <w:style w:type="paragraph" w:styleId="Heading1">
    <w:name w:val="heading 1"/>
    <w:basedOn w:val="Normal"/>
    <w:next w:val="Normal"/>
    <w:link w:val="Heading1Char"/>
    <w:uiPriority w:val="9"/>
    <w:qFormat/>
    <w:rsid w:val="00620A46"/>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unhideWhenUsed/>
    <w:qFormat/>
    <w:rsid w:val="00620A46"/>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unhideWhenUsed/>
    <w:qFormat/>
    <w:rsid w:val="00620A46"/>
    <w:pPr>
      <w:keepNext/>
      <w:keepLines/>
      <w:spacing w:before="160" w:after="80"/>
      <w:outlineLvl w:val="2"/>
    </w:pPr>
    <w:rPr>
      <w:rFonts w:asciiTheme="minorHAnsi" w:eastAsiaTheme="majorEastAsia" w:hAnsiTheme="minorHAnsi" w:cstheme="majorBidi"/>
      <w:color w:val="365F91" w:themeColor="accent1" w:themeShade="BF"/>
      <w:sz w:val="28"/>
      <w:szCs w:val="28"/>
    </w:rPr>
  </w:style>
  <w:style w:type="paragraph" w:styleId="Heading4">
    <w:name w:val="heading 4"/>
    <w:basedOn w:val="Normal"/>
    <w:next w:val="Normal"/>
    <w:link w:val="Heading4Char"/>
    <w:uiPriority w:val="9"/>
    <w:unhideWhenUsed/>
    <w:qFormat/>
    <w:rsid w:val="00620A46"/>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Heading5">
    <w:name w:val="heading 5"/>
    <w:basedOn w:val="Normal"/>
    <w:next w:val="Normal"/>
    <w:link w:val="Heading5Char"/>
    <w:uiPriority w:val="9"/>
    <w:unhideWhenUsed/>
    <w:qFormat/>
    <w:rsid w:val="00620A46"/>
    <w:pPr>
      <w:keepNext/>
      <w:keepLines/>
      <w:spacing w:before="80" w:after="40"/>
      <w:outlineLvl w:val="4"/>
    </w:pPr>
    <w:rPr>
      <w:rFonts w:asciiTheme="minorHAnsi" w:eastAsiaTheme="majorEastAsia" w:hAnsiTheme="minorHAnsi" w:cstheme="majorBidi"/>
      <w:color w:val="365F91" w:themeColor="accent1" w:themeShade="BF"/>
    </w:rPr>
  </w:style>
  <w:style w:type="paragraph" w:styleId="Heading6">
    <w:name w:val="heading 6"/>
    <w:basedOn w:val="Normal"/>
    <w:next w:val="Normal"/>
    <w:link w:val="Heading6Char"/>
    <w:uiPriority w:val="9"/>
    <w:semiHidden/>
    <w:unhideWhenUsed/>
    <w:qFormat/>
    <w:rsid w:val="00620A46"/>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20A46"/>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20A46"/>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20A46"/>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chnicalBlockBase">
    <w:name w:val="TechnicalBlockBase"/>
    <w:link w:val="TechnicalBlockBaseChar"/>
    <w:rsid w:val="00894139"/>
    <w:pPr>
      <w:widowControl w:val="0"/>
      <w:spacing w:before="140" w:after="140" w:line="185" w:lineRule="auto"/>
      <w:ind w:left="260" w:right="260"/>
    </w:pPr>
    <w:rPr>
      <w:rFonts w:ascii="Arial New Roman" w:eastAsia="Times New Roman" w:hAnsi="Arial New Roman" w:cs="Arial"/>
      <w:b/>
      <w:i/>
      <w:dstrike/>
      <w:color w:val="606060"/>
      <w:kern w:val="0"/>
      <w:sz w:val="10"/>
      <w:szCs w:val="20"/>
      <w:u w:val="words" w:color="606060"/>
    </w:rPr>
  </w:style>
  <w:style w:type="character" w:customStyle="1" w:styleId="TechnicalBlockBaseChar">
    <w:name w:val="TechnicalBlockBase Char"/>
    <w:basedOn w:val="EntInstitChar"/>
    <w:link w:val="TechnicalBlockBase"/>
    <w:rsid w:val="00894139"/>
    <w:rPr>
      <w:rFonts w:ascii="Arial New Roman" w:eastAsia="Times New Roman" w:hAnsi="Arial New Roman" w:cs="Arial"/>
      <w:b/>
      <w:i/>
      <w:dstrike/>
      <w:color w:val="606060"/>
      <w:kern w:val="0"/>
      <w:sz w:val="10"/>
      <w:szCs w:val="20"/>
      <w:u w:val="words" w:color="606060"/>
    </w:rPr>
  </w:style>
  <w:style w:type="paragraph" w:customStyle="1" w:styleId="TBEntRefer">
    <w:name w:val="TBEntRefer"/>
    <w:basedOn w:val="TechnicalBlockBase"/>
    <w:link w:val="EntReferChar"/>
    <w:rsid w:val="00894139"/>
    <w:pPr>
      <w:spacing w:before="0" w:after="0" w:line="240" w:lineRule="auto"/>
      <w:ind w:left="0" w:right="0"/>
    </w:pPr>
    <w:rPr>
      <w:rFonts w:ascii="Arial" w:hAnsi="Arial"/>
      <w:i w:val="0"/>
      <w:dstrike w:val="0"/>
      <w:color w:val="auto"/>
      <w:sz w:val="23"/>
      <w:u w:val="none"/>
    </w:rPr>
  </w:style>
  <w:style w:type="character" w:customStyle="1" w:styleId="EntReferChar">
    <w:name w:val="EntRefer Char"/>
    <w:basedOn w:val="DefaultParagraphFont"/>
    <w:link w:val="TBEntRefer"/>
    <w:rsid w:val="00A43C50"/>
    <w:rPr>
      <w:rFonts w:ascii="Arial" w:eastAsia="Times New Roman" w:hAnsi="Arial" w:cs="Arial"/>
      <w:b/>
      <w:kern w:val="0"/>
      <w:sz w:val="23"/>
      <w:szCs w:val="20"/>
      <w:u w:color="606060"/>
    </w:rPr>
  </w:style>
  <w:style w:type="paragraph" w:customStyle="1" w:styleId="TBDistrbMarkers">
    <w:name w:val="TBDistrbMarkers"/>
    <w:basedOn w:val="TBEntRefer"/>
    <w:qFormat/>
    <w:rsid w:val="00894139"/>
    <w:pPr>
      <w:tabs>
        <w:tab w:val="left" w:pos="2262"/>
      </w:tabs>
    </w:pPr>
    <w:rPr>
      <w:i/>
      <w:iCs/>
      <w:szCs w:val="23"/>
    </w:rPr>
  </w:style>
  <w:style w:type="paragraph" w:customStyle="1" w:styleId="TBEntACP">
    <w:name w:val="TBEntACP"/>
    <w:basedOn w:val="TechnicalBlockBase"/>
    <w:rsid w:val="00A43C50"/>
    <w:pPr>
      <w:widowControl/>
      <w:spacing w:before="0" w:after="0" w:line="360" w:lineRule="auto"/>
      <w:ind w:left="0" w:right="0"/>
      <w:jc w:val="center"/>
    </w:pPr>
    <w:rPr>
      <w:rFonts w:ascii="Arial" w:hAnsi="Arial"/>
      <w:bCs/>
      <w:i w:val="0"/>
      <w:dstrike w:val="0"/>
      <w:color w:val="auto"/>
      <w:sz w:val="28"/>
      <w:szCs w:val="28"/>
      <w:u w:val="none"/>
    </w:rPr>
  </w:style>
  <w:style w:type="paragraph" w:customStyle="1" w:styleId="TBEntInstitACP">
    <w:name w:val="TBEntInstitACP"/>
    <w:basedOn w:val="TechnicalBlockBase"/>
    <w:rsid w:val="00A43C50"/>
    <w:pPr>
      <w:widowControl/>
      <w:spacing w:before="0" w:after="0" w:line="240" w:lineRule="auto"/>
      <w:ind w:left="0" w:right="0"/>
      <w:jc w:val="center"/>
    </w:pPr>
    <w:rPr>
      <w:rFonts w:ascii="Arial" w:hAnsi="Arial"/>
      <w:bCs/>
      <w:i w:val="0"/>
      <w:dstrike w:val="0"/>
      <w:color w:val="auto"/>
      <w:sz w:val="23"/>
      <w:szCs w:val="23"/>
      <w:u w:val="none"/>
    </w:rPr>
  </w:style>
  <w:style w:type="paragraph" w:customStyle="1" w:styleId="TBSousEmbargo">
    <w:name w:val="TBSousEmbargo"/>
    <w:basedOn w:val="TechnicalBlockBase"/>
    <w:qFormat/>
    <w:rsid w:val="00894139"/>
    <w:pPr>
      <w:spacing w:before="360" w:after="360" w:line="240" w:lineRule="auto"/>
      <w:ind w:left="0" w:right="0"/>
      <w:jc w:val="center"/>
    </w:pPr>
    <w:rPr>
      <w:rFonts w:ascii="Arial" w:hAnsi="Arial"/>
      <w:i w:val="0"/>
      <w:dstrike w:val="0"/>
      <w:color w:val="auto"/>
      <w:sz w:val="23"/>
      <w:szCs w:val="23"/>
      <w:u w:val="double"/>
    </w:rPr>
  </w:style>
  <w:style w:type="paragraph" w:customStyle="1" w:styleId="TBEntInstit">
    <w:name w:val="TBEntInstit"/>
    <w:basedOn w:val="TechnicalBlockBase"/>
    <w:link w:val="EntInstitChar"/>
    <w:rsid w:val="00894139"/>
    <w:pPr>
      <w:spacing w:before="0" w:after="60" w:line="240" w:lineRule="auto"/>
      <w:ind w:left="0" w:right="0"/>
      <w:jc w:val="right"/>
    </w:pPr>
    <w:rPr>
      <w:rFonts w:ascii="Arial" w:hAnsi="Arial"/>
      <w:i w:val="0"/>
      <w:dstrike w:val="0"/>
      <w:color w:val="auto"/>
      <w:sz w:val="23"/>
      <w:u w:val="none"/>
    </w:rPr>
  </w:style>
  <w:style w:type="paragraph" w:customStyle="1" w:styleId="TBEntReferNew">
    <w:name w:val="TBEntReferNew"/>
    <w:basedOn w:val="TechnicalBlockBase"/>
    <w:rsid w:val="00894139"/>
    <w:pPr>
      <w:widowControl/>
      <w:spacing w:before="0" w:after="0" w:line="240" w:lineRule="auto"/>
      <w:ind w:left="0" w:right="0"/>
      <w:jc w:val="center"/>
    </w:pPr>
    <w:rPr>
      <w:rFonts w:ascii="Arial" w:hAnsi="Arial"/>
      <w:bCs/>
      <w:i w:val="0"/>
      <w:dstrike w:val="0"/>
      <w:color w:val="auto"/>
      <w:sz w:val="24"/>
      <w:szCs w:val="24"/>
      <w:u w:val="none"/>
    </w:rPr>
  </w:style>
  <w:style w:type="paragraph" w:customStyle="1" w:styleId="TBInstitution">
    <w:name w:val="TBInstitution"/>
    <w:basedOn w:val="TechnicalBlockBase"/>
    <w:rsid w:val="00894139"/>
    <w:pPr>
      <w:spacing w:before="0" w:after="28" w:line="204" w:lineRule="auto"/>
      <w:ind w:left="0" w:right="0"/>
    </w:pPr>
    <w:rPr>
      <w:rFonts w:ascii="Arial" w:hAnsi="Arial"/>
      <w:i w:val="0"/>
      <w:dstrike w:val="0"/>
      <w:color w:val="626262"/>
      <w:sz w:val="24"/>
      <w:szCs w:val="23"/>
      <w:u w:val="none"/>
    </w:rPr>
  </w:style>
  <w:style w:type="paragraph" w:customStyle="1" w:styleId="TBNormalTechnicalBlock">
    <w:name w:val="TBNormalTechnicalBlock"/>
    <w:basedOn w:val="TechnicalBlockBase"/>
    <w:rsid w:val="00894139"/>
    <w:pPr>
      <w:spacing w:before="0" w:after="0" w:line="216" w:lineRule="auto"/>
      <w:ind w:left="0" w:right="0"/>
      <w:contextualSpacing/>
    </w:pPr>
    <w:rPr>
      <w:rFonts w:ascii="Arial" w:hAnsi="Arial"/>
      <w:i w:val="0"/>
      <w:dstrike w:val="0"/>
      <w:color w:val="auto"/>
      <w:sz w:val="23"/>
      <w:szCs w:val="23"/>
      <w:u w:val="none"/>
    </w:rPr>
  </w:style>
  <w:style w:type="paragraph" w:customStyle="1" w:styleId="TBInstitutionSubwordmark">
    <w:name w:val="TBInstitutionSubwordmark"/>
    <w:basedOn w:val="TechnicalBlockBase"/>
    <w:rsid w:val="00894139"/>
    <w:pPr>
      <w:spacing w:before="0" w:after="0" w:line="204" w:lineRule="auto"/>
      <w:ind w:left="0" w:right="0"/>
    </w:pPr>
    <w:rPr>
      <w:rFonts w:ascii="Arial" w:hAnsi="Arial"/>
      <w:b w:val="0"/>
      <w:i w:val="0"/>
      <w:dstrike w:val="0"/>
      <w:color w:val="626262"/>
      <w:sz w:val="24"/>
      <w:u w:val="none"/>
    </w:rPr>
  </w:style>
  <w:style w:type="character" w:customStyle="1" w:styleId="EntInstitChar">
    <w:name w:val="EntInstit Char"/>
    <w:basedOn w:val="DefaultParagraphFont"/>
    <w:link w:val="TBEntInstit"/>
    <w:rsid w:val="00894139"/>
    <w:rPr>
      <w:rFonts w:ascii="Arial" w:eastAsia="Times New Roman" w:hAnsi="Arial" w:cs="Arial"/>
      <w:b/>
      <w:kern w:val="0"/>
      <w:sz w:val="23"/>
      <w:szCs w:val="20"/>
      <w:u w:color="606060"/>
    </w:rPr>
  </w:style>
  <w:style w:type="paragraph" w:customStyle="1" w:styleId="TBSubjectTable">
    <w:name w:val="TBSubjectTable"/>
    <w:basedOn w:val="TechnicalBlockBase"/>
    <w:rsid w:val="002D3C08"/>
    <w:pPr>
      <w:widowControl/>
      <w:spacing w:before="40" w:after="40" w:line="240" w:lineRule="auto"/>
      <w:ind w:left="0" w:right="0"/>
    </w:pPr>
    <w:rPr>
      <w:rFonts w:ascii="Arial" w:hAnsi="Arial"/>
      <w:b w:val="0"/>
      <w:i w:val="0"/>
      <w:dstrike w:val="0"/>
      <w:color w:val="auto"/>
      <w:sz w:val="23"/>
      <w:u w:val="none"/>
    </w:rPr>
  </w:style>
  <w:style w:type="paragraph" w:customStyle="1" w:styleId="TBDocumentGroup">
    <w:name w:val="TBDocumentGroup"/>
    <w:basedOn w:val="TechnicalBlockBase"/>
    <w:rsid w:val="002D3C08"/>
    <w:pPr>
      <w:widowControl/>
      <w:spacing w:before="560" w:after="480" w:line="240" w:lineRule="auto"/>
      <w:ind w:left="0" w:right="0"/>
      <w:jc w:val="center"/>
    </w:pPr>
    <w:rPr>
      <w:rFonts w:ascii="Arial" w:hAnsi="Arial"/>
      <w:i w:val="0"/>
      <w:caps/>
      <w:dstrike w:val="0"/>
      <w:color w:val="auto"/>
      <w:sz w:val="23"/>
      <w:u w:val="single"/>
    </w:rPr>
  </w:style>
  <w:style w:type="paragraph" w:customStyle="1" w:styleId="TBHeadingTable">
    <w:name w:val="TBHeadingTable"/>
    <w:basedOn w:val="TechnicalBlockBase"/>
    <w:rsid w:val="002D3C08"/>
    <w:pPr>
      <w:widowControl/>
      <w:spacing w:before="240" w:after="40" w:line="240" w:lineRule="auto"/>
      <w:ind w:left="0" w:right="0"/>
    </w:pPr>
    <w:rPr>
      <w:rFonts w:ascii="Arial" w:hAnsi="Arial"/>
      <w:i w:val="0"/>
      <w:dstrike w:val="0"/>
      <w:color w:val="auto"/>
      <w:sz w:val="23"/>
      <w:u w:val="none"/>
    </w:rPr>
  </w:style>
  <w:style w:type="paragraph" w:customStyle="1" w:styleId="TBSubjectBold">
    <w:name w:val="TBSubjectBold"/>
    <w:basedOn w:val="TechnicalBlockBase"/>
    <w:rsid w:val="002D3C08"/>
    <w:pPr>
      <w:widowControl/>
      <w:spacing w:before="160" w:after="0" w:line="360" w:lineRule="auto"/>
      <w:ind w:left="0" w:right="0"/>
      <w:jc w:val="center"/>
    </w:pPr>
    <w:rPr>
      <w:rFonts w:ascii="Arial" w:hAnsi="Arial"/>
      <w:i w:val="0"/>
      <w:dstrike w:val="0"/>
      <w:color w:val="auto"/>
      <w:sz w:val="23"/>
      <w:u w:val="none"/>
    </w:rPr>
  </w:style>
  <w:style w:type="paragraph" w:customStyle="1" w:styleId="TBSubjectText">
    <w:name w:val="TBSubjectText"/>
    <w:basedOn w:val="TechnicalBlockBase"/>
    <w:qFormat/>
    <w:rsid w:val="002D3C08"/>
    <w:pPr>
      <w:widowControl/>
      <w:spacing w:before="40" w:after="40" w:line="240" w:lineRule="auto"/>
      <w:ind w:left="0" w:right="0"/>
    </w:pPr>
    <w:rPr>
      <w:rFonts w:ascii="Arial" w:hAnsi="Arial"/>
      <w:b w:val="0"/>
      <w:i w:val="0"/>
      <w:dstrike w:val="0"/>
      <w:color w:val="auto"/>
      <w:sz w:val="23"/>
      <w:u w:val="none"/>
    </w:rPr>
  </w:style>
  <w:style w:type="character" w:customStyle="1" w:styleId="Heading1Char">
    <w:name w:val="Heading 1 Char"/>
    <w:basedOn w:val="DefaultParagraphFont"/>
    <w:link w:val="Heading1"/>
    <w:uiPriority w:val="9"/>
    <w:rsid w:val="00620A46"/>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rsid w:val="00620A46"/>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rsid w:val="00620A46"/>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rsid w:val="00620A46"/>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rsid w:val="00620A46"/>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620A4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0A4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0A4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0A46"/>
    <w:rPr>
      <w:rFonts w:eastAsiaTheme="majorEastAsia" w:cstheme="majorBidi"/>
      <w:color w:val="272727" w:themeColor="text1" w:themeTint="D8"/>
    </w:rPr>
  </w:style>
  <w:style w:type="paragraph" w:styleId="Title">
    <w:name w:val="Title"/>
    <w:basedOn w:val="Normal"/>
    <w:next w:val="Normal"/>
    <w:link w:val="TitleChar"/>
    <w:uiPriority w:val="10"/>
    <w:qFormat/>
    <w:rsid w:val="00620A46"/>
    <w:pPr>
      <w:spacing w:after="80"/>
      <w:contextualSpacing/>
    </w:pPr>
    <w:rPr>
      <w:rFonts w:asciiTheme="majorHAnsi" w:eastAsiaTheme="majorEastAsia" w:hAnsiTheme="majorHAnsi" w:cstheme="majorBidi"/>
      <w:kern w:val="28"/>
      <w:sz w:val="56"/>
      <w:szCs w:val="56"/>
    </w:rPr>
  </w:style>
  <w:style w:type="character" w:customStyle="1" w:styleId="TitleChar">
    <w:name w:val="Title Char"/>
    <w:basedOn w:val="DefaultParagraphFont"/>
    <w:link w:val="Title"/>
    <w:uiPriority w:val="10"/>
    <w:rsid w:val="00620A46"/>
    <w:rPr>
      <w:rFonts w:asciiTheme="majorHAnsi" w:eastAsiaTheme="majorEastAsia" w:hAnsiTheme="majorHAnsi" w:cstheme="majorBidi"/>
      <w:kern w:val="28"/>
      <w:sz w:val="56"/>
      <w:szCs w:val="56"/>
    </w:rPr>
  </w:style>
  <w:style w:type="paragraph" w:styleId="Subtitle">
    <w:name w:val="Subtitle"/>
    <w:basedOn w:val="Normal"/>
    <w:next w:val="Normal"/>
    <w:link w:val="SubtitleChar"/>
    <w:uiPriority w:val="11"/>
    <w:qFormat/>
    <w:rsid w:val="00620A46"/>
    <w:pPr>
      <w:numPr>
        <w:ilvl w:val="1"/>
      </w:numPr>
      <w:spacing w:after="160"/>
    </w:pPr>
    <w:rPr>
      <w:rFonts w:asciiTheme="minorHAnsi" w:eastAsiaTheme="majorEastAsia" w:hAnsiTheme="minorHAnsi" w:cstheme="majorBidi"/>
      <w:color w:val="595959" w:themeColor="text1" w:themeTint="A6"/>
      <w:sz w:val="28"/>
      <w:szCs w:val="28"/>
    </w:rPr>
  </w:style>
  <w:style w:type="character" w:customStyle="1" w:styleId="SubtitleChar">
    <w:name w:val="Subtitle Char"/>
    <w:basedOn w:val="DefaultParagraphFont"/>
    <w:link w:val="Subtitle"/>
    <w:uiPriority w:val="11"/>
    <w:rsid w:val="00620A46"/>
    <w:rPr>
      <w:rFonts w:eastAsiaTheme="majorEastAsia" w:cstheme="majorBidi"/>
      <w:color w:val="595959" w:themeColor="text1" w:themeTint="A6"/>
      <w:sz w:val="28"/>
      <w:szCs w:val="28"/>
    </w:rPr>
  </w:style>
  <w:style w:type="paragraph" w:styleId="Quote">
    <w:name w:val="Quote"/>
    <w:basedOn w:val="Normal"/>
    <w:next w:val="Normal"/>
    <w:link w:val="QuoteChar"/>
    <w:uiPriority w:val="29"/>
    <w:qFormat/>
    <w:rsid w:val="00620A4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20A46"/>
    <w:rPr>
      <w:rFonts w:ascii="Calibri" w:hAnsi="Calibri" w:cs="Calibri"/>
      <w:i/>
      <w:iCs/>
      <w:color w:val="404040" w:themeColor="text1" w:themeTint="BF"/>
    </w:rPr>
  </w:style>
  <w:style w:type="paragraph" w:styleId="ListParagraph">
    <w:name w:val="List Paragraph"/>
    <w:aliases w:val="numbered list,2,OBC Bullet,Normal 1,Task Body,Viñetas (Inicio Parrafo),Paragrafo elenco,3 Txt tabla,Zerrenda-paragrafoa,Fiche List Paragraph,Dot pt,F5 List Paragraph,List Paragraph1,No Spacing1,List Paragraph Char Char Char,Indicator Text"/>
    <w:basedOn w:val="Normal"/>
    <w:link w:val="ListParagraphChar"/>
    <w:uiPriority w:val="34"/>
    <w:qFormat/>
    <w:rsid w:val="00620A46"/>
    <w:pPr>
      <w:ind w:left="720"/>
      <w:contextualSpacing/>
    </w:pPr>
  </w:style>
  <w:style w:type="character" w:styleId="IntenseEmphasis">
    <w:name w:val="Intense Emphasis"/>
    <w:basedOn w:val="DefaultParagraphFont"/>
    <w:uiPriority w:val="21"/>
    <w:qFormat/>
    <w:rsid w:val="00620A46"/>
    <w:rPr>
      <w:i/>
      <w:iCs/>
      <w:color w:val="365F91" w:themeColor="accent1" w:themeShade="BF"/>
    </w:rPr>
  </w:style>
  <w:style w:type="paragraph" w:styleId="IntenseQuote">
    <w:name w:val="Intense Quote"/>
    <w:basedOn w:val="Normal"/>
    <w:next w:val="Normal"/>
    <w:link w:val="IntenseQuoteChar"/>
    <w:uiPriority w:val="30"/>
    <w:qFormat/>
    <w:rsid w:val="00620A46"/>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620A46"/>
    <w:rPr>
      <w:rFonts w:ascii="Calibri" w:hAnsi="Calibri" w:cs="Calibri"/>
      <w:i/>
      <w:iCs/>
      <w:color w:val="365F91" w:themeColor="accent1" w:themeShade="BF"/>
    </w:rPr>
  </w:style>
  <w:style w:type="character" w:styleId="IntenseReference">
    <w:name w:val="Intense Reference"/>
    <w:basedOn w:val="DefaultParagraphFont"/>
    <w:uiPriority w:val="32"/>
    <w:qFormat/>
    <w:rsid w:val="00620A46"/>
    <w:rPr>
      <w:b/>
      <w:bCs/>
      <w:smallCaps/>
      <w:color w:val="365F91" w:themeColor="accent1" w:themeShade="BF"/>
    </w:rPr>
  </w:style>
  <w:style w:type="paragraph" w:styleId="Header">
    <w:name w:val="header"/>
    <w:basedOn w:val="Normal"/>
    <w:link w:val="HeaderChar"/>
    <w:uiPriority w:val="99"/>
    <w:unhideWhenUsed/>
    <w:rsid w:val="00620A46"/>
    <w:pPr>
      <w:tabs>
        <w:tab w:val="center" w:pos="4535"/>
        <w:tab w:val="right" w:pos="9071"/>
      </w:tabs>
      <w:spacing w:after="120" w:line="240" w:lineRule="auto"/>
      <w:jc w:val="both"/>
    </w:pPr>
    <w:rPr>
      <w:rFonts w:ascii="Times New Roman" w:hAnsi="Times New Roman" w:cs="Times New Roman"/>
      <w:sz w:val="24"/>
    </w:rPr>
  </w:style>
  <w:style w:type="character" w:customStyle="1" w:styleId="HeaderChar">
    <w:name w:val="Header Char"/>
    <w:basedOn w:val="DefaultParagraphFont"/>
    <w:link w:val="Header"/>
    <w:uiPriority w:val="99"/>
    <w:rsid w:val="00620A46"/>
    <w:rPr>
      <w:rFonts w:ascii="Times New Roman" w:eastAsia="Calibri" w:hAnsi="Times New Roman" w:cs="Times New Roman"/>
      <w:kern w:val="0"/>
      <w:sz w:val="24"/>
    </w:rPr>
  </w:style>
  <w:style w:type="paragraph" w:styleId="Footer">
    <w:name w:val="footer"/>
    <w:basedOn w:val="Normal"/>
    <w:link w:val="FooterChar"/>
    <w:uiPriority w:val="99"/>
    <w:unhideWhenUsed/>
    <w:rsid w:val="00620A46"/>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har">
    <w:name w:val="Footer Char"/>
    <w:basedOn w:val="DefaultParagraphFont"/>
    <w:link w:val="Footer"/>
    <w:uiPriority w:val="99"/>
    <w:rsid w:val="00620A46"/>
    <w:rPr>
      <w:rFonts w:ascii="Times New Roman" w:eastAsia="Calibri" w:hAnsi="Times New Roman" w:cs="Times New Roman"/>
      <w:kern w:val="0"/>
      <w:sz w:val="24"/>
    </w:rPr>
  </w:style>
  <w:style w:type="character" w:customStyle="1" w:styleId="ListParagraphChar">
    <w:name w:val="List Paragraph Char"/>
    <w:aliases w:val="numbered list Char,2 Char,OBC Bullet Char,Normal 1 Char,Task Body Char,Viñetas (Inicio Parrafo) Char,Paragrafo elenco Char,3 Txt tabla Char,Zerrenda-paragrafoa Char,Fiche List Paragraph Char,Dot pt Char,F5 List Paragraph Char"/>
    <w:link w:val="ListParagraph"/>
    <w:uiPriority w:val="34"/>
    <w:qFormat/>
    <w:locked/>
    <w:rsid w:val="00620A46"/>
    <w:rPr>
      <w:rFonts w:ascii="Calibri" w:hAnsi="Calibri" w:cs="Calibri"/>
    </w:rPr>
  </w:style>
  <w:style w:type="paragraph" w:customStyle="1" w:styleId="HeaderCouncilLarge">
    <w:name w:val="Header Council Large"/>
    <w:basedOn w:val="Normal"/>
    <w:link w:val="HeaderCouncilLargeChar"/>
    <w:rsid w:val="00620A46"/>
    <w:pPr>
      <w:spacing w:after="440"/>
    </w:pPr>
    <w:rPr>
      <w:rFonts w:ascii="Times New Roman" w:hAnsi="Times New Roman"/>
      <w:sz w:val="2"/>
    </w:rPr>
  </w:style>
  <w:style w:type="character" w:customStyle="1" w:styleId="HeaderCouncilLargeChar">
    <w:name w:val="Header Council Large Char"/>
    <w:basedOn w:val="DefaultParagraphFont"/>
    <w:link w:val="HeaderCouncilLarge"/>
    <w:rsid w:val="00620A46"/>
    <w:rPr>
      <w:rFonts w:ascii="Calibri" w:eastAsia="Calibri" w:hAnsi="Calibri" w:cs="Myanmar Text"/>
      <w:kern w:val="0"/>
      <w:sz w:val="2"/>
    </w:rPr>
  </w:style>
  <w:style w:type="paragraph" w:customStyle="1" w:styleId="FooterCouncil">
    <w:name w:val="Footer Council"/>
    <w:basedOn w:val="Normal"/>
    <w:link w:val="FooterCouncilChar"/>
    <w:rsid w:val="00620A46"/>
    <w:pPr>
      <w:spacing w:after="0"/>
    </w:pPr>
    <w:rPr>
      <w:rFonts w:ascii="Times New Roman" w:hAnsi="Times New Roman"/>
      <w:sz w:val="2"/>
    </w:rPr>
  </w:style>
  <w:style w:type="character" w:customStyle="1" w:styleId="FooterCouncilChar">
    <w:name w:val="Footer Council Char"/>
    <w:basedOn w:val="DefaultParagraphFont"/>
    <w:link w:val="FooterCouncil"/>
    <w:rsid w:val="00620A46"/>
    <w:rPr>
      <w:rFonts w:ascii="Calibri" w:eastAsia="Calibri" w:hAnsi="Calibri" w:cs="Myanmar Text"/>
      <w:kern w:val="0"/>
      <w:sz w:val="2"/>
    </w:rPr>
  </w:style>
  <w:style w:type="paragraph" w:styleId="Revision">
    <w:name w:val="Revision"/>
    <w:hidden/>
    <w:uiPriority w:val="99"/>
    <w:semiHidden/>
    <w:rsid w:val="00184BFD"/>
    <w:rPr>
      <w:rFonts w:ascii="Calibri" w:eastAsia="Calibri" w:hAnsi="Calibri" w:cs="Myanmar Text"/>
      <w:kern w:val="0"/>
    </w:rPr>
  </w:style>
  <w:style w:type="character" w:styleId="CommentReference">
    <w:name w:val="annotation reference"/>
    <w:basedOn w:val="DefaultParagraphFont"/>
    <w:uiPriority w:val="99"/>
    <w:unhideWhenUsed/>
    <w:rsid w:val="00717D82"/>
    <w:rPr>
      <w:sz w:val="16"/>
      <w:szCs w:val="16"/>
    </w:rPr>
  </w:style>
  <w:style w:type="paragraph" w:styleId="CommentText">
    <w:name w:val="annotation text"/>
    <w:basedOn w:val="Normal"/>
    <w:link w:val="CommentTextChar"/>
    <w:uiPriority w:val="99"/>
    <w:unhideWhenUsed/>
    <w:rsid w:val="00717D82"/>
    <w:pPr>
      <w:spacing w:line="240" w:lineRule="auto"/>
    </w:pPr>
    <w:rPr>
      <w:sz w:val="20"/>
      <w:szCs w:val="20"/>
    </w:rPr>
  </w:style>
  <w:style w:type="character" w:customStyle="1" w:styleId="CommentTextChar">
    <w:name w:val="Comment Text Char"/>
    <w:basedOn w:val="DefaultParagraphFont"/>
    <w:link w:val="CommentText"/>
    <w:uiPriority w:val="99"/>
    <w:rsid w:val="00717D82"/>
    <w:rPr>
      <w:rFonts w:ascii="Calibri" w:eastAsia="Calibri" w:hAnsi="Calibri" w:cs="Myanmar Text"/>
      <w:kern w:val="0"/>
      <w:sz w:val="20"/>
      <w:szCs w:val="20"/>
    </w:rPr>
  </w:style>
  <w:style w:type="paragraph" w:styleId="CommentSubject">
    <w:name w:val="annotation subject"/>
    <w:basedOn w:val="CommentText"/>
    <w:next w:val="CommentText"/>
    <w:link w:val="CommentSubjectChar"/>
    <w:uiPriority w:val="99"/>
    <w:semiHidden/>
    <w:unhideWhenUsed/>
    <w:rsid w:val="00717D82"/>
    <w:rPr>
      <w:b/>
      <w:bCs/>
    </w:rPr>
  </w:style>
  <w:style w:type="character" w:customStyle="1" w:styleId="CommentSubjectChar">
    <w:name w:val="Comment Subject Char"/>
    <w:basedOn w:val="CommentTextChar"/>
    <w:link w:val="CommentSubject"/>
    <w:uiPriority w:val="99"/>
    <w:semiHidden/>
    <w:rsid w:val="00717D82"/>
    <w:rPr>
      <w:rFonts w:ascii="Calibri" w:eastAsia="Calibri" w:hAnsi="Calibri" w:cs="Myanmar Text"/>
      <w:b/>
      <w:bCs/>
      <w:kern w:val="0"/>
      <w:sz w:val="20"/>
      <w:szCs w:val="20"/>
    </w:rPr>
  </w:style>
  <w:style w:type="character" w:customStyle="1" w:styleId="Mention1">
    <w:name w:val="Mention1"/>
    <w:basedOn w:val="DefaultParagraphFont"/>
    <w:uiPriority w:val="99"/>
    <w:unhideWhenUsed/>
    <w:rsid w:val="00CD745B"/>
    <w:rPr>
      <w:color w:val="2B579A"/>
      <w:shd w:val="clear" w:color="auto" w:fill="E1DFDD"/>
    </w:rPr>
  </w:style>
  <w:style w:type="character" w:styleId="Hyperlink">
    <w:name w:val="Hyperlink"/>
    <w:basedOn w:val="DefaultParagraphFont"/>
    <w:uiPriority w:val="99"/>
    <w:unhideWhenUsed/>
    <w:rsid w:val="0090177B"/>
    <w:rPr>
      <w:color w:val="0000FF" w:themeColor="hyperlink"/>
      <w:u w:val="single"/>
    </w:rPr>
  </w:style>
  <w:style w:type="character" w:customStyle="1" w:styleId="UnresolvedMention1">
    <w:name w:val="Unresolved Mention1"/>
    <w:basedOn w:val="DefaultParagraphFont"/>
    <w:uiPriority w:val="99"/>
    <w:semiHidden/>
    <w:unhideWhenUsed/>
    <w:rsid w:val="0090177B"/>
    <w:rPr>
      <w:color w:val="605E5C"/>
      <w:shd w:val="clear" w:color="auto" w:fill="E1DFDD"/>
    </w:rPr>
  </w:style>
  <w:style w:type="paragraph" w:styleId="FootnoteText">
    <w:name w:val="footnote text"/>
    <w:basedOn w:val="Normal"/>
    <w:link w:val="FootnoteTextChar"/>
    <w:uiPriority w:val="99"/>
    <w:unhideWhenUsed/>
    <w:rsid w:val="00315FC0"/>
    <w:pPr>
      <w:spacing w:after="0" w:line="240" w:lineRule="auto"/>
      <w:ind w:left="720" w:hanging="720"/>
      <w:jc w:val="both"/>
    </w:pPr>
    <w:rPr>
      <w:rFonts w:ascii="Times New Roman" w:hAnsi="Times New Roman" w:cs="Times New Roman"/>
      <w:sz w:val="20"/>
      <w:szCs w:val="20"/>
    </w:rPr>
  </w:style>
  <w:style w:type="character" w:customStyle="1" w:styleId="FootnoteTextChar">
    <w:name w:val="Footnote Text Char"/>
    <w:basedOn w:val="DefaultParagraphFont"/>
    <w:link w:val="FootnoteText"/>
    <w:uiPriority w:val="99"/>
    <w:rsid w:val="00315FC0"/>
    <w:rPr>
      <w:rFonts w:ascii="Times New Roman" w:eastAsia="Calibri" w:hAnsi="Times New Roman" w:cs="Times New Roman"/>
      <w:kern w:val="0"/>
      <w:sz w:val="20"/>
      <w:szCs w:val="20"/>
    </w:rPr>
  </w:style>
  <w:style w:type="character" w:styleId="FootnoteReference">
    <w:name w:val="footnote reference"/>
    <w:uiPriority w:val="99"/>
    <w:unhideWhenUsed/>
    <w:rsid w:val="00315FC0"/>
    <w:rPr>
      <w:shd w:val="clear" w:color="auto" w:fill="auto"/>
      <w:vertAlign w:val="superscript"/>
    </w:rPr>
  </w:style>
  <w:style w:type="character" w:customStyle="1" w:styleId="normaltextrun">
    <w:name w:val="normaltextrun"/>
    <w:basedOn w:val="DefaultParagraphFont"/>
    <w:rsid w:val="00315FC0"/>
  </w:style>
  <w:style w:type="paragraph" w:customStyle="1" w:styleId="LegalNumPar">
    <w:name w:val="LegalNumPar"/>
    <w:basedOn w:val="Normal"/>
    <w:rsid w:val="00315FC0"/>
    <w:pPr>
      <w:numPr>
        <w:numId w:val="1"/>
      </w:numPr>
      <w:spacing w:after="160" w:line="259" w:lineRule="auto"/>
    </w:pPr>
    <w:rPr>
      <w:rFonts w:asciiTheme="minorHAnsi" w:eastAsiaTheme="minorHAnsi" w:hAnsiTheme="minorHAnsi" w:cstheme="minorBidi"/>
    </w:rPr>
  </w:style>
  <w:style w:type="paragraph" w:customStyle="1" w:styleId="LegalNumPar2">
    <w:name w:val="LegalNumPar2"/>
    <w:basedOn w:val="Normal"/>
    <w:rsid w:val="00315FC0"/>
    <w:pPr>
      <w:numPr>
        <w:ilvl w:val="1"/>
        <w:numId w:val="1"/>
      </w:numPr>
      <w:spacing w:after="160" w:line="259" w:lineRule="auto"/>
    </w:pPr>
    <w:rPr>
      <w:rFonts w:asciiTheme="minorHAnsi" w:eastAsiaTheme="minorHAnsi" w:hAnsiTheme="minorHAnsi" w:cstheme="minorBidi"/>
    </w:rPr>
  </w:style>
  <w:style w:type="paragraph" w:customStyle="1" w:styleId="LegalNumPar3">
    <w:name w:val="LegalNumPar3"/>
    <w:basedOn w:val="Normal"/>
    <w:rsid w:val="00315FC0"/>
    <w:pPr>
      <w:numPr>
        <w:ilvl w:val="2"/>
        <w:numId w:val="1"/>
      </w:numPr>
      <w:spacing w:after="160" w:line="259" w:lineRule="auto"/>
    </w:pPr>
    <w:rPr>
      <w:rFonts w:asciiTheme="minorHAnsi" w:eastAsiaTheme="minorHAnsi" w:hAnsiTheme="minorHAnsi" w:cstheme="minorBidi"/>
    </w:rPr>
  </w:style>
  <w:style w:type="table" w:styleId="TableGrid">
    <w:name w:val="Table Grid"/>
    <w:basedOn w:val="TableNormal"/>
    <w:uiPriority w:val="39"/>
    <w:rsid w:val="00315FC0"/>
    <w:rPr>
      <w:kern w:val="0"/>
    </w:rPr>
    <w:tblPr/>
  </w:style>
  <w:style w:type="paragraph" w:customStyle="1" w:styleId="xmsonormal">
    <w:name w:val="x_msonormal"/>
    <w:basedOn w:val="Normal"/>
    <w:rsid w:val="00315FC0"/>
    <w:pPr>
      <w:spacing w:after="0" w:line="240" w:lineRule="auto"/>
    </w:pPr>
    <w:rPr>
      <w:rFonts w:ascii="Times New Roman" w:eastAsiaTheme="minorHAnsi" w:hAnsi="Times New Roman" w:cs="Times New Roman"/>
      <w:sz w:val="24"/>
      <w:szCs w:val="24"/>
    </w:rPr>
  </w:style>
  <w:style w:type="paragraph" w:customStyle="1" w:styleId="paragraph">
    <w:name w:val="paragraph"/>
    <w:basedOn w:val="Normal"/>
    <w:rsid w:val="00315FC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op">
    <w:name w:val="eop"/>
    <w:basedOn w:val="DefaultParagraphFont"/>
    <w:rsid w:val="00315FC0"/>
  </w:style>
  <w:style w:type="paragraph" w:customStyle="1" w:styleId="Default">
    <w:name w:val="Default"/>
    <w:rsid w:val="00315FC0"/>
    <w:pPr>
      <w:autoSpaceDE w:val="0"/>
      <w:autoSpaceDN w:val="0"/>
      <w:adjustRightInd w:val="0"/>
    </w:pPr>
    <w:rPr>
      <w:rFonts w:ascii="Calibri" w:hAnsi="Calibri" w:cs="Calibri"/>
      <w:color w:val="000000"/>
      <w:kern w:val="0"/>
      <w:sz w:val="24"/>
      <w:szCs w:val="24"/>
    </w:rPr>
  </w:style>
  <w:style w:type="paragraph" w:styleId="PlainText">
    <w:name w:val="Plain Text"/>
    <w:basedOn w:val="Normal"/>
    <w:link w:val="PlainTextChar"/>
    <w:uiPriority w:val="99"/>
    <w:unhideWhenUsed/>
    <w:rsid w:val="00315FC0"/>
    <w:pPr>
      <w:spacing w:after="0" w:line="240" w:lineRule="auto"/>
    </w:pPr>
    <w:rPr>
      <w:rFonts w:eastAsiaTheme="minorHAnsi" w:cs="Calibri"/>
    </w:rPr>
  </w:style>
  <w:style w:type="character" w:customStyle="1" w:styleId="PlainTextChar">
    <w:name w:val="Plain Text Char"/>
    <w:basedOn w:val="DefaultParagraphFont"/>
    <w:link w:val="PlainText"/>
    <w:uiPriority w:val="99"/>
    <w:rsid w:val="00315FC0"/>
    <w:rPr>
      <w:rFonts w:ascii="Calibri" w:hAnsi="Calibri" w:cs="Calibri"/>
      <w:kern w:val="0"/>
    </w:rPr>
  </w:style>
  <w:style w:type="numbering" w:customStyle="1" w:styleId="NoList1">
    <w:name w:val="No List1"/>
    <w:next w:val="NoList"/>
    <w:uiPriority w:val="99"/>
    <w:semiHidden/>
    <w:unhideWhenUsed/>
    <w:rsid w:val="00315FC0"/>
  </w:style>
  <w:style w:type="paragraph" w:styleId="TOCHeading">
    <w:name w:val="TOC Heading"/>
    <w:basedOn w:val="Normal"/>
    <w:next w:val="Normal"/>
    <w:uiPriority w:val="39"/>
    <w:semiHidden/>
    <w:unhideWhenUsed/>
    <w:qFormat/>
    <w:rsid w:val="00315FC0"/>
    <w:pPr>
      <w:spacing w:before="120" w:after="240" w:line="240" w:lineRule="auto"/>
      <w:jc w:val="center"/>
    </w:pPr>
    <w:rPr>
      <w:rFonts w:ascii="Times New Roman" w:hAnsi="Times New Roman" w:cs="Times New Roman"/>
      <w:b/>
      <w:sz w:val="28"/>
    </w:rPr>
  </w:style>
  <w:style w:type="paragraph" w:styleId="TOC1">
    <w:name w:val="toc 1"/>
    <w:basedOn w:val="Normal"/>
    <w:next w:val="Normal"/>
    <w:uiPriority w:val="39"/>
    <w:semiHidden/>
    <w:unhideWhenUsed/>
    <w:rsid w:val="00315FC0"/>
    <w:pPr>
      <w:tabs>
        <w:tab w:val="right" w:leader="dot" w:pos="9071"/>
      </w:tabs>
      <w:spacing w:before="60" w:after="120" w:line="240" w:lineRule="auto"/>
      <w:ind w:left="850" w:hanging="850"/>
    </w:pPr>
    <w:rPr>
      <w:rFonts w:ascii="Times New Roman" w:hAnsi="Times New Roman" w:cs="Times New Roman"/>
      <w:sz w:val="24"/>
    </w:rPr>
  </w:style>
  <w:style w:type="paragraph" w:styleId="TOC2">
    <w:name w:val="toc 2"/>
    <w:basedOn w:val="Normal"/>
    <w:next w:val="Normal"/>
    <w:uiPriority w:val="39"/>
    <w:semiHidden/>
    <w:unhideWhenUsed/>
    <w:rsid w:val="00315FC0"/>
    <w:pPr>
      <w:tabs>
        <w:tab w:val="right" w:leader="dot" w:pos="9071"/>
      </w:tabs>
      <w:spacing w:before="60" w:after="120" w:line="240" w:lineRule="auto"/>
      <w:ind w:left="850" w:hanging="850"/>
    </w:pPr>
    <w:rPr>
      <w:rFonts w:ascii="Times New Roman" w:hAnsi="Times New Roman" w:cs="Times New Roman"/>
      <w:sz w:val="24"/>
    </w:rPr>
  </w:style>
  <w:style w:type="paragraph" w:styleId="TOC3">
    <w:name w:val="toc 3"/>
    <w:basedOn w:val="Normal"/>
    <w:next w:val="Normal"/>
    <w:uiPriority w:val="39"/>
    <w:semiHidden/>
    <w:unhideWhenUsed/>
    <w:rsid w:val="00315FC0"/>
    <w:pPr>
      <w:tabs>
        <w:tab w:val="right" w:leader="dot" w:pos="9071"/>
      </w:tabs>
      <w:spacing w:before="60" w:after="120" w:line="240" w:lineRule="auto"/>
      <w:ind w:left="850" w:hanging="850"/>
    </w:pPr>
    <w:rPr>
      <w:rFonts w:ascii="Times New Roman" w:hAnsi="Times New Roman" w:cs="Times New Roman"/>
      <w:sz w:val="24"/>
    </w:rPr>
  </w:style>
  <w:style w:type="paragraph" w:styleId="TOC4">
    <w:name w:val="toc 4"/>
    <w:basedOn w:val="Normal"/>
    <w:next w:val="Normal"/>
    <w:uiPriority w:val="39"/>
    <w:semiHidden/>
    <w:unhideWhenUsed/>
    <w:rsid w:val="00315FC0"/>
    <w:pPr>
      <w:tabs>
        <w:tab w:val="right" w:leader="dot" w:pos="9071"/>
      </w:tabs>
      <w:spacing w:before="60" w:after="120" w:line="240" w:lineRule="auto"/>
      <w:ind w:left="850" w:hanging="850"/>
    </w:pPr>
    <w:rPr>
      <w:rFonts w:ascii="Times New Roman" w:hAnsi="Times New Roman" w:cs="Times New Roman"/>
      <w:sz w:val="24"/>
    </w:rPr>
  </w:style>
  <w:style w:type="paragraph" w:styleId="TOC5">
    <w:name w:val="toc 5"/>
    <w:basedOn w:val="Normal"/>
    <w:next w:val="Normal"/>
    <w:uiPriority w:val="39"/>
    <w:semiHidden/>
    <w:unhideWhenUsed/>
    <w:rsid w:val="00315FC0"/>
    <w:pPr>
      <w:tabs>
        <w:tab w:val="right" w:leader="dot" w:pos="9071"/>
      </w:tabs>
      <w:spacing w:before="300" w:after="120" w:line="240" w:lineRule="auto"/>
    </w:pPr>
    <w:rPr>
      <w:rFonts w:ascii="Times New Roman" w:hAnsi="Times New Roman" w:cs="Times New Roman"/>
      <w:sz w:val="24"/>
    </w:rPr>
  </w:style>
  <w:style w:type="paragraph" w:styleId="TOC6">
    <w:name w:val="toc 6"/>
    <w:basedOn w:val="Normal"/>
    <w:next w:val="Normal"/>
    <w:uiPriority w:val="39"/>
    <w:semiHidden/>
    <w:unhideWhenUsed/>
    <w:rsid w:val="00315FC0"/>
    <w:pPr>
      <w:tabs>
        <w:tab w:val="right" w:leader="dot" w:pos="9071"/>
      </w:tabs>
      <w:spacing w:before="240" w:after="120" w:line="240" w:lineRule="auto"/>
    </w:pPr>
    <w:rPr>
      <w:rFonts w:ascii="Times New Roman" w:hAnsi="Times New Roman" w:cs="Times New Roman"/>
      <w:sz w:val="24"/>
    </w:rPr>
  </w:style>
  <w:style w:type="paragraph" w:styleId="TOC7">
    <w:name w:val="toc 7"/>
    <w:basedOn w:val="Normal"/>
    <w:next w:val="Normal"/>
    <w:uiPriority w:val="39"/>
    <w:semiHidden/>
    <w:unhideWhenUsed/>
    <w:rsid w:val="00315FC0"/>
    <w:pPr>
      <w:tabs>
        <w:tab w:val="right" w:leader="dot" w:pos="9071"/>
      </w:tabs>
      <w:spacing w:before="180" w:after="120" w:line="240" w:lineRule="auto"/>
    </w:pPr>
    <w:rPr>
      <w:rFonts w:ascii="Times New Roman" w:hAnsi="Times New Roman" w:cs="Times New Roman"/>
      <w:sz w:val="24"/>
    </w:rPr>
  </w:style>
  <w:style w:type="paragraph" w:styleId="TOC8">
    <w:name w:val="toc 8"/>
    <w:basedOn w:val="Normal"/>
    <w:next w:val="Normal"/>
    <w:uiPriority w:val="39"/>
    <w:semiHidden/>
    <w:unhideWhenUsed/>
    <w:rsid w:val="00315FC0"/>
    <w:pPr>
      <w:tabs>
        <w:tab w:val="right" w:leader="dot" w:pos="9071"/>
      </w:tabs>
      <w:spacing w:before="120" w:after="120" w:line="240" w:lineRule="auto"/>
    </w:pPr>
    <w:rPr>
      <w:rFonts w:ascii="Times New Roman" w:hAnsi="Times New Roman" w:cs="Times New Roman"/>
      <w:sz w:val="24"/>
    </w:rPr>
  </w:style>
  <w:style w:type="paragraph" w:styleId="TOC9">
    <w:name w:val="toc 9"/>
    <w:basedOn w:val="Normal"/>
    <w:next w:val="Normal"/>
    <w:uiPriority w:val="39"/>
    <w:semiHidden/>
    <w:unhideWhenUsed/>
    <w:rsid w:val="00315FC0"/>
    <w:pPr>
      <w:tabs>
        <w:tab w:val="right" w:leader="dot" w:pos="9071"/>
      </w:tabs>
      <w:spacing w:before="120" w:after="120" w:line="240" w:lineRule="auto"/>
      <w:jc w:val="both"/>
    </w:pPr>
    <w:rPr>
      <w:rFonts w:ascii="Times New Roman" w:hAnsi="Times New Roman" w:cs="Times New Roman"/>
      <w:sz w:val="24"/>
    </w:rPr>
  </w:style>
  <w:style w:type="paragraph" w:customStyle="1" w:styleId="HeaderLandscape">
    <w:name w:val="HeaderLandscape"/>
    <w:basedOn w:val="Normal"/>
    <w:rsid w:val="00315FC0"/>
    <w:pPr>
      <w:tabs>
        <w:tab w:val="center" w:pos="7285"/>
        <w:tab w:val="right" w:pos="14003"/>
      </w:tabs>
      <w:spacing w:after="120" w:line="240" w:lineRule="auto"/>
      <w:jc w:val="both"/>
    </w:pPr>
    <w:rPr>
      <w:rFonts w:ascii="Times New Roman" w:hAnsi="Times New Roman" w:cs="Times New Roman"/>
      <w:sz w:val="24"/>
    </w:rPr>
  </w:style>
  <w:style w:type="paragraph" w:customStyle="1" w:styleId="FooterLandscape">
    <w:name w:val="FooterLandscape"/>
    <w:basedOn w:val="Normal"/>
    <w:rsid w:val="00315FC0"/>
    <w:pPr>
      <w:tabs>
        <w:tab w:val="center" w:pos="7285"/>
        <w:tab w:val="center" w:pos="10913"/>
        <w:tab w:val="right" w:pos="15137"/>
      </w:tabs>
      <w:spacing w:before="360" w:after="0" w:line="240" w:lineRule="auto"/>
      <w:ind w:left="-567" w:right="-567"/>
    </w:pPr>
    <w:rPr>
      <w:rFonts w:ascii="Times New Roman" w:hAnsi="Times New Roman" w:cs="Times New Roman"/>
      <w:sz w:val="24"/>
    </w:rPr>
  </w:style>
  <w:style w:type="paragraph" w:customStyle="1" w:styleId="HeaderSensitivity">
    <w:name w:val="Header Sensitivity"/>
    <w:basedOn w:val="Normal"/>
    <w:rsid w:val="00315FC0"/>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paragraph" w:customStyle="1" w:styleId="HeaderSensitivityRight">
    <w:name w:val="Header Sensitivity Right"/>
    <w:basedOn w:val="Normal"/>
    <w:rsid w:val="00315FC0"/>
    <w:pPr>
      <w:spacing w:after="120" w:line="240" w:lineRule="auto"/>
      <w:jc w:val="right"/>
    </w:pPr>
    <w:rPr>
      <w:rFonts w:ascii="Times New Roman" w:hAnsi="Times New Roman" w:cs="Times New Roman"/>
      <w:sz w:val="28"/>
    </w:rPr>
  </w:style>
  <w:style w:type="paragraph" w:customStyle="1" w:styleId="FooterSensitivity">
    <w:name w:val="Footer Sensitivity"/>
    <w:basedOn w:val="Normal"/>
    <w:rsid w:val="00315FC0"/>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paragraph" w:customStyle="1" w:styleId="Text1">
    <w:name w:val="Text 1"/>
    <w:basedOn w:val="Normal"/>
    <w:rsid w:val="00315FC0"/>
    <w:pPr>
      <w:spacing w:before="120" w:after="120" w:line="240" w:lineRule="auto"/>
      <w:ind w:left="850"/>
      <w:jc w:val="both"/>
    </w:pPr>
    <w:rPr>
      <w:rFonts w:ascii="Times New Roman" w:hAnsi="Times New Roman" w:cs="Times New Roman"/>
      <w:sz w:val="24"/>
    </w:rPr>
  </w:style>
  <w:style w:type="paragraph" w:customStyle="1" w:styleId="Text2">
    <w:name w:val="Text 2"/>
    <w:basedOn w:val="Normal"/>
    <w:rsid w:val="00315FC0"/>
    <w:pPr>
      <w:spacing w:before="120" w:after="120" w:line="240" w:lineRule="auto"/>
      <w:ind w:left="1417"/>
      <w:jc w:val="both"/>
    </w:pPr>
    <w:rPr>
      <w:rFonts w:ascii="Times New Roman" w:hAnsi="Times New Roman" w:cs="Times New Roman"/>
      <w:sz w:val="24"/>
    </w:rPr>
  </w:style>
  <w:style w:type="paragraph" w:customStyle="1" w:styleId="Text3">
    <w:name w:val="Text 3"/>
    <w:basedOn w:val="Normal"/>
    <w:rsid w:val="00315FC0"/>
    <w:pPr>
      <w:spacing w:before="120" w:after="120" w:line="240" w:lineRule="auto"/>
      <w:ind w:left="1984"/>
      <w:jc w:val="both"/>
    </w:pPr>
    <w:rPr>
      <w:rFonts w:ascii="Times New Roman" w:hAnsi="Times New Roman" w:cs="Times New Roman"/>
      <w:sz w:val="24"/>
    </w:rPr>
  </w:style>
  <w:style w:type="paragraph" w:customStyle="1" w:styleId="Text4">
    <w:name w:val="Text 4"/>
    <w:basedOn w:val="Normal"/>
    <w:rsid w:val="00315FC0"/>
    <w:pPr>
      <w:spacing w:before="120" w:after="120" w:line="240" w:lineRule="auto"/>
      <w:ind w:left="2551"/>
      <w:jc w:val="both"/>
    </w:pPr>
    <w:rPr>
      <w:rFonts w:ascii="Times New Roman" w:hAnsi="Times New Roman" w:cs="Times New Roman"/>
      <w:sz w:val="24"/>
    </w:rPr>
  </w:style>
  <w:style w:type="paragraph" w:customStyle="1" w:styleId="NormalCentered">
    <w:name w:val="Normal Centered"/>
    <w:basedOn w:val="Normal"/>
    <w:rsid w:val="00315FC0"/>
    <w:pPr>
      <w:spacing w:before="120" w:after="120" w:line="240" w:lineRule="auto"/>
      <w:jc w:val="center"/>
    </w:pPr>
    <w:rPr>
      <w:rFonts w:ascii="Times New Roman" w:hAnsi="Times New Roman" w:cs="Times New Roman"/>
      <w:sz w:val="24"/>
    </w:rPr>
  </w:style>
  <w:style w:type="paragraph" w:customStyle="1" w:styleId="NormalLeft">
    <w:name w:val="Normal Left"/>
    <w:basedOn w:val="Normal"/>
    <w:rsid w:val="00315FC0"/>
    <w:pPr>
      <w:spacing w:before="120" w:after="120" w:line="240" w:lineRule="auto"/>
    </w:pPr>
    <w:rPr>
      <w:rFonts w:ascii="Times New Roman" w:hAnsi="Times New Roman" w:cs="Times New Roman"/>
      <w:sz w:val="24"/>
    </w:rPr>
  </w:style>
  <w:style w:type="paragraph" w:customStyle="1" w:styleId="NormalRight">
    <w:name w:val="Normal Right"/>
    <w:basedOn w:val="Normal"/>
    <w:rsid w:val="00315FC0"/>
    <w:pPr>
      <w:spacing w:before="120" w:after="120" w:line="240" w:lineRule="auto"/>
      <w:jc w:val="right"/>
    </w:pPr>
    <w:rPr>
      <w:rFonts w:ascii="Times New Roman" w:hAnsi="Times New Roman" w:cs="Times New Roman"/>
      <w:sz w:val="24"/>
    </w:rPr>
  </w:style>
  <w:style w:type="paragraph" w:customStyle="1" w:styleId="QuotedText">
    <w:name w:val="Quoted Text"/>
    <w:basedOn w:val="Normal"/>
    <w:rsid w:val="00315FC0"/>
    <w:pPr>
      <w:spacing w:before="120" w:after="120" w:line="240" w:lineRule="auto"/>
      <w:ind w:left="1417"/>
      <w:jc w:val="both"/>
    </w:pPr>
    <w:rPr>
      <w:rFonts w:ascii="Times New Roman" w:hAnsi="Times New Roman" w:cs="Times New Roman"/>
      <w:sz w:val="24"/>
    </w:rPr>
  </w:style>
  <w:style w:type="paragraph" w:customStyle="1" w:styleId="Point0">
    <w:name w:val="Point 0"/>
    <w:basedOn w:val="Normal"/>
    <w:rsid w:val="00315FC0"/>
    <w:pPr>
      <w:spacing w:before="120" w:after="120" w:line="240" w:lineRule="auto"/>
      <w:ind w:left="850" w:hanging="850"/>
      <w:jc w:val="both"/>
    </w:pPr>
    <w:rPr>
      <w:rFonts w:ascii="Times New Roman" w:hAnsi="Times New Roman" w:cs="Times New Roman"/>
      <w:sz w:val="24"/>
    </w:rPr>
  </w:style>
  <w:style w:type="paragraph" w:customStyle="1" w:styleId="Point1">
    <w:name w:val="Point 1"/>
    <w:basedOn w:val="Normal"/>
    <w:rsid w:val="00315FC0"/>
    <w:pPr>
      <w:spacing w:before="120" w:after="120" w:line="240" w:lineRule="auto"/>
      <w:ind w:left="1417" w:hanging="567"/>
      <w:jc w:val="both"/>
    </w:pPr>
    <w:rPr>
      <w:rFonts w:ascii="Times New Roman" w:hAnsi="Times New Roman" w:cs="Times New Roman"/>
      <w:sz w:val="24"/>
    </w:rPr>
  </w:style>
  <w:style w:type="paragraph" w:customStyle="1" w:styleId="Point2">
    <w:name w:val="Point 2"/>
    <w:basedOn w:val="Normal"/>
    <w:rsid w:val="00315FC0"/>
    <w:pPr>
      <w:spacing w:before="120" w:after="120" w:line="240" w:lineRule="auto"/>
      <w:ind w:left="1984" w:hanging="567"/>
      <w:jc w:val="both"/>
    </w:pPr>
    <w:rPr>
      <w:rFonts w:ascii="Times New Roman" w:hAnsi="Times New Roman" w:cs="Times New Roman"/>
      <w:sz w:val="24"/>
    </w:rPr>
  </w:style>
  <w:style w:type="paragraph" w:customStyle="1" w:styleId="Point3">
    <w:name w:val="Point 3"/>
    <w:basedOn w:val="Normal"/>
    <w:rsid w:val="00315FC0"/>
    <w:pPr>
      <w:spacing w:before="120" w:after="120" w:line="240" w:lineRule="auto"/>
      <w:ind w:left="2551" w:hanging="567"/>
      <w:jc w:val="both"/>
    </w:pPr>
    <w:rPr>
      <w:rFonts w:ascii="Times New Roman" w:hAnsi="Times New Roman" w:cs="Times New Roman"/>
      <w:sz w:val="24"/>
    </w:rPr>
  </w:style>
  <w:style w:type="paragraph" w:customStyle="1" w:styleId="Point4">
    <w:name w:val="Point 4"/>
    <w:basedOn w:val="Normal"/>
    <w:rsid w:val="00315FC0"/>
    <w:pPr>
      <w:spacing w:before="120" w:after="120" w:line="240" w:lineRule="auto"/>
      <w:ind w:left="3118" w:hanging="567"/>
      <w:jc w:val="both"/>
    </w:pPr>
    <w:rPr>
      <w:rFonts w:ascii="Times New Roman" w:hAnsi="Times New Roman" w:cs="Times New Roman"/>
      <w:sz w:val="24"/>
    </w:rPr>
  </w:style>
  <w:style w:type="paragraph" w:customStyle="1" w:styleId="Tiret0">
    <w:name w:val="Tiret 0"/>
    <w:basedOn w:val="Point0"/>
    <w:rsid w:val="00315FC0"/>
    <w:pPr>
      <w:numPr>
        <w:numId w:val="2"/>
      </w:numPr>
      <w:tabs>
        <w:tab w:val="clear" w:pos="850"/>
        <w:tab w:val="num" w:pos="3118"/>
      </w:tabs>
      <w:ind w:left="3118" w:hanging="567"/>
    </w:pPr>
  </w:style>
  <w:style w:type="paragraph" w:customStyle="1" w:styleId="Tiret1">
    <w:name w:val="Tiret 1"/>
    <w:basedOn w:val="Point1"/>
    <w:rsid w:val="00315FC0"/>
    <w:pPr>
      <w:numPr>
        <w:numId w:val="3"/>
      </w:numPr>
      <w:tabs>
        <w:tab w:val="clear" w:pos="1417"/>
        <w:tab w:val="num" w:pos="850"/>
      </w:tabs>
      <w:ind w:left="850" w:hanging="850"/>
    </w:pPr>
  </w:style>
  <w:style w:type="paragraph" w:customStyle="1" w:styleId="Tiret2">
    <w:name w:val="Tiret 2"/>
    <w:basedOn w:val="Point2"/>
    <w:rsid w:val="00315FC0"/>
    <w:pPr>
      <w:numPr>
        <w:numId w:val="4"/>
      </w:numPr>
      <w:tabs>
        <w:tab w:val="clear" w:pos="1984"/>
        <w:tab w:val="num" w:pos="850"/>
      </w:tabs>
      <w:ind w:left="850" w:hanging="850"/>
    </w:pPr>
  </w:style>
  <w:style w:type="paragraph" w:customStyle="1" w:styleId="Tiret3">
    <w:name w:val="Tiret 3"/>
    <w:basedOn w:val="Point3"/>
    <w:rsid w:val="00315FC0"/>
    <w:pPr>
      <w:numPr>
        <w:numId w:val="5"/>
      </w:numPr>
      <w:tabs>
        <w:tab w:val="clear" w:pos="2551"/>
        <w:tab w:val="num" w:pos="850"/>
      </w:tabs>
      <w:ind w:left="850" w:hanging="850"/>
    </w:pPr>
  </w:style>
  <w:style w:type="paragraph" w:customStyle="1" w:styleId="Tiret4">
    <w:name w:val="Tiret 4"/>
    <w:basedOn w:val="Point4"/>
    <w:rsid w:val="00315FC0"/>
    <w:pPr>
      <w:numPr>
        <w:numId w:val="6"/>
      </w:numPr>
      <w:tabs>
        <w:tab w:val="clear" w:pos="3118"/>
        <w:tab w:val="num" w:pos="850"/>
      </w:tabs>
      <w:ind w:left="850" w:hanging="850"/>
    </w:pPr>
  </w:style>
  <w:style w:type="paragraph" w:customStyle="1" w:styleId="PointDouble0">
    <w:name w:val="PointDouble 0"/>
    <w:basedOn w:val="Normal"/>
    <w:rsid w:val="00315FC0"/>
    <w:pPr>
      <w:tabs>
        <w:tab w:val="left" w:pos="850"/>
      </w:tabs>
      <w:spacing w:before="120" w:after="120" w:line="240" w:lineRule="auto"/>
      <w:ind w:left="1417" w:hanging="1417"/>
      <w:jc w:val="both"/>
    </w:pPr>
    <w:rPr>
      <w:rFonts w:ascii="Times New Roman" w:hAnsi="Times New Roman" w:cs="Times New Roman"/>
      <w:sz w:val="24"/>
    </w:rPr>
  </w:style>
  <w:style w:type="paragraph" w:customStyle="1" w:styleId="PointDouble1">
    <w:name w:val="PointDouble 1"/>
    <w:basedOn w:val="Normal"/>
    <w:rsid w:val="00315FC0"/>
    <w:pPr>
      <w:tabs>
        <w:tab w:val="left" w:pos="1417"/>
      </w:tabs>
      <w:spacing w:before="120" w:after="120" w:line="240" w:lineRule="auto"/>
      <w:ind w:left="1984" w:hanging="1134"/>
      <w:jc w:val="both"/>
    </w:pPr>
    <w:rPr>
      <w:rFonts w:ascii="Times New Roman" w:hAnsi="Times New Roman" w:cs="Times New Roman"/>
      <w:sz w:val="24"/>
    </w:rPr>
  </w:style>
  <w:style w:type="paragraph" w:customStyle="1" w:styleId="PointDouble2">
    <w:name w:val="PointDouble 2"/>
    <w:basedOn w:val="Normal"/>
    <w:rsid w:val="00315FC0"/>
    <w:pPr>
      <w:tabs>
        <w:tab w:val="left" w:pos="1984"/>
      </w:tabs>
      <w:spacing w:before="120" w:after="120" w:line="240" w:lineRule="auto"/>
      <w:ind w:left="2551" w:hanging="1134"/>
      <w:jc w:val="both"/>
    </w:pPr>
    <w:rPr>
      <w:rFonts w:ascii="Times New Roman" w:hAnsi="Times New Roman" w:cs="Times New Roman"/>
      <w:sz w:val="24"/>
    </w:rPr>
  </w:style>
  <w:style w:type="paragraph" w:customStyle="1" w:styleId="PointDouble3">
    <w:name w:val="PointDouble 3"/>
    <w:basedOn w:val="Normal"/>
    <w:rsid w:val="00315FC0"/>
    <w:pPr>
      <w:tabs>
        <w:tab w:val="left" w:pos="2551"/>
      </w:tabs>
      <w:spacing w:before="120" w:after="120" w:line="240" w:lineRule="auto"/>
      <w:ind w:left="3118" w:hanging="1134"/>
      <w:jc w:val="both"/>
    </w:pPr>
    <w:rPr>
      <w:rFonts w:ascii="Times New Roman" w:hAnsi="Times New Roman" w:cs="Times New Roman"/>
      <w:sz w:val="24"/>
    </w:rPr>
  </w:style>
  <w:style w:type="paragraph" w:customStyle="1" w:styleId="PointDouble4">
    <w:name w:val="PointDouble 4"/>
    <w:basedOn w:val="Normal"/>
    <w:rsid w:val="00315FC0"/>
    <w:pPr>
      <w:tabs>
        <w:tab w:val="left" w:pos="3118"/>
      </w:tabs>
      <w:spacing w:before="120" w:after="120" w:line="240" w:lineRule="auto"/>
      <w:ind w:left="3685" w:hanging="1134"/>
      <w:jc w:val="both"/>
    </w:pPr>
    <w:rPr>
      <w:rFonts w:ascii="Times New Roman" w:hAnsi="Times New Roman" w:cs="Times New Roman"/>
      <w:sz w:val="24"/>
    </w:rPr>
  </w:style>
  <w:style w:type="paragraph" w:customStyle="1" w:styleId="PointTriple0">
    <w:name w:val="PointTriple 0"/>
    <w:basedOn w:val="Normal"/>
    <w:rsid w:val="00315FC0"/>
    <w:pPr>
      <w:tabs>
        <w:tab w:val="left" w:pos="850"/>
        <w:tab w:val="left" w:pos="1417"/>
      </w:tabs>
      <w:spacing w:before="120" w:after="120" w:line="240" w:lineRule="auto"/>
      <w:ind w:left="1984" w:hanging="1984"/>
      <w:jc w:val="both"/>
    </w:pPr>
    <w:rPr>
      <w:rFonts w:ascii="Times New Roman" w:hAnsi="Times New Roman" w:cs="Times New Roman"/>
      <w:sz w:val="24"/>
    </w:rPr>
  </w:style>
  <w:style w:type="paragraph" w:customStyle="1" w:styleId="PointTriple1">
    <w:name w:val="PointTriple 1"/>
    <w:basedOn w:val="Normal"/>
    <w:rsid w:val="00315FC0"/>
    <w:pPr>
      <w:tabs>
        <w:tab w:val="left" w:pos="1417"/>
        <w:tab w:val="left" w:pos="1984"/>
      </w:tabs>
      <w:spacing w:before="120" w:after="120" w:line="240" w:lineRule="auto"/>
      <w:ind w:left="2551" w:hanging="1701"/>
      <w:jc w:val="both"/>
    </w:pPr>
    <w:rPr>
      <w:rFonts w:ascii="Times New Roman" w:hAnsi="Times New Roman" w:cs="Times New Roman"/>
      <w:sz w:val="24"/>
    </w:rPr>
  </w:style>
  <w:style w:type="paragraph" w:customStyle="1" w:styleId="PointTriple2">
    <w:name w:val="PointTriple 2"/>
    <w:basedOn w:val="Normal"/>
    <w:rsid w:val="00315FC0"/>
    <w:pPr>
      <w:tabs>
        <w:tab w:val="left" w:pos="1984"/>
        <w:tab w:val="left" w:pos="2551"/>
      </w:tabs>
      <w:spacing w:before="120" w:after="120" w:line="240" w:lineRule="auto"/>
      <w:ind w:left="3118" w:hanging="1701"/>
      <w:jc w:val="both"/>
    </w:pPr>
    <w:rPr>
      <w:rFonts w:ascii="Times New Roman" w:hAnsi="Times New Roman" w:cs="Times New Roman"/>
      <w:sz w:val="24"/>
    </w:rPr>
  </w:style>
  <w:style w:type="paragraph" w:customStyle="1" w:styleId="PointTriple3">
    <w:name w:val="PointTriple 3"/>
    <w:basedOn w:val="Normal"/>
    <w:rsid w:val="00315FC0"/>
    <w:pPr>
      <w:tabs>
        <w:tab w:val="left" w:pos="2551"/>
        <w:tab w:val="left" w:pos="3118"/>
      </w:tabs>
      <w:spacing w:before="120" w:after="120" w:line="240" w:lineRule="auto"/>
      <w:ind w:left="3685" w:hanging="1701"/>
      <w:jc w:val="both"/>
    </w:pPr>
    <w:rPr>
      <w:rFonts w:ascii="Times New Roman" w:hAnsi="Times New Roman" w:cs="Times New Roman"/>
      <w:sz w:val="24"/>
    </w:rPr>
  </w:style>
  <w:style w:type="paragraph" w:customStyle="1" w:styleId="PointTriple4">
    <w:name w:val="PointTriple 4"/>
    <w:basedOn w:val="Normal"/>
    <w:rsid w:val="00315FC0"/>
    <w:pPr>
      <w:tabs>
        <w:tab w:val="left" w:pos="3118"/>
        <w:tab w:val="left" w:pos="3685"/>
      </w:tabs>
      <w:spacing w:before="120" w:after="120" w:line="240" w:lineRule="auto"/>
      <w:ind w:left="4252" w:hanging="1701"/>
      <w:jc w:val="both"/>
    </w:pPr>
    <w:rPr>
      <w:rFonts w:ascii="Times New Roman" w:hAnsi="Times New Roman" w:cs="Times New Roman"/>
      <w:sz w:val="24"/>
    </w:rPr>
  </w:style>
  <w:style w:type="paragraph" w:customStyle="1" w:styleId="NumPar1">
    <w:name w:val="NumPar 1"/>
    <w:basedOn w:val="Normal"/>
    <w:next w:val="Text1"/>
    <w:rsid w:val="00315FC0"/>
    <w:pPr>
      <w:numPr>
        <w:numId w:val="7"/>
      </w:numPr>
      <w:tabs>
        <w:tab w:val="clear" w:pos="850"/>
        <w:tab w:val="num" w:pos="1417"/>
      </w:tabs>
      <w:spacing w:before="120" w:after="120" w:line="240" w:lineRule="auto"/>
      <w:ind w:left="1417" w:hanging="567"/>
      <w:jc w:val="both"/>
    </w:pPr>
    <w:rPr>
      <w:rFonts w:ascii="Times New Roman" w:hAnsi="Times New Roman" w:cs="Times New Roman"/>
      <w:sz w:val="24"/>
    </w:rPr>
  </w:style>
  <w:style w:type="paragraph" w:customStyle="1" w:styleId="NumPar2">
    <w:name w:val="NumPar 2"/>
    <w:basedOn w:val="Normal"/>
    <w:next w:val="Text1"/>
    <w:rsid w:val="00315FC0"/>
    <w:pPr>
      <w:numPr>
        <w:ilvl w:val="1"/>
        <w:numId w:val="7"/>
      </w:numPr>
      <w:tabs>
        <w:tab w:val="clear" w:pos="850"/>
        <w:tab w:val="num" w:pos="1417"/>
      </w:tabs>
      <w:spacing w:before="120" w:after="120" w:line="240" w:lineRule="auto"/>
      <w:ind w:left="1417" w:hanging="567"/>
      <w:jc w:val="both"/>
    </w:pPr>
    <w:rPr>
      <w:rFonts w:ascii="Times New Roman" w:hAnsi="Times New Roman" w:cs="Times New Roman"/>
      <w:sz w:val="24"/>
    </w:rPr>
  </w:style>
  <w:style w:type="paragraph" w:customStyle="1" w:styleId="NumPar3">
    <w:name w:val="NumPar 3"/>
    <w:basedOn w:val="Normal"/>
    <w:next w:val="Text1"/>
    <w:rsid w:val="00315FC0"/>
    <w:pPr>
      <w:numPr>
        <w:ilvl w:val="2"/>
        <w:numId w:val="7"/>
      </w:numPr>
      <w:tabs>
        <w:tab w:val="clear" w:pos="850"/>
        <w:tab w:val="num" w:pos="1417"/>
      </w:tabs>
      <w:spacing w:before="120" w:after="120" w:line="240" w:lineRule="auto"/>
      <w:ind w:left="1417" w:hanging="567"/>
      <w:jc w:val="both"/>
    </w:pPr>
    <w:rPr>
      <w:rFonts w:ascii="Times New Roman" w:hAnsi="Times New Roman" w:cs="Times New Roman"/>
      <w:sz w:val="24"/>
    </w:rPr>
  </w:style>
  <w:style w:type="paragraph" w:customStyle="1" w:styleId="NumPar4">
    <w:name w:val="NumPar 4"/>
    <w:basedOn w:val="Normal"/>
    <w:next w:val="Text1"/>
    <w:rsid w:val="00315FC0"/>
    <w:pPr>
      <w:numPr>
        <w:ilvl w:val="3"/>
        <w:numId w:val="7"/>
      </w:numPr>
      <w:tabs>
        <w:tab w:val="clear" w:pos="850"/>
        <w:tab w:val="num" w:pos="1417"/>
      </w:tabs>
      <w:spacing w:before="120" w:after="120" w:line="240" w:lineRule="auto"/>
      <w:ind w:left="1417" w:hanging="567"/>
      <w:jc w:val="both"/>
    </w:pPr>
    <w:rPr>
      <w:rFonts w:ascii="Times New Roman" w:hAnsi="Times New Roman" w:cs="Times New Roman"/>
      <w:sz w:val="24"/>
    </w:rPr>
  </w:style>
  <w:style w:type="paragraph" w:customStyle="1" w:styleId="ManualNumPar1">
    <w:name w:val="Manual NumPar 1"/>
    <w:basedOn w:val="Normal"/>
    <w:next w:val="Text1"/>
    <w:rsid w:val="00315FC0"/>
    <w:pPr>
      <w:spacing w:before="120" w:after="120" w:line="240" w:lineRule="auto"/>
      <w:ind w:left="850" w:hanging="850"/>
      <w:jc w:val="both"/>
    </w:pPr>
    <w:rPr>
      <w:rFonts w:ascii="Times New Roman" w:hAnsi="Times New Roman" w:cs="Times New Roman"/>
      <w:sz w:val="24"/>
    </w:rPr>
  </w:style>
  <w:style w:type="paragraph" w:customStyle="1" w:styleId="ManualNumPar2">
    <w:name w:val="Manual NumPar 2"/>
    <w:basedOn w:val="Normal"/>
    <w:next w:val="Text1"/>
    <w:rsid w:val="00315FC0"/>
    <w:pPr>
      <w:spacing w:before="120" w:after="120" w:line="240" w:lineRule="auto"/>
      <w:ind w:left="850" w:hanging="850"/>
      <w:jc w:val="both"/>
    </w:pPr>
    <w:rPr>
      <w:rFonts w:ascii="Times New Roman" w:hAnsi="Times New Roman" w:cs="Times New Roman"/>
      <w:sz w:val="24"/>
    </w:rPr>
  </w:style>
  <w:style w:type="paragraph" w:customStyle="1" w:styleId="ManualNumPar3">
    <w:name w:val="Manual NumPar 3"/>
    <w:basedOn w:val="Normal"/>
    <w:next w:val="Text1"/>
    <w:rsid w:val="00315FC0"/>
    <w:pPr>
      <w:spacing w:before="120" w:after="120" w:line="240" w:lineRule="auto"/>
      <w:ind w:left="850" w:hanging="850"/>
      <w:jc w:val="both"/>
    </w:pPr>
    <w:rPr>
      <w:rFonts w:ascii="Times New Roman" w:hAnsi="Times New Roman" w:cs="Times New Roman"/>
      <w:sz w:val="24"/>
    </w:rPr>
  </w:style>
  <w:style w:type="paragraph" w:customStyle="1" w:styleId="ManualNumPar4">
    <w:name w:val="Manual NumPar 4"/>
    <w:basedOn w:val="Normal"/>
    <w:next w:val="Text1"/>
    <w:rsid w:val="00315FC0"/>
    <w:pPr>
      <w:spacing w:before="120" w:after="120" w:line="240" w:lineRule="auto"/>
      <w:ind w:left="850" w:hanging="850"/>
      <w:jc w:val="both"/>
    </w:pPr>
    <w:rPr>
      <w:rFonts w:ascii="Times New Roman" w:hAnsi="Times New Roman" w:cs="Times New Roman"/>
      <w:sz w:val="24"/>
    </w:rPr>
  </w:style>
  <w:style w:type="paragraph" w:customStyle="1" w:styleId="QuotedNumPar">
    <w:name w:val="Quoted NumPar"/>
    <w:basedOn w:val="Normal"/>
    <w:rsid w:val="00315FC0"/>
    <w:pPr>
      <w:spacing w:before="120" w:after="120" w:line="240" w:lineRule="auto"/>
      <w:ind w:left="1417" w:hanging="567"/>
      <w:jc w:val="both"/>
    </w:pPr>
    <w:rPr>
      <w:rFonts w:ascii="Times New Roman" w:hAnsi="Times New Roman" w:cs="Times New Roman"/>
      <w:sz w:val="24"/>
    </w:rPr>
  </w:style>
  <w:style w:type="paragraph" w:customStyle="1" w:styleId="ManualHeading1">
    <w:name w:val="Manual Heading 1"/>
    <w:basedOn w:val="Normal"/>
    <w:next w:val="Text1"/>
    <w:rsid w:val="00315FC0"/>
    <w:pPr>
      <w:keepNext/>
      <w:tabs>
        <w:tab w:val="left" w:pos="850"/>
      </w:tabs>
      <w:spacing w:before="360" w:after="120" w:line="240" w:lineRule="auto"/>
      <w:ind w:left="850" w:hanging="850"/>
      <w:jc w:val="both"/>
      <w:outlineLvl w:val="0"/>
    </w:pPr>
    <w:rPr>
      <w:rFonts w:ascii="Times New Roman" w:hAnsi="Times New Roman" w:cs="Times New Roman"/>
      <w:b/>
      <w:smallCaps/>
      <w:sz w:val="24"/>
    </w:rPr>
  </w:style>
  <w:style w:type="paragraph" w:customStyle="1" w:styleId="ManualHeading2">
    <w:name w:val="Manual Heading 2"/>
    <w:basedOn w:val="Normal"/>
    <w:next w:val="Text1"/>
    <w:rsid w:val="00315FC0"/>
    <w:pPr>
      <w:keepNext/>
      <w:tabs>
        <w:tab w:val="left" w:pos="850"/>
      </w:tabs>
      <w:spacing w:before="120" w:after="120" w:line="240" w:lineRule="auto"/>
      <w:ind w:left="850" w:hanging="850"/>
      <w:jc w:val="both"/>
      <w:outlineLvl w:val="1"/>
    </w:pPr>
    <w:rPr>
      <w:rFonts w:ascii="Times New Roman" w:hAnsi="Times New Roman" w:cs="Times New Roman"/>
      <w:b/>
      <w:sz w:val="24"/>
    </w:rPr>
  </w:style>
  <w:style w:type="paragraph" w:customStyle="1" w:styleId="ManualHeading3">
    <w:name w:val="Manual Heading 3"/>
    <w:basedOn w:val="Normal"/>
    <w:next w:val="Text1"/>
    <w:rsid w:val="00315FC0"/>
    <w:pPr>
      <w:keepNext/>
      <w:tabs>
        <w:tab w:val="left" w:pos="850"/>
      </w:tabs>
      <w:spacing w:before="120" w:after="120" w:line="240" w:lineRule="auto"/>
      <w:ind w:left="850" w:hanging="850"/>
      <w:jc w:val="both"/>
      <w:outlineLvl w:val="2"/>
    </w:pPr>
    <w:rPr>
      <w:rFonts w:ascii="Times New Roman" w:hAnsi="Times New Roman" w:cs="Times New Roman"/>
      <w:i/>
      <w:sz w:val="24"/>
    </w:rPr>
  </w:style>
  <w:style w:type="paragraph" w:customStyle="1" w:styleId="ManualHeading4">
    <w:name w:val="Manual Heading 4"/>
    <w:basedOn w:val="Normal"/>
    <w:next w:val="Text1"/>
    <w:rsid w:val="00315FC0"/>
    <w:pPr>
      <w:keepNext/>
      <w:tabs>
        <w:tab w:val="left" w:pos="850"/>
      </w:tabs>
      <w:spacing w:before="120" w:after="120" w:line="240" w:lineRule="auto"/>
      <w:ind w:left="850" w:hanging="850"/>
      <w:jc w:val="both"/>
      <w:outlineLvl w:val="3"/>
    </w:pPr>
    <w:rPr>
      <w:rFonts w:ascii="Times New Roman" w:hAnsi="Times New Roman" w:cs="Times New Roman"/>
      <w:sz w:val="24"/>
    </w:rPr>
  </w:style>
  <w:style w:type="paragraph" w:customStyle="1" w:styleId="ChapterTitle">
    <w:name w:val="ChapterTitle"/>
    <w:basedOn w:val="Normal"/>
    <w:next w:val="Normal"/>
    <w:rsid w:val="00315FC0"/>
    <w:pPr>
      <w:keepNext/>
      <w:spacing w:before="120" w:after="360" w:line="240" w:lineRule="auto"/>
      <w:jc w:val="center"/>
    </w:pPr>
    <w:rPr>
      <w:rFonts w:ascii="Times New Roman" w:hAnsi="Times New Roman" w:cs="Times New Roman"/>
      <w:b/>
      <w:sz w:val="32"/>
    </w:rPr>
  </w:style>
  <w:style w:type="paragraph" w:customStyle="1" w:styleId="PartTitle">
    <w:name w:val="PartTitle"/>
    <w:basedOn w:val="Normal"/>
    <w:next w:val="ChapterTitle"/>
    <w:rsid w:val="00315FC0"/>
    <w:pPr>
      <w:keepNext/>
      <w:pageBreakBefore/>
      <w:spacing w:before="120" w:after="360" w:line="240" w:lineRule="auto"/>
      <w:jc w:val="center"/>
    </w:pPr>
    <w:rPr>
      <w:rFonts w:ascii="Times New Roman" w:hAnsi="Times New Roman" w:cs="Times New Roman"/>
      <w:b/>
      <w:sz w:val="36"/>
    </w:rPr>
  </w:style>
  <w:style w:type="paragraph" w:customStyle="1" w:styleId="SectionTitle">
    <w:name w:val="SectionTitle"/>
    <w:basedOn w:val="Normal"/>
    <w:next w:val="Heading1"/>
    <w:rsid w:val="00315FC0"/>
    <w:pPr>
      <w:keepNext/>
      <w:spacing w:before="120" w:after="360" w:line="240" w:lineRule="auto"/>
      <w:jc w:val="center"/>
    </w:pPr>
    <w:rPr>
      <w:rFonts w:ascii="Times New Roman" w:hAnsi="Times New Roman" w:cs="Times New Roman"/>
      <w:b/>
      <w:smallCaps/>
      <w:sz w:val="28"/>
    </w:rPr>
  </w:style>
  <w:style w:type="paragraph" w:customStyle="1" w:styleId="TableTitle">
    <w:name w:val="Table Title"/>
    <w:basedOn w:val="Normal"/>
    <w:next w:val="Normal"/>
    <w:rsid w:val="00315FC0"/>
    <w:pPr>
      <w:spacing w:before="120" w:after="120" w:line="240" w:lineRule="auto"/>
      <w:jc w:val="center"/>
    </w:pPr>
    <w:rPr>
      <w:rFonts w:ascii="Times New Roman" w:hAnsi="Times New Roman" w:cs="Times New Roman"/>
      <w:b/>
      <w:sz w:val="24"/>
    </w:rPr>
  </w:style>
  <w:style w:type="character" w:customStyle="1" w:styleId="Marker">
    <w:name w:val="Marker"/>
    <w:basedOn w:val="DefaultParagraphFont"/>
    <w:rsid w:val="00315FC0"/>
    <w:rPr>
      <w:color w:val="0000FF"/>
      <w:bdr w:val="none" w:sz="0" w:space="0" w:color="auto"/>
      <w:shd w:val="clear" w:color="auto" w:fill="auto"/>
    </w:rPr>
  </w:style>
  <w:style w:type="character" w:customStyle="1" w:styleId="Marker1">
    <w:name w:val="Marker1"/>
    <w:rsid w:val="00315FC0"/>
    <w:rPr>
      <w:color w:val="008000"/>
      <w:shd w:val="clear" w:color="auto" w:fill="auto"/>
    </w:rPr>
  </w:style>
  <w:style w:type="character" w:customStyle="1" w:styleId="Marker2">
    <w:name w:val="Marker2"/>
    <w:rsid w:val="00315FC0"/>
    <w:rPr>
      <w:color w:val="FF0000"/>
      <w:shd w:val="clear" w:color="auto" w:fill="auto"/>
    </w:rPr>
  </w:style>
  <w:style w:type="paragraph" w:customStyle="1" w:styleId="Point0number">
    <w:name w:val="Point 0 (number)"/>
    <w:basedOn w:val="Normal"/>
    <w:rsid w:val="00315FC0"/>
    <w:pPr>
      <w:numPr>
        <w:numId w:val="8"/>
      </w:numPr>
      <w:tabs>
        <w:tab w:val="clear" w:pos="850"/>
        <w:tab w:val="num" w:pos="360"/>
        <w:tab w:val="num" w:pos="2551"/>
      </w:tabs>
      <w:spacing w:before="120" w:after="120" w:line="240" w:lineRule="auto"/>
      <w:ind w:left="2551" w:hanging="567"/>
      <w:jc w:val="both"/>
    </w:pPr>
    <w:rPr>
      <w:rFonts w:ascii="Times New Roman" w:hAnsi="Times New Roman" w:cs="Times New Roman"/>
      <w:sz w:val="24"/>
    </w:rPr>
  </w:style>
  <w:style w:type="paragraph" w:customStyle="1" w:styleId="Point1number">
    <w:name w:val="Point 1 (number)"/>
    <w:basedOn w:val="Normal"/>
    <w:rsid w:val="00315FC0"/>
    <w:pPr>
      <w:numPr>
        <w:ilvl w:val="2"/>
        <w:numId w:val="8"/>
      </w:numPr>
      <w:tabs>
        <w:tab w:val="clear" w:pos="1417"/>
        <w:tab w:val="num" w:pos="360"/>
        <w:tab w:val="num" w:pos="2551"/>
      </w:tabs>
      <w:spacing w:before="120" w:after="120" w:line="240" w:lineRule="auto"/>
      <w:ind w:left="2551" w:firstLine="0"/>
      <w:jc w:val="both"/>
    </w:pPr>
    <w:rPr>
      <w:rFonts w:ascii="Times New Roman" w:hAnsi="Times New Roman" w:cs="Times New Roman"/>
      <w:sz w:val="24"/>
    </w:rPr>
  </w:style>
  <w:style w:type="paragraph" w:customStyle="1" w:styleId="Point2number">
    <w:name w:val="Point 2 (number)"/>
    <w:basedOn w:val="Normal"/>
    <w:rsid w:val="00315FC0"/>
    <w:pPr>
      <w:numPr>
        <w:ilvl w:val="4"/>
        <w:numId w:val="8"/>
      </w:numPr>
      <w:tabs>
        <w:tab w:val="clear" w:pos="1984"/>
        <w:tab w:val="num" w:pos="360"/>
        <w:tab w:val="num" w:pos="2551"/>
      </w:tabs>
      <w:spacing w:before="120" w:after="120" w:line="240" w:lineRule="auto"/>
      <w:ind w:left="2551" w:firstLine="0"/>
      <w:jc w:val="both"/>
    </w:pPr>
    <w:rPr>
      <w:rFonts w:ascii="Times New Roman" w:hAnsi="Times New Roman" w:cs="Times New Roman"/>
      <w:sz w:val="24"/>
    </w:rPr>
  </w:style>
  <w:style w:type="paragraph" w:customStyle="1" w:styleId="Point3number">
    <w:name w:val="Point 3 (number)"/>
    <w:basedOn w:val="Normal"/>
    <w:rsid w:val="00315FC0"/>
    <w:pPr>
      <w:numPr>
        <w:ilvl w:val="6"/>
        <w:numId w:val="8"/>
      </w:numPr>
      <w:tabs>
        <w:tab w:val="clear" w:pos="2551"/>
        <w:tab w:val="num" w:pos="360"/>
      </w:tabs>
      <w:spacing w:before="120" w:after="120" w:line="240" w:lineRule="auto"/>
      <w:ind w:left="0" w:firstLine="0"/>
      <w:jc w:val="both"/>
    </w:pPr>
    <w:rPr>
      <w:rFonts w:ascii="Times New Roman" w:hAnsi="Times New Roman" w:cs="Times New Roman"/>
      <w:sz w:val="24"/>
    </w:rPr>
  </w:style>
  <w:style w:type="paragraph" w:customStyle="1" w:styleId="Point0letter">
    <w:name w:val="Point 0 (letter)"/>
    <w:basedOn w:val="Normal"/>
    <w:rsid w:val="00315FC0"/>
    <w:pPr>
      <w:numPr>
        <w:ilvl w:val="1"/>
        <w:numId w:val="8"/>
      </w:numPr>
      <w:tabs>
        <w:tab w:val="clear" w:pos="850"/>
        <w:tab w:val="num" w:pos="360"/>
        <w:tab w:val="num" w:pos="2551"/>
      </w:tabs>
      <w:spacing w:before="120" w:after="120" w:line="240" w:lineRule="auto"/>
      <w:ind w:left="2551" w:hanging="567"/>
      <w:jc w:val="both"/>
    </w:pPr>
    <w:rPr>
      <w:rFonts w:ascii="Times New Roman" w:hAnsi="Times New Roman" w:cs="Times New Roman"/>
      <w:sz w:val="24"/>
    </w:rPr>
  </w:style>
  <w:style w:type="paragraph" w:customStyle="1" w:styleId="Point1letter">
    <w:name w:val="Point 1 (letter)"/>
    <w:basedOn w:val="Normal"/>
    <w:rsid w:val="00315FC0"/>
    <w:pPr>
      <w:numPr>
        <w:ilvl w:val="3"/>
        <w:numId w:val="8"/>
      </w:numPr>
      <w:tabs>
        <w:tab w:val="clear" w:pos="1417"/>
        <w:tab w:val="num" w:pos="360"/>
        <w:tab w:val="num" w:pos="2551"/>
      </w:tabs>
      <w:spacing w:before="120" w:after="120" w:line="240" w:lineRule="auto"/>
      <w:ind w:left="2551" w:firstLine="0"/>
      <w:jc w:val="both"/>
    </w:pPr>
    <w:rPr>
      <w:rFonts w:ascii="Times New Roman" w:hAnsi="Times New Roman" w:cs="Times New Roman"/>
      <w:sz w:val="24"/>
    </w:rPr>
  </w:style>
  <w:style w:type="paragraph" w:customStyle="1" w:styleId="Point2letter">
    <w:name w:val="Point 2 (letter)"/>
    <w:basedOn w:val="Normal"/>
    <w:rsid w:val="00315FC0"/>
    <w:pPr>
      <w:numPr>
        <w:ilvl w:val="5"/>
        <w:numId w:val="8"/>
      </w:numPr>
      <w:tabs>
        <w:tab w:val="clear" w:pos="1984"/>
        <w:tab w:val="num" w:pos="360"/>
        <w:tab w:val="num" w:pos="2551"/>
      </w:tabs>
      <w:spacing w:before="120" w:after="120" w:line="240" w:lineRule="auto"/>
      <w:ind w:left="2551" w:firstLine="0"/>
      <w:jc w:val="both"/>
    </w:pPr>
    <w:rPr>
      <w:rFonts w:ascii="Times New Roman" w:hAnsi="Times New Roman" w:cs="Times New Roman"/>
      <w:sz w:val="24"/>
    </w:rPr>
  </w:style>
  <w:style w:type="paragraph" w:customStyle="1" w:styleId="Point3letter">
    <w:name w:val="Point 3 (letter)"/>
    <w:basedOn w:val="Normal"/>
    <w:rsid w:val="00315FC0"/>
    <w:pPr>
      <w:numPr>
        <w:ilvl w:val="7"/>
        <w:numId w:val="8"/>
      </w:numPr>
      <w:tabs>
        <w:tab w:val="clear" w:pos="2551"/>
        <w:tab w:val="num" w:pos="360"/>
      </w:tabs>
      <w:spacing w:before="120" w:after="120" w:line="240" w:lineRule="auto"/>
      <w:ind w:left="0" w:firstLine="0"/>
      <w:jc w:val="both"/>
    </w:pPr>
    <w:rPr>
      <w:rFonts w:ascii="Times New Roman" w:hAnsi="Times New Roman" w:cs="Times New Roman"/>
      <w:sz w:val="24"/>
    </w:rPr>
  </w:style>
  <w:style w:type="paragraph" w:customStyle="1" w:styleId="Point4letter">
    <w:name w:val="Point 4 (letter)"/>
    <w:basedOn w:val="Normal"/>
    <w:rsid w:val="00315FC0"/>
    <w:pPr>
      <w:numPr>
        <w:ilvl w:val="8"/>
        <w:numId w:val="8"/>
      </w:numPr>
      <w:tabs>
        <w:tab w:val="clear" w:pos="3118"/>
        <w:tab w:val="num" w:pos="360"/>
        <w:tab w:val="num" w:pos="2551"/>
      </w:tabs>
      <w:spacing w:before="120" w:after="120" w:line="240" w:lineRule="auto"/>
      <w:ind w:left="2551" w:firstLine="0"/>
      <w:jc w:val="both"/>
    </w:pPr>
    <w:rPr>
      <w:rFonts w:ascii="Times New Roman" w:hAnsi="Times New Roman" w:cs="Times New Roman"/>
      <w:sz w:val="24"/>
    </w:rPr>
  </w:style>
  <w:style w:type="paragraph" w:customStyle="1" w:styleId="Bullet0">
    <w:name w:val="Bullet 0"/>
    <w:basedOn w:val="Normal"/>
    <w:rsid w:val="00315FC0"/>
    <w:pPr>
      <w:numPr>
        <w:numId w:val="9"/>
      </w:numPr>
      <w:tabs>
        <w:tab w:val="clear" w:pos="850"/>
        <w:tab w:val="num" w:pos="360"/>
        <w:tab w:val="num" w:pos="3118"/>
      </w:tabs>
      <w:spacing w:before="120" w:after="120" w:line="240" w:lineRule="auto"/>
      <w:ind w:left="3118" w:hanging="567"/>
      <w:jc w:val="both"/>
    </w:pPr>
    <w:rPr>
      <w:rFonts w:ascii="Times New Roman" w:hAnsi="Times New Roman" w:cs="Times New Roman"/>
      <w:sz w:val="24"/>
    </w:rPr>
  </w:style>
  <w:style w:type="paragraph" w:customStyle="1" w:styleId="Bullet1">
    <w:name w:val="Bullet 1"/>
    <w:basedOn w:val="Normal"/>
    <w:rsid w:val="00315FC0"/>
    <w:pPr>
      <w:numPr>
        <w:numId w:val="10"/>
      </w:numPr>
      <w:tabs>
        <w:tab w:val="clear" w:pos="1417"/>
        <w:tab w:val="num" w:pos="360"/>
        <w:tab w:val="num" w:pos="709"/>
      </w:tabs>
      <w:spacing w:before="120" w:after="120" w:line="240" w:lineRule="auto"/>
      <w:ind w:left="709" w:hanging="709"/>
      <w:jc w:val="both"/>
    </w:pPr>
    <w:rPr>
      <w:rFonts w:ascii="Times New Roman" w:hAnsi="Times New Roman" w:cs="Times New Roman"/>
      <w:sz w:val="24"/>
    </w:rPr>
  </w:style>
  <w:style w:type="paragraph" w:customStyle="1" w:styleId="Bullet2">
    <w:name w:val="Bullet 2"/>
    <w:basedOn w:val="Normal"/>
    <w:rsid w:val="00315FC0"/>
    <w:pPr>
      <w:numPr>
        <w:numId w:val="11"/>
      </w:numPr>
      <w:tabs>
        <w:tab w:val="clear" w:pos="1984"/>
        <w:tab w:val="num" w:pos="360"/>
        <w:tab w:val="num" w:pos="850"/>
      </w:tabs>
      <w:spacing w:before="120" w:after="120" w:line="240" w:lineRule="auto"/>
      <w:ind w:left="850" w:hanging="850"/>
      <w:jc w:val="both"/>
    </w:pPr>
    <w:rPr>
      <w:rFonts w:ascii="Times New Roman" w:hAnsi="Times New Roman" w:cs="Times New Roman"/>
      <w:sz w:val="24"/>
    </w:rPr>
  </w:style>
  <w:style w:type="paragraph" w:customStyle="1" w:styleId="Bullet3">
    <w:name w:val="Bullet 3"/>
    <w:basedOn w:val="Normal"/>
    <w:rsid w:val="00315FC0"/>
    <w:pPr>
      <w:numPr>
        <w:numId w:val="12"/>
      </w:numPr>
      <w:tabs>
        <w:tab w:val="clear" w:pos="2551"/>
        <w:tab w:val="num" w:pos="360"/>
      </w:tabs>
      <w:spacing w:before="120" w:after="120" w:line="240" w:lineRule="auto"/>
      <w:ind w:left="360" w:hanging="360"/>
      <w:jc w:val="both"/>
    </w:pPr>
    <w:rPr>
      <w:rFonts w:ascii="Times New Roman" w:hAnsi="Times New Roman" w:cs="Times New Roman"/>
      <w:sz w:val="24"/>
    </w:rPr>
  </w:style>
  <w:style w:type="paragraph" w:customStyle="1" w:styleId="Bullet4">
    <w:name w:val="Bullet 4"/>
    <w:basedOn w:val="Normal"/>
    <w:rsid w:val="00315FC0"/>
    <w:pPr>
      <w:numPr>
        <w:numId w:val="13"/>
      </w:numPr>
      <w:tabs>
        <w:tab w:val="clear" w:pos="3118"/>
        <w:tab w:val="num" w:pos="360"/>
        <w:tab w:val="num" w:pos="643"/>
      </w:tabs>
      <w:spacing w:before="120" w:after="120" w:line="240" w:lineRule="auto"/>
      <w:ind w:left="643" w:hanging="360"/>
      <w:jc w:val="both"/>
    </w:pPr>
    <w:rPr>
      <w:rFonts w:ascii="Times New Roman" w:hAnsi="Times New Roman" w:cs="Times New Roman"/>
      <w:sz w:val="24"/>
    </w:rPr>
  </w:style>
  <w:style w:type="paragraph" w:customStyle="1" w:styleId="Langue">
    <w:name w:val="Langue"/>
    <w:basedOn w:val="Normal"/>
    <w:next w:val="Rfrenceinterne"/>
    <w:rsid w:val="00315FC0"/>
    <w:pPr>
      <w:framePr w:wrap="around" w:vAnchor="page" w:hAnchor="text" w:xAlign="center" w:y="14741"/>
      <w:spacing w:after="600" w:line="240" w:lineRule="auto"/>
      <w:jc w:val="center"/>
    </w:pPr>
    <w:rPr>
      <w:rFonts w:ascii="Times New Roman" w:hAnsi="Times New Roman" w:cs="Times New Roman"/>
      <w:b/>
      <w:caps/>
      <w:sz w:val="24"/>
    </w:rPr>
  </w:style>
  <w:style w:type="paragraph" w:customStyle="1" w:styleId="Nomdelinstitution">
    <w:name w:val="Nom de l'institution"/>
    <w:basedOn w:val="Normal"/>
    <w:next w:val="Emission"/>
    <w:rsid w:val="00315FC0"/>
    <w:pPr>
      <w:spacing w:after="0" w:line="240" w:lineRule="auto"/>
    </w:pPr>
    <w:rPr>
      <w:rFonts w:ascii="Arial" w:hAnsi="Arial" w:cs="Arial"/>
      <w:sz w:val="24"/>
    </w:rPr>
  </w:style>
  <w:style w:type="paragraph" w:customStyle="1" w:styleId="Emission">
    <w:name w:val="Emission"/>
    <w:basedOn w:val="Normal"/>
    <w:next w:val="Rfrenceinstitutionnelle"/>
    <w:rsid w:val="00315FC0"/>
    <w:pPr>
      <w:spacing w:after="0" w:line="240" w:lineRule="auto"/>
      <w:ind w:left="5103"/>
    </w:pPr>
    <w:rPr>
      <w:rFonts w:ascii="Times New Roman" w:hAnsi="Times New Roman" w:cs="Times New Roman"/>
      <w:sz w:val="24"/>
    </w:rPr>
  </w:style>
  <w:style w:type="paragraph" w:customStyle="1" w:styleId="Rfrenceinstitutionnelle">
    <w:name w:val="Référence institutionnelle"/>
    <w:basedOn w:val="Normal"/>
    <w:next w:val="Confidentialit"/>
    <w:rsid w:val="00315FC0"/>
    <w:pPr>
      <w:spacing w:after="240" w:line="240" w:lineRule="auto"/>
      <w:ind w:left="5103"/>
    </w:pPr>
    <w:rPr>
      <w:rFonts w:ascii="Times New Roman" w:hAnsi="Times New Roman" w:cs="Times New Roman"/>
      <w:sz w:val="24"/>
    </w:rPr>
  </w:style>
  <w:style w:type="paragraph" w:customStyle="1" w:styleId="Pagedecouverture">
    <w:name w:val="Page de couverture"/>
    <w:basedOn w:val="Normal"/>
    <w:next w:val="Normal"/>
    <w:rsid w:val="00315FC0"/>
    <w:pPr>
      <w:spacing w:after="0" w:line="240" w:lineRule="auto"/>
      <w:jc w:val="both"/>
    </w:pPr>
    <w:rPr>
      <w:rFonts w:ascii="Times New Roman" w:hAnsi="Times New Roman" w:cs="Times New Roman"/>
      <w:sz w:val="24"/>
    </w:rPr>
  </w:style>
  <w:style w:type="paragraph" w:customStyle="1" w:styleId="Declassification">
    <w:name w:val="Declassification"/>
    <w:basedOn w:val="Normal"/>
    <w:next w:val="Normal"/>
    <w:rsid w:val="00315FC0"/>
    <w:pPr>
      <w:spacing w:after="0" w:line="240" w:lineRule="auto"/>
      <w:jc w:val="both"/>
    </w:pPr>
    <w:rPr>
      <w:rFonts w:ascii="Times New Roman" w:hAnsi="Times New Roman" w:cs="Times New Roman"/>
      <w:sz w:val="24"/>
    </w:rPr>
  </w:style>
  <w:style w:type="paragraph" w:customStyle="1" w:styleId="Disclaimer">
    <w:name w:val="Disclaimer"/>
    <w:basedOn w:val="Normal"/>
    <w:rsid w:val="00315FC0"/>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rsid w:val="00315FC0"/>
    <w:pPr>
      <w:spacing w:after="0"/>
      <w:ind w:left="5103"/>
    </w:pPr>
    <w:rPr>
      <w:rFonts w:ascii="Times New Roman" w:eastAsiaTheme="minorHAnsi" w:hAnsi="Times New Roman" w:cs="Times New Roman"/>
      <w:sz w:val="28"/>
    </w:rPr>
  </w:style>
  <w:style w:type="paragraph" w:customStyle="1" w:styleId="DateMarking">
    <w:name w:val="DateMarking"/>
    <w:basedOn w:val="Normal"/>
    <w:rsid w:val="00315FC0"/>
    <w:pPr>
      <w:spacing w:after="0"/>
      <w:ind w:left="5103"/>
    </w:pPr>
    <w:rPr>
      <w:rFonts w:ascii="Times New Roman" w:eastAsiaTheme="minorHAnsi" w:hAnsi="Times New Roman" w:cs="Times New Roman"/>
      <w:i/>
      <w:sz w:val="28"/>
    </w:rPr>
  </w:style>
  <w:style w:type="paragraph" w:customStyle="1" w:styleId="ReleasableTo">
    <w:name w:val="ReleasableTo"/>
    <w:basedOn w:val="Normal"/>
    <w:rsid w:val="00315FC0"/>
    <w:pPr>
      <w:spacing w:after="0"/>
      <w:ind w:left="5103"/>
    </w:pPr>
    <w:rPr>
      <w:rFonts w:ascii="Times New Roman" w:eastAsiaTheme="minorHAnsi" w:hAnsi="Times New Roman" w:cs="Times New Roman"/>
      <w:i/>
      <w:sz w:val="28"/>
    </w:rPr>
  </w:style>
  <w:style w:type="paragraph" w:customStyle="1" w:styleId="Annexetitreexpos">
    <w:name w:val="Annexe titre (exposé)"/>
    <w:basedOn w:val="Normal"/>
    <w:next w:val="Normal"/>
    <w:rsid w:val="00315FC0"/>
    <w:pPr>
      <w:spacing w:before="120" w:after="120" w:line="240" w:lineRule="auto"/>
      <w:jc w:val="center"/>
    </w:pPr>
    <w:rPr>
      <w:rFonts w:ascii="Times New Roman" w:hAnsi="Times New Roman" w:cs="Times New Roman"/>
      <w:b/>
      <w:sz w:val="24"/>
      <w:u w:val="single"/>
    </w:rPr>
  </w:style>
  <w:style w:type="paragraph" w:customStyle="1" w:styleId="Annexetitre">
    <w:name w:val="Annexe titre"/>
    <w:basedOn w:val="Normal"/>
    <w:next w:val="Normal"/>
    <w:rsid w:val="00315FC0"/>
    <w:pPr>
      <w:spacing w:before="120" w:after="120" w:line="240" w:lineRule="auto"/>
      <w:jc w:val="center"/>
    </w:pPr>
    <w:rPr>
      <w:rFonts w:ascii="Times New Roman" w:hAnsi="Times New Roman" w:cs="Times New Roman"/>
      <w:b/>
      <w:sz w:val="24"/>
      <w:u w:val="single"/>
    </w:rPr>
  </w:style>
  <w:style w:type="paragraph" w:customStyle="1" w:styleId="Annexetitrefichefinancire">
    <w:name w:val="Annexe titre (fiche financière)"/>
    <w:basedOn w:val="Normal"/>
    <w:next w:val="Normal"/>
    <w:rsid w:val="00315FC0"/>
    <w:pPr>
      <w:spacing w:before="120" w:after="120" w:line="240" w:lineRule="auto"/>
      <w:jc w:val="center"/>
    </w:pPr>
    <w:rPr>
      <w:rFonts w:ascii="Times New Roman" w:hAnsi="Times New Roman" w:cs="Times New Roman"/>
      <w:b/>
      <w:sz w:val="24"/>
      <w:u w:val="single"/>
    </w:rPr>
  </w:style>
  <w:style w:type="paragraph" w:customStyle="1" w:styleId="Applicationdirecte">
    <w:name w:val="Application directe"/>
    <w:basedOn w:val="Normal"/>
    <w:next w:val="Fait"/>
    <w:rsid w:val="00315FC0"/>
    <w:pPr>
      <w:spacing w:before="480" w:after="120" w:line="240" w:lineRule="auto"/>
      <w:jc w:val="both"/>
    </w:pPr>
    <w:rPr>
      <w:rFonts w:ascii="Times New Roman" w:hAnsi="Times New Roman" w:cs="Times New Roman"/>
      <w:sz w:val="24"/>
    </w:rPr>
  </w:style>
  <w:style w:type="paragraph" w:customStyle="1" w:styleId="Avertissementtitre">
    <w:name w:val="Avertissement titre"/>
    <w:basedOn w:val="Normal"/>
    <w:next w:val="Normal"/>
    <w:rsid w:val="00315FC0"/>
    <w:pPr>
      <w:keepNext/>
      <w:spacing w:before="480" w:after="120" w:line="240" w:lineRule="auto"/>
      <w:jc w:val="both"/>
    </w:pPr>
    <w:rPr>
      <w:rFonts w:ascii="Times New Roman" w:hAnsi="Times New Roman" w:cs="Times New Roman"/>
      <w:sz w:val="24"/>
      <w:u w:val="single"/>
    </w:rPr>
  </w:style>
  <w:style w:type="paragraph" w:customStyle="1" w:styleId="Confidence">
    <w:name w:val="Confidence"/>
    <w:basedOn w:val="Normal"/>
    <w:next w:val="Normal"/>
    <w:rsid w:val="00315FC0"/>
    <w:pPr>
      <w:spacing w:before="360" w:after="120" w:line="240" w:lineRule="auto"/>
      <w:jc w:val="center"/>
    </w:pPr>
    <w:rPr>
      <w:rFonts w:ascii="Times New Roman" w:hAnsi="Times New Roman" w:cs="Times New Roman"/>
      <w:sz w:val="24"/>
    </w:rPr>
  </w:style>
  <w:style w:type="paragraph" w:customStyle="1" w:styleId="Confidentialit">
    <w:name w:val="Confidentialité"/>
    <w:basedOn w:val="Normal"/>
    <w:next w:val="TypedudocumentPagedecouverture"/>
    <w:rsid w:val="00315FC0"/>
    <w:pPr>
      <w:spacing w:before="240" w:after="240" w:line="240" w:lineRule="auto"/>
      <w:ind w:left="5103"/>
    </w:pPr>
    <w:rPr>
      <w:rFonts w:ascii="Times New Roman" w:hAnsi="Times New Roman" w:cs="Times New Roman"/>
      <w:i/>
      <w:sz w:val="32"/>
    </w:rPr>
  </w:style>
  <w:style w:type="paragraph" w:customStyle="1" w:styleId="Considrant">
    <w:name w:val="Considérant"/>
    <w:basedOn w:val="Normal"/>
    <w:rsid w:val="00315FC0"/>
    <w:pPr>
      <w:numPr>
        <w:numId w:val="14"/>
      </w:numPr>
      <w:tabs>
        <w:tab w:val="clear" w:pos="709"/>
        <w:tab w:val="num" w:pos="360"/>
        <w:tab w:val="num" w:pos="926"/>
      </w:tabs>
      <w:spacing w:before="120" w:after="120" w:line="240" w:lineRule="auto"/>
      <w:ind w:left="926" w:hanging="360"/>
      <w:jc w:val="both"/>
    </w:pPr>
    <w:rPr>
      <w:rFonts w:ascii="Times New Roman" w:hAnsi="Times New Roman" w:cs="Times New Roman"/>
      <w:sz w:val="24"/>
    </w:rPr>
  </w:style>
  <w:style w:type="paragraph" w:customStyle="1" w:styleId="Corrigendum">
    <w:name w:val="Corrigendum"/>
    <w:basedOn w:val="Normal"/>
    <w:next w:val="Normal"/>
    <w:rsid w:val="00315FC0"/>
    <w:pPr>
      <w:spacing w:after="240" w:line="240" w:lineRule="auto"/>
    </w:pPr>
    <w:rPr>
      <w:rFonts w:ascii="Times New Roman" w:hAnsi="Times New Roman" w:cs="Times New Roman"/>
      <w:sz w:val="24"/>
    </w:rPr>
  </w:style>
  <w:style w:type="paragraph" w:customStyle="1" w:styleId="Datedadoption">
    <w:name w:val="Date d'adoption"/>
    <w:basedOn w:val="Normal"/>
    <w:next w:val="IntrtEEE"/>
    <w:rsid w:val="00315FC0"/>
    <w:pPr>
      <w:spacing w:before="360" w:after="0" w:line="240" w:lineRule="auto"/>
      <w:jc w:val="center"/>
    </w:pPr>
    <w:rPr>
      <w:rFonts w:ascii="Times New Roman" w:hAnsi="Times New Roman" w:cs="Times New Roman"/>
      <w:b/>
      <w:sz w:val="24"/>
    </w:rPr>
  </w:style>
  <w:style w:type="paragraph" w:customStyle="1" w:styleId="Exposdesmotifstitre">
    <w:name w:val="Exposé des motifs titre"/>
    <w:basedOn w:val="Normal"/>
    <w:next w:val="Normal"/>
    <w:rsid w:val="00315FC0"/>
    <w:pPr>
      <w:spacing w:before="120" w:after="120" w:line="240" w:lineRule="auto"/>
      <w:jc w:val="center"/>
    </w:pPr>
    <w:rPr>
      <w:rFonts w:ascii="Times New Roman" w:hAnsi="Times New Roman" w:cs="Times New Roman"/>
      <w:b/>
      <w:sz w:val="24"/>
      <w:u w:val="single"/>
    </w:rPr>
  </w:style>
  <w:style w:type="paragraph" w:customStyle="1" w:styleId="Fait">
    <w:name w:val="Fait à"/>
    <w:basedOn w:val="Normal"/>
    <w:next w:val="Institutionquisigne"/>
    <w:rsid w:val="00315FC0"/>
    <w:pPr>
      <w:keepNext/>
      <w:spacing w:before="120" w:after="0" w:line="240" w:lineRule="auto"/>
      <w:jc w:val="both"/>
    </w:pPr>
    <w:rPr>
      <w:rFonts w:ascii="Times New Roman" w:hAnsi="Times New Roman" w:cs="Times New Roman"/>
      <w:sz w:val="24"/>
    </w:rPr>
  </w:style>
  <w:style w:type="paragraph" w:customStyle="1" w:styleId="Formuledadoption">
    <w:name w:val="Formule d'adoption"/>
    <w:basedOn w:val="Normal"/>
    <w:next w:val="Titrearticle"/>
    <w:rsid w:val="00315FC0"/>
    <w:pPr>
      <w:keepNext/>
      <w:spacing w:before="120" w:after="120" w:line="240" w:lineRule="auto"/>
      <w:jc w:val="both"/>
    </w:pPr>
    <w:rPr>
      <w:rFonts w:ascii="Times New Roman" w:hAnsi="Times New Roman" w:cs="Times New Roman"/>
      <w:sz w:val="24"/>
    </w:rPr>
  </w:style>
  <w:style w:type="paragraph" w:customStyle="1" w:styleId="Institutionquiagit">
    <w:name w:val="Institution qui agit"/>
    <w:basedOn w:val="Normal"/>
    <w:next w:val="Normal"/>
    <w:rsid w:val="00315FC0"/>
    <w:pPr>
      <w:keepNext/>
      <w:spacing w:before="600" w:after="120" w:line="240" w:lineRule="auto"/>
      <w:jc w:val="both"/>
    </w:pPr>
    <w:rPr>
      <w:rFonts w:ascii="Times New Roman" w:hAnsi="Times New Roman" w:cs="Times New Roman"/>
      <w:sz w:val="24"/>
    </w:rPr>
  </w:style>
  <w:style w:type="paragraph" w:customStyle="1" w:styleId="Institutionquisigne">
    <w:name w:val="Institution qui signe"/>
    <w:basedOn w:val="Normal"/>
    <w:next w:val="Personnequisigne"/>
    <w:rsid w:val="00315FC0"/>
    <w:pPr>
      <w:keepNext/>
      <w:tabs>
        <w:tab w:val="left" w:pos="4252"/>
      </w:tabs>
      <w:spacing w:before="720" w:after="0" w:line="240" w:lineRule="auto"/>
      <w:jc w:val="both"/>
    </w:pPr>
    <w:rPr>
      <w:rFonts w:ascii="Times New Roman" w:hAnsi="Times New Roman" w:cs="Times New Roman"/>
      <w:i/>
      <w:sz w:val="24"/>
    </w:rPr>
  </w:style>
  <w:style w:type="paragraph" w:customStyle="1" w:styleId="ManualConsidrant">
    <w:name w:val="Manual Considérant"/>
    <w:basedOn w:val="Normal"/>
    <w:rsid w:val="00315FC0"/>
    <w:pPr>
      <w:spacing w:before="120" w:after="120" w:line="240" w:lineRule="auto"/>
      <w:ind w:left="709" w:hanging="709"/>
      <w:jc w:val="both"/>
    </w:pPr>
    <w:rPr>
      <w:rFonts w:ascii="Times New Roman" w:hAnsi="Times New Roman" w:cs="Times New Roman"/>
      <w:sz w:val="24"/>
    </w:rPr>
  </w:style>
  <w:style w:type="paragraph" w:customStyle="1" w:styleId="Personnequisigne">
    <w:name w:val="Personne qui signe"/>
    <w:basedOn w:val="Normal"/>
    <w:next w:val="Institutionquisigne"/>
    <w:rsid w:val="00315FC0"/>
    <w:pPr>
      <w:tabs>
        <w:tab w:val="left" w:pos="4252"/>
      </w:tabs>
      <w:spacing w:after="0" w:line="240" w:lineRule="auto"/>
    </w:pPr>
    <w:rPr>
      <w:rFonts w:ascii="Times New Roman" w:hAnsi="Times New Roman" w:cs="Times New Roman"/>
      <w:i/>
      <w:sz w:val="24"/>
    </w:rPr>
  </w:style>
  <w:style w:type="paragraph" w:customStyle="1" w:styleId="Rfrenceinterinstitutionnelle">
    <w:name w:val="Référence interinstitutionnelle"/>
    <w:basedOn w:val="Normal"/>
    <w:next w:val="Statut"/>
    <w:rsid w:val="00315FC0"/>
    <w:pPr>
      <w:spacing w:after="0" w:line="240" w:lineRule="auto"/>
      <w:ind w:left="5103"/>
    </w:pPr>
    <w:rPr>
      <w:rFonts w:ascii="Times New Roman" w:hAnsi="Times New Roman" w:cs="Times New Roman"/>
      <w:sz w:val="24"/>
    </w:rPr>
  </w:style>
  <w:style w:type="paragraph" w:customStyle="1" w:styleId="Rfrenceinterne">
    <w:name w:val="Référence interne"/>
    <w:basedOn w:val="Normal"/>
    <w:next w:val="Rfrenceinterinstitutionnelle"/>
    <w:rsid w:val="00315FC0"/>
    <w:pPr>
      <w:spacing w:after="0" w:line="240" w:lineRule="auto"/>
      <w:ind w:left="5103"/>
    </w:pPr>
    <w:rPr>
      <w:rFonts w:ascii="Times New Roman" w:hAnsi="Times New Roman" w:cs="Times New Roman"/>
      <w:sz w:val="24"/>
    </w:rPr>
  </w:style>
  <w:style w:type="paragraph" w:customStyle="1" w:styleId="Statut">
    <w:name w:val="Statut"/>
    <w:basedOn w:val="Normal"/>
    <w:next w:val="Typedudocument"/>
    <w:rsid w:val="00315FC0"/>
    <w:pPr>
      <w:spacing w:after="240" w:line="240" w:lineRule="auto"/>
      <w:jc w:val="center"/>
    </w:pPr>
    <w:rPr>
      <w:rFonts w:ascii="Times New Roman" w:hAnsi="Times New Roman" w:cs="Times New Roman"/>
      <w:sz w:val="24"/>
    </w:rPr>
  </w:style>
  <w:style w:type="paragraph" w:customStyle="1" w:styleId="Titrearticle">
    <w:name w:val="Titre article"/>
    <w:basedOn w:val="Normal"/>
    <w:next w:val="Normal"/>
    <w:rsid w:val="00315FC0"/>
    <w:pPr>
      <w:keepNext/>
      <w:spacing w:before="360" w:after="120" w:line="240" w:lineRule="auto"/>
      <w:jc w:val="center"/>
    </w:pPr>
    <w:rPr>
      <w:rFonts w:ascii="Times New Roman" w:hAnsi="Times New Roman" w:cs="Times New Roman"/>
      <w:i/>
      <w:sz w:val="24"/>
    </w:rPr>
  </w:style>
  <w:style w:type="paragraph" w:customStyle="1" w:styleId="Typedudocument">
    <w:name w:val="Type du document"/>
    <w:basedOn w:val="Normal"/>
    <w:next w:val="Accompagnant"/>
    <w:rsid w:val="00315FC0"/>
    <w:pPr>
      <w:spacing w:before="360" w:after="180" w:line="240" w:lineRule="auto"/>
      <w:jc w:val="center"/>
    </w:pPr>
    <w:rPr>
      <w:rFonts w:ascii="Times New Roman" w:hAnsi="Times New Roman" w:cs="Times New Roman"/>
      <w:b/>
      <w:sz w:val="24"/>
    </w:rPr>
  </w:style>
  <w:style w:type="character" w:customStyle="1" w:styleId="Added">
    <w:name w:val="Added"/>
    <w:rsid w:val="00315FC0"/>
    <w:rPr>
      <w:b/>
      <w:u w:val="single"/>
      <w:shd w:val="clear" w:color="auto" w:fill="auto"/>
    </w:rPr>
  </w:style>
  <w:style w:type="character" w:customStyle="1" w:styleId="Deleted">
    <w:name w:val="Deleted"/>
    <w:rsid w:val="00315FC0"/>
    <w:rPr>
      <w:strike/>
      <w:dstrike w:val="0"/>
      <w:shd w:val="clear" w:color="auto" w:fill="auto"/>
    </w:rPr>
  </w:style>
  <w:style w:type="paragraph" w:customStyle="1" w:styleId="Address">
    <w:name w:val="Address"/>
    <w:basedOn w:val="Normal"/>
    <w:next w:val="Normal"/>
    <w:rsid w:val="00315FC0"/>
    <w:pPr>
      <w:keepLines/>
      <w:spacing w:before="120" w:after="120" w:line="360" w:lineRule="auto"/>
      <w:ind w:left="3402"/>
    </w:pPr>
    <w:rPr>
      <w:rFonts w:ascii="Times New Roman" w:hAnsi="Times New Roman" w:cs="Times New Roman"/>
      <w:sz w:val="24"/>
    </w:rPr>
  </w:style>
  <w:style w:type="paragraph" w:customStyle="1" w:styleId="Objetexterne">
    <w:name w:val="Objet externe"/>
    <w:basedOn w:val="Normal"/>
    <w:next w:val="Normal"/>
    <w:rsid w:val="00315FC0"/>
    <w:pPr>
      <w:spacing w:before="120" w:after="120" w:line="240" w:lineRule="auto"/>
      <w:jc w:val="both"/>
    </w:pPr>
    <w:rPr>
      <w:rFonts w:ascii="Times New Roman" w:hAnsi="Times New Roman" w:cs="Times New Roman"/>
      <w:i/>
      <w:caps/>
      <w:sz w:val="24"/>
    </w:rPr>
  </w:style>
  <w:style w:type="paragraph" w:customStyle="1" w:styleId="Supertitre">
    <w:name w:val="Supertitre"/>
    <w:basedOn w:val="Normal"/>
    <w:next w:val="Normal"/>
    <w:rsid w:val="00315FC0"/>
    <w:pPr>
      <w:spacing w:after="600" w:line="240" w:lineRule="auto"/>
      <w:jc w:val="center"/>
    </w:pPr>
    <w:rPr>
      <w:rFonts w:ascii="Times New Roman" w:hAnsi="Times New Roman" w:cs="Times New Roman"/>
      <w:b/>
      <w:sz w:val="24"/>
    </w:rPr>
  </w:style>
  <w:style w:type="paragraph" w:customStyle="1" w:styleId="Languesfaisantfoi">
    <w:name w:val="Langues faisant foi"/>
    <w:basedOn w:val="Normal"/>
    <w:next w:val="Normal"/>
    <w:rsid w:val="00315FC0"/>
    <w:pPr>
      <w:spacing w:before="360" w:after="0" w:line="240" w:lineRule="auto"/>
      <w:jc w:val="center"/>
    </w:pPr>
    <w:rPr>
      <w:rFonts w:ascii="Times New Roman" w:hAnsi="Times New Roman" w:cs="Times New Roman"/>
      <w:sz w:val="24"/>
    </w:rPr>
  </w:style>
  <w:style w:type="paragraph" w:customStyle="1" w:styleId="Rfrencecroise">
    <w:name w:val="Référence croisée"/>
    <w:basedOn w:val="Normal"/>
    <w:rsid w:val="00315FC0"/>
    <w:pPr>
      <w:spacing w:after="0" w:line="240" w:lineRule="auto"/>
      <w:jc w:val="center"/>
    </w:pPr>
    <w:rPr>
      <w:rFonts w:ascii="Times New Roman" w:hAnsi="Times New Roman" w:cs="Times New Roman"/>
      <w:sz w:val="24"/>
    </w:rPr>
  </w:style>
  <w:style w:type="paragraph" w:customStyle="1" w:styleId="Fichefinanciretitre">
    <w:name w:val="Fiche financière titre"/>
    <w:basedOn w:val="Normal"/>
    <w:next w:val="Normal"/>
    <w:rsid w:val="00315FC0"/>
    <w:pPr>
      <w:spacing w:before="120" w:after="120" w:line="240" w:lineRule="auto"/>
      <w:jc w:val="center"/>
    </w:pPr>
    <w:rPr>
      <w:rFonts w:ascii="Times New Roman" w:hAnsi="Times New Roman" w:cs="Times New Roman"/>
      <w:b/>
      <w:sz w:val="24"/>
      <w:u w:val="single"/>
    </w:rPr>
  </w:style>
  <w:style w:type="paragraph" w:customStyle="1" w:styleId="DatedadoptionPagedecouverture">
    <w:name w:val="Date d'adoption (Page de couverture)"/>
    <w:basedOn w:val="Datedadoption"/>
    <w:next w:val="IntrtEEEPagedecouverture"/>
    <w:rsid w:val="00315FC0"/>
  </w:style>
  <w:style w:type="paragraph" w:customStyle="1" w:styleId="RfrenceinterinstitutionnellePagedecouverture">
    <w:name w:val="Référence interinstitutionnelle (Page de couverture)"/>
    <w:basedOn w:val="Rfrenceinterinstitutionnelle"/>
    <w:next w:val="Confidentialit"/>
    <w:rsid w:val="00315FC0"/>
  </w:style>
  <w:style w:type="paragraph" w:customStyle="1" w:styleId="StatutPagedecouverture">
    <w:name w:val="Statut (Page de couverture)"/>
    <w:basedOn w:val="Statut"/>
    <w:next w:val="TypedudocumentPagedecouverture"/>
    <w:rsid w:val="00315FC0"/>
  </w:style>
  <w:style w:type="paragraph" w:customStyle="1" w:styleId="TypedudocumentPagedecouverture">
    <w:name w:val="Type du document (Page de couverture)"/>
    <w:basedOn w:val="Typedudocument"/>
    <w:next w:val="AccompagnantPagedecouverture"/>
    <w:rsid w:val="00315FC0"/>
  </w:style>
  <w:style w:type="paragraph" w:customStyle="1" w:styleId="Volume">
    <w:name w:val="Volume"/>
    <w:basedOn w:val="Normal"/>
    <w:next w:val="Confidentialit"/>
    <w:rsid w:val="00315FC0"/>
    <w:pPr>
      <w:spacing w:after="240" w:line="240" w:lineRule="auto"/>
      <w:ind w:left="5103"/>
    </w:pPr>
    <w:rPr>
      <w:rFonts w:ascii="Times New Roman" w:hAnsi="Times New Roman" w:cs="Times New Roman"/>
      <w:sz w:val="24"/>
    </w:rPr>
  </w:style>
  <w:style w:type="paragraph" w:customStyle="1" w:styleId="IntrtEEE">
    <w:name w:val="Intérêt EEE"/>
    <w:basedOn w:val="Languesfaisantfoi"/>
    <w:next w:val="Normal"/>
    <w:rsid w:val="00315FC0"/>
    <w:pPr>
      <w:spacing w:after="240"/>
    </w:pPr>
  </w:style>
  <w:style w:type="paragraph" w:customStyle="1" w:styleId="Accompagnant">
    <w:name w:val="Accompagnant"/>
    <w:basedOn w:val="Normal"/>
    <w:next w:val="Typeacteprincipal"/>
    <w:rsid w:val="00315FC0"/>
    <w:pPr>
      <w:spacing w:before="180" w:after="240" w:line="240" w:lineRule="auto"/>
      <w:jc w:val="center"/>
    </w:pPr>
    <w:rPr>
      <w:rFonts w:ascii="Times New Roman" w:hAnsi="Times New Roman" w:cs="Times New Roman"/>
      <w:b/>
      <w:sz w:val="24"/>
    </w:rPr>
  </w:style>
  <w:style w:type="paragraph" w:customStyle="1" w:styleId="Typeacteprincipal">
    <w:name w:val="Type acte principal"/>
    <w:basedOn w:val="Normal"/>
    <w:next w:val="Objetacteprincipal"/>
    <w:rsid w:val="00315FC0"/>
    <w:pPr>
      <w:spacing w:after="240" w:line="240" w:lineRule="auto"/>
      <w:jc w:val="center"/>
    </w:pPr>
    <w:rPr>
      <w:rFonts w:ascii="Times New Roman" w:hAnsi="Times New Roman" w:cs="Times New Roman"/>
      <w:b/>
      <w:sz w:val="24"/>
    </w:rPr>
  </w:style>
  <w:style w:type="paragraph" w:customStyle="1" w:styleId="Objetacteprincipal">
    <w:name w:val="Objet acte principal"/>
    <w:basedOn w:val="Normal"/>
    <w:next w:val="Titrearticle"/>
    <w:rsid w:val="00315FC0"/>
    <w:pPr>
      <w:spacing w:after="360" w:line="240" w:lineRule="auto"/>
      <w:jc w:val="center"/>
    </w:pPr>
    <w:rPr>
      <w:rFonts w:ascii="Times New Roman" w:hAnsi="Times New Roman" w:cs="Times New Roman"/>
      <w:b/>
      <w:sz w:val="24"/>
    </w:rPr>
  </w:style>
  <w:style w:type="paragraph" w:customStyle="1" w:styleId="IntrtEEEPagedecouverture">
    <w:name w:val="Intérêt EEE (Page de couverture)"/>
    <w:basedOn w:val="IntrtEEE"/>
    <w:next w:val="Rfrencecroise"/>
    <w:rsid w:val="00315FC0"/>
  </w:style>
  <w:style w:type="paragraph" w:customStyle="1" w:styleId="AccompagnantPagedecouverture">
    <w:name w:val="Accompagnant (Page de couverture)"/>
    <w:basedOn w:val="Accompagnant"/>
    <w:next w:val="TypeacteprincipalPagedecouverture"/>
    <w:rsid w:val="00315FC0"/>
  </w:style>
  <w:style w:type="paragraph" w:customStyle="1" w:styleId="TypeacteprincipalPagedecouverture">
    <w:name w:val="Type acte principal (Page de couverture)"/>
    <w:basedOn w:val="Typeacteprincipal"/>
    <w:next w:val="ObjetacteprincipalPagedecouverture"/>
    <w:rsid w:val="00315FC0"/>
  </w:style>
  <w:style w:type="paragraph" w:customStyle="1" w:styleId="ObjetacteprincipalPagedecouverture">
    <w:name w:val="Objet acte principal (Page de couverture)"/>
    <w:basedOn w:val="Objetacteprincipal"/>
    <w:next w:val="Rfrencecroise"/>
    <w:rsid w:val="00315FC0"/>
  </w:style>
  <w:style w:type="paragraph" w:customStyle="1" w:styleId="LanguesfaisantfoiPagedecouverture">
    <w:name w:val="Langues faisant foi (Page de couverture)"/>
    <w:basedOn w:val="Normal"/>
    <w:next w:val="Normal"/>
    <w:rsid w:val="00315FC0"/>
    <w:pPr>
      <w:spacing w:before="360" w:after="0" w:line="240" w:lineRule="auto"/>
      <w:jc w:val="center"/>
    </w:pPr>
    <w:rPr>
      <w:rFonts w:ascii="Times New Roman" w:hAnsi="Times New Roman" w:cs="Times New Roman"/>
      <w:sz w:val="24"/>
    </w:rPr>
  </w:style>
  <w:style w:type="paragraph" w:styleId="BalloonText">
    <w:name w:val="Balloon Text"/>
    <w:basedOn w:val="Normal"/>
    <w:link w:val="BalloonTextChar"/>
    <w:uiPriority w:val="99"/>
    <w:semiHidden/>
    <w:unhideWhenUsed/>
    <w:rsid w:val="00315FC0"/>
    <w:pPr>
      <w:spacing w:after="0" w:line="240" w:lineRule="auto"/>
      <w:jc w:val="both"/>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5FC0"/>
    <w:rPr>
      <w:rFonts w:ascii="Segoe UI" w:eastAsia="Calibri" w:hAnsi="Segoe UI" w:cs="Segoe UI"/>
      <w:kern w:val="0"/>
      <w:sz w:val="18"/>
      <w:szCs w:val="18"/>
    </w:rPr>
  </w:style>
  <w:style w:type="paragraph" w:styleId="ListBullet">
    <w:name w:val="List Bullet"/>
    <w:basedOn w:val="Normal"/>
    <w:uiPriority w:val="99"/>
    <w:semiHidden/>
    <w:unhideWhenUsed/>
    <w:rsid w:val="00315FC0"/>
    <w:pPr>
      <w:numPr>
        <w:numId w:val="15"/>
      </w:numPr>
      <w:tabs>
        <w:tab w:val="clear" w:pos="360"/>
      </w:tabs>
      <w:spacing w:before="120" w:after="120" w:line="240" w:lineRule="auto"/>
      <w:ind w:left="0" w:firstLine="0"/>
      <w:contextualSpacing/>
      <w:jc w:val="both"/>
    </w:pPr>
    <w:rPr>
      <w:rFonts w:ascii="Times New Roman" w:hAnsi="Times New Roman" w:cs="Times New Roman"/>
      <w:sz w:val="24"/>
    </w:rPr>
  </w:style>
  <w:style w:type="paragraph" w:styleId="ListBullet2">
    <w:name w:val="List Bullet 2"/>
    <w:basedOn w:val="Normal"/>
    <w:uiPriority w:val="99"/>
    <w:semiHidden/>
    <w:unhideWhenUsed/>
    <w:rsid w:val="00315FC0"/>
    <w:pPr>
      <w:numPr>
        <w:numId w:val="16"/>
      </w:numPr>
      <w:tabs>
        <w:tab w:val="clear" w:pos="643"/>
        <w:tab w:val="num" w:pos="360"/>
      </w:tabs>
      <w:spacing w:before="120" w:after="120" w:line="240" w:lineRule="auto"/>
      <w:ind w:left="720" w:firstLine="0"/>
      <w:contextualSpacing/>
      <w:jc w:val="both"/>
    </w:pPr>
    <w:rPr>
      <w:rFonts w:ascii="Times New Roman" w:hAnsi="Times New Roman" w:cs="Times New Roman"/>
      <w:sz w:val="24"/>
    </w:rPr>
  </w:style>
  <w:style w:type="paragraph" w:styleId="ListBullet3">
    <w:name w:val="List Bullet 3"/>
    <w:basedOn w:val="Normal"/>
    <w:uiPriority w:val="99"/>
    <w:semiHidden/>
    <w:unhideWhenUsed/>
    <w:rsid w:val="00315FC0"/>
    <w:pPr>
      <w:numPr>
        <w:numId w:val="17"/>
      </w:numPr>
      <w:tabs>
        <w:tab w:val="clear" w:pos="926"/>
        <w:tab w:val="num" w:pos="360"/>
      </w:tabs>
      <w:spacing w:before="120" w:after="120" w:line="240" w:lineRule="auto"/>
      <w:ind w:left="720" w:firstLine="0"/>
      <w:contextualSpacing/>
      <w:jc w:val="both"/>
    </w:pPr>
    <w:rPr>
      <w:rFonts w:ascii="Times New Roman" w:hAnsi="Times New Roman" w:cs="Times New Roman"/>
      <w:sz w:val="24"/>
    </w:rPr>
  </w:style>
  <w:style w:type="paragraph" w:styleId="ListBullet4">
    <w:name w:val="List Bullet 4"/>
    <w:basedOn w:val="Normal"/>
    <w:uiPriority w:val="99"/>
    <w:semiHidden/>
    <w:unhideWhenUsed/>
    <w:rsid w:val="00315FC0"/>
    <w:pPr>
      <w:numPr>
        <w:numId w:val="18"/>
      </w:numPr>
      <w:tabs>
        <w:tab w:val="num" w:pos="360"/>
      </w:tabs>
      <w:spacing w:before="120" w:after="120" w:line="240" w:lineRule="auto"/>
      <w:ind w:left="720" w:firstLine="0"/>
      <w:contextualSpacing/>
      <w:jc w:val="both"/>
    </w:pPr>
    <w:rPr>
      <w:rFonts w:ascii="Times New Roman" w:hAnsi="Times New Roman" w:cs="Times New Roman"/>
      <w:sz w:val="24"/>
    </w:rPr>
  </w:style>
  <w:style w:type="paragraph" w:customStyle="1" w:styleId="FooterCoverPage">
    <w:name w:val="Footer Cover Page"/>
    <w:basedOn w:val="Normal"/>
    <w:link w:val="FooterCoverPageChar"/>
    <w:rsid w:val="00315FC0"/>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link w:val="FooterCoverPage"/>
    <w:rsid w:val="00315FC0"/>
    <w:rPr>
      <w:rFonts w:ascii="Times New Roman" w:eastAsia="Calibri" w:hAnsi="Times New Roman" w:cs="Times New Roman"/>
      <w:kern w:val="0"/>
      <w:sz w:val="24"/>
    </w:rPr>
  </w:style>
  <w:style w:type="paragraph" w:customStyle="1" w:styleId="HeaderCoverPage">
    <w:name w:val="Header Cover Page"/>
    <w:basedOn w:val="Normal"/>
    <w:link w:val="HeaderCoverPageChar"/>
    <w:rsid w:val="00315FC0"/>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link w:val="HeaderCoverPage"/>
    <w:rsid w:val="00315FC0"/>
    <w:rPr>
      <w:rFonts w:ascii="Times New Roman" w:eastAsia="Calibri" w:hAnsi="Times New Roman" w:cs="Times New Roman"/>
      <w:kern w:val="0"/>
      <w:sz w:val="24"/>
    </w:rPr>
  </w:style>
  <w:style w:type="numbering" w:customStyle="1" w:styleId="NoList2">
    <w:name w:val="No List2"/>
    <w:next w:val="NoList"/>
    <w:uiPriority w:val="99"/>
    <w:semiHidden/>
    <w:unhideWhenUsed/>
    <w:rsid w:val="00315FC0"/>
  </w:style>
  <w:style w:type="paragraph" w:customStyle="1" w:styleId="Titreobjet">
    <w:name w:val="Titre objet"/>
    <w:basedOn w:val="Normal"/>
    <w:next w:val="IntrtEEE"/>
    <w:rsid w:val="00315FC0"/>
    <w:pPr>
      <w:spacing w:before="360" w:after="360" w:line="240" w:lineRule="auto"/>
      <w:jc w:val="center"/>
    </w:pPr>
    <w:rPr>
      <w:rFonts w:ascii="Times New Roman" w:hAnsi="Times New Roman" w:cs="Times New Roman"/>
      <w:b/>
      <w:sz w:val="24"/>
    </w:rPr>
  </w:style>
  <w:style w:type="paragraph" w:customStyle="1" w:styleId="TitreobjetPagedecouverture">
    <w:name w:val="Titre objet (Page de couverture)"/>
    <w:basedOn w:val="Titreobjet"/>
    <w:next w:val="IntrtEEEPagedecouverture"/>
    <w:rsid w:val="00315FC0"/>
  </w:style>
  <w:style w:type="numbering" w:customStyle="1" w:styleId="NoList3">
    <w:name w:val="No List3"/>
    <w:next w:val="NoList"/>
    <w:uiPriority w:val="99"/>
    <w:semiHidden/>
    <w:unhideWhenUsed/>
    <w:rsid w:val="00315FC0"/>
  </w:style>
  <w:style w:type="character" w:customStyle="1" w:styleId="findhit">
    <w:name w:val="findhit"/>
    <w:basedOn w:val="DefaultParagraphFont"/>
    <w:rsid w:val="00315FC0"/>
  </w:style>
  <w:style w:type="numbering" w:customStyle="1" w:styleId="NoList4">
    <w:name w:val="No List4"/>
    <w:next w:val="NoList"/>
    <w:uiPriority w:val="99"/>
    <w:semiHidden/>
    <w:unhideWhenUsed/>
    <w:rsid w:val="00315FC0"/>
  </w:style>
  <w:style w:type="paragraph" w:customStyle="1" w:styleId="TechnicalBlock">
    <w:name w:val="Technical Block"/>
    <w:basedOn w:val="Normal"/>
    <w:link w:val="TechnicalBlockChar"/>
    <w:rsid w:val="00315FC0"/>
    <w:pPr>
      <w:spacing w:after="240" w:line="240" w:lineRule="auto"/>
      <w:jc w:val="center"/>
    </w:pPr>
  </w:style>
  <w:style w:type="character" w:customStyle="1" w:styleId="TechnicalBlockChar">
    <w:name w:val="Technical Block Char"/>
    <w:basedOn w:val="DefaultParagraphFont"/>
    <w:link w:val="TechnicalBlock"/>
    <w:rsid w:val="00315FC0"/>
    <w:rPr>
      <w:rFonts w:ascii="Calibri" w:eastAsia="Calibri" w:hAnsi="Calibri" w:cs="Myanmar Text"/>
      <w:kern w:val="0"/>
    </w:rPr>
  </w:style>
  <w:style w:type="paragraph" w:customStyle="1" w:styleId="EntText">
    <w:name w:val="EntText"/>
    <w:basedOn w:val="Normal"/>
    <w:rsid w:val="00315FC0"/>
    <w:pPr>
      <w:spacing w:before="120" w:after="120" w:line="360" w:lineRule="auto"/>
    </w:pPr>
    <w:rPr>
      <w:rFonts w:ascii="Times New Roman" w:eastAsiaTheme="minorHAnsi" w:hAnsi="Times New Roman" w:cs="Times New Roman"/>
      <w:sz w:val="24"/>
    </w:rPr>
  </w:style>
  <w:style w:type="paragraph" w:customStyle="1" w:styleId="Lignefinal">
    <w:name w:val="Ligne final"/>
    <w:basedOn w:val="Normal"/>
    <w:next w:val="Normal"/>
    <w:rsid w:val="00315FC0"/>
    <w:pPr>
      <w:pBdr>
        <w:bottom w:val="single" w:sz="4" w:space="0" w:color="000000"/>
      </w:pBdr>
      <w:spacing w:before="360" w:after="120" w:line="360" w:lineRule="auto"/>
      <w:ind w:left="3400" w:right="3400"/>
      <w:jc w:val="center"/>
    </w:pPr>
    <w:rPr>
      <w:rFonts w:ascii="Times New Roman" w:eastAsiaTheme="minorHAnsi" w:hAnsi="Times New Roman" w:cs="Times New Roman"/>
      <w:b/>
      <w:sz w:val="24"/>
    </w:rPr>
  </w:style>
  <w:style w:type="paragraph" w:customStyle="1" w:styleId="pj">
    <w:name w:val="p.j."/>
    <w:basedOn w:val="Normal"/>
    <w:link w:val="pjChar"/>
    <w:rsid w:val="00315FC0"/>
    <w:pPr>
      <w:spacing w:before="1200" w:after="120" w:line="240" w:lineRule="auto"/>
      <w:ind w:left="1440" w:hanging="1440"/>
    </w:pPr>
    <w:rPr>
      <w:rFonts w:ascii="Times New Roman" w:hAnsi="Times New Roman" w:cs="Times New Roman"/>
      <w:sz w:val="24"/>
    </w:rPr>
  </w:style>
  <w:style w:type="character" w:customStyle="1" w:styleId="pjChar">
    <w:name w:val="p.j. Char"/>
    <w:basedOn w:val="TechnicalBlockChar"/>
    <w:link w:val="pj"/>
    <w:rsid w:val="00315FC0"/>
    <w:rPr>
      <w:rFonts w:ascii="Times New Roman" w:eastAsia="Calibri" w:hAnsi="Times New Roman" w:cs="Times New Roman"/>
      <w:kern w:val="0"/>
      <w:sz w:val="24"/>
    </w:rPr>
  </w:style>
  <w:style w:type="paragraph" w:customStyle="1" w:styleId="nbbordered">
    <w:name w:val="nb bordered"/>
    <w:basedOn w:val="Normal"/>
    <w:link w:val="nbborderedChar"/>
    <w:rsid w:val="00315FC0"/>
    <w:pPr>
      <w:pBdr>
        <w:top w:val="single" w:sz="4" w:space="1" w:color="auto"/>
        <w:left w:val="single" w:sz="4" w:space="4" w:color="auto"/>
        <w:bottom w:val="single" w:sz="4" w:space="1" w:color="auto"/>
        <w:right w:val="single" w:sz="4" w:space="4" w:color="auto"/>
        <w:between w:val="single" w:sz="4" w:space="0" w:color="auto"/>
      </w:pBdr>
      <w:spacing w:after="160" w:line="240" w:lineRule="auto"/>
      <w:ind w:left="480" w:hanging="480"/>
    </w:pPr>
    <w:rPr>
      <w:rFonts w:ascii="Times New Roman" w:hAnsi="Times New Roman" w:cs="Times New Roman"/>
      <w:b/>
      <w:sz w:val="24"/>
    </w:rPr>
  </w:style>
  <w:style w:type="character" w:customStyle="1" w:styleId="nbborderedChar">
    <w:name w:val="nb bordered Char"/>
    <w:basedOn w:val="TechnicalBlockChar"/>
    <w:link w:val="nbbordered"/>
    <w:rsid w:val="00315FC0"/>
    <w:rPr>
      <w:rFonts w:ascii="Times New Roman" w:eastAsia="Calibri" w:hAnsi="Times New Roman" w:cs="Times New Roman"/>
      <w:b/>
      <w:kern w:val="0"/>
      <w:sz w:val="24"/>
    </w:rPr>
  </w:style>
  <w:style w:type="paragraph" w:customStyle="1" w:styleId="HeaderCouncil">
    <w:name w:val="Header Council"/>
    <w:basedOn w:val="Normal"/>
    <w:link w:val="HeaderCouncilChar"/>
    <w:rsid w:val="00315FC0"/>
    <w:pPr>
      <w:spacing w:after="0"/>
    </w:pPr>
    <w:rPr>
      <w:rFonts w:ascii="Times New Roman" w:hAnsi="Times New Roman"/>
      <w:sz w:val="2"/>
    </w:rPr>
  </w:style>
  <w:style w:type="character" w:customStyle="1" w:styleId="HeaderCouncilChar">
    <w:name w:val="Header Council Char"/>
    <w:basedOn w:val="DefaultParagraphFont"/>
    <w:link w:val="HeaderCouncil"/>
    <w:rsid w:val="00315FC0"/>
    <w:rPr>
      <w:rFonts w:ascii="Calibri" w:eastAsia="Calibri" w:hAnsi="Calibri" w:cs="Myanmar Text"/>
      <w:kern w:val="0"/>
      <w:sz w:val="2"/>
    </w:rPr>
  </w:style>
  <w:style w:type="paragraph" w:customStyle="1" w:styleId="FooterText">
    <w:name w:val="Footer Text"/>
    <w:basedOn w:val="Normal"/>
    <w:rsid w:val="00315FC0"/>
    <w:pPr>
      <w:spacing w:after="0" w:line="240" w:lineRule="auto"/>
    </w:pPr>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315FC0"/>
    <w:rPr>
      <w:color w:val="808080"/>
    </w:rPr>
  </w:style>
  <w:style w:type="character" w:styleId="FollowedHyperlink">
    <w:name w:val="FollowedHyperlink"/>
    <w:basedOn w:val="DefaultParagraphFont"/>
    <w:uiPriority w:val="99"/>
    <w:semiHidden/>
    <w:unhideWhenUsed/>
    <w:rsid w:val="00315FC0"/>
    <w:rPr>
      <w:color w:val="800080" w:themeColor="followedHyperlink"/>
      <w:u w:val="single"/>
    </w:rPr>
  </w:style>
  <w:style w:type="character" w:customStyle="1" w:styleId="Mention10">
    <w:name w:val="Mention10"/>
    <w:basedOn w:val="DefaultParagraphFont"/>
    <w:uiPriority w:val="99"/>
    <w:unhideWhenUsed/>
    <w:rsid w:val="00315FC0"/>
    <w:rPr>
      <w:color w:val="2B579A"/>
      <w:shd w:val="clear" w:color="auto" w:fill="E1DFDD"/>
    </w:rPr>
  </w:style>
  <w:style w:type="character" w:customStyle="1" w:styleId="Mention20">
    <w:name w:val="Mention20"/>
    <w:basedOn w:val="DefaultParagraphFont"/>
    <w:uiPriority w:val="99"/>
    <w:unhideWhenUsed/>
    <w:rsid w:val="00315FC0"/>
    <w:rPr>
      <w:color w:val="2B579A"/>
      <w:shd w:val="clear" w:color="auto" w:fill="E1DFDD"/>
    </w:rPr>
  </w:style>
  <w:style w:type="character" w:customStyle="1" w:styleId="Mention2">
    <w:name w:val="Mention2"/>
    <w:basedOn w:val="DefaultParagraphFont"/>
    <w:uiPriority w:val="99"/>
    <w:unhideWhenUsed/>
    <w:rsid w:val="00315FC0"/>
    <w:rPr>
      <w:color w:val="2B579A"/>
      <w:shd w:val="clear" w:color="auto" w:fill="E1DFDD"/>
    </w:rPr>
  </w:style>
  <w:style w:type="character" w:customStyle="1" w:styleId="Mention3">
    <w:name w:val="Mention3"/>
    <w:basedOn w:val="DefaultParagraphFont"/>
    <w:uiPriority w:val="99"/>
    <w:unhideWhenUsed/>
    <w:rsid w:val="00315FC0"/>
    <w:rPr>
      <w:color w:val="2B579A"/>
      <w:shd w:val="clear" w:color="auto" w:fill="E1DFDD"/>
    </w:rPr>
  </w:style>
  <w:style w:type="character" w:customStyle="1" w:styleId="Mention30">
    <w:name w:val="Mention30"/>
    <w:basedOn w:val="DefaultParagraphFont"/>
    <w:uiPriority w:val="99"/>
    <w:unhideWhenUsed/>
    <w:rsid w:val="00315FC0"/>
    <w:rPr>
      <w:color w:val="2B579A"/>
      <w:shd w:val="clear" w:color="auto" w:fill="E1DFDD"/>
    </w:rPr>
  </w:style>
  <w:style w:type="character" w:customStyle="1" w:styleId="Mention4">
    <w:name w:val="Mention4"/>
    <w:basedOn w:val="DefaultParagraphFont"/>
    <w:uiPriority w:val="99"/>
    <w:unhideWhenUsed/>
    <w:rsid w:val="00315FC0"/>
    <w:rPr>
      <w:color w:val="2B579A"/>
      <w:shd w:val="clear" w:color="auto" w:fill="E1DFDD"/>
    </w:rPr>
  </w:style>
  <w:style w:type="character" w:customStyle="1" w:styleId="Mention100">
    <w:name w:val="Mention100"/>
    <w:basedOn w:val="DefaultParagraphFont"/>
    <w:uiPriority w:val="99"/>
    <w:unhideWhenUsed/>
    <w:rsid w:val="00315FC0"/>
    <w:rPr>
      <w:color w:val="2B579A"/>
      <w:shd w:val="clear" w:color="auto" w:fill="E6E6E6"/>
    </w:rPr>
  </w:style>
  <w:style w:type="character" w:customStyle="1" w:styleId="ui-provider">
    <w:name w:val="ui-provider"/>
    <w:basedOn w:val="DefaultParagraphFont"/>
    <w:rsid w:val="00315FC0"/>
  </w:style>
  <w:style w:type="character" w:customStyle="1" w:styleId="Mention1000">
    <w:name w:val="Mention1000"/>
    <w:basedOn w:val="DefaultParagraphFont"/>
    <w:uiPriority w:val="99"/>
    <w:unhideWhenUsed/>
    <w:rsid w:val="00315FC0"/>
    <w:rPr>
      <w:color w:val="2B579A"/>
      <w:shd w:val="clear" w:color="auto" w:fill="E6E6E6"/>
    </w:rPr>
  </w:style>
  <w:style w:type="character" w:customStyle="1" w:styleId="contentcontrolboundarysink">
    <w:name w:val="contentcontrolboundarysink"/>
    <w:basedOn w:val="DefaultParagraphFont"/>
    <w:rsid w:val="00315FC0"/>
  </w:style>
  <w:style w:type="character" w:customStyle="1" w:styleId="Mention5">
    <w:name w:val="Mention5"/>
    <w:basedOn w:val="DefaultParagraphFont"/>
    <w:uiPriority w:val="99"/>
    <w:unhideWhenUsed/>
    <w:rsid w:val="00315FC0"/>
    <w:rPr>
      <w:color w:val="2B579A"/>
      <w:shd w:val="clear" w:color="auto" w:fill="E1DFDD"/>
    </w:rPr>
  </w:style>
  <w:style w:type="character" w:customStyle="1" w:styleId="Mention50">
    <w:name w:val="Mention50"/>
    <w:basedOn w:val="DefaultParagraphFont"/>
    <w:uiPriority w:val="99"/>
    <w:unhideWhenUsed/>
    <w:rsid w:val="00315FC0"/>
    <w:rPr>
      <w:color w:val="2B579A"/>
      <w:shd w:val="clear" w:color="auto" w:fill="E1DFDD"/>
    </w:rPr>
  </w:style>
  <w:style w:type="character" w:customStyle="1" w:styleId="Mention6">
    <w:name w:val="Mention6"/>
    <w:basedOn w:val="DefaultParagraphFont"/>
    <w:uiPriority w:val="99"/>
    <w:unhideWhenUsed/>
    <w:rsid w:val="00315FC0"/>
    <w:rPr>
      <w:color w:val="2B579A"/>
      <w:shd w:val="clear" w:color="auto" w:fill="E1DFDD"/>
    </w:rPr>
  </w:style>
  <w:style w:type="character" w:customStyle="1" w:styleId="Mention7">
    <w:name w:val="Mention7"/>
    <w:basedOn w:val="DefaultParagraphFont"/>
    <w:uiPriority w:val="99"/>
    <w:unhideWhenUsed/>
    <w:rsid w:val="00315FC0"/>
    <w:rPr>
      <w:color w:val="2B579A"/>
      <w:shd w:val="clear" w:color="auto" w:fill="E6E6E6"/>
    </w:rPr>
  </w:style>
  <w:style w:type="character" w:customStyle="1" w:styleId="Mention8">
    <w:name w:val="Mention8"/>
    <w:basedOn w:val="DefaultParagraphFont"/>
    <w:uiPriority w:val="99"/>
    <w:unhideWhenUsed/>
    <w:rsid w:val="00315FC0"/>
    <w:rPr>
      <w:color w:val="2B579A"/>
      <w:shd w:val="clear" w:color="auto" w:fill="E1DFDD"/>
    </w:rPr>
  </w:style>
  <w:style w:type="character" w:customStyle="1" w:styleId="cf01">
    <w:name w:val="cf01"/>
    <w:basedOn w:val="DefaultParagraphFont"/>
    <w:rsid w:val="00315FC0"/>
    <w:rPr>
      <w:rFonts w:ascii="Segoe UI" w:hAnsi="Segoe UI" w:cs="Segoe UI" w:hint="default"/>
      <w:sz w:val="18"/>
      <w:szCs w:val="18"/>
    </w:rPr>
  </w:style>
  <w:style w:type="character" w:styleId="Strong">
    <w:name w:val="Strong"/>
    <w:basedOn w:val="DefaultParagraphFont"/>
    <w:uiPriority w:val="22"/>
    <w:qFormat/>
    <w:rsid w:val="00315FC0"/>
    <w:rPr>
      <w:b/>
      <w:bCs/>
    </w:rPr>
  </w:style>
  <w:style w:type="character" w:customStyle="1" w:styleId="Mention60">
    <w:name w:val="Mention60"/>
    <w:basedOn w:val="DefaultParagraphFont"/>
    <w:uiPriority w:val="99"/>
    <w:unhideWhenUsed/>
    <w:rsid w:val="00315FC0"/>
    <w:rPr>
      <w:color w:val="2B579A"/>
      <w:shd w:val="clear" w:color="auto" w:fill="E1DFDD"/>
    </w:rPr>
  </w:style>
  <w:style w:type="character" w:customStyle="1" w:styleId="cf21">
    <w:name w:val="cf21"/>
    <w:basedOn w:val="DefaultParagraphFont"/>
    <w:rsid w:val="00315FC0"/>
    <w:rPr>
      <w:rFonts w:ascii="Segoe UI" w:hAnsi="Segoe UI" w:cs="Segoe UI" w:hint="default"/>
      <w:color w:val="006100"/>
    </w:rPr>
  </w:style>
  <w:style w:type="paragraph" w:customStyle="1" w:styleId="Style1">
    <w:name w:val="Style1"/>
    <w:basedOn w:val="Normal"/>
    <w:link w:val="Style1Char"/>
    <w:qFormat/>
    <w:rsid w:val="00315FC0"/>
    <w:pPr>
      <w:spacing w:before="120" w:after="120"/>
    </w:pPr>
    <w:rPr>
      <w:rFonts w:ascii="Times New Roman" w:hAnsi="Times New Roman" w:cs="Times New Roman"/>
      <w:b/>
      <w:sz w:val="24"/>
      <w:szCs w:val="24"/>
    </w:rPr>
  </w:style>
  <w:style w:type="character" w:customStyle="1" w:styleId="Style1Char">
    <w:name w:val="Style1 Char"/>
    <w:basedOn w:val="DefaultParagraphFont"/>
    <w:link w:val="Style1"/>
    <w:rsid w:val="00315FC0"/>
    <w:rPr>
      <w:rFonts w:ascii="Times New Roman" w:eastAsia="Calibri" w:hAnsi="Times New Roman" w:cs="Times New Roman"/>
      <w:b/>
      <w:kern w:val="0"/>
      <w:sz w:val="24"/>
      <w:szCs w:val="24"/>
    </w:rPr>
  </w:style>
  <w:style w:type="character" w:customStyle="1" w:styleId="Mention9">
    <w:name w:val="Mention9"/>
    <w:basedOn w:val="DefaultParagraphFont"/>
    <w:uiPriority w:val="99"/>
    <w:unhideWhenUsed/>
    <w:rsid w:val="00315FC0"/>
    <w:rPr>
      <w:color w:val="2B579A"/>
      <w:shd w:val="clear" w:color="auto" w:fill="E1DFDD"/>
    </w:rPr>
  </w:style>
  <w:style w:type="character" w:customStyle="1" w:styleId="Mention11">
    <w:name w:val="Mention11"/>
    <w:basedOn w:val="DefaultParagraphFont"/>
    <w:uiPriority w:val="99"/>
    <w:unhideWhenUsed/>
    <w:rsid w:val="00315FC0"/>
    <w:rPr>
      <w:color w:val="2B579A"/>
      <w:shd w:val="clear" w:color="auto" w:fill="E1DFDD"/>
    </w:rPr>
  </w:style>
  <w:style w:type="character" w:customStyle="1" w:styleId="Mention12">
    <w:name w:val="Mention12"/>
    <w:basedOn w:val="DefaultParagraphFont"/>
    <w:uiPriority w:val="99"/>
    <w:unhideWhenUsed/>
    <w:rsid w:val="00315FC0"/>
    <w:rPr>
      <w:color w:val="2B579A"/>
      <w:shd w:val="clear" w:color="auto" w:fill="E1DFDD"/>
    </w:rPr>
  </w:style>
  <w:style w:type="character" w:customStyle="1" w:styleId="UnresolvedMention10">
    <w:name w:val="Unresolved Mention10"/>
    <w:basedOn w:val="DefaultParagraphFont"/>
    <w:uiPriority w:val="99"/>
    <w:semiHidden/>
    <w:unhideWhenUsed/>
    <w:rsid w:val="00315FC0"/>
    <w:rPr>
      <w:color w:val="605E5C"/>
      <w:shd w:val="clear" w:color="auto" w:fill="E1DFDD"/>
    </w:rPr>
  </w:style>
  <w:style w:type="character" w:customStyle="1" w:styleId="UnresolvedMention2">
    <w:name w:val="Unresolved Mention2"/>
    <w:basedOn w:val="DefaultParagraphFont"/>
    <w:uiPriority w:val="99"/>
    <w:semiHidden/>
    <w:unhideWhenUsed/>
    <w:rsid w:val="00315FC0"/>
    <w:rPr>
      <w:color w:val="605E5C"/>
      <w:shd w:val="clear" w:color="auto" w:fill="E1DFDD"/>
    </w:rPr>
  </w:style>
  <w:style w:type="character" w:customStyle="1" w:styleId="Mention13">
    <w:name w:val="Mention13"/>
    <w:basedOn w:val="DefaultParagraphFont"/>
    <w:uiPriority w:val="99"/>
    <w:unhideWhenUsed/>
    <w:rsid w:val="00315FC0"/>
    <w:rPr>
      <w:color w:val="2B579A"/>
      <w:shd w:val="clear" w:color="auto" w:fill="E1DFDD"/>
    </w:rPr>
  </w:style>
  <w:style w:type="character" w:customStyle="1" w:styleId="UnresolvedMention3">
    <w:name w:val="Unresolved Mention3"/>
    <w:basedOn w:val="DefaultParagraphFont"/>
    <w:uiPriority w:val="99"/>
    <w:semiHidden/>
    <w:unhideWhenUsed/>
    <w:rsid w:val="00315FC0"/>
    <w:rPr>
      <w:color w:val="605E5C"/>
      <w:shd w:val="clear" w:color="auto" w:fill="E1DFDD"/>
    </w:rPr>
  </w:style>
  <w:style w:type="character" w:customStyle="1" w:styleId="Mention14">
    <w:name w:val="Mention14"/>
    <w:basedOn w:val="DefaultParagraphFont"/>
    <w:uiPriority w:val="99"/>
    <w:unhideWhenUsed/>
    <w:rsid w:val="00315FC0"/>
    <w:rPr>
      <w:color w:val="2B579A"/>
      <w:shd w:val="clear" w:color="auto" w:fill="E1DFDD"/>
    </w:rPr>
  </w:style>
  <w:style w:type="paragraph" w:styleId="NormalWeb">
    <w:name w:val="Normal (Web)"/>
    <w:basedOn w:val="Normal"/>
    <w:uiPriority w:val="99"/>
    <w:semiHidden/>
    <w:unhideWhenUsed/>
    <w:rsid w:val="00315FC0"/>
    <w:rPr>
      <w:rFonts w:ascii="Times New Roman" w:hAnsi="Times New Roman" w:cs="Times New Roman"/>
      <w:sz w:val="24"/>
      <w:szCs w:val="24"/>
    </w:rPr>
  </w:style>
  <w:style w:type="character" w:customStyle="1" w:styleId="Mention">
    <w:name w:val="Mention"/>
    <w:basedOn w:val="DefaultParagraphFont"/>
    <w:uiPriority w:val="99"/>
    <w:unhideWhenUsed/>
    <w:rsid w:val="004565C8"/>
    <w:rPr>
      <w:color w:val="2B579A"/>
      <w:shd w:val="clear" w:color="auto" w:fill="E1DFDD"/>
    </w:rPr>
  </w:style>
  <w:style w:type="table" w:customStyle="1" w:styleId="TableGrid1">
    <w:name w:val="Table Grid1"/>
    <w:basedOn w:val="TableNormal"/>
    <w:next w:val="TableGrid"/>
    <w:uiPriority w:val="39"/>
    <w:rsid w:val="00F613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F613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68B1DB1-Normal1">
    <w:name w:val="P68B1DB1-Normal1"/>
    <w:basedOn w:val="Normal"/>
    <w:rPr>
      <w:rFonts w:ascii="Times New Roman" w:hAnsi="Times New Roman" w:cs="Times New Roman"/>
      <w:b/>
      <w:u w:val="single"/>
    </w:rPr>
  </w:style>
  <w:style w:type="paragraph" w:customStyle="1" w:styleId="P68B1DB1-Normal2">
    <w:name w:val="P68B1DB1-Normal2"/>
    <w:basedOn w:val="Normal"/>
    <w:rPr>
      <w:rFonts w:ascii="Times New Roman" w:hAnsi="Times New Roman"/>
      <w:b/>
      <w:smallCaps/>
      <w:sz w:val="24"/>
    </w:rPr>
  </w:style>
  <w:style w:type="paragraph" w:customStyle="1" w:styleId="P68B1DB1-ListParagraph3">
    <w:name w:val="P68B1DB1-ListParagraph3"/>
    <w:basedOn w:val="ListParagraph"/>
    <w:rPr>
      <w:rFonts w:ascii="Times New Roman" w:hAnsi="Times New Roman"/>
      <w:b/>
      <w:sz w:val="24"/>
      <w:u w:val="single"/>
    </w:rPr>
  </w:style>
  <w:style w:type="paragraph" w:customStyle="1" w:styleId="P68B1DB1-ListParagraph4">
    <w:name w:val="P68B1DB1-ListParagraph4"/>
    <w:basedOn w:val="ListParagraph"/>
    <w:rPr>
      <w:rFonts w:ascii="Times New Roman" w:hAnsi="Times New Roman"/>
      <w:b/>
      <w:sz w:val="24"/>
    </w:rPr>
  </w:style>
  <w:style w:type="paragraph" w:customStyle="1" w:styleId="P68B1DB1-Normal5">
    <w:name w:val="P68B1DB1-Normal5"/>
    <w:basedOn w:val="Normal"/>
    <w:rPr>
      <w:rFonts w:ascii="Times New Roman" w:hAnsi="Times New Roman"/>
      <w:sz w:val="24"/>
    </w:rPr>
  </w:style>
  <w:style w:type="paragraph" w:customStyle="1" w:styleId="P68B1DB1-Normal6">
    <w:name w:val="P68B1DB1-Normal6"/>
    <w:basedOn w:val="Normal"/>
    <w:rPr>
      <w:rFonts w:ascii="Times New Roman" w:hAnsi="Times New Roman"/>
      <w:b/>
      <w:sz w:val="24"/>
      <w:u w:val="single"/>
    </w:rPr>
  </w:style>
  <w:style w:type="paragraph" w:customStyle="1" w:styleId="P68B1DB1-Normal7">
    <w:name w:val="P68B1DB1-Normal7"/>
    <w:basedOn w:val="Normal"/>
    <w:rPr>
      <w:rFonts w:ascii="Times New Roman" w:hAnsi="Times New Roman"/>
      <w:sz w:val="24"/>
      <w:szCs w:val="24"/>
    </w:rPr>
  </w:style>
  <w:style w:type="paragraph" w:customStyle="1" w:styleId="P68B1DB1-Normal8">
    <w:name w:val="P68B1DB1-Normal8"/>
    <w:basedOn w:val="Normal"/>
    <w:rPr>
      <w:sz w:val="24"/>
      <w:szCs w:val="24"/>
    </w:rPr>
  </w:style>
  <w:style w:type="paragraph" w:customStyle="1" w:styleId="P68B1DB1-Normal9">
    <w:name w:val="P68B1DB1-Normal9"/>
    <w:basedOn w:val="Normal"/>
    <w:rPr>
      <w:rFonts w:ascii="Cambria" w:hAnsi="Cambria"/>
      <w:color w:val="365F91"/>
      <w:sz w:val="24"/>
    </w:rPr>
  </w:style>
  <w:style w:type="paragraph" w:customStyle="1" w:styleId="P68B1DB1-Normal10">
    <w:name w:val="P68B1DB1-Normal10"/>
    <w:basedOn w:val="Normal"/>
    <w:rPr>
      <w:rFonts w:ascii="Times New Roman" w:hAnsi="Times New Roman"/>
      <w:b/>
      <w:sz w:val="18"/>
    </w:rPr>
  </w:style>
  <w:style w:type="paragraph" w:customStyle="1" w:styleId="P68B1DB1-Normal11">
    <w:name w:val="P68B1DB1-Normal11"/>
    <w:basedOn w:val="Normal"/>
    <w:rPr>
      <w:rFonts w:ascii="Times New Roman" w:hAnsi="Times New Roman"/>
      <w:sz w:val="18"/>
      <w:szCs w:val="18"/>
    </w:rPr>
  </w:style>
  <w:style w:type="paragraph" w:customStyle="1" w:styleId="P68B1DB1-Normal12">
    <w:name w:val="P68B1DB1-Normal12"/>
    <w:basedOn w:val="Normal"/>
    <w:rPr>
      <w:rFonts w:ascii="Times New Roman" w:hAnsi="Times New Roman" w:cs="Times New Roman"/>
      <w:color w:val="006100"/>
      <w:sz w:val="18"/>
      <w:szCs w:val="18"/>
    </w:rPr>
  </w:style>
  <w:style w:type="paragraph" w:customStyle="1" w:styleId="P68B1DB1-Normal13">
    <w:name w:val="P68B1DB1-Normal13"/>
    <w:basedOn w:val="Normal"/>
    <w:rPr>
      <w:rFonts w:ascii="Times New Roman" w:hAnsi="Times New Roman" w:cs="Times New Roman"/>
      <w:color w:val="006100"/>
      <w:sz w:val="18"/>
    </w:rPr>
  </w:style>
  <w:style w:type="paragraph" w:customStyle="1" w:styleId="P68B1DB1-Normal14">
    <w:name w:val="P68B1DB1-Normal14"/>
    <w:basedOn w:val="Normal"/>
    <w:rPr>
      <w:sz w:val="24"/>
    </w:rPr>
  </w:style>
  <w:style w:type="paragraph" w:customStyle="1" w:styleId="P68B1DB1-Normal15">
    <w:name w:val="P68B1DB1-Normal15"/>
    <w:basedOn w:val="Normal"/>
    <w:rPr>
      <w:rFonts w:ascii="Times New Roman" w:hAnsi="Times New Roman" w:cs="Times New Roman"/>
      <w:b/>
      <w:sz w:val="18"/>
      <w:szCs w:val="18"/>
    </w:rPr>
  </w:style>
  <w:style w:type="paragraph" w:customStyle="1" w:styleId="P68B1DB1-Normal16">
    <w:name w:val="P68B1DB1-Normal16"/>
    <w:basedOn w:val="Normal"/>
    <w:rPr>
      <w:rFonts w:ascii="Times New Roman" w:hAnsi="Times New Roman" w:cs="Times New Roman"/>
      <w:sz w:val="18"/>
      <w:szCs w:val="18"/>
    </w:rPr>
  </w:style>
  <w:style w:type="paragraph" w:customStyle="1" w:styleId="P68B1DB1-Normal17">
    <w:name w:val="P68B1DB1-Normal17"/>
    <w:basedOn w:val="Normal"/>
    <w:rPr>
      <w:rFonts w:ascii="Times New Roman" w:hAnsi="Times New Roman"/>
      <w:b/>
      <w:sz w:val="24"/>
    </w:rPr>
  </w:style>
  <w:style w:type="paragraph" w:customStyle="1" w:styleId="P68B1DB1-Normal18">
    <w:name w:val="P68B1DB1-Normal18"/>
    <w:basedOn w:val="Normal"/>
    <w:rPr>
      <w:b/>
      <w:sz w:val="18"/>
    </w:rPr>
  </w:style>
  <w:style w:type="paragraph" w:customStyle="1" w:styleId="P68B1DB1-Normal19">
    <w:name w:val="P68B1DB1-Normal19"/>
    <w:basedOn w:val="Normal"/>
    <w:rPr>
      <w:rFonts w:ascii="Times New Roman" w:hAnsi="Times New Roman"/>
      <w:b/>
      <w:sz w:val="24"/>
      <w:szCs w:val="24"/>
      <w:u w:val="single"/>
    </w:rPr>
  </w:style>
  <w:style w:type="paragraph" w:customStyle="1" w:styleId="P68B1DB1-LegalNumPar220">
    <w:name w:val="P68B1DB1-LegalNumPar220"/>
    <w:basedOn w:val="LegalNumPar2"/>
    <w:rPr>
      <w:rFonts w:ascii="Times New Roman" w:hAnsi="Times New Roman" w:cs="Times New Roman"/>
      <w:sz w:val="24"/>
      <w:szCs w:val="24"/>
    </w:rPr>
  </w:style>
  <w:style w:type="paragraph" w:customStyle="1" w:styleId="P68B1DB1-LegalNumPar21">
    <w:name w:val="P68B1DB1-LegalNumPar21"/>
    <w:basedOn w:val="LegalNumPar"/>
    <w:rPr>
      <w:rFonts w:ascii="Times New Roman" w:hAnsi="Times New Roman" w:cs="Times New Roman"/>
      <w:sz w:val="24"/>
      <w:szCs w:val="24"/>
    </w:rPr>
  </w:style>
  <w:style w:type="paragraph" w:customStyle="1" w:styleId="P68B1DB1-LegalNumPar22">
    <w:name w:val="P68B1DB1-LegalNumPar22"/>
    <w:basedOn w:val="LegalNumPar"/>
    <w:rPr>
      <w:sz w:val="24"/>
      <w:szCs w:val="24"/>
    </w:rPr>
  </w:style>
  <w:style w:type="paragraph" w:customStyle="1" w:styleId="P68B1DB1-Normal23">
    <w:name w:val="P68B1DB1-Normal23"/>
    <w:basedOn w:val="Normal"/>
    <w:rPr>
      <w:rFonts w:ascii="Times New Roman" w:eastAsia="Times New Roman" w:hAnsi="Times New Roman" w:cs="Times New Roman"/>
      <w:color w:val="006100"/>
      <w:sz w:val="18"/>
      <w:szCs w:val="18"/>
    </w:rPr>
  </w:style>
  <w:style w:type="paragraph" w:customStyle="1" w:styleId="P68B1DB1-Normal24">
    <w:name w:val="P68B1DB1-Normal24"/>
    <w:basedOn w:val="Normal"/>
    <w:rPr>
      <w:rFonts w:ascii="Times New Roman" w:hAnsi="Times New Roman" w:cs="Times New Roman"/>
      <w:b/>
      <w:sz w:val="24"/>
      <w:szCs w:val="24"/>
    </w:rPr>
  </w:style>
  <w:style w:type="paragraph" w:customStyle="1" w:styleId="P68B1DB1-Normal25">
    <w:name w:val="P68B1DB1-Normal25"/>
    <w:basedOn w:val="Normal"/>
    <w:rPr>
      <w:u w:val="single"/>
    </w:rPr>
  </w:style>
  <w:style w:type="paragraph" w:customStyle="1" w:styleId="P68B1DB1-Normal26">
    <w:name w:val="P68B1DB1-Normal26"/>
    <w:basedOn w:val="Normal"/>
    <w:rPr>
      <w:rFonts w:ascii="Times New Roman" w:hAnsi="Times New Roman" w:cs="Times New Roman"/>
      <w:color w:val="006100"/>
      <w:sz w:val="16"/>
      <w:szCs w:val="16"/>
    </w:rPr>
  </w:style>
  <w:style w:type="paragraph" w:customStyle="1" w:styleId="P68B1DB1-Normal27">
    <w:name w:val="P68B1DB1-Normal27"/>
    <w:basedOn w:val="Normal"/>
    <w:rPr>
      <w:rFonts w:ascii="Times New Roman" w:eastAsiaTheme="minorEastAsia" w:hAnsi="Times New Roman" w:cs="Times New Roman"/>
      <w:color w:val="006100"/>
      <w:sz w:val="18"/>
      <w:szCs w:val="18"/>
    </w:rPr>
  </w:style>
  <w:style w:type="paragraph" w:customStyle="1" w:styleId="P68B1DB1-Normal28">
    <w:name w:val="P68B1DB1-Normal28"/>
    <w:basedOn w:val="Normal"/>
    <w:rPr>
      <w:rFonts w:ascii="Times New Roman" w:eastAsia="Aptos" w:hAnsi="Times New Roman" w:cs="Times New Roman"/>
      <w:b/>
      <w:kern w:val="2"/>
      <w:sz w:val="18"/>
    </w:rPr>
  </w:style>
  <w:style w:type="paragraph" w:customStyle="1" w:styleId="P68B1DB1-Normal29">
    <w:name w:val="P68B1DB1-Normal29"/>
    <w:basedOn w:val="Normal"/>
    <w:rPr>
      <w:rFonts w:ascii="Times New Roman" w:eastAsia="Aptos" w:hAnsi="Times New Roman" w:cs="Times New Roman"/>
      <w:color w:val="006100"/>
      <w:kern w:val="2"/>
      <w:sz w:val="18"/>
      <w:szCs w:val="18"/>
    </w:rPr>
  </w:style>
  <w:style w:type="paragraph" w:customStyle="1" w:styleId="P68B1DB1-Normal30">
    <w:name w:val="P68B1DB1-Normal30"/>
    <w:basedOn w:val="Normal"/>
    <w:rPr>
      <w:rFonts w:ascii="Times New Roman" w:eastAsia="Aptos" w:hAnsi="Times New Roman" w:cs="Times New Roman"/>
      <w:color w:val="006100"/>
      <w:kern w:val="2"/>
      <w:sz w:val="18"/>
    </w:rPr>
  </w:style>
  <w:style w:type="paragraph" w:customStyle="1" w:styleId="P68B1DB1-ListParagraph31">
    <w:name w:val="P68B1DB1-ListParagraph31"/>
    <w:basedOn w:val="ListParagraph"/>
    <w:rPr>
      <w:rFonts w:ascii="Times New Roman" w:eastAsiaTheme="minorEastAsia" w:hAnsi="Times New Roman" w:cs="Times New Roman"/>
      <w:color w:val="006100"/>
      <w:sz w:val="18"/>
      <w:szCs w:val="18"/>
    </w:rPr>
  </w:style>
  <w:style w:type="paragraph" w:customStyle="1" w:styleId="P68B1DB1-ListParagraph32">
    <w:name w:val="P68B1DB1-ListParagraph32"/>
    <w:basedOn w:val="ListParagraph"/>
    <w:rPr>
      <w:rFonts w:ascii="Times New Roman" w:hAnsi="Times New Roman"/>
      <w:sz w:val="24"/>
    </w:rPr>
  </w:style>
  <w:style w:type="paragraph" w:customStyle="1" w:styleId="P68B1DB1-xmsonormal33">
    <w:name w:val="P68B1DB1-xmsonormal33"/>
    <w:basedOn w:val="xmsonormal"/>
    <w:rPr>
      <w:color w:val="006100"/>
      <w:sz w:val="18"/>
      <w:szCs w:val="18"/>
    </w:rPr>
  </w:style>
  <w:style w:type="paragraph" w:customStyle="1" w:styleId="P68B1DB1-ListParagraph34">
    <w:name w:val="P68B1DB1-ListParagraph34"/>
    <w:basedOn w:val="ListParagraph"/>
    <w:rPr>
      <w:rFonts w:ascii="Times New Roman" w:hAnsi="Times New Roman" w:cs="Times New Roman"/>
      <w:color w:val="006100"/>
      <w:sz w:val="18"/>
      <w:szCs w:val="18"/>
    </w:rPr>
  </w:style>
  <w:style w:type="paragraph" w:customStyle="1" w:styleId="P68B1DB1-Normal35">
    <w:name w:val="P68B1DB1-Normal35"/>
    <w:basedOn w:val="Normal"/>
    <w:rPr>
      <w:color w:val="006100"/>
    </w:rPr>
  </w:style>
  <w:style w:type="paragraph" w:customStyle="1" w:styleId="P68B1DB1-Normal36">
    <w:name w:val="P68B1DB1-Normal36"/>
    <w:basedOn w:val="Normal"/>
    <w:rPr>
      <w:sz w:val="18"/>
    </w:rPr>
  </w:style>
  <w:style w:type="paragraph" w:customStyle="1" w:styleId="P68B1DB1-paragraph37">
    <w:name w:val="P68B1DB1-paragraph37"/>
    <w:basedOn w:val="paragraph"/>
    <w:rPr>
      <w:color w:val="006100"/>
      <w:sz w:val="18"/>
      <w:szCs w:val="18"/>
    </w:rPr>
  </w:style>
  <w:style w:type="paragraph" w:customStyle="1" w:styleId="P68B1DB1-Normal38">
    <w:name w:val="P68B1DB1-Normal38"/>
    <w:basedOn w:val="Normal"/>
    <w:rPr>
      <w:rFonts w:ascii="Cambria" w:hAnsi="Cambria"/>
      <w:color w:val="365F91" w:themeColor="accent1" w:themeShade="BF"/>
      <w:sz w:val="24"/>
      <w:szCs w:val="24"/>
    </w:rPr>
  </w:style>
  <w:style w:type="paragraph" w:customStyle="1" w:styleId="P68B1DB1-paragraph39">
    <w:name w:val="P68B1DB1-paragraph39"/>
    <w:basedOn w:val="paragraph"/>
    <w:rPr>
      <w:rFonts w:eastAsia="Calibri"/>
      <w:color w:val="006100"/>
      <w:sz w:val="18"/>
      <w:szCs w:val="18"/>
    </w:rPr>
  </w:style>
  <w:style w:type="paragraph" w:customStyle="1" w:styleId="P68B1DB1-Default40">
    <w:name w:val="P68B1DB1-Default40"/>
    <w:basedOn w:val="Default"/>
    <w:rPr>
      <w:rFonts w:ascii="Times New Roman" w:hAnsi="Times New Roman"/>
    </w:rPr>
  </w:style>
  <w:style w:type="paragraph" w:customStyle="1" w:styleId="P68B1DB1-Normal41">
    <w:name w:val="P68B1DB1-Normal41"/>
    <w:basedOn w:val="Normal"/>
    <w:rPr>
      <w:rFonts w:ascii="Times New Roman" w:hAnsi="Times New Roman"/>
      <w:b/>
      <w:sz w:val="18"/>
      <w:szCs w:val="18"/>
    </w:rPr>
  </w:style>
  <w:style w:type="paragraph" w:customStyle="1" w:styleId="P68B1DB1-ListParagraph42">
    <w:name w:val="P68B1DB1-ListParagraph42"/>
    <w:basedOn w:val="ListParagraph"/>
    <w:rPr>
      <w:rFonts w:ascii="Times New Roman" w:hAnsi="Times New Roman" w:cs="Times New Roman"/>
      <w:sz w:val="18"/>
      <w:szCs w:val="18"/>
    </w:rPr>
  </w:style>
  <w:style w:type="paragraph" w:customStyle="1" w:styleId="P68B1DB1-Normal43">
    <w:name w:val="P68B1DB1-Normal43"/>
    <w:basedOn w:val="Normal"/>
    <w:rPr>
      <w:color w:val="006100"/>
      <w:sz w:val="18"/>
      <w:szCs w:val="18"/>
    </w:rPr>
  </w:style>
  <w:style w:type="paragraph" w:customStyle="1" w:styleId="P68B1DB1-Normal44">
    <w:name w:val="P68B1DB1-Normal44"/>
    <w:basedOn w:val="Normal"/>
    <w:rPr>
      <w:rFonts w:ascii="Times New Roman" w:hAnsi="Times New Roman"/>
      <w:color w:val="000000" w:themeColor="text1"/>
      <w:sz w:val="24"/>
    </w:rPr>
  </w:style>
  <w:style w:type="paragraph" w:customStyle="1" w:styleId="P68B1DB1-Normal45">
    <w:name w:val="P68B1DB1-Normal45"/>
    <w:basedOn w:val="Normal"/>
    <w:rPr>
      <w:rFonts w:ascii="Times New Roman" w:hAnsi="Times New Roman" w:cs="Times New Roman"/>
      <w:color w:val="006100"/>
    </w:rPr>
  </w:style>
  <w:style w:type="paragraph" w:customStyle="1" w:styleId="P68B1DB1-LegalNumPar46">
    <w:name w:val="P68B1DB1-LegalNumPar46"/>
    <w:basedOn w:val="LegalNumPar"/>
    <w:rPr>
      <w:sz w:val="24"/>
    </w:rPr>
  </w:style>
  <w:style w:type="paragraph" w:customStyle="1" w:styleId="P68B1DB1-ListParagraph47">
    <w:name w:val="P68B1DB1-ListParagraph47"/>
    <w:basedOn w:val="ListParagraph"/>
    <w:rPr>
      <w:rFonts w:ascii="Times New Roman" w:hAnsi="Times New Roman"/>
      <w:sz w:val="24"/>
      <w:szCs w:val="24"/>
    </w:rPr>
  </w:style>
  <w:style w:type="paragraph" w:customStyle="1" w:styleId="P68B1DB1-Normal48">
    <w:name w:val="P68B1DB1-Normal48"/>
    <w:basedOn w:val="Normal"/>
    <w:rPr>
      <w:rFonts w:ascii="Times New Roman" w:hAnsi="Times New Roman"/>
      <w:b/>
      <w:sz w:val="24"/>
      <w:szCs w:val="24"/>
    </w:rPr>
  </w:style>
  <w:style w:type="paragraph" w:customStyle="1" w:styleId="P68B1DB1-Normal49">
    <w:name w:val="P68B1DB1-Normal49"/>
    <w:basedOn w:val="Normal"/>
    <w:rPr>
      <w:sz w:val="18"/>
      <w:szCs w:val="18"/>
    </w:rPr>
  </w:style>
  <w:style w:type="paragraph" w:customStyle="1" w:styleId="P68B1DB1-Normal50">
    <w:name w:val="P68B1DB1-Normal50"/>
    <w:basedOn w:val="Normal"/>
    <w:rPr>
      <w:rFonts w:ascii="Times New Roman" w:hAnsi="Times New Roman" w:cs="Times New Roman"/>
      <w:sz w:val="24"/>
    </w:rPr>
  </w:style>
  <w:style w:type="paragraph" w:customStyle="1" w:styleId="P68B1DB1-Normal51">
    <w:name w:val="P68B1DB1-Normal51"/>
    <w:basedOn w:val="Normal"/>
    <w:rPr>
      <w:rFonts w:ascii="Times New Roman" w:hAnsi="Times New Roman"/>
      <w:b/>
    </w:rPr>
  </w:style>
  <w:style w:type="paragraph" w:customStyle="1" w:styleId="P68B1DB1-Normal52">
    <w:name w:val="P68B1DB1-Normal52"/>
    <w:basedOn w:val="Normal"/>
    <w:rPr>
      <w:rFonts w:ascii="Times New Roman" w:hAnsi="Times New Roman"/>
    </w:rPr>
  </w:style>
  <w:style w:type="paragraph" w:customStyle="1" w:styleId="P68B1DB1-ListParagraph53">
    <w:name w:val="P68B1DB1-ListParagraph53"/>
    <w:basedOn w:val="ListParagraph"/>
    <w:rPr>
      <w:rFonts w:ascii="Times New Roman" w:hAnsi="Times New Roman" w:cs="Times New Roman"/>
      <w:color w:val="006100"/>
      <w:sz w:val="18"/>
    </w:rPr>
  </w:style>
  <w:style w:type="paragraph" w:customStyle="1" w:styleId="P68B1DB1-ListParagraph54">
    <w:name w:val="P68B1DB1-ListParagraph54"/>
    <w:basedOn w:val="ListParagraph"/>
    <w:rPr>
      <w:rFonts w:ascii="Times New Roman" w:eastAsia="Times New Roman" w:hAnsi="Times New Roman" w:cs="Times New Roman"/>
      <w:color w:val="006100"/>
      <w:sz w:val="18"/>
      <w:szCs w:val="18"/>
    </w:rPr>
  </w:style>
  <w:style w:type="paragraph" w:customStyle="1" w:styleId="P68B1DB1-Normal55">
    <w:name w:val="P68B1DB1-Normal55"/>
    <w:basedOn w:val="Normal"/>
    <w:rPr>
      <w:rFonts w:ascii="Times New Roman" w:hAnsi="Times New Roman"/>
      <w:sz w:val="18"/>
    </w:rPr>
  </w:style>
  <w:style w:type="paragraph" w:customStyle="1" w:styleId="P68B1DB1-Normal56">
    <w:name w:val="P68B1DB1-Normal56"/>
    <w:basedOn w:val="Normal"/>
    <w:rPr>
      <w:rFonts w:ascii="Times New Roman" w:hAnsi="Times New Roman"/>
      <w:sz w:val="20"/>
    </w:rPr>
  </w:style>
  <w:style w:type="paragraph" w:customStyle="1" w:styleId="P68B1DB1-Normal57">
    <w:name w:val="P68B1DB1-Normal57"/>
    <w:basedOn w:val="Normal"/>
    <w:rPr>
      <w:rFonts w:eastAsia="Times New Roman"/>
      <w:i/>
      <w:color w:val="4F81BD"/>
    </w:rPr>
  </w:style>
  <w:style w:type="paragraph" w:customStyle="1" w:styleId="P68B1DB1-Normal58">
    <w:name w:val="P68B1DB1-Normal58"/>
    <w:basedOn w:val="Normal"/>
    <w:rPr>
      <w:rFonts w:ascii="Times New Roman" w:eastAsia="Times New Roman" w:hAnsi="Times New Roman" w:cs="Times New Roman"/>
      <w:sz w:val="18"/>
      <w:szCs w:val="18"/>
    </w:rPr>
  </w:style>
  <w:style w:type="paragraph" w:customStyle="1" w:styleId="P68B1DB1-Normal59">
    <w:name w:val="P68B1DB1-Normal59"/>
    <w:basedOn w:val="Normal"/>
    <w:rPr>
      <w:rFonts w:ascii="Times New Roman" w:eastAsia="Times New Roman" w:hAnsi="Times New Roman" w:cs="Times New Roman"/>
      <w:sz w:val="24"/>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961710">
      <w:bodyDiv w:val="1"/>
      <w:marLeft w:val="0"/>
      <w:marRight w:val="0"/>
      <w:marTop w:val="0"/>
      <w:marBottom w:val="0"/>
      <w:divBdr>
        <w:top w:val="none" w:sz="0" w:space="0" w:color="auto"/>
        <w:left w:val="none" w:sz="0" w:space="0" w:color="auto"/>
        <w:bottom w:val="none" w:sz="0" w:space="0" w:color="auto"/>
        <w:right w:val="none" w:sz="0" w:space="0" w:color="auto"/>
      </w:divBdr>
      <w:divsChild>
        <w:div w:id="524904397">
          <w:marLeft w:val="0"/>
          <w:marRight w:val="0"/>
          <w:marTop w:val="0"/>
          <w:marBottom w:val="0"/>
          <w:divBdr>
            <w:top w:val="none" w:sz="0" w:space="0" w:color="auto"/>
            <w:left w:val="none" w:sz="0" w:space="0" w:color="auto"/>
            <w:bottom w:val="none" w:sz="0" w:space="0" w:color="auto"/>
            <w:right w:val="none" w:sz="0" w:space="0" w:color="auto"/>
          </w:divBdr>
          <w:divsChild>
            <w:div w:id="268896401">
              <w:marLeft w:val="0"/>
              <w:marRight w:val="0"/>
              <w:marTop w:val="0"/>
              <w:marBottom w:val="0"/>
              <w:divBdr>
                <w:top w:val="none" w:sz="0" w:space="0" w:color="auto"/>
                <w:left w:val="none" w:sz="0" w:space="0" w:color="auto"/>
                <w:bottom w:val="none" w:sz="0" w:space="0" w:color="auto"/>
                <w:right w:val="none" w:sz="0" w:space="0" w:color="auto"/>
              </w:divBdr>
            </w:div>
          </w:divsChild>
        </w:div>
        <w:div w:id="605357092">
          <w:marLeft w:val="0"/>
          <w:marRight w:val="0"/>
          <w:marTop w:val="0"/>
          <w:marBottom w:val="0"/>
          <w:divBdr>
            <w:top w:val="none" w:sz="0" w:space="0" w:color="auto"/>
            <w:left w:val="none" w:sz="0" w:space="0" w:color="auto"/>
            <w:bottom w:val="none" w:sz="0" w:space="0" w:color="auto"/>
            <w:right w:val="none" w:sz="0" w:space="0" w:color="auto"/>
          </w:divBdr>
          <w:divsChild>
            <w:div w:id="1312254864">
              <w:marLeft w:val="0"/>
              <w:marRight w:val="0"/>
              <w:marTop w:val="0"/>
              <w:marBottom w:val="0"/>
              <w:divBdr>
                <w:top w:val="none" w:sz="0" w:space="0" w:color="auto"/>
                <w:left w:val="none" w:sz="0" w:space="0" w:color="auto"/>
                <w:bottom w:val="none" w:sz="0" w:space="0" w:color="auto"/>
                <w:right w:val="none" w:sz="0" w:space="0" w:color="auto"/>
              </w:divBdr>
            </w:div>
          </w:divsChild>
        </w:div>
        <w:div w:id="1815757289">
          <w:marLeft w:val="0"/>
          <w:marRight w:val="0"/>
          <w:marTop w:val="0"/>
          <w:marBottom w:val="0"/>
          <w:divBdr>
            <w:top w:val="none" w:sz="0" w:space="0" w:color="auto"/>
            <w:left w:val="none" w:sz="0" w:space="0" w:color="auto"/>
            <w:bottom w:val="none" w:sz="0" w:space="0" w:color="auto"/>
            <w:right w:val="none" w:sz="0" w:space="0" w:color="auto"/>
          </w:divBdr>
          <w:divsChild>
            <w:div w:id="1751272970">
              <w:marLeft w:val="0"/>
              <w:marRight w:val="0"/>
              <w:marTop w:val="0"/>
              <w:marBottom w:val="0"/>
              <w:divBdr>
                <w:top w:val="none" w:sz="0" w:space="0" w:color="auto"/>
                <w:left w:val="none" w:sz="0" w:space="0" w:color="auto"/>
                <w:bottom w:val="none" w:sz="0" w:space="0" w:color="auto"/>
                <w:right w:val="none" w:sz="0" w:space="0" w:color="auto"/>
              </w:divBdr>
            </w:div>
          </w:divsChild>
        </w:div>
        <w:div w:id="1856842909">
          <w:marLeft w:val="0"/>
          <w:marRight w:val="0"/>
          <w:marTop w:val="0"/>
          <w:marBottom w:val="0"/>
          <w:divBdr>
            <w:top w:val="none" w:sz="0" w:space="0" w:color="auto"/>
            <w:left w:val="none" w:sz="0" w:space="0" w:color="auto"/>
            <w:bottom w:val="none" w:sz="0" w:space="0" w:color="auto"/>
            <w:right w:val="none" w:sz="0" w:space="0" w:color="auto"/>
          </w:divBdr>
          <w:divsChild>
            <w:div w:id="1447890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531549">
      <w:bodyDiv w:val="1"/>
      <w:marLeft w:val="0"/>
      <w:marRight w:val="0"/>
      <w:marTop w:val="0"/>
      <w:marBottom w:val="0"/>
      <w:divBdr>
        <w:top w:val="none" w:sz="0" w:space="0" w:color="auto"/>
        <w:left w:val="none" w:sz="0" w:space="0" w:color="auto"/>
        <w:bottom w:val="none" w:sz="0" w:space="0" w:color="auto"/>
        <w:right w:val="none" w:sz="0" w:space="0" w:color="auto"/>
      </w:divBdr>
      <w:divsChild>
        <w:div w:id="65224769">
          <w:marLeft w:val="0"/>
          <w:marRight w:val="0"/>
          <w:marTop w:val="0"/>
          <w:marBottom w:val="0"/>
          <w:divBdr>
            <w:top w:val="none" w:sz="0" w:space="0" w:color="auto"/>
            <w:left w:val="none" w:sz="0" w:space="0" w:color="auto"/>
            <w:bottom w:val="none" w:sz="0" w:space="0" w:color="auto"/>
            <w:right w:val="none" w:sz="0" w:space="0" w:color="auto"/>
          </w:divBdr>
        </w:div>
        <w:div w:id="101272170">
          <w:marLeft w:val="0"/>
          <w:marRight w:val="0"/>
          <w:marTop w:val="0"/>
          <w:marBottom w:val="0"/>
          <w:divBdr>
            <w:top w:val="none" w:sz="0" w:space="0" w:color="auto"/>
            <w:left w:val="none" w:sz="0" w:space="0" w:color="auto"/>
            <w:bottom w:val="none" w:sz="0" w:space="0" w:color="auto"/>
            <w:right w:val="none" w:sz="0" w:space="0" w:color="auto"/>
          </w:divBdr>
        </w:div>
        <w:div w:id="1011878411">
          <w:marLeft w:val="0"/>
          <w:marRight w:val="0"/>
          <w:marTop w:val="0"/>
          <w:marBottom w:val="0"/>
          <w:divBdr>
            <w:top w:val="none" w:sz="0" w:space="0" w:color="auto"/>
            <w:left w:val="none" w:sz="0" w:space="0" w:color="auto"/>
            <w:bottom w:val="none" w:sz="0" w:space="0" w:color="auto"/>
            <w:right w:val="none" w:sz="0" w:space="0" w:color="auto"/>
          </w:divBdr>
        </w:div>
        <w:div w:id="1114863501">
          <w:marLeft w:val="0"/>
          <w:marRight w:val="0"/>
          <w:marTop w:val="0"/>
          <w:marBottom w:val="0"/>
          <w:divBdr>
            <w:top w:val="none" w:sz="0" w:space="0" w:color="auto"/>
            <w:left w:val="none" w:sz="0" w:space="0" w:color="auto"/>
            <w:bottom w:val="none" w:sz="0" w:space="0" w:color="auto"/>
            <w:right w:val="none" w:sz="0" w:space="0" w:color="auto"/>
          </w:divBdr>
        </w:div>
        <w:div w:id="1528368801">
          <w:marLeft w:val="0"/>
          <w:marRight w:val="0"/>
          <w:marTop w:val="0"/>
          <w:marBottom w:val="0"/>
          <w:divBdr>
            <w:top w:val="none" w:sz="0" w:space="0" w:color="auto"/>
            <w:left w:val="none" w:sz="0" w:space="0" w:color="auto"/>
            <w:bottom w:val="none" w:sz="0" w:space="0" w:color="auto"/>
            <w:right w:val="none" w:sz="0" w:space="0" w:color="auto"/>
          </w:divBdr>
        </w:div>
        <w:div w:id="1558666633">
          <w:marLeft w:val="0"/>
          <w:marRight w:val="0"/>
          <w:marTop w:val="0"/>
          <w:marBottom w:val="0"/>
          <w:divBdr>
            <w:top w:val="none" w:sz="0" w:space="0" w:color="auto"/>
            <w:left w:val="none" w:sz="0" w:space="0" w:color="auto"/>
            <w:bottom w:val="none" w:sz="0" w:space="0" w:color="auto"/>
            <w:right w:val="none" w:sz="0" w:space="0" w:color="auto"/>
          </w:divBdr>
        </w:div>
        <w:div w:id="1622109210">
          <w:marLeft w:val="0"/>
          <w:marRight w:val="0"/>
          <w:marTop w:val="0"/>
          <w:marBottom w:val="0"/>
          <w:divBdr>
            <w:top w:val="none" w:sz="0" w:space="0" w:color="auto"/>
            <w:left w:val="none" w:sz="0" w:space="0" w:color="auto"/>
            <w:bottom w:val="none" w:sz="0" w:space="0" w:color="auto"/>
            <w:right w:val="none" w:sz="0" w:space="0" w:color="auto"/>
          </w:divBdr>
        </w:div>
      </w:divsChild>
    </w:div>
    <w:div w:id="204174028">
      <w:bodyDiv w:val="1"/>
      <w:marLeft w:val="0"/>
      <w:marRight w:val="0"/>
      <w:marTop w:val="0"/>
      <w:marBottom w:val="0"/>
      <w:divBdr>
        <w:top w:val="none" w:sz="0" w:space="0" w:color="auto"/>
        <w:left w:val="none" w:sz="0" w:space="0" w:color="auto"/>
        <w:bottom w:val="none" w:sz="0" w:space="0" w:color="auto"/>
        <w:right w:val="none" w:sz="0" w:space="0" w:color="auto"/>
      </w:divBdr>
    </w:div>
    <w:div w:id="292102799">
      <w:bodyDiv w:val="1"/>
      <w:marLeft w:val="0"/>
      <w:marRight w:val="0"/>
      <w:marTop w:val="0"/>
      <w:marBottom w:val="0"/>
      <w:divBdr>
        <w:top w:val="none" w:sz="0" w:space="0" w:color="auto"/>
        <w:left w:val="none" w:sz="0" w:space="0" w:color="auto"/>
        <w:bottom w:val="none" w:sz="0" w:space="0" w:color="auto"/>
        <w:right w:val="none" w:sz="0" w:space="0" w:color="auto"/>
      </w:divBdr>
    </w:div>
    <w:div w:id="661083189">
      <w:bodyDiv w:val="1"/>
      <w:marLeft w:val="0"/>
      <w:marRight w:val="0"/>
      <w:marTop w:val="0"/>
      <w:marBottom w:val="0"/>
      <w:divBdr>
        <w:top w:val="none" w:sz="0" w:space="0" w:color="auto"/>
        <w:left w:val="none" w:sz="0" w:space="0" w:color="auto"/>
        <w:bottom w:val="none" w:sz="0" w:space="0" w:color="auto"/>
        <w:right w:val="none" w:sz="0" w:space="0" w:color="auto"/>
      </w:divBdr>
    </w:div>
    <w:div w:id="684677554">
      <w:bodyDiv w:val="1"/>
      <w:marLeft w:val="0"/>
      <w:marRight w:val="0"/>
      <w:marTop w:val="0"/>
      <w:marBottom w:val="0"/>
      <w:divBdr>
        <w:top w:val="none" w:sz="0" w:space="0" w:color="auto"/>
        <w:left w:val="none" w:sz="0" w:space="0" w:color="auto"/>
        <w:bottom w:val="none" w:sz="0" w:space="0" w:color="auto"/>
        <w:right w:val="none" w:sz="0" w:space="0" w:color="auto"/>
      </w:divBdr>
    </w:div>
    <w:div w:id="732394021">
      <w:bodyDiv w:val="1"/>
      <w:marLeft w:val="0"/>
      <w:marRight w:val="0"/>
      <w:marTop w:val="0"/>
      <w:marBottom w:val="0"/>
      <w:divBdr>
        <w:top w:val="none" w:sz="0" w:space="0" w:color="auto"/>
        <w:left w:val="none" w:sz="0" w:space="0" w:color="auto"/>
        <w:bottom w:val="none" w:sz="0" w:space="0" w:color="auto"/>
        <w:right w:val="none" w:sz="0" w:space="0" w:color="auto"/>
      </w:divBdr>
    </w:div>
    <w:div w:id="738672971">
      <w:bodyDiv w:val="1"/>
      <w:marLeft w:val="0"/>
      <w:marRight w:val="0"/>
      <w:marTop w:val="0"/>
      <w:marBottom w:val="0"/>
      <w:divBdr>
        <w:top w:val="none" w:sz="0" w:space="0" w:color="auto"/>
        <w:left w:val="none" w:sz="0" w:space="0" w:color="auto"/>
        <w:bottom w:val="none" w:sz="0" w:space="0" w:color="auto"/>
        <w:right w:val="none" w:sz="0" w:space="0" w:color="auto"/>
      </w:divBdr>
      <w:divsChild>
        <w:div w:id="118299388">
          <w:marLeft w:val="0"/>
          <w:marRight w:val="0"/>
          <w:marTop w:val="0"/>
          <w:marBottom w:val="0"/>
          <w:divBdr>
            <w:top w:val="none" w:sz="0" w:space="0" w:color="auto"/>
            <w:left w:val="none" w:sz="0" w:space="0" w:color="auto"/>
            <w:bottom w:val="none" w:sz="0" w:space="0" w:color="auto"/>
            <w:right w:val="none" w:sz="0" w:space="0" w:color="auto"/>
          </w:divBdr>
          <w:divsChild>
            <w:div w:id="802818042">
              <w:marLeft w:val="0"/>
              <w:marRight w:val="0"/>
              <w:marTop w:val="0"/>
              <w:marBottom w:val="0"/>
              <w:divBdr>
                <w:top w:val="none" w:sz="0" w:space="0" w:color="auto"/>
                <w:left w:val="none" w:sz="0" w:space="0" w:color="auto"/>
                <w:bottom w:val="none" w:sz="0" w:space="0" w:color="auto"/>
                <w:right w:val="none" w:sz="0" w:space="0" w:color="auto"/>
              </w:divBdr>
            </w:div>
          </w:divsChild>
        </w:div>
        <w:div w:id="1044447447">
          <w:marLeft w:val="0"/>
          <w:marRight w:val="0"/>
          <w:marTop w:val="0"/>
          <w:marBottom w:val="0"/>
          <w:divBdr>
            <w:top w:val="none" w:sz="0" w:space="0" w:color="auto"/>
            <w:left w:val="none" w:sz="0" w:space="0" w:color="auto"/>
            <w:bottom w:val="none" w:sz="0" w:space="0" w:color="auto"/>
            <w:right w:val="none" w:sz="0" w:space="0" w:color="auto"/>
          </w:divBdr>
          <w:divsChild>
            <w:div w:id="447746951">
              <w:marLeft w:val="0"/>
              <w:marRight w:val="0"/>
              <w:marTop w:val="0"/>
              <w:marBottom w:val="0"/>
              <w:divBdr>
                <w:top w:val="none" w:sz="0" w:space="0" w:color="auto"/>
                <w:left w:val="none" w:sz="0" w:space="0" w:color="auto"/>
                <w:bottom w:val="none" w:sz="0" w:space="0" w:color="auto"/>
                <w:right w:val="none" w:sz="0" w:space="0" w:color="auto"/>
              </w:divBdr>
            </w:div>
          </w:divsChild>
        </w:div>
        <w:div w:id="1458723874">
          <w:marLeft w:val="0"/>
          <w:marRight w:val="0"/>
          <w:marTop w:val="0"/>
          <w:marBottom w:val="0"/>
          <w:divBdr>
            <w:top w:val="none" w:sz="0" w:space="0" w:color="auto"/>
            <w:left w:val="none" w:sz="0" w:space="0" w:color="auto"/>
            <w:bottom w:val="none" w:sz="0" w:space="0" w:color="auto"/>
            <w:right w:val="none" w:sz="0" w:space="0" w:color="auto"/>
          </w:divBdr>
          <w:divsChild>
            <w:div w:id="1459566765">
              <w:marLeft w:val="0"/>
              <w:marRight w:val="0"/>
              <w:marTop w:val="0"/>
              <w:marBottom w:val="0"/>
              <w:divBdr>
                <w:top w:val="none" w:sz="0" w:space="0" w:color="auto"/>
                <w:left w:val="none" w:sz="0" w:space="0" w:color="auto"/>
                <w:bottom w:val="none" w:sz="0" w:space="0" w:color="auto"/>
                <w:right w:val="none" w:sz="0" w:space="0" w:color="auto"/>
              </w:divBdr>
            </w:div>
          </w:divsChild>
        </w:div>
        <w:div w:id="1978759075">
          <w:marLeft w:val="0"/>
          <w:marRight w:val="0"/>
          <w:marTop w:val="0"/>
          <w:marBottom w:val="0"/>
          <w:divBdr>
            <w:top w:val="none" w:sz="0" w:space="0" w:color="auto"/>
            <w:left w:val="none" w:sz="0" w:space="0" w:color="auto"/>
            <w:bottom w:val="none" w:sz="0" w:space="0" w:color="auto"/>
            <w:right w:val="none" w:sz="0" w:space="0" w:color="auto"/>
          </w:divBdr>
          <w:divsChild>
            <w:div w:id="1809980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1948187">
      <w:bodyDiv w:val="1"/>
      <w:marLeft w:val="0"/>
      <w:marRight w:val="0"/>
      <w:marTop w:val="0"/>
      <w:marBottom w:val="0"/>
      <w:divBdr>
        <w:top w:val="none" w:sz="0" w:space="0" w:color="auto"/>
        <w:left w:val="none" w:sz="0" w:space="0" w:color="auto"/>
        <w:bottom w:val="none" w:sz="0" w:space="0" w:color="auto"/>
        <w:right w:val="none" w:sz="0" w:space="0" w:color="auto"/>
      </w:divBdr>
    </w:div>
    <w:div w:id="1031496973">
      <w:bodyDiv w:val="1"/>
      <w:marLeft w:val="0"/>
      <w:marRight w:val="0"/>
      <w:marTop w:val="0"/>
      <w:marBottom w:val="0"/>
      <w:divBdr>
        <w:top w:val="none" w:sz="0" w:space="0" w:color="auto"/>
        <w:left w:val="none" w:sz="0" w:space="0" w:color="auto"/>
        <w:bottom w:val="none" w:sz="0" w:space="0" w:color="auto"/>
        <w:right w:val="none" w:sz="0" w:space="0" w:color="auto"/>
      </w:divBdr>
    </w:div>
    <w:div w:id="1105157352">
      <w:bodyDiv w:val="1"/>
      <w:marLeft w:val="0"/>
      <w:marRight w:val="0"/>
      <w:marTop w:val="0"/>
      <w:marBottom w:val="0"/>
      <w:divBdr>
        <w:top w:val="none" w:sz="0" w:space="0" w:color="auto"/>
        <w:left w:val="none" w:sz="0" w:space="0" w:color="auto"/>
        <w:bottom w:val="none" w:sz="0" w:space="0" w:color="auto"/>
        <w:right w:val="none" w:sz="0" w:space="0" w:color="auto"/>
      </w:divBdr>
    </w:div>
    <w:div w:id="1751462706">
      <w:bodyDiv w:val="1"/>
      <w:marLeft w:val="0"/>
      <w:marRight w:val="0"/>
      <w:marTop w:val="0"/>
      <w:marBottom w:val="0"/>
      <w:divBdr>
        <w:top w:val="none" w:sz="0" w:space="0" w:color="auto"/>
        <w:left w:val="none" w:sz="0" w:space="0" w:color="auto"/>
        <w:bottom w:val="none" w:sz="0" w:space="0" w:color="auto"/>
        <w:right w:val="none" w:sz="0" w:space="0" w:color="auto"/>
      </w:divBdr>
    </w:div>
    <w:div w:id="1800879435">
      <w:bodyDiv w:val="1"/>
      <w:marLeft w:val="0"/>
      <w:marRight w:val="0"/>
      <w:marTop w:val="0"/>
      <w:marBottom w:val="0"/>
      <w:divBdr>
        <w:top w:val="none" w:sz="0" w:space="0" w:color="auto"/>
        <w:left w:val="none" w:sz="0" w:space="0" w:color="auto"/>
        <w:bottom w:val="none" w:sz="0" w:space="0" w:color="auto"/>
        <w:right w:val="none" w:sz="0" w:space="0" w:color="auto"/>
      </w:divBdr>
      <w:divsChild>
        <w:div w:id="79572453">
          <w:marLeft w:val="0"/>
          <w:marRight w:val="0"/>
          <w:marTop w:val="0"/>
          <w:marBottom w:val="0"/>
          <w:divBdr>
            <w:top w:val="none" w:sz="0" w:space="0" w:color="auto"/>
            <w:left w:val="none" w:sz="0" w:space="0" w:color="auto"/>
            <w:bottom w:val="none" w:sz="0" w:space="0" w:color="auto"/>
            <w:right w:val="none" w:sz="0" w:space="0" w:color="auto"/>
          </w:divBdr>
        </w:div>
        <w:div w:id="215706438">
          <w:marLeft w:val="0"/>
          <w:marRight w:val="0"/>
          <w:marTop w:val="0"/>
          <w:marBottom w:val="0"/>
          <w:divBdr>
            <w:top w:val="none" w:sz="0" w:space="0" w:color="auto"/>
            <w:left w:val="none" w:sz="0" w:space="0" w:color="auto"/>
            <w:bottom w:val="none" w:sz="0" w:space="0" w:color="auto"/>
            <w:right w:val="none" w:sz="0" w:space="0" w:color="auto"/>
          </w:divBdr>
        </w:div>
        <w:div w:id="396050701">
          <w:marLeft w:val="0"/>
          <w:marRight w:val="0"/>
          <w:marTop w:val="0"/>
          <w:marBottom w:val="0"/>
          <w:divBdr>
            <w:top w:val="none" w:sz="0" w:space="0" w:color="auto"/>
            <w:left w:val="none" w:sz="0" w:space="0" w:color="auto"/>
            <w:bottom w:val="none" w:sz="0" w:space="0" w:color="auto"/>
            <w:right w:val="none" w:sz="0" w:space="0" w:color="auto"/>
          </w:divBdr>
        </w:div>
        <w:div w:id="493299724">
          <w:marLeft w:val="0"/>
          <w:marRight w:val="0"/>
          <w:marTop w:val="0"/>
          <w:marBottom w:val="0"/>
          <w:divBdr>
            <w:top w:val="none" w:sz="0" w:space="0" w:color="auto"/>
            <w:left w:val="none" w:sz="0" w:space="0" w:color="auto"/>
            <w:bottom w:val="none" w:sz="0" w:space="0" w:color="auto"/>
            <w:right w:val="none" w:sz="0" w:space="0" w:color="auto"/>
          </w:divBdr>
        </w:div>
        <w:div w:id="1074818142">
          <w:marLeft w:val="0"/>
          <w:marRight w:val="0"/>
          <w:marTop w:val="0"/>
          <w:marBottom w:val="0"/>
          <w:divBdr>
            <w:top w:val="none" w:sz="0" w:space="0" w:color="auto"/>
            <w:left w:val="none" w:sz="0" w:space="0" w:color="auto"/>
            <w:bottom w:val="none" w:sz="0" w:space="0" w:color="auto"/>
            <w:right w:val="none" w:sz="0" w:space="0" w:color="auto"/>
          </w:divBdr>
        </w:div>
        <w:div w:id="1184250354">
          <w:marLeft w:val="0"/>
          <w:marRight w:val="0"/>
          <w:marTop w:val="0"/>
          <w:marBottom w:val="0"/>
          <w:divBdr>
            <w:top w:val="none" w:sz="0" w:space="0" w:color="auto"/>
            <w:left w:val="none" w:sz="0" w:space="0" w:color="auto"/>
            <w:bottom w:val="none" w:sz="0" w:space="0" w:color="auto"/>
            <w:right w:val="none" w:sz="0" w:space="0" w:color="auto"/>
          </w:divBdr>
        </w:div>
        <w:div w:id="2135833119">
          <w:marLeft w:val="0"/>
          <w:marRight w:val="0"/>
          <w:marTop w:val="0"/>
          <w:marBottom w:val="0"/>
          <w:divBdr>
            <w:top w:val="none" w:sz="0" w:space="0" w:color="auto"/>
            <w:left w:val="none" w:sz="0" w:space="0" w:color="auto"/>
            <w:bottom w:val="none" w:sz="0" w:space="0" w:color="auto"/>
            <w:right w:val="none" w:sz="0" w:space="0" w:color="auto"/>
          </w:divBdr>
        </w:div>
      </w:divsChild>
    </w:div>
    <w:div w:id="2062708855">
      <w:bodyDiv w:val="1"/>
      <w:marLeft w:val="0"/>
      <w:marRight w:val="0"/>
      <w:marTop w:val="0"/>
      <w:marBottom w:val="0"/>
      <w:divBdr>
        <w:top w:val="none" w:sz="0" w:space="0" w:color="auto"/>
        <w:left w:val="none" w:sz="0" w:space="0" w:color="auto"/>
        <w:bottom w:val="none" w:sz="0" w:space="0" w:color="auto"/>
        <w:right w:val="none" w:sz="0" w:space="0" w:color="auto"/>
      </w:divBdr>
    </w:div>
    <w:div w:id="2138374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footer" Target="footer53.xml"/><Relationship Id="rId299" Type="http://schemas.openxmlformats.org/officeDocument/2006/relationships/footer" Target="footer144.xml"/><Relationship Id="rId21" Type="http://schemas.openxmlformats.org/officeDocument/2006/relationships/footer" Target="footer5.xml"/><Relationship Id="rId63" Type="http://schemas.openxmlformats.org/officeDocument/2006/relationships/footer" Target="footer26.xml"/><Relationship Id="rId159" Type="http://schemas.openxmlformats.org/officeDocument/2006/relationships/footer" Target="footer74.xml"/><Relationship Id="rId324" Type="http://schemas.openxmlformats.org/officeDocument/2006/relationships/header" Target="header157.xml"/><Relationship Id="rId366" Type="http://schemas.openxmlformats.org/officeDocument/2006/relationships/header" Target="header178.xml"/><Relationship Id="rId170" Type="http://schemas.openxmlformats.org/officeDocument/2006/relationships/footer" Target="footer79.xml"/><Relationship Id="rId226" Type="http://schemas.openxmlformats.org/officeDocument/2006/relationships/header" Target="header108.xml"/><Relationship Id="rId433" Type="http://schemas.openxmlformats.org/officeDocument/2006/relationships/header" Target="header212.xml"/><Relationship Id="rId268" Type="http://schemas.openxmlformats.org/officeDocument/2006/relationships/header" Target="header129.xml"/><Relationship Id="rId32" Type="http://schemas.openxmlformats.org/officeDocument/2006/relationships/footer" Target="footer10.xml"/><Relationship Id="rId74" Type="http://schemas.openxmlformats.org/officeDocument/2006/relationships/footer" Target="footer31.xml"/><Relationship Id="rId128" Type="http://schemas.openxmlformats.org/officeDocument/2006/relationships/footer" Target="footer58.xml"/><Relationship Id="rId335" Type="http://schemas.openxmlformats.org/officeDocument/2006/relationships/footer" Target="footer162.xml"/><Relationship Id="rId377" Type="http://schemas.openxmlformats.org/officeDocument/2006/relationships/footer" Target="footer183.xml"/><Relationship Id="rId5" Type="http://schemas.openxmlformats.org/officeDocument/2006/relationships/numbering" Target="numbering.xml"/><Relationship Id="rId181" Type="http://schemas.openxmlformats.org/officeDocument/2006/relationships/header" Target="header86.xml"/><Relationship Id="rId237" Type="http://schemas.openxmlformats.org/officeDocument/2006/relationships/footer" Target="footer113.xml"/><Relationship Id="rId402" Type="http://schemas.openxmlformats.org/officeDocument/2006/relationships/header" Target="header196.xml"/><Relationship Id="rId279" Type="http://schemas.openxmlformats.org/officeDocument/2006/relationships/footer" Target="footer134.xml"/><Relationship Id="rId444" Type="http://schemas.openxmlformats.org/officeDocument/2006/relationships/header" Target="header217.xml"/><Relationship Id="rId43" Type="http://schemas.openxmlformats.org/officeDocument/2006/relationships/header" Target="header17.xml"/><Relationship Id="rId139" Type="http://schemas.openxmlformats.org/officeDocument/2006/relationships/header" Target="header65.xml"/><Relationship Id="rId290" Type="http://schemas.openxmlformats.org/officeDocument/2006/relationships/footer" Target="footer139.xml"/><Relationship Id="rId304" Type="http://schemas.openxmlformats.org/officeDocument/2006/relationships/header" Target="header147.xml"/><Relationship Id="rId346" Type="http://schemas.openxmlformats.org/officeDocument/2006/relationships/header" Target="header168.xml"/><Relationship Id="rId388" Type="http://schemas.openxmlformats.org/officeDocument/2006/relationships/header" Target="header189.xml"/><Relationship Id="rId85" Type="http://schemas.openxmlformats.org/officeDocument/2006/relationships/header" Target="header38.xml"/><Relationship Id="rId150" Type="http://schemas.openxmlformats.org/officeDocument/2006/relationships/header" Target="header70.xml"/><Relationship Id="rId192" Type="http://schemas.openxmlformats.org/officeDocument/2006/relationships/header" Target="header91.xml"/><Relationship Id="rId206" Type="http://schemas.openxmlformats.org/officeDocument/2006/relationships/footer" Target="footer97.xml"/><Relationship Id="rId413" Type="http://schemas.openxmlformats.org/officeDocument/2006/relationships/footer" Target="footer201.xml"/><Relationship Id="rId248" Type="http://schemas.openxmlformats.org/officeDocument/2006/relationships/footer" Target="footer118.xml"/><Relationship Id="rId455" Type="http://schemas.openxmlformats.org/officeDocument/2006/relationships/footer" Target="footer222.xml"/><Relationship Id="rId12" Type="http://schemas.openxmlformats.org/officeDocument/2006/relationships/header" Target="header1.xml"/><Relationship Id="rId108" Type="http://schemas.openxmlformats.org/officeDocument/2006/relationships/header" Target="header49.xml"/><Relationship Id="rId315" Type="http://schemas.openxmlformats.org/officeDocument/2006/relationships/footer" Target="footer152.xml"/><Relationship Id="rId357" Type="http://schemas.openxmlformats.org/officeDocument/2006/relationships/footer" Target="footer173.xml"/><Relationship Id="rId54" Type="http://schemas.openxmlformats.org/officeDocument/2006/relationships/header" Target="header22.xml"/><Relationship Id="rId96" Type="http://schemas.openxmlformats.org/officeDocument/2006/relationships/header" Target="header43.xml"/><Relationship Id="rId161" Type="http://schemas.openxmlformats.org/officeDocument/2006/relationships/footer" Target="footer75.xml"/><Relationship Id="rId217" Type="http://schemas.openxmlformats.org/officeDocument/2006/relationships/header" Target="header104.xml"/><Relationship Id="rId399" Type="http://schemas.openxmlformats.org/officeDocument/2006/relationships/footer" Target="footer194.xml"/><Relationship Id="rId259" Type="http://schemas.openxmlformats.org/officeDocument/2006/relationships/header" Target="header125.xml"/><Relationship Id="rId424" Type="http://schemas.openxmlformats.org/officeDocument/2006/relationships/header" Target="header207.xml"/><Relationship Id="rId23" Type="http://schemas.openxmlformats.org/officeDocument/2006/relationships/footer" Target="footer6.xml"/><Relationship Id="rId119" Type="http://schemas.openxmlformats.org/officeDocument/2006/relationships/footer" Target="footer54.xml"/><Relationship Id="rId270" Type="http://schemas.openxmlformats.org/officeDocument/2006/relationships/header" Target="header130.xml"/><Relationship Id="rId326" Type="http://schemas.openxmlformats.org/officeDocument/2006/relationships/footer" Target="footer157.xml"/><Relationship Id="rId44" Type="http://schemas.openxmlformats.org/officeDocument/2006/relationships/footer" Target="footer16.xml"/><Relationship Id="rId65" Type="http://schemas.openxmlformats.org/officeDocument/2006/relationships/footer" Target="footer27.xml"/><Relationship Id="rId86" Type="http://schemas.openxmlformats.org/officeDocument/2006/relationships/footer" Target="footer37.xml"/><Relationship Id="rId130" Type="http://schemas.openxmlformats.org/officeDocument/2006/relationships/header" Target="header60.xml"/><Relationship Id="rId151" Type="http://schemas.openxmlformats.org/officeDocument/2006/relationships/header" Target="header71.xml"/><Relationship Id="rId368" Type="http://schemas.openxmlformats.org/officeDocument/2006/relationships/footer" Target="footer178.xml"/><Relationship Id="rId389" Type="http://schemas.openxmlformats.org/officeDocument/2006/relationships/footer" Target="footer189.xml"/><Relationship Id="rId172" Type="http://schemas.openxmlformats.org/officeDocument/2006/relationships/header" Target="header81.xml"/><Relationship Id="rId193" Type="http://schemas.openxmlformats.org/officeDocument/2006/relationships/header" Target="header92.xml"/><Relationship Id="rId207" Type="http://schemas.openxmlformats.org/officeDocument/2006/relationships/footer" Target="footer98.xml"/><Relationship Id="rId228" Type="http://schemas.openxmlformats.org/officeDocument/2006/relationships/header" Target="header109.xml"/><Relationship Id="rId249" Type="http://schemas.openxmlformats.org/officeDocument/2006/relationships/footer" Target="footer119.xml"/><Relationship Id="rId414" Type="http://schemas.openxmlformats.org/officeDocument/2006/relationships/header" Target="header202.xml"/><Relationship Id="rId435" Type="http://schemas.openxmlformats.org/officeDocument/2006/relationships/footer" Target="footer212.xml"/><Relationship Id="rId456" Type="http://schemas.openxmlformats.org/officeDocument/2006/relationships/header" Target="header223.xml"/><Relationship Id="rId13" Type="http://schemas.openxmlformats.org/officeDocument/2006/relationships/header" Target="header2.xml"/><Relationship Id="rId109" Type="http://schemas.openxmlformats.org/officeDocument/2006/relationships/header" Target="header50.xml"/><Relationship Id="rId260" Type="http://schemas.openxmlformats.org/officeDocument/2006/relationships/footer" Target="footer124.xml"/><Relationship Id="rId281" Type="http://schemas.openxmlformats.org/officeDocument/2006/relationships/footer" Target="footer135.xml"/><Relationship Id="rId316" Type="http://schemas.openxmlformats.org/officeDocument/2006/relationships/header" Target="header153.xml"/><Relationship Id="rId337" Type="http://schemas.openxmlformats.org/officeDocument/2006/relationships/header" Target="header164.xml"/><Relationship Id="rId34" Type="http://schemas.openxmlformats.org/officeDocument/2006/relationships/header" Target="header12.xml"/><Relationship Id="rId55" Type="http://schemas.openxmlformats.org/officeDocument/2006/relationships/header" Target="header23.xml"/><Relationship Id="rId76" Type="http://schemas.openxmlformats.org/officeDocument/2006/relationships/header" Target="header33.xml"/><Relationship Id="rId97" Type="http://schemas.openxmlformats.org/officeDocument/2006/relationships/header" Target="header44.xml"/><Relationship Id="rId120" Type="http://schemas.openxmlformats.org/officeDocument/2006/relationships/header" Target="header55.xml"/><Relationship Id="rId141" Type="http://schemas.openxmlformats.org/officeDocument/2006/relationships/footer" Target="footer65.xml"/><Relationship Id="rId358" Type="http://schemas.openxmlformats.org/officeDocument/2006/relationships/header" Target="header174.xml"/><Relationship Id="rId379" Type="http://schemas.openxmlformats.org/officeDocument/2006/relationships/header" Target="header185.xml"/><Relationship Id="rId7" Type="http://schemas.openxmlformats.org/officeDocument/2006/relationships/settings" Target="settings.xml"/><Relationship Id="rId162" Type="http://schemas.openxmlformats.org/officeDocument/2006/relationships/header" Target="header76.xml"/><Relationship Id="rId183" Type="http://schemas.openxmlformats.org/officeDocument/2006/relationships/footer" Target="footer86.xml"/><Relationship Id="rId218" Type="http://schemas.openxmlformats.org/officeDocument/2006/relationships/footer" Target="footer103.xml"/><Relationship Id="rId239" Type="http://schemas.openxmlformats.org/officeDocument/2006/relationships/footer" Target="footer114.xml"/><Relationship Id="rId390" Type="http://schemas.openxmlformats.org/officeDocument/2006/relationships/header" Target="header190.xml"/><Relationship Id="rId404" Type="http://schemas.openxmlformats.org/officeDocument/2006/relationships/footer" Target="footer196.xml"/><Relationship Id="rId425" Type="http://schemas.openxmlformats.org/officeDocument/2006/relationships/footer" Target="footer207.xml"/><Relationship Id="rId446" Type="http://schemas.openxmlformats.org/officeDocument/2006/relationships/footer" Target="footer217.xml"/><Relationship Id="rId250" Type="http://schemas.openxmlformats.org/officeDocument/2006/relationships/header" Target="header120.xml"/><Relationship Id="rId271" Type="http://schemas.openxmlformats.org/officeDocument/2006/relationships/header" Target="header131.xml"/><Relationship Id="rId292" Type="http://schemas.openxmlformats.org/officeDocument/2006/relationships/header" Target="header141.xml"/><Relationship Id="rId306" Type="http://schemas.openxmlformats.org/officeDocument/2006/relationships/header" Target="header148.xml"/><Relationship Id="rId24" Type="http://schemas.openxmlformats.org/officeDocument/2006/relationships/header" Target="header7.xml"/><Relationship Id="rId45" Type="http://schemas.openxmlformats.org/officeDocument/2006/relationships/footer" Target="footer17.xml"/><Relationship Id="rId66" Type="http://schemas.openxmlformats.org/officeDocument/2006/relationships/header" Target="header28.xml"/><Relationship Id="rId87" Type="http://schemas.openxmlformats.org/officeDocument/2006/relationships/footer" Target="footer38.xml"/><Relationship Id="rId110" Type="http://schemas.openxmlformats.org/officeDocument/2006/relationships/footer" Target="footer49.xml"/><Relationship Id="rId131" Type="http://schemas.openxmlformats.org/officeDocument/2006/relationships/footer" Target="footer60.xml"/><Relationship Id="rId327" Type="http://schemas.openxmlformats.org/officeDocument/2006/relationships/footer" Target="footer158.xml"/><Relationship Id="rId348" Type="http://schemas.openxmlformats.org/officeDocument/2006/relationships/header" Target="header169.xml"/><Relationship Id="rId369" Type="http://schemas.openxmlformats.org/officeDocument/2006/relationships/footer" Target="footer179.xml"/><Relationship Id="rId152" Type="http://schemas.openxmlformats.org/officeDocument/2006/relationships/footer" Target="footer70.xml"/><Relationship Id="rId173" Type="http://schemas.openxmlformats.org/officeDocument/2006/relationships/footer" Target="footer81.xml"/><Relationship Id="rId194" Type="http://schemas.openxmlformats.org/officeDocument/2006/relationships/footer" Target="footer91.xml"/><Relationship Id="rId208" Type="http://schemas.openxmlformats.org/officeDocument/2006/relationships/header" Target="header99.xml"/><Relationship Id="rId229" Type="http://schemas.openxmlformats.org/officeDocument/2006/relationships/header" Target="header110.xml"/><Relationship Id="rId380" Type="http://schemas.openxmlformats.org/officeDocument/2006/relationships/footer" Target="footer184.xml"/><Relationship Id="rId415" Type="http://schemas.openxmlformats.org/officeDocument/2006/relationships/header" Target="header203.xml"/><Relationship Id="rId436" Type="http://schemas.openxmlformats.org/officeDocument/2006/relationships/header" Target="header213.xml"/><Relationship Id="rId457" Type="http://schemas.openxmlformats.org/officeDocument/2006/relationships/header" Target="header224.xml"/><Relationship Id="rId240" Type="http://schemas.openxmlformats.org/officeDocument/2006/relationships/header" Target="header115.xml"/><Relationship Id="rId261" Type="http://schemas.openxmlformats.org/officeDocument/2006/relationships/footer" Target="footer125.xml"/><Relationship Id="rId14" Type="http://schemas.openxmlformats.org/officeDocument/2006/relationships/footer" Target="footer1.xml"/><Relationship Id="rId35" Type="http://schemas.openxmlformats.org/officeDocument/2006/relationships/footer" Target="footer12.xml"/><Relationship Id="rId56" Type="http://schemas.openxmlformats.org/officeDocument/2006/relationships/footer" Target="footer22.xml"/><Relationship Id="rId77" Type="http://schemas.openxmlformats.org/officeDocument/2006/relationships/footer" Target="footer33.xml"/><Relationship Id="rId100" Type="http://schemas.openxmlformats.org/officeDocument/2006/relationships/header" Target="header45.xml"/><Relationship Id="rId282" Type="http://schemas.openxmlformats.org/officeDocument/2006/relationships/header" Target="header136.xml"/><Relationship Id="rId317" Type="http://schemas.openxmlformats.org/officeDocument/2006/relationships/footer" Target="footer153.xml"/><Relationship Id="rId338" Type="http://schemas.openxmlformats.org/officeDocument/2006/relationships/footer" Target="footer163.xml"/><Relationship Id="rId359" Type="http://schemas.openxmlformats.org/officeDocument/2006/relationships/footer" Target="footer174.xml"/><Relationship Id="rId8" Type="http://schemas.openxmlformats.org/officeDocument/2006/relationships/webSettings" Target="webSettings.xml"/><Relationship Id="rId98" Type="http://schemas.openxmlformats.org/officeDocument/2006/relationships/footer" Target="footer43.xml"/><Relationship Id="rId121" Type="http://schemas.openxmlformats.org/officeDocument/2006/relationships/header" Target="header56.xml"/><Relationship Id="rId142" Type="http://schemas.openxmlformats.org/officeDocument/2006/relationships/header" Target="header66.xml"/><Relationship Id="rId163" Type="http://schemas.openxmlformats.org/officeDocument/2006/relationships/header" Target="header77.xml"/><Relationship Id="rId184" Type="http://schemas.openxmlformats.org/officeDocument/2006/relationships/header" Target="header87.xml"/><Relationship Id="rId219" Type="http://schemas.openxmlformats.org/officeDocument/2006/relationships/footer" Target="footer104.xml"/><Relationship Id="rId370" Type="http://schemas.openxmlformats.org/officeDocument/2006/relationships/header" Target="header180.xml"/><Relationship Id="rId391" Type="http://schemas.openxmlformats.org/officeDocument/2006/relationships/header" Target="header191.xml"/><Relationship Id="rId405" Type="http://schemas.openxmlformats.org/officeDocument/2006/relationships/footer" Target="footer197.xml"/><Relationship Id="rId426" Type="http://schemas.openxmlformats.org/officeDocument/2006/relationships/header" Target="header208.xml"/><Relationship Id="rId447" Type="http://schemas.openxmlformats.org/officeDocument/2006/relationships/footer" Target="footer218.xml"/><Relationship Id="rId230" Type="http://schemas.openxmlformats.org/officeDocument/2006/relationships/footer" Target="footer109.xml"/><Relationship Id="rId251" Type="http://schemas.openxmlformats.org/officeDocument/2006/relationships/footer" Target="footer120.xml"/><Relationship Id="rId25" Type="http://schemas.openxmlformats.org/officeDocument/2006/relationships/header" Target="header8.xml"/><Relationship Id="rId46" Type="http://schemas.openxmlformats.org/officeDocument/2006/relationships/header" Target="header18.xml"/><Relationship Id="rId67" Type="http://schemas.openxmlformats.org/officeDocument/2006/relationships/header" Target="header29.xml"/><Relationship Id="rId272" Type="http://schemas.openxmlformats.org/officeDocument/2006/relationships/footer" Target="footer130.xml"/><Relationship Id="rId293" Type="http://schemas.openxmlformats.org/officeDocument/2006/relationships/footer" Target="footer141.xml"/><Relationship Id="rId307" Type="http://schemas.openxmlformats.org/officeDocument/2006/relationships/header" Target="header149.xml"/><Relationship Id="rId328" Type="http://schemas.openxmlformats.org/officeDocument/2006/relationships/header" Target="header159.xml"/><Relationship Id="rId349" Type="http://schemas.openxmlformats.org/officeDocument/2006/relationships/header" Target="header170.xml"/><Relationship Id="rId88" Type="http://schemas.openxmlformats.org/officeDocument/2006/relationships/header" Target="header39.xml"/><Relationship Id="rId111" Type="http://schemas.openxmlformats.org/officeDocument/2006/relationships/footer" Target="footer50.xml"/><Relationship Id="rId132" Type="http://schemas.openxmlformats.org/officeDocument/2006/relationships/header" Target="header61.xml"/><Relationship Id="rId153" Type="http://schemas.openxmlformats.org/officeDocument/2006/relationships/footer" Target="footer71.xml"/><Relationship Id="rId174" Type="http://schemas.openxmlformats.org/officeDocument/2006/relationships/header" Target="header82.xml"/><Relationship Id="rId195" Type="http://schemas.openxmlformats.org/officeDocument/2006/relationships/footer" Target="footer92.xml"/><Relationship Id="rId209" Type="http://schemas.openxmlformats.org/officeDocument/2006/relationships/footer" Target="footer99.xml"/><Relationship Id="rId360" Type="http://schemas.openxmlformats.org/officeDocument/2006/relationships/header" Target="header175.xml"/><Relationship Id="rId381" Type="http://schemas.openxmlformats.org/officeDocument/2006/relationships/footer" Target="footer185.xml"/><Relationship Id="rId416" Type="http://schemas.openxmlformats.org/officeDocument/2006/relationships/footer" Target="footer202.xml"/><Relationship Id="rId220" Type="http://schemas.openxmlformats.org/officeDocument/2006/relationships/header" Target="header105.xml"/><Relationship Id="rId241" Type="http://schemas.openxmlformats.org/officeDocument/2006/relationships/header" Target="header116.xml"/><Relationship Id="rId437" Type="http://schemas.openxmlformats.org/officeDocument/2006/relationships/footer" Target="footer213.xml"/><Relationship Id="rId458" Type="http://schemas.openxmlformats.org/officeDocument/2006/relationships/footer" Target="footer223.xml"/><Relationship Id="rId15" Type="http://schemas.openxmlformats.org/officeDocument/2006/relationships/footer" Target="footer2.xml"/><Relationship Id="rId36" Type="http://schemas.openxmlformats.org/officeDocument/2006/relationships/header" Target="header13.xml"/><Relationship Id="rId57" Type="http://schemas.openxmlformats.org/officeDocument/2006/relationships/footer" Target="footer23.xml"/><Relationship Id="rId262" Type="http://schemas.openxmlformats.org/officeDocument/2006/relationships/header" Target="header126.xml"/><Relationship Id="rId283" Type="http://schemas.openxmlformats.org/officeDocument/2006/relationships/header" Target="header137.xml"/><Relationship Id="rId318" Type="http://schemas.openxmlformats.org/officeDocument/2006/relationships/header" Target="header154.xml"/><Relationship Id="rId339" Type="http://schemas.openxmlformats.org/officeDocument/2006/relationships/footer" Target="footer164.xml"/><Relationship Id="rId78" Type="http://schemas.openxmlformats.org/officeDocument/2006/relationships/header" Target="header34.xml"/><Relationship Id="rId99" Type="http://schemas.openxmlformats.org/officeDocument/2006/relationships/footer" Target="footer44.xml"/><Relationship Id="rId101" Type="http://schemas.openxmlformats.org/officeDocument/2006/relationships/footer" Target="footer45.xml"/><Relationship Id="rId122" Type="http://schemas.openxmlformats.org/officeDocument/2006/relationships/footer" Target="footer55.xml"/><Relationship Id="rId143" Type="http://schemas.openxmlformats.org/officeDocument/2006/relationships/footer" Target="footer66.xml"/><Relationship Id="rId164" Type="http://schemas.openxmlformats.org/officeDocument/2006/relationships/footer" Target="footer76.xml"/><Relationship Id="rId185" Type="http://schemas.openxmlformats.org/officeDocument/2006/relationships/footer" Target="footer87.xml"/><Relationship Id="rId350" Type="http://schemas.openxmlformats.org/officeDocument/2006/relationships/footer" Target="footer169.xml"/><Relationship Id="rId371" Type="http://schemas.openxmlformats.org/officeDocument/2006/relationships/footer" Target="footer180.xml"/><Relationship Id="rId406" Type="http://schemas.openxmlformats.org/officeDocument/2006/relationships/header" Target="header198.xml"/><Relationship Id="rId9" Type="http://schemas.openxmlformats.org/officeDocument/2006/relationships/footnotes" Target="footnotes.xml"/><Relationship Id="rId210" Type="http://schemas.openxmlformats.org/officeDocument/2006/relationships/header" Target="header100.xml"/><Relationship Id="rId392" Type="http://schemas.openxmlformats.org/officeDocument/2006/relationships/footer" Target="footer190.xml"/><Relationship Id="rId427" Type="http://schemas.openxmlformats.org/officeDocument/2006/relationships/header" Target="header209.xml"/><Relationship Id="rId448" Type="http://schemas.openxmlformats.org/officeDocument/2006/relationships/header" Target="header219.xml"/><Relationship Id="rId26" Type="http://schemas.openxmlformats.org/officeDocument/2006/relationships/footer" Target="footer7.xml"/><Relationship Id="rId231" Type="http://schemas.openxmlformats.org/officeDocument/2006/relationships/footer" Target="footer110.xml"/><Relationship Id="rId252" Type="http://schemas.openxmlformats.org/officeDocument/2006/relationships/header" Target="header121.xml"/><Relationship Id="rId273" Type="http://schemas.openxmlformats.org/officeDocument/2006/relationships/footer" Target="footer131.xml"/><Relationship Id="rId294" Type="http://schemas.openxmlformats.org/officeDocument/2006/relationships/header" Target="header142.xml"/><Relationship Id="rId308" Type="http://schemas.openxmlformats.org/officeDocument/2006/relationships/footer" Target="footer148.xml"/><Relationship Id="rId329" Type="http://schemas.openxmlformats.org/officeDocument/2006/relationships/footer" Target="footer159.xml"/><Relationship Id="rId47" Type="http://schemas.openxmlformats.org/officeDocument/2006/relationships/footer" Target="footer18.xml"/><Relationship Id="rId68" Type="http://schemas.openxmlformats.org/officeDocument/2006/relationships/footer" Target="footer28.xml"/><Relationship Id="rId89" Type="http://schemas.openxmlformats.org/officeDocument/2006/relationships/footer" Target="footer39.xml"/><Relationship Id="rId112" Type="http://schemas.openxmlformats.org/officeDocument/2006/relationships/header" Target="header51.xml"/><Relationship Id="rId133" Type="http://schemas.openxmlformats.org/officeDocument/2006/relationships/header" Target="header62.xml"/><Relationship Id="rId154" Type="http://schemas.openxmlformats.org/officeDocument/2006/relationships/header" Target="header72.xml"/><Relationship Id="rId175" Type="http://schemas.openxmlformats.org/officeDocument/2006/relationships/header" Target="header83.xml"/><Relationship Id="rId340" Type="http://schemas.openxmlformats.org/officeDocument/2006/relationships/header" Target="header165.xml"/><Relationship Id="rId361" Type="http://schemas.openxmlformats.org/officeDocument/2006/relationships/header" Target="header176.xml"/><Relationship Id="rId196" Type="http://schemas.openxmlformats.org/officeDocument/2006/relationships/header" Target="header93.xml"/><Relationship Id="rId200" Type="http://schemas.openxmlformats.org/officeDocument/2006/relationships/footer" Target="footer94.xml"/><Relationship Id="rId382" Type="http://schemas.openxmlformats.org/officeDocument/2006/relationships/header" Target="header186.xml"/><Relationship Id="rId417" Type="http://schemas.openxmlformats.org/officeDocument/2006/relationships/footer" Target="footer203.xml"/><Relationship Id="rId438" Type="http://schemas.openxmlformats.org/officeDocument/2006/relationships/header" Target="header214.xml"/><Relationship Id="rId459" Type="http://schemas.openxmlformats.org/officeDocument/2006/relationships/footer" Target="footer224.xml"/><Relationship Id="rId16" Type="http://schemas.openxmlformats.org/officeDocument/2006/relationships/header" Target="header3.xml"/><Relationship Id="rId221" Type="http://schemas.openxmlformats.org/officeDocument/2006/relationships/footer" Target="footer105.xml"/><Relationship Id="rId242" Type="http://schemas.openxmlformats.org/officeDocument/2006/relationships/footer" Target="footer115.xml"/><Relationship Id="rId263" Type="http://schemas.openxmlformats.org/officeDocument/2006/relationships/footer" Target="footer126.xml"/><Relationship Id="rId284" Type="http://schemas.openxmlformats.org/officeDocument/2006/relationships/footer" Target="footer136.xml"/><Relationship Id="rId319" Type="http://schemas.openxmlformats.org/officeDocument/2006/relationships/header" Target="header155.xml"/><Relationship Id="rId37" Type="http://schemas.openxmlformats.org/officeDocument/2006/relationships/header" Target="header14.xml"/><Relationship Id="rId58" Type="http://schemas.openxmlformats.org/officeDocument/2006/relationships/header" Target="header24.xml"/><Relationship Id="rId79" Type="http://schemas.openxmlformats.org/officeDocument/2006/relationships/header" Target="header35.xml"/><Relationship Id="rId102" Type="http://schemas.openxmlformats.org/officeDocument/2006/relationships/header" Target="header46.xml"/><Relationship Id="rId123" Type="http://schemas.openxmlformats.org/officeDocument/2006/relationships/footer" Target="footer56.xml"/><Relationship Id="rId144" Type="http://schemas.openxmlformats.org/officeDocument/2006/relationships/header" Target="header67.xml"/><Relationship Id="rId330" Type="http://schemas.openxmlformats.org/officeDocument/2006/relationships/header" Target="header160.xml"/><Relationship Id="rId90" Type="http://schemas.openxmlformats.org/officeDocument/2006/relationships/header" Target="header40.xml"/><Relationship Id="rId165" Type="http://schemas.openxmlformats.org/officeDocument/2006/relationships/footer" Target="footer77.xml"/><Relationship Id="rId186" Type="http://schemas.openxmlformats.org/officeDocument/2006/relationships/header" Target="header88.xml"/><Relationship Id="rId351" Type="http://schemas.openxmlformats.org/officeDocument/2006/relationships/footer" Target="footer170.xml"/><Relationship Id="rId372" Type="http://schemas.openxmlformats.org/officeDocument/2006/relationships/header" Target="header181.xml"/><Relationship Id="rId393" Type="http://schemas.openxmlformats.org/officeDocument/2006/relationships/footer" Target="footer191.xml"/><Relationship Id="rId407" Type="http://schemas.openxmlformats.org/officeDocument/2006/relationships/footer" Target="footer198.xml"/><Relationship Id="rId428" Type="http://schemas.openxmlformats.org/officeDocument/2006/relationships/footer" Target="footer208.xml"/><Relationship Id="rId449" Type="http://schemas.openxmlformats.org/officeDocument/2006/relationships/footer" Target="footer219.xml"/><Relationship Id="rId211" Type="http://schemas.openxmlformats.org/officeDocument/2006/relationships/header" Target="header101.xml"/><Relationship Id="rId232" Type="http://schemas.openxmlformats.org/officeDocument/2006/relationships/header" Target="header111.xml"/><Relationship Id="rId253" Type="http://schemas.openxmlformats.org/officeDocument/2006/relationships/header" Target="header122.xml"/><Relationship Id="rId274" Type="http://schemas.openxmlformats.org/officeDocument/2006/relationships/header" Target="header132.xml"/><Relationship Id="rId295" Type="http://schemas.openxmlformats.org/officeDocument/2006/relationships/header" Target="header143.xml"/><Relationship Id="rId309" Type="http://schemas.openxmlformats.org/officeDocument/2006/relationships/footer" Target="footer149.xml"/><Relationship Id="rId460" Type="http://schemas.openxmlformats.org/officeDocument/2006/relationships/header" Target="header225.xml"/><Relationship Id="rId27" Type="http://schemas.openxmlformats.org/officeDocument/2006/relationships/footer" Target="footer8.xml"/><Relationship Id="rId48" Type="http://schemas.openxmlformats.org/officeDocument/2006/relationships/header" Target="header19.xml"/><Relationship Id="rId69" Type="http://schemas.openxmlformats.org/officeDocument/2006/relationships/footer" Target="footer29.xml"/><Relationship Id="rId113" Type="http://schemas.openxmlformats.org/officeDocument/2006/relationships/footer" Target="footer51.xml"/><Relationship Id="rId134" Type="http://schemas.openxmlformats.org/officeDocument/2006/relationships/footer" Target="footer61.xml"/><Relationship Id="rId320" Type="http://schemas.openxmlformats.org/officeDocument/2006/relationships/footer" Target="footer154.xml"/><Relationship Id="rId80" Type="http://schemas.openxmlformats.org/officeDocument/2006/relationships/footer" Target="footer34.xml"/><Relationship Id="rId155" Type="http://schemas.openxmlformats.org/officeDocument/2006/relationships/footer" Target="footer72.xml"/><Relationship Id="rId176" Type="http://schemas.openxmlformats.org/officeDocument/2006/relationships/footer" Target="footer82.xml"/><Relationship Id="rId197" Type="http://schemas.openxmlformats.org/officeDocument/2006/relationships/footer" Target="footer93.xml"/><Relationship Id="rId341" Type="http://schemas.openxmlformats.org/officeDocument/2006/relationships/footer" Target="footer165.xml"/><Relationship Id="rId362" Type="http://schemas.openxmlformats.org/officeDocument/2006/relationships/footer" Target="footer175.xml"/><Relationship Id="rId383" Type="http://schemas.openxmlformats.org/officeDocument/2006/relationships/footer" Target="footer186.xml"/><Relationship Id="rId418" Type="http://schemas.openxmlformats.org/officeDocument/2006/relationships/header" Target="header204.xml"/><Relationship Id="rId439" Type="http://schemas.openxmlformats.org/officeDocument/2006/relationships/header" Target="header215.xml"/><Relationship Id="rId201" Type="http://schemas.openxmlformats.org/officeDocument/2006/relationships/footer" Target="footer95.xml"/><Relationship Id="rId222" Type="http://schemas.openxmlformats.org/officeDocument/2006/relationships/header" Target="header106.xml"/><Relationship Id="rId243" Type="http://schemas.openxmlformats.org/officeDocument/2006/relationships/footer" Target="footer116.xml"/><Relationship Id="rId264" Type="http://schemas.openxmlformats.org/officeDocument/2006/relationships/header" Target="header127.xml"/><Relationship Id="rId285" Type="http://schemas.openxmlformats.org/officeDocument/2006/relationships/footer" Target="footer137.xml"/><Relationship Id="rId450" Type="http://schemas.openxmlformats.org/officeDocument/2006/relationships/header" Target="header220.xml"/><Relationship Id="rId17" Type="http://schemas.openxmlformats.org/officeDocument/2006/relationships/footer" Target="footer3.xml"/><Relationship Id="rId38" Type="http://schemas.openxmlformats.org/officeDocument/2006/relationships/footer" Target="footer13.xml"/><Relationship Id="rId59" Type="http://schemas.openxmlformats.org/officeDocument/2006/relationships/footer" Target="footer24.xml"/><Relationship Id="rId103" Type="http://schemas.openxmlformats.org/officeDocument/2006/relationships/header" Target="header47.xml"/><Relationship Id="rId124" Type="http://schemas.openxmlformats.org/officeDocument/2006/relationships/header" Target="header57.xml"/><Relationship Id="rId310" Type="http://schemas.openxmlformats.org/officeDocument/2006/relationships/header" Target="header150.xml"/><Relationship Id="rId70" Type="http://schemas.openxmlformats.org/officeDocument/2006/relationships/header" Target="header30.xml"/><Relationship Id="rId91" Type="http://schemas.openxmlformats.org/officeDocument/2006/relationships/header" Target="header41.xml"/><Relationship Id="rId145" Type="http://schemas.openxmlformats.org/officeDocument/2006/relationships/header" Target="header68.xml"/><Relationship Id="rId166" Type="http://schemas.openxmlformats.org/officeDocument/2006/relationships/header" Target="header78.xml"/><Relationship Id="rId187" Type="http://schemas.openxmlformats.org/officeDocument/2006/relationships/header" Target="header89.xml"/><Relationship Id="rId331" Type="http://schemas.openxmlformats.org/officeDocument/2006/relationships/header" Target="header161.xml"/><Relationship Id="rId352" Type="http://schemas.openxmlformats.org/officeDocument/2006/relationships/header" Target="header171.xml"/><Relationship Id="rId373" Type="http://schemas.openxmlformats.org/officeDocument/2006/relationships/header" Target="header182.xml"/><Relationship Id="rId394" Type="http://schemas.openxmlformats.org/officeDocument/2006/relationships/header" Target="header192.xml"/><Relationship Id="rId408" Type="http://schemas.openxmlformats.org/officeDocument/2006/relationships/header" Target="header199.xml"/><Relationship Id="rId429" Type="http://schemas.openxmlformats.org/officeDocument/2006/relationships/footer" Target="footer209.xml"/><Relationship Id="rId1" Type="http://schemas.openxmlformats.org/officeDocument/2006/relationships/customXml" Target="../customXml/item1.xml"/><Relationship Id="rId212" Type="http://schemas.openxmlformats.org/officeDocument/2006/relationships/footer" Target="footer100.xml"/><Relationship Id="rId233" Type="http://schemas.openxmlformats.org/officeDocument/2006/relationships/footer" Target="footer111.xml"/><Relationship Id="rId254" Type="http://schemas.openxmlformats.org/officeDocument/2006/relationships/footer" Target="footer121.xml"/><Relationship Id="rId440" Type="http://schemas.openxmlformats.org/officeDocument/2006/relationships/footer" Target="footer214.xml"/><Relationship Id="rId28" Type="http://schemas.openxmlformats.org/officeDocument/2006/relationships/header" Target="header9.xml"/><Relationship Id="rId49" Type="http://schemas.openxmlformats.org/officeDocument/2006/relationships/header" Target="header20.xml"/><Relationship Id="rId114" Type="http://schemas.openxmlformats.org/officeDocument/2006/relationships/header" Target="header52.xml"/><Relationship Id="rId275" Type="http://schemas.openxmlformats.org/officeDocument/2006/relationships/footer" Target="footer132.xml"/><Relationship Id="rId296" Type="http://schemas.openxmlformats.org/officeDocument/2006/relationships/footer" Target="footer142.xml"/><Relationship Id="rId300" Type="http://schemas.openxmlformats.org/officeDocument/2006/relationships/header" Target="header145.xml"/><Relationship Id="rId461" Type="http://schemas.openxmlformats.org/officeDocument/2006/relationships/footer" Target="footer225.xml"/><Relationship Id="rId60" Type="http://schemas.openxmlformats.org/officeDocument/2006/relationships/header" Target="header25.xml"/><Relationship Id="rId81" Type="http://schemas.openxmlformats.org/officeDocument/2006/relationships/footer" Target="footer35.xml"/><Relationship Id="rId135" Type="http://schemas.openxmlformats.org/officeDocument/2006/relationships/footer" Target="footer62.xml"/><Relationship Id="rId156" Type="http://schemas.openxmlformats.org/officeDocument/2006/relationships/header" Target="header73.xml"/><Relationship Id="rId177" Type="http://schemas.openxmlformats.org/officeDocument/2006/relationships/footer" Target="footer83.xml"/><Relationship Id="rId198" Type="http://schemas.openxmlformats.org/officeDocument/2006/relationships/header" Target="header94.xml"/><Relationship Id="rId321" Type="http://schemas.openxmlformats.org/officeDocument/2006/relationships/footer" Target="footer155.xml"/><Relationship Id="rId342" Type="http://schemas.openxmlformats.org/officeDocument/2006/relationships/header" Target="header166.xml"/><Relationship Id="rId363" Type="http://schemas.openxmlformats.org/officeDocument/2006/relationships/footer" Target="footer176.xml"/><Relationship Id="rId384" Type="http://schemas.openxmlformats.org/officeDocument/2006/relationships/header" Target="header187.xml"/><Relationship Id="rId419" Type="http://schemas.openxmlformats.org/officeDocument/2006/relationships/footer" Target="footer204.xml"/><Relationship Id="rId202" Type="http://schemas.openxmlformats.org/officeDocument/2006/relationships/header" Target="header96.xml"/><Relationship Id="rId223" Type="http://schemas.openxmlformats.org/officeDocument/2006/relationships/header" Target="header107.xml"/><Relationship Id="rId244" Type="http://schemas.openxmlformats.org/officeDocument/2006/relationships/header" Target="header117.xml"/><Relationship Id="rId430" Type="http://schemas.openxmlformats.org/officeDocument/2006/relationships/header" Target="header210.xml"/><Relationship Id="rId18" Type="http://schemas.openxmlformats.org/officeDocument/2006/relationships/header" Target="header4.xml"/><Relationship Id="rId39" Type="http://schemas.openxmlformats.org/officeDocument/2006/relationships/footer" Target="footer14.xml"/><Relationship Id="rId265" Type="http://schemas.openxmlformats.org/officeDocument/2006/relationships/header" Target="header128.xml"/><Relationship Id="rId286" Type="http://schemas.openxmlformats.org/officeDocument/2006/relationships/header" Target="header138.xml"/><Relationship Id="rId451" Type="http://schemas.openxmlformats.org/officeDocument/2006/relationships/header" Target="header221.xml"/><Relationship Id="rId50" Type="http://schemas.openxmlformats.org/officeDocument/2006/relationships/footer" Target="footer19.xml"/><Relationship Id="rId104" Type="http://schemas.openxmlformats.org/officeDocument/2006/relationships/footer" Target="footer46.xml"/><Relationship Id="rId125" Type="http://schemas.openxmlformats.org/officeDocument/2006/relationships/footer" Target="footer57.xml"/><Relationship Id="rId146" Type="http://schemas.openxmlformats.org/officeDocument/2006/relationships/footer" Target="footer67.xml"/><Relationship Id="rId167" Type="http://schemas.openxmlformats.org/officeDocument/2006/relationships/footer" Target="footer78.xml"/><Relationship Id="rId188" Type="http://schemas.openxmlformats.org/officeDocument/2006/relationships/footer" Target="footer88.xml"/><Relationship Id="rId311" Type="http://schemas.openxmlformats.org/officeDocument/2006/relationships/footer" Target="footer150.xml"/><Relationship Id="rId332" Type="http://schemas.openxmlformats.org/officeDocument/2006/relationships/footer" Target="footer160.xml"/><Relationship Id="rId353" Type="http://schemas.openxmlformats.org/officeDocument/2006/relationships/footer" Target="footer171.xml"/><Relationship Id="rId374" Type="http://schemas.openxmlformats.org/officeDocument/2006/relationships/footer" Target="footer181.xml"/><Relationship Id="rId395" Type="http://schemas.openxmlformats.org/officeDocument/2006/relationships/footer" Target="footer192.xml"/><Relationship Id="rId409" Type="http://schemas.openxmlformats.org/officeDocument/2006/relationships/header" Target="header200.xml"/><Relationship Id="rId71" Type="http://schemas.openxmlformats.org/officeDocument/2006/relationships/footer" Target="footer30.xml"/><Relationship Id="rId92" Type="http://schemas.openxmlformats.org/officeDocument/2006/relationships/footer" Target="footer40.xml"/><Relationship Id="rId213" Type="http://schemas.openxmlformats.org/officeDocument/2006/relationships/footer" Target="footer101.xml"/><Relationship Id="rId234" Type="http://schemas.openxmlformats.org/officeDocument/2006/relationships/header" Target="header112.xml"/><Relationship Id="rId420" Type="http://schemas.openxmlformats.org/officeDocument/2006/relationships/header" Target="header205.xml"/><Relationship Id="rId2" Type="http://schemas.openxmlformats.org/officeDocument/2006/relationships/customXml" Target="../customXml/item2.xml"/><Relationship Id="rId29" Type="http://schemas.openxmlformats.org/officeDocument/2006/relationships/footer" Target="footer9.xml"/><Relationship Id="rId255" Type="http://schemas.openxmlformats.org/officeDocument/2006/relationships/footer" Target="footer122.xml"/><Relationship Id="rId276" Type="http://schemas.openxmlformats.org/officeDocument/2006/relationships/header" Target="header133.xml"/><Relationship Id="rId297" Type="http://schemas.openxmlformats.org/officeDocument/2006/relationships/footer" Target="footer143.xml"/><Relationship Id="rId441" Type="http://schemas.openxmlformats.org/officeDocument/2006/relationships/footer" Target="footer215.xml"/><Relationship Id="rId462" Type="http://schemas.openxmlformats.org/officeDocument/2006/relationships/fontTable" Target="fontTable.xml"/><Relationship Id="rId40" Type="http://schemas.openxmlformats.org/officeDocument/2006/relationships/header" Target="header15.xml"/><Relationship Id="rId115" Type="http://schemas.openxmlformats.org/officeDocument/2006/relationships/header" Target="header53.xml"/><Relationship Id="rId136" Type="http://schemas.openxmlformats.org/officeDocument/2006/relationships/header" Target="header63.xml"/><Relationship Id="rId157" Type="http://schemas.openxmlformats.org/officeDocument/2006/relationships/header" Target="header74.xml"/><Relationship Id="rId178" Type="http://schemas.openxmlformats.org/officeDocument/2006/relationships/header" Target="header84.xml"/><Relationship Id="rId301" Type="http://schemas.openxmlformats.org/officeDocument/2006/relationships/header" Target="header146.xml"/><Relationship Id="rId322" Type="http://schemas.openxmlformats.org/officeDocument/2006/relationships/header" Target="header156.xml"/><Relationship Id="rId343" Type="http://schemas.openxmlformats.org/officeDocument/2006/relationships/header" Target="header167.xml"/><Relationship Id="rId364" Type="http://schemas.openxmlformats.org/officeDocument/2006/relationships/header" Target="header177.xml"/><Relationship Id="rId61" Type="http://schemas.openxmlformats.org/officeDocument/2006/relationships/header" Target="header26.xml"/><Relationship Id="rId82" Type="http://schemas.openxmlformats.org/officeDocument/2006/relationships/header" Target="header36.xml"/><Relationship Id="rId199" Type="http://schemas.openxmlformats.org/officeDocument/2006/relationships/header" Target="header95.xml"/><Relationship Id="rId203" Type="http://schemas.openxmlformats.org/officeDocument/2006/relationships/footer" Target="footer96.xml"/><Relationship Id="rId385" Type="http://schemas.openxmlformats.org/officeDocument/2006/relationships/header" Target="header188.xml"/><Relationship Id="rId19" Type="http://schemas.openxmlformats.org/officeDocument/2006/relationships/header" Target="header5.xml"/><Relationship Id="rId224" Type="http://schemas.openxmlformats.org/officeDocument/2006/relationships/footer" Target="footer106.xml"/><Relationship Id="rId245" Type="http://schemas.openxmlformats.org/officeDocument/2006/relationships/footer" Target="footer117.xml"/><Relationship Id="rId266" Type="http://schemas.openxmlformats.org/officeDocument/2006/relationships/footer" Target="footer127.xml"/><Relationship Id="rId287" Type="http://schemas.openxmlformats.org/officeDocument/2006/relationships/footer" Target="footer138.xml"/><Relationship Id="rId410" Type="http://schemas.openxmlformats.org/officeDocument/2006/relationships/footer" Target="footer199.xml"/><Relationship Id="rId431" Type="http://schemas.openxmlformats.org/officeDocument/2006/relationships/footer" Target="footer210.xml"/><Relationship Id="rId452" Type="http://schemas.openxmlformats.org/officeDocument/2006/relationships/footer" Target="footer220.xml"/><Relationship Id="rId30" Type="http://schemas.openxmlformats.org/officeDocument/2006/relationships/header" Target="header10.xml"/><Relationship Id="rId105" Type="http://schemas.openxmlformats.org/officeDocument/2006/relationships/footer" Target="footer47.xml"/><Relationship Id="rId126" Type="http://schemas.openxmlformats.org/officeDocument/2006/relationships/header" Target="header58.xml"/><Relationship Id="rId147" Type="http://schemas.openxmlformats.org/officeDocument/2006/relationships/footer" Target="footer68.xml"/><Relationship Id="rId168" Type="http://schemas.openxmlformats.org/officeDocument/2006/relationships/header" Target="header79.xml"/><Relationship Id="rId312" Type="http://schemas.openxmlformats.org/officeDocument/2006/relationships/header" Target="header151.xml"/><Relationship Id="rId333" Type="http://schemas.openxmlformats.org/officeDocument/2006/relationships/footer" Target="footer161.xml"/><Relationship Id="rId354" Type="http://schemas.openxmlformats.org/officeDocument/2006/relationships/header" Target="header172.xml"/><Relationship Id="rId51" Type="http://schemas.openxmlformats.org/officeDocument/2006/relationships/footer" Target="footer20.xml"/><Relationship Id="rId72" Type="http://schemas.openxmlformats.org/officeDocument/2006/relationships/header" Target="header31.xml"/><Relationship Id="rId93" Type="http://schemas.openxmlformats.org/officeDocument/2006/relationships/footer" Target="footer41.xml"/><Relationship Id="rId189" Type="http://schemas.openxmlformats.org/officeDocument/2006/relationships/footer" Target="footer89.xml"/><Relationship Id="rId375" Type="http://schemas.openxmlformats.org/officeDocument/2006/relationships/footer" Target="footer182.xml"/><Relationship Id="rId396" Type="http://schemas.openxmlformats.org/officeDocument/2006/relationships/header" Target="header193.xml"/><Relationship Id="rId3" Type="http://schemas.openxmlformats.org/officeDocument/2006/relationships/customXml" Target="../customXml/item3.xml"/><Relationship Id="rId214" Type="http://schemas.openxmlformats.org/officeDocument/2006/relationships/header" Target="header102.xml"/><Relationship Id="rId235" Type="http://schemas.openxmlformats.org/officeDocument/2006/relationships/header" Target="header113.xml"/><Relationship Id="rId256" Type="http://schemas.openxmlformats.org/officeDocument/2006/relationships/header" Target="header123.xml"/><Relationship Id="rId277" Type="http://schemas.openxmlformats.org/officeDocument/2006/relationships/header" Target="header134.xml"/><Relationship Id="rId298" Type="http://schemas.openxmlformats.org/officeDocument/2006/relationships/header" Target="header144.xml"/><Relationship Id="rId400" Type="http://schemas.openxmlformats.org/officeDocument/2006/relationships/header" Target="header195.xml"/><Relationship Id="rId421" Type="http://schemas.openxmlformats.org/officeDocument/2006/relationships/header" Target="header206.xml"/><Relationship Id="rId442" Type="http://schemas.openxmlformats.org/officeDocument/2006/relationships/header" Target="header216.xml"/><Relationship Id="rId463" Type="http://schemas.openxmlformats.org/officeDocument/2006/relationships/theme" Target="theme/theme1.xml"/><Relationship Id="rId116" Type="http://schemas.openxmlformats.org/officeDocument/2006/relationships/footer" Target="footer52.xml"/><Relationship Id="rId137" Type="http://schemas.openxmlformats.org/officeDocument/2006/relationships/footer" Target="footer63.xml"/><Relationship Id="rId158" Type="http://schemas.openxmlformats.org/officeDocument/2006/relationships/footer" Target="footer73.xml"/><Relationship Id="rId302" Type="http://schemas.openxmlformats.org/officeDocument/2006/relationships/footer" Target="footer145.xml"/><Relationship Id="rId323" Type="http://schemas.openxmlformats.org/officeDocument/2006/relationships/footer" Target="footer156.xml"/><Relationship Id="rId344" Type="http://schemas.openxmlformats.org/officeDocument/2006/relationships/footer" Target="footer166.xml"/><Relationship Id="rId20" Type="http://schemas.openxmlformats.org/officeDocument/2006/relationships/footer" Target="footer4.xml"/><Relationship Id="rId41" Type="http://schemas.openxmlformats.org/officeDocument/2006/relationships/footer" Target="footer15.xml"/><Relationship Id="rId62" Type="http://schemas.openxmlformats.org/officeDocument/2006/relationships/footer" Target="footer25.xml"/><Relationship Id="rId83" Type="http://schemas.openxmlformats.org/officeDocument/2006/relationships/footer" Target="footer36.xml"/><Relationship Id="rId179" Type="http://schemas.openxmlformats.org/officeDocument/2006/relationships/footer" Target="footer84.xml"/><Relationship Id="rId365" Type="http://schemas.openxmlformats.org/officeDocument/2006/relationships/footer" Target="footer177.xml"/><Relationship Id="rId386" Type="http://schemas.openxmlformats.org/officeDocument/2006/relationships/footer" Target="footer187.xml"/><Relationship Id="rId190" Type="http://schemas.openxmlformats.org/officeDocument/2006/relationships/header" Target="header90.xml"/><Relationship Id="rId204" Type="http://schemas.openxmlformats.org/officeDocument/2006/relationships/header" Target="header97.xml"/><Relationship Id="rId225" Type="http://schemas.openxmlformats.org/officeDocument/2006/relationships/footer" Target="footer107.xml"/><Relationship Id="rId246" Type="http://schemas.openxmlformats.org/officeDocument/2006/relationships/header" Target="header118.xml"/><Relationship Id="rId267" Type="http://schemas.openxmlformats.org/officeDocument/2006/relationships/footer" Target="footer128.xml"/><Relationship Id="rId288" Type="http://schemas.openxmlformats.org/officeDocument/2006/relationships/header" Target="header139.xml"/><Relationship Id="rId411" Type="http://schemas.openxmlformats.org/officeDocument/2006/relationships/footer" Target="footer200.xml"/><Relationship Id="rId432" Type="http://schemas.openxmlformats.org/officeDocument/2006/relationships/header" Target="header211.xml"/><Relationship Id="rId453" Type="http://schemas.openxmlformats.org/officeDocument/2006/relationships/footer" Target="footer221.xml"/><Relationship Id="rId106" Type="http://schemas.openxmlformats.org/officeDocument/2006/relationships/header" Target="header48.xml"/><Relationship Id="rId127" Type="http://schemas.openxmlformats.org/officeDocument/2006/relationships/header" Target="header59.xml"/><Relationship Id="rId313" Type="http://schemas.openxmlformats.org/officeDocument/2006/relationships/header" Target="header152.xml"/><Relationship Id="rId10" Type="http://schemas.openxmlformats.org/officeDocument/2006/relationships/endnotes" Target="endnotes.xml"/><Relationship Id="rId31" Type="http://schemas.openxmlformats.org/officeDocument/2006/relationships/header" Target="header11.xml"/><Relationship Id="rId52" Type="http://schemas.openxmlformats.org/officeDocument/2006/relationships/header" Target="header21.xml"/><Relationship Id="rId73" Type="http://schemas.openxmlformats.org/officeDocument/2006/relationships/header" Target="header32.xml"/><Relationship Id="rId94" Type="http://schemas.openxmlformats.org/officeDocument/2006/relationships/header" Target="header42.xml"/><Relationship Id="rId148" Type="http://schemas.openxmlformats.org/officeDocument/2006/relationships/header" Target="header69.xml"/><Relationship Id="rId169" Type="http://schemas.openxmlformats.org/officeDocument/2006/relationships/header" Target="header80.xml"/><Relationship Id="rId334" Type="http://schemas.openxmlformats.org/officeDocument/2006/relationships/header" Target="header162.xml"/><Relationship Id="rId355" Type="http://schemas.openxmlformats.org/officeDocument/2006/relationships/header" Target="header173.xml"/><Relationship Id="rId376" Type="http://schemas.openxmlformats.org/officeDocument/2006/relationships/header" Target="header183.xml"/><Relationship Id="rId397" Type="http://schemas.openxmlformats.org/officeDocument/2006/relationships/header" Target="header194.xml"/><Relationship Id="rId4" Type="http://schemas.openxmlformats.org/officeDocument/2006/relationships/customXml" Target="../customXml/item4.xml"/><Relationship Id="rId180" Type="http://schemas.openxmlformats.org/officeDocument/2006/relationships/header" Target="header85.xml"/><Relationship Id="rId215" Type="http://schemas.openxmlformats.org/officeDocument/2006/relationships/footer" Target="footer102.xml"/><Relationship Id="rId236" Type="http://schemas.openxmlformats.org/officeDocument/2006/relationships/footer" Target="footer112.xml"/><Relationship Id="rId257" Type="http://schemas.openxmlformats.org/officeDocument/2006/relationships/footer" Target="footer123.xml"/><Relationship Id="rId278" Type="http://schemas.openxmlformats.org/officeDocument/2006/relationships/footer" Target="footer133.xml"/><Relationship Id="rId401" Type="http://schemas.openxmlformats.org/officeDocument/2006/relationships/footer" Target="footer195.xml"/><Relationship Id="rId422" Type="http://schemas.openxmlformats.org/officeDocument/2006/relationships/footer" Target="footer205.xml"/><Relationship Id="rId443" Type="http://schemas.openxmlformats.org/officeDocument/2006/relationships/footer" Target="footer216.xml"/><Relationship Id="rId303" Type="http://schemas.openxmlformats.org/officeDocument/2006/relationships/footer" Target="footer146.xml"/><Relationship Id="rId42" Type="http://schemas.openxmlformats.org/officeDocument/2006/relationships/header" Target="header16.xml"/><Relationship Id="rId84" Type="http://schemas.openxmlformats.org/officeDocument/2006/relationships/header" Target="header37.xml"/><Relationship Id="rId138" Type="http://schemas.openxmlformats.org/officeDocument/2006/relationships/header" Target="header64.xml"/><Relationship Id="rId345" Type="http://schemas.openxmlformats.org/officeDocument/2006/relationships/footer" Target="footer167.xml"/><Relationship Id="rId387" Type="http://schemas.openxmlformats.org/officeDocument/2006/relationships/footer" Target="footer188.xml"/><Relationship Id="rId191" Type="http://schemas.openxmlformats.org/officeDocument/2006/relationships/footer" Target="footer90.xml"/><Relationship Id="rId205" Type="http://schemas.openxmlformats.org/officeDocument/2006/relationships/header" Target="header98.xml"/><Relationship Id="rId247" Type="http://schemas.openxmlformats.org/officeDocument/2006/relationships/header" Target="header119.xml"/><Relationship Id="rId412" Type="http://schemas.openxmlformats.org/officeDocument/2006/relationships/header" Target="header201.xml"/><Relationship Id="rId107" Type="http://schemas.openxmlformats.org/officeDocument/2006/relationships/footer" Target="footer48.xml"/><Relationship Id="rId289" Type="http://schemas.openxmlformats.org/officeDocument/2006/relationships/header" Target="header140.xml"/><Relationship Id="rId454" Type="http://schemas.openxmlformats.org/officeDocument/2006/relationships/header" Target="header222.xml"/><Relationship Id="rId11" Type="http://schemas.openxmlformats.org/officeDocument/2006/relationships/image" Target="media/image1.emf"/><Relationship Id="rId53" Type="http://schemas.openxmlformats.org/officeDocument/2006/relationships/footer" Target="footer21.xml"/><Relationship Id="rId149" Type="http://schemas.openxmlformats.org/officeDocument/2006/relationships/footer" Target="footer69.xml"/><Relationship Id="rId314" Type="http://schemas.openxmlformats.org/officeDocument/2006/relationships/footer" Target="footer151.xml"/><Relationship Id="rId356" Type="http://schemas.openxmlformats.org/officeDocument/2006/relationships/footer" Target="footer172.xml"/><Relationship Id="rId398" Type="http://schemas.openxmlformats.org/officeDocument/2006/relationships/footer" Target="footer193.xml"/><Relationship Id="rId95" Type="http://schemas.openxmlformats.org/officeDocument/2006/relationships/footer" Target="footer42.xml"/><Relationship Id="rId160" Type="http://schemas.openxmlformats.org/officeDocument/2006/relationships/header" Target="header75.xml"/><Relationship Id="rId216" Type="http://schemas.openxmlformats.org/officeDocument/2006/relationships/header" Target="header103.xml"/><Relationship Id="rId423" Type="http://schemas.openxmlformats.org/officeDocument/2006/relationships/footer" Target="footer206.xml"/><Relationship Id="rId258" Type="http://schemas.openxmlformats.org/officeDocument/2006/relationships/header" Target="header124.xml"/><Relationship Id="rId22" Type="http://schemas.openxmlformats.org/officeDocument/2006/relationships/header" Target="header6.xml"/><Relationship Id="rId64" Type="http://schemas.openxmlformats.org/officeDocument/2006/relationships/header" Target="header27.xml"/><Relationship Id="rId118" Type="http://schemas.openxmlformats.org/officeDocument/2006/relationships/header" Target="header54.xml"/><Relationship Id="rId325" Type="http://schemas.openxmlformats.org/officeDocument/2006/relationships/header" Target="header158.xml"/><Relationship Id="rId367" Type="http://schemas.openxmlformats.org/officeDocument/2006/relationships/header" Target="header179.xml"/><Relationship Id="rId171" Type="http://schemas.openxmlformats.org/officeDocument/2006/relationships/footer" Target="footer80.xml"/><Relationship Id="rId227" Type="http://schemas.openxmlformats.org/officeDocument/2006/relationships/footer" Target="footer108.xml"/><Relationship Id="rId269" Type="http://schemas.openxmlformats.org/officeDocument/2006/relationships/footer" Target="footer129.xml"/><Relationship Id="rId434" Type="http://schemas.openxmlformats.org/officeDocument/2006/relationships/footer" Target="footer211.xml"/><Relationship Id="rId33" Type="http://schemas.openxmlformats.org/officeDocument/2006/relationships/footer" Target="footer11.xml"/><Relationship Id="rId129" Type="http://schemas.openxmlformats.org/officeDocument/2006/relationships/footer" Target="footer59.xml"/><Relationship Id="rId280" Type="http://schemas.openxmlformats.org/officeDocument/2006/relationships/header" Target="header135.xml"/><Relationship Id="rId336" Type="http://schemas.openxmlformats.org/officeDocument/2006/relationships/header" Target="header163.xml"/><Relationship Id="rId75" Type="http://schemas.openxmlformats.org/officeDocument/2006/relationships/footer" Target="footer32.xml"/><Relationship Id="rId140" Type="http://schemas.openxmlformats.org/officeDocument/2006/relationships/footer" Target="footer64.xml"/><Relationship Id="rId182" Type="http://schemas.openxmlformats.org/officeDocument/2006/relationships/footer" Target="footer85.xml"/><Relationship Id="rId378" Type="http://schemas.openxmlformats.org/officeDocument/2006/relationships/header" Target="header184.xml"/><Relationship Id="rId403" Type="http://schemas.openxmlformats.org/officeDocument/2006/relationships/header" Target="header197.xml"/><Relationship Id="rId6" Type="http://schemas.openxmlformats.org/officeDocument/2006/relationships/styles" Target="styles.xml"/><Relationship Id="rId238" Type="http://schemas.openxmlformats.org/officeDocument/2006/relationships/header" Target="header114.xml"/><Relationship Id="rId445" Type="http://schemas.openxmlformats.org/officeDocument/2006/relationships/header" Target="header218.xml"/><Relationship Id="rId291" Type="http://schemas.openxmlformats.org/officeDocument/2006/relationships/footer" Target="footer140.xml"/><Relationship Id="rId305" Type="http://schemas.openxmlformats.org/officeDocument/2006/relationships/footer" Target="footer147.xml"/><Relationship Id="rId347" Type="http://schemas.openxmlformats.org/officeDocument/2006/relationships/footer" Target="footer16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AF75065C516B24AA4ED9964D7F23498" ma:contentTypeVersion="24" ma:contentTypeDescription="Create a new document." ma:contentTypeScope="" ma:versionID="691655810f3f62762b3162cea27daf68">
  <xsd:schema xmlns:xsd="http://www.w3.org/2001/XMLSchema" xmlns:xs="http://www.w3.org/2001/XMLSchema" xmlns:p="http://schemas.microsoft.com/office/2006/metadata/properties" xmlns:ns1="http://schemas.microsoft.com/sharepoint/v3" xmlns:ns2="11e77377-0db5-45fd-a1ac-9f5e38a33c6f" xmlns:ns3="e4d0ae30-99de-4b75-b374-de0637405ec7" xmlns:ns4="http://schemas.microsoft.com/sharepoint/v4" targetNamespace="http://schemas.microsoft.com/office/2006/metadata/properties" ma:root="true" ma:fieldsID="db6ca9e3fb0e8587ae89dc1684163d2b" ns1:_="" ns2:_="" ns3:_="" ns4:_="">
    <xsd:import namespace="http://schemas.microsoft.com/sharepoint/v3"/>
    <xsd:import namespace="11e77377-0db5-45fd-a1ac-9f5e38a33c6f"/>
    <xsd:import namespace="e4d0ae30-99de-4b75-b374-de0637405ec7"/>
    <xsd:import namespace="http://schemas.microsoft.com/sharepoint/v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Location" minOccurs="0"/>
                <xsd:element ref="ns2:MediaServiceGenerationTime" minOccurs="0"/>
                <xsd:element ref="ns2:MediaServiceEventHashCode" minOccurs="0"/>
                <xsd:element ref="ns2:MediaServiceOCR" minOccurs="0"/>
                <xsd:element ref="ns2:MediaLengthInSeconds" minOccurs="0"/>
                <xsd:element ref="ns3:EC_ARES_NUMBER" minOccurs="0"/>
                <xsd:element ref="ns3:EC_ARES_DATE_TRANSFERRED" minOccurs="0"/>
                <xsd:element ref="ns3:EC_ARES_TRANSFERRED_BY" minOccurs="0"/>
                <xsd:element ref="ns4:IconOverlay" minOccurs="0"/>
                <xsd:element ref="ns1:_vti_ItemDeclaredRecord" minOccurs="0"/>
                <xsd:element ref="ns1:_vti_ItemHoldRecord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29" nillable="true" ma:displayName="Declared Record" ma:hidden="true" ma:internalName="_vti_ItemDeclaredRecord" ma:readOnly="true">
      <xsd:simpleType>
        <xsd:restriction base="dms:DateTime"/>
      </xsd:simpleType>
    </xsd:element>
    <xsd:element name="_vti_ItemHoldRecordStatus" ma:index="30" nillable="true" ma:displayName="Hold and Record Status" ma:decimals="0" ma:hidden="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1e77377-0db5-45fd-a1ac-9f5e38a33c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LengthInSeconds" ma:index="24" nillable="true" ma:displayName="MediaLengthInSeconds" ma:hidden="true" ma:internalName="MediaLengthInSeconds" ma:readOnly="true">
      <xsd:simpleType>
        <xsd:restriction base="dms:Unknown"/>
      </xsd:simpleType>
    </xsd:element>
    <xsd:element name="MediaServiceBillingMetadata" ma:index="3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4d0ae30-99de-4b75-b374-de0637405ec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99c1a9c5-7436-4665-9c01-4721abda3979}" ma:internalName="TaxCatchAll" ma:showField="CatchAllData" ma:web="e4d0ae30-99de-4b75-b374-de0637405ec7">
      <xsd:complexType>
        <xsd:complexContent>
          <xsd:extension base="dms:MultiChoiceLookup">
            <xsd:sequence>
              <xsd:element name="Value" type="dms:Lookup" maxOccurs="unbounded" minOccurs="0" nillable="true"/>
            </xsd:sequence>
          </xsd:extension>
        </xsd:complexContent>
      </xsd:complexType>
    </xsd:element>
    <xsd:element name="EC_ARES_NUMBER" ma:index="25" nillable="true" ma:displayName="Ares Number" ma:format="Hyperlink" ma:hidden="true"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26" nillable="true" ma:displayName="Transferred to Ares" ma:format="DateTime" ma:hidden="true" ma:internalName="EC_ARES_DATE_TRANSFERRED">
      <xsd:simpleType>
        <xsd:restriction base="dms:DateTime"/>
      </xsd:simpleType>
    </xsd:element>
    <xsd:element name="EC_ARES_TRANSFERRED_BY" ma:index="27" nillable="true" ma:displayName="Transferred By" ma:hidden="true" ma:internalName="EC_ARES_TRANSFERRED_B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8"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4d0ae30-99de-4b75-b374-de0637405ec7" xsi:nil="true"/>
    <EC_ARES_NUMBER xmlns="e4d0ae30-99de-4b75-b374-de0637405ec7">
      <Url xsi:nil="true"/>
      <Description xsi:nil="true"/>
    </EC_ARES_NUMBER>
    <IconOverlay xmlns="http://schemas.microsoft.com/sharepoint/v4" xsi:nil="true"/>
    <lcf76f155ced4ddcb4097134ff3c332f xmlns="11e77377-0db5-45fd-a1ac-9f5e38a33c6f">
      <Terms xmlns="http://schemas.microsoft.com/office/infopath/2007/PartnerControls"/>
    </lcf76f155ced4ddcb4097134ff3c332f>
    <EC_ARES_DATE_TRANSFERRED xmlns="e4d0ae30-99de-4b75-b374-de0637405ec7" xsi:nil="true"/>
    <EC_ARES_TRANSFERRED_BY xmlns="e4d0ae30-99de-4b75-b374-de0637405ec7"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124240-FBA3-492A-87C9-6C26A5DBA115}">
  <ds:schemaRefs>
    <ds:schemaRef ds:uri="http://schemas.microsoft.com/sharepoint/v3/contenttype/forms"/>
  </ds:schemaRefs>
</ds:datastoreItem>
</file>

<file path=customXml/itemProps2.xml><?xml version="1.0" encoding="utf-8"?>
<ds:datastoreItem xmlns:ds="http://schemas.openxmlformats.org/officeDocument/2006/customXml" ds:itemID="{2A5A8BCD-E5B8-44BA-8703-CF164446F0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1e77377-0db5-45fd-a1ac-9f5e38a33c6f"/>
    <ds:schemaRef ds:uri="e4d0ae30-99de-4b75-b374-de0637405ec7"/>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C2BE0D9-398E-44F9-87BC-5476090AFD27}">
  <ds:schemaRefs>
    <ds:schemaRef ds:uri="http://schemas.microsoft.com/office/2006/metadata/properties"/>
    <ds:schemaRef ds:uri="http://schemas.microsoft.com/office/infopath/2007/PartnerControls"/>
    <ds:schemaRef ds:uri="e4d0ae30-99de-4b75-b374-de0637405ec7"/>
    <ds:schemaRef ds:uri="http://schemas.microsoft.com/sharepoint/v4"/>
    <ds:schemaRef ds:uri="11e77377-0db5-45fd-a1ac-9f5e38a33c6f"/>
  </ds:schemaRefs>
</ds:datastoreItem>
</file>

<file path=customXml/itemProps4.xml><?xml version="1.0" encoding="utf-8"?>
<ds:datastoreItem xmlns:ds="http://schemas.openxmlformats.org/officeDocument/2006/customXml" ds:itemID="{5AE1B4BD-17FF-4B44-8A06-4DA0252C1B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TotalTime>
  <Pages>7</Pages>
  <Words>84886</Words>
  <Characters>483851</Characters>
  <Application>Microsoft Office Word</Application>
  <DocSecurity>0</DocSecurity>
  <Lines>4032</Lines>
  <Paragraphs>1135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567602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17</cp:revision>
  <dcterms:created xsi:type="dcterms:W3CDTF">2026-08-07T07:23:00Z</dcterms:created>
  <dcterms:modified xsi:type="dcterms:W3CDTF">2026-08-07T10:33:00Z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f60b174-6478-47f9-866e-33f097bb6603_Enabled">
    <vt:lpwstr>true</vt:lpwstr>
  </property>
  <property fmtid="{D5CDD505-2E9C-101B-9397-08002B2CF9AE}" pid="3" name="MSIP_Label_af60b174-6478-47f9-866e-33f097bb6603_SetDate">
    <vt:lpwstr>2025-12-09T14:05:45Z</vt:lpwstr>
  </property>
  <property fmtid="{D5CDD505-2E9C-101B-9397-08002B2CF9AE}" pid="4" name="MSIP_Label_af60b174-6478-47f9-866e-33f097bb6603_Method">
    <vt:lpwstr>Privileged</vt:lpwstr>
  </property>
  <property fmtid="{D5CDD505-2E9C-101B-9397-08002B2CF9AE}" pid="5" name="MSIP_Label_af60b174-6478-47f9-866e-33f097bb6603_Name">
    <vt:lpwstr>GSCEU - PUBLIC Label</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ActionId">
    <vt:lpwstr>084F11E1-6C8D-4405-B782-C0714F842605</vt:lpwstr>
  </property>
  <property fmtid="{D5CDD505-2E9C-101B-9397-08002B2CF9AE}" pid="8" name="MSIP_Label_af60b174-6478-47f9-866e-33f097bb6603_ContentBits">
    <vt:lpwstr>0</vt:lpwstr>
  </property>
  <property fmtid="{D5CDD505-2E9C-101B-9397-08002B2CF9AE}" pid="9" name="Last edited using">
    <vt:lpwstr>LW 9.2, Build 20250828</vt:lpwstr>
  </property>
  <property fmtid="{D5CDD505-2E9C-101B-9397-08002B2CF9AE}" pid="10" name="ContentTypeId">
    <vt:lpwstr>0x010100BAF75065C516B24AA4ED9964D7F23498</vt:lpwstr>
  </property>
  <property fmtid="{D5CDD505-2E9C-101B-9397-08002B2CF9AE}" pid="11" name="Level of sensitivity">
    <vt:lpwstr>Standard treatment</vt:lpwstr>
  </property>
  <property fmtid="{D5CDD505-2E9C-101B-9397-08002B2CF9AE}" pid="12" name="DocStatus">
    <vt:lpwstr>Green</vt:lpwstr>
  </property>
  <property fmtid="{D5CDD505-2E9C-101B-9397-08002B2CF9AE}" pid="13" name="MSIP_Label_6bd9ddd1-4d20-43f6-abfa-fc3c07406f94_Enabled">
    <vt:lpwstr>true</vt:lpwstr>
  </property>
  <property fmtid="{D5CDD505-2E9C-101B-9397-08002B2CF9AE}" pid="14" name="MSIP_Label_6bd9ddd1-4d20-43f6-abfa-fc3c07406f94_SetDate">
    <vt:lpwstr>2026-05-22T08:59:45Z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fff32f15-ce70-472d-9735-084557510cb2</vt:lpwstr>
  </property>
  <property fmtid="{D5CDD505-2E9C-101B-9397-08002B2CF9AE}" pid="19" name="MSIP_Label_6bd9ddd1-4d20-43f6-abfa-fc3c07406f94_ContentBits">
    <vt:lpwstr>0</vt:lpwstr>
  </property>
  <property fmtid="{D5CDD505-2E9C-101B-9397-08002B2CF9AE}" pid="20" name="MSIP_Label_6bd9ddd1-4d20-43f6-abfa-fc3c07406f94_Tag">
    <vt:lpwstr>10, 3, 0, 1</vt:lpwstr>
  </property>
  <property fmtid="{D5CDD505-2E9C-101B-9397-08002B2CF9AE}" pid="21" name="MediaServiceImageTags">
    <vt:lpwstr/>
  </property>
  <property fmtid="{D5CDD505-2E9C-101B-9397-08002B2CF9AE}" pid="22" name="First annex">
    <vt:lpwstr>1</vt:lpwstr>
  </property>
  <property fmtid="{D5CDD505-2E9C-101B-9397-08002B2CF9AE}" pid="23" name="Last annex">
    <vt:lpwstr>1</vt:lpwstr>
  </property>
  <property fmtid="{D5CDD505-2E9C-101B-9397-08002B2CF9AE}" pid="24" name="Unique annex">
    <vt:lpwstr>1</vt:lpwstr>
  </property>
  <property fmtid="{D5CDD505-2E9C-101B-9397-08002B2CF9AE}" pid="25" name="Part">
    <vt:lpwstr>1</vt:lpwstr>
  </property>
  <property fmtid="{D5CDD505-2E9C-101B-9397-08002B2CF9AE}" pid="26" name="Total parts">
    <vt:lpwstr>1</vt:lpwstr>
  </property>
  <property fmtid="{D5CDD505-2E9C-101B-9397-08002B2CF9AE}" pid="27" name="CPTemplateID">
    <vt:lpwstr>CP-036</vt:lpwstr>
  </property>
</Properties>
</file>